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00" w:lineRule="exact"/>
        <w:ind w:firstLine="0" w:firstLineChars="0"/>
        <w:jc w:val="center"/>
        <w:rPr>
          <w:rFonts w:hint="eastAsia" w:ascii="Times New Roman" w:hAnsi="Times New Roman" w:eastAsia="宋体" w:cs="Times New Roman"/>
          <w:b/>
          <w:bCs/>
          <w:color w:val="auto"/>
          <w:w w:val="90"/>
          <w:sz w:val="32"/>
          <w:szCs w:val="32"/>
          <w:highlight w:val="none"/>
          <w:lang w:bidi="en-US"/>
        </w:rPr>
      </w:pPr>
    </w:p>
    <w:p>
      <w:pPr>
        <w:spacing w:line="800" w:lineRule="exact"/>
        <w:ind w:firstLine="0" w:firstLineChars="0"/>
        <w:jc w:val="center"/>
        <w:rPr>
          <w:rFonts w:ascii="Times New Roman" w:hAnsi="Times New Roman" w:eastAsia="宋体" w:cs="Times New Roman"/>
          <w:b/>
          <w:bCs/>
          <w:color w:val="auto"/>
          <w:w w:val="90"/>
          <w:sz w:val="32"/>
          <w:szCs w:val="32"/>
          <w:highlight w:val="none"/>
          <w:lang w:bidi="en-US"/>
        </w:rPr>
      </w:pPr>
    </w:p>
    <w:p>
      <w:pPr>
        <w:spacing w:line="800" w:lineRule="exact"/>
        <w:ind w:firstLine="0" w:firstLineChars="0"/>
        <w:jc w:val="center"/>
        <w:rPr>
          <w:rFonts w:ascii="Times New Roman" w:hAnsi="Times New Roman" w:eastAsia="宋体" w:cs="Times New Roman"/>
          <w:b/>
          <w:bCs/>
          <w:color w:val="auto"/>
          <w:w w:val="90"/>
          <w:sz w:val="32"/>
          <w:szCs w:val="32"/>
          <w:highlight w:val="none"/>
          <w:lang w:bidi="en-US"/>
        </w:rPr>
      </w:pPr>
      <w:r>
        <w:rPr>
          <w:rFonts w:ascii="Times New Roman" w:hAnsi="Times New Roman" w:eastAsia="宋体" w:cs="Times New Roman"/>
          <w:b/>
          <w:bCs/>
          <w:color w:val="auto"/>
          <w:w w:val="90"/>
          <w:sz w:val="32"/>
          <w:szCs w:val="32"/>
          <w:highlight w:val="none"/>
          <w:lang w:bidi="en-US"/>
        </w:rPr>
        <w:t>三江侗族自治县宏源采石场硅质岩矿年开采加工50万吨砂石料项目</w:t>
      </w:r>
    </w:p>
    <w:p>
      <w:pPr>
        <w:spacing w:before="317" w:beforeLines="100" w:line="800" w:lineRule="exact"/>
        <w:ind w:firstLine="0" w:firstLineChars="0"/>
        <w:jc w:val="center"/>
        <w:rPr>
          <w:rFonts w:ascii="Times New Roman" w:hAnsi="Times New Roman" w:eastAsia="宋体" w:cs="Times New Roman"/>
          <w:b/>
          <w:bCs/>
          <w:color w:val="auto"/>
          <w:sz w:val="84"/>
          <w:szCs w:val="84"/>
          <w:highlight w:val="none"/>
        </w:rPr>
      </w:pPr>
      <w:r>
        <w:rPr>
          <w:rFonts w:ascii="Times New Roman" w:hAnsi="Times New Roman" w:eastAsia="宋体" w:cs="Times New Roman"/>
          <w:b/>
          <w:bCs/>
          <w:color w:val="auto"/>
          <w:sz w:val="52"/>
          <w:szCs w:val="52"/>
          <w:highlight w:val="none"/>
        </w:rPr>
        <w:t>环境影响报告书</w:t>
      </w:r>
    </w:p>
    <w:p>
      <w:pPr>
        <w:spacing w:before="158" w:beforeLines="50"/>
        <w:ind w:firstLine="0" w:firstLineChars="0"/>
        <w:jc w:val="center"/>
        <w:rPr>
          <w:rFonts w:ascii="Times New Roman" w:hAnsi="Times New Roman" w:eastAsia="宋体" w:cs="Times New Roman"/>
          <w:b/>
          <w:bCs/>
          <w:color w:val="auto"/>
          <w:sz w:val="36"/>
          <w:szCs w:val="36"/>
          <w:highlight w:val="none"/>
        </w:rPr>
      </w:pPr>
      <w:bookmarkStart w:id="0" w:name="_Toc18329"/>
      <w:bookmarkStart w:id="1" w:name="_Toc17773"/>
      <w:bookmarkStart w:id="2" w:name="_Toc414241476"/>
      <w:bookmarkStart w:id="3" w:name="_Toc17819"/>
      <w:bookmarkStart w:id="4" w:name="_Toc414241149"/>
      <w:bookmarkStart w:id="5" w:name="_Toc28402"/>
      <w:bookmarkStart w:id="6" w:name="_Toc1660"/>
      <w:r>
        <w:rPr>
          <w:rFonts w:ascii="Times New Roman" w:hAnsi="Times New Roman" w:eastAsia="宋体" w:cs="Times New Roman"/>
          <w:b/>
          <w:bCs/>
          <w:color w:val="auto"/>
          <w:sz w:val="36"/>
          <w:szCs w:val="36"/>
          <w:highlight w:val="none"/>
        </w:rPr>
        <w:t>（</w:t>
      </w:r>
      <w:r>
        <w:rPr>
          <w:rFonts w:hint="eastAsia" w:cs="Times New Roman"/>
          <w:b/>
          <w:bCs/>
          <w:color w:val="auto"/>
          <w:sz w:val="36"/>
          <w:szCs w:val="36"/>
          <w:highlight w:val="none"/>
          <w:lang w:val="en-US" w:eastAsia="zh-CN"/>
        </w:rPr>
        <w:t>报批</w:t>
      </w:r>
      <w:r>
        <w:rPr>
          <w:rFonts w:ascii="Times New Roman" w:hAnsi="Times New Roman" w:eastAsia="宋体" w:cs="Times New Roman"/>
          <w:b/>
          <w:bCs/>
          <w:color w:val="auto"/>
          <w:sz w:val="36"/>
          <w:szCs w:val="36"/>
          <w:highlight w:val="none"/>
        </w:rPr>
        <w:t>稿）</w:t>
      </w:r>
      <w:bookmarkEnd w:id="0"/>
      <w:bookmarkEnd w:id="1"/>
      <w:bookmarkEnd w:id="2"/>
      <w:bookmarkEnd w:id="3"/>
      <w:bookmarkEnd w:id="4"/>
      <w:bookmarkEnd w:id="5"/>
      <w:bookmarkEnd w:id="6"/>
    </w:p>
    <w:p>
      <w:pPr>
        <w:ind w:firstLine="480"/>
        <w:jc w:val="center"/>
        <w:rPr>
          <w:rFonts w:hint="eastAsia" w:ascii="Times New Roman" w:hAnsi="Times New Roman" w:eastAsia="宋体" w:cs="Times New Roman"/>
          <w:color w:val="auto"/>
          <w:highlight w:val="none"/>
        </w:rPr>
      </w:pPr>
    </w:p>
    <w:p>
      <w:pPr>
        <w:ind w:firstLine="480"/>
        <w:jc w:val="center"/>
        <w:rPr>
          <w:rFonts w:hint="eastAsia" w:ascii="Times New Roman" w:hAnsi="Times New Roman" w:eastAsia="宋体" w:cs="Times New Roman"/>
          <w:color w:val="auto"/>
          <w:highlight w:val="none"/>
        </w:rPr>
      </w:pPr>
    </w:p>
    <w:p>
      <w:pPr>
        <w:ind w:firstLine="480"/>
        <w:jc w:val="center"/>
        <w:rPr>
          <w:rFonts w:hint="eastAsia" w:ascii="Times New Roman" w:hAnsi="Times New Roman" w:eastAsia="宋体" w:cs="Times New Roman"/>
          <w:color w:val="auto"/>
          <w:highlight w:val="none"/>
        </w:rPr>
      </w:pPr>
    </w:p>
    <w:p>
      <w:pPr>
        <w:ind w:firstLine="480"/>
        <w:rPr>
          <w:rFonts w:ascii="Times New Roman" w:hAnsi="Times New Roman" w:eastAsia="宋体" w:cs="Times New Roman"/>
          <w:color w:val="auto"/>
          <w:highlight w:val="none"/>
        </w:rPr>
      </w:pPr>
    </w:p>
    <w:p>
      <w:pPr>
        <w:ind w:firstLine="480"/>
        <w:rPr>
          <w:rFonts w:ascii="Times New Roman" w:hAnsi="Times New Roman" w:eastAsia="宋体" w:cs="Times New Roman"/>
          <w:color w:val="auto"/>
          <w:highlight w:val="none"/>
        </w:rPr>
      </w:pPr>
    </w:p>
    <w:p>
      <w:pPr>
        <w:ind w:firstLine="480"/>
        <w:rPr>
          <w:rFonts w:ascii="Times New Roman" w:hAnsi="Times New Roman" w:eastAsia="宋体" w:cs="Times New Roman"/>
          <w:color w:val="auto"/>
          <w:highlight w:val="none"/>
        </w:rPr>
      </w:pPr>
    </w:p>
    <w:p>
      <w:pPr>
        <w:ind w:firstLine="480"/>
        <w:rPr>
          <w:rFonts w:ascii="Times New Roman" w:hAnsi="Times New Roman" w:eastAsia="宋体" w:cs="Times New Roman"/>
          <w:color w:val="auto"/>
          <w:highlight w:val="none"/>
        </w:rPr>
      </w:pPr>
    </w:p>
    <w:p>
      <w:pPr>
        <w:ind w:firstLine="480"/>
        <w:rPr>
          <w:rFonts w:ascii="Times New Roman" w:hAnsi="Times New Roman" w:eastAsia="宋体" w:cs="Times New Roman"/>
          <w:color w:val="auto"/>
          <w:highlight w:val="none"/>
        </w:rPr>
      </w:pPr>
    </w:p>
    <w:p>
      <w:pPr>
        <w:ind w:firstLine="480"/>
        <w:rPr>
          <w:rFonts w:ascii="Times New Roman" w:hAnsi="Times New Roman" w:eastAsia="宋体" w:cs="Times New Roman"/>
          <w:color w:val="auto"/>
          <w:highlight w:val="none"/>
        </w:rPr>
      </w:pPr>
    </w:p>
    <w:p>
      <w:pPr>
        <w:ind w:firstLine="480"/>
        <w:rPr>
          <w:rFonts w:ascii="Times New Roman" w:hAnsi="Times New Roman" w:eastAsia="宋体" w:cs="Times New Roman"/>
          <w:color w:val="auto"/>
          <w:highlight w:val="none"/>
        </w:rPr>
      </w:pPr>
    </w:p>
    <w:p>
      <w:pPr>
        <w:ind w:firstLine="480"/>
        <w:rPr>
          <w:rFonts w:ascii="Times New Roman" w:hAnsi="Times New Roman" w:eastAsia="宋体" w:cs="Times New Roman"/>
          <w:color w:val="auto"/>
          <w:highlight w:val="none"/>
        </w:rPr>
      </w:pPr>
    </w:p>
    <w:p>
      <w:pPr>
        <w:ind w:firstLine="480"/>
        <w:rPr>
          <w:rFonts w:ascii="Times New Roman" w:hAnsi="Times New Roman" w:eastAsia="宋体" w:cs="Times New Roman"/>
          <w:color w:val="auto"/>
          <w:highlight w:val="none"/>
        </w:rPr>
      </w:pP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          </w:t>
      </w:r>
    </w:p>
    <w:p>
      <w:pPr>
        <w:ind w:firstLine="480"/>
        <w:rPr>
          <w:rFonts w:ascii="Times New Roman" w:hAnsi="Times New Roman" w:eastAsia="宋体" w:cs="Times New Roman"/>
          <w:color w:val="auto"/>
          <w:highlight w:val="none"/>
        </w:rPr>
      </w:pPr>
    </w:p>
    <w:p>
      <w:pPr>
        <w:spacing w:line="600" w:lineRule="exact"/>
        <w:ind w:firstLine="1928" w:firstLineChars="600"/>
        <w:rPr>
          <w:rFonts w:hint="eastAsia" w:ascii="Times New Roman" w:hAnsi="Times New Roman" w:eastAsia="宋体" w:cs="Times New Roman"/>
          <w:b/>
          <w:bCs/>
          <w:color w:val="auto"/>
          <w:sz w:val="32"/>
          <w:highlight w:val="none"/>
        </w:rPr>
      </w:pPr>
      <w:r>
        <w:rPr>
          <w:rFonts w:ascii="Times New Roman" w:hAnsi="Times New Roman" w:eastAsia="宋体" w:cs="Times New Roman"/>
          <w:b/>
          <w:bCs/>
          <w:color w:val="auto"/>
          <w:sz w:val="32"/>
          <w:highlight w:val="none"/>
        </w:rPr>
        <w:t>建设单位：</w:t>
      </w:r>
      <w:r>
        <w:rPr>
          <w:rFonts w:hint="eastAsia" w:ascii="Times New Roman" w:hAnsi="Times New Roman" w:eastAsia="宋体" w:cs="Times New Roman"/>
          <w:b/>
          <w:bCs/>
          <w:color w:val="auto"/>
          <w:sz w:val="32"/>
          <w:highlight w:val="none"/>
        </w:rPr>
        <w:t>三江县鑫贝矿业有限公司</w:t>
      </w:r>
    </w:p>
    <w:p>
      <w:pPr>
        <w:spacing w:line="600" w:lineRule="exact"/>
        <w:ind w:firstLine="1928" w:firstLineChars="600"/>
        <w:rPr>
          <w:rFonts w:ascii="Times New Roman" w:hAnsi="Times New Roman" w:eastAsia="宋体" w:cs="Times New Roman"/>
          <w:b/>
          <w:bCs/>
          <w:color w:val="auto"/>
          <w:sz w:val="32"/>
          <w:highlight w:val="none"/>
        </w:rPr>
      </w:pPr>
      <w:r>
        <w:rPr>
          <w:rFonts w:ascii="Times New Roman" w:hAnsi="Times New Roman" w:eastAsia="宋体" w:cs="Times New Roman"/>
          <w:b/>
          <w:bCs/>
          <w:color w:val="auto"/>
          <w:sz w:val="32"/>
          <w:highlight w:val="none"/>
        </w:rPr>
        <w:t>评价单位：</w:t>
      </w:r>
      <w:r>
        <w:rPr>
          <w:rFonts w:hint="eastAsia" w:ascii="Times New Roman" w:hAnsi="Times New Roman" w:eastAsia="宋体" w:cs="Times New Roman"/>
          <w:b/>
          <w:bCs/>
          <w:color w:val="auto"/>
          <w:sz w:val="32"/>
          <w:highlight w:val="none"/>
        </w:rPr>
        <w:t>广西桂寰环保有限公司</w:t>
      </w:r>
    </w:p>
    <w:p>
      <w:pPr>
        <w:spacing w:line="600" w:lineRule="exact"/>
        <w:ind w:firstLine="1928" w:firstLineChars="600"/>
        <w:rPr>
          <w:rFonts w:ascii="Times New Roman" w:hAnsi="Times New Roman" w:eastAsia="宋体" w:cs="Times New Roman"/>
          <w:b/>
          <w:bCs/>
          <w:color w:val="auto"/>
          <w:sz w:val="32"/>
          <w:highlight w:val="none"/>
        </w:rPr>
        <w:sectPr>
          <w:headerReference r:id="rId4" w:type="first"/>
          <w:footerReference r:id="rId7" w:type="first"/>
          <w:footerReference r:id="rId5" w:type="default"/>
          <w:headerReference r:id="rId3" w:type="even"/>
          <w:footerReference r:id="rId6" w:type="even"/>
          <w:pgSz w:w="11906" w:h="16838"/>
          <w:pgMar w:top="1440" w:right="1440" w:bottom="1440" w:left="1440" w:header="850" w:footer="992" w:gutter="0"/>
          <w:pgBorders>
            <w:top w:val="none" w:sz="0" w:space="0"/>
            <w:left w:val="none" w:sz="0" w:space="0"/>
            <w:bottom w:val="none" w:sz="0" w:space="0"/>
            <w:right w:val="none" w:sz="0" w:space="0"/>
          </w:pgBorders>
          <w:pgNumType w:start="1"/>
          <w:cols w:space="720" w:num="1"/>
          <w:docGrid w:type="lines" w:linePitch="317" w:charSpace="0"/>
        </w:sectPr>
      </w:pPr>
      <w:r>
        <w:rPr>
          <w:rFonts w:ascii="Times New Roman" w:hAnsi="Times New Roman" w:eastAsia="宋体" w:cs="Times New Roman"/>
          <w:b/>
          <w:bCs/>
          <w:color w:val="auto"/>
          <w:sz w:val="32"/>
          <w:highlight w:val="none"/>
        </w:rPr>
        <w:t>编制时间：2019年</w:t>
      </w:r>
      <w:r>
        <w:rPr>
          <w:rFonts w:hint="eastAsia" w:cs="Times New Roman"/>
          <w:b/>
          <w:bCs/>
          <w:color w:val="auto"/>
          <w:sz w:val="32"/>
          <w:highlight w:val="none"/>
          <w:lang w:val="en-US" w:eastAsia="zh-CN"/>
        </w:rPr>
        <w:t>9</w:t>
      </w:r>
      <w:r>
        <w:rPr>
          <w:rFonts w:ascii="Times New Roman" w:hAnsi="Times New Roman" w:eastAsia="宋体" w:cs="Times New Roman"/>
          <w:b/>
          <w:bCs/>
          <w:color w:val="auto"/>
          <w:sz w:val="32"/>
          <w:highlight w:val="none"/>
        </w:rPr>
        <w:t>月</w:t>
      </w:r>
    </w:p>
    <w:p>
      <w:pPr>
        <w:spacing w:line="600" w:lineRule="exact"/>
        <w:ind w:firstLine="1928" w:firstLineChars="600"/>
        <w:rPr>
          <w:rFonts w:ascii="Times New Roman" w:hAnsi="Times New Roman" w:eastAsia="宋体" w:cs="Times New Roman"/>
          <w:b/>
          <w:bCs/>
          <w:color w:val="auto"/>
          <w:sz w:val="32"/>
          <w:highlight w:val="none"/>
        </w:rPr>
        <w:sectPr>
          <w:pgSz w:w="11906" w:h="16838"/>
          <w:pgMar w:top="1440" w:right="1440" w:bottom="1440" w:left="1440" w:header="850" w:footer="992" w:gutter="0"/>
          <w:pgBorders>
            <w:top w:val="none" w:sz="0" w:space="0"/>
            <w:left w:val="none" w:sz="0" w:space="0"/>
            <w:bottom w:val="none" w:sz="0" w:space="0"/>
            <w:right w:val="none" w:sz="0" w:space="0"/>
          </w:pgBorders>
          <w:pgNumType w:start="1"/>
          <w:cols w:space="720" w:num="1"/>
          <w:docGrid w:type="lines" w:linePitch="317" w:charSpace="0"/>
        </w:sectPr>
      </w:pPr>
    </w:p>
    <w:p>
      <w:pPr>
        <w:ind w:firstLine="0" w:firstLineChars="0"/>
        <w:jc w:val="center"/>
        <w:rPr>
          <w:rFonts w:ascii="Times New Roman" w:hAnsi="Times New Roman" w:eastAsia="宋体" w:cs="Times New Roman"/>
          <w:color w:val="auto"/>
          <w:szCs w:val="24"/>
          <w:highlight w:val="none"/>
        </w:rPr>
      </w:pPr>
      <w:r>
        <w:rPr>
          <w:rFonts w:ascii="Times New Roman" w:hAnsi="Times New Roman" w:eastAsia="宋体" w:cs="Times New Roman"/>
          <w:b/>
          <w:bCs/>
          <w:color w:val="auto"/>
          <w:szCs w:val="24"/>
          <w:highlight w:val="none"/>
        </w:rPr>
        <w:t>项目现场图片</w:t>
      </w:r>
    </w:p>
    <w:tbl>
      <w:tblPr>
        <w:tblStyle w:val="48"/>
        <w:tblW w:w="9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4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4536" w:type="dxa"/>
            <w:noWrap w:val="0"/>
            <w:vAlign w:val="top"/>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drawing>
                <wp:inline distT="0" distB="0" distL="114300" distR="114300">
                  <wp:extent cx="2743200" cy="2618740"/>
                  <wp:effectExtent l="0" t="0" r="0" b="10160"/>
                  <wp:docPr id="47" name="图片 47" descr="c4fa165a262911b56463c6af674b5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4fa165a262911b56463c6af674b5fe"/>
                          <pic:cNvPicPr>
                            <a:picLocks noChangeAspect="1"/>
                          </pic:cNvPicPr>
                        </pic:nvPicPr>
                        <pic:blipFill>
                          <a:blip r:embed="rId26"/>
                          <a:stretch>
                            <a:fillRect/>
                          </a:stretch>
                        </pic:blipFill>
                        <pic:spPr>
                          <a:xfrm>
                            <a:off x="0" y="0"/>
                            <a:ext cx="2743200" cy="2618740"/>
                          </a:xfrm>
                          <a:prstGeom prst="rect">
                            <a:avLst/>
                          </a:prstGeom>
                        </pic:spPr>
                      </pic:pic>
                    </a:graphicData>
                  </a:graphic>
                </wp:inline>
              </w:drawing>
            </w:r>
          </w:p>
        </w:tc>
        <w:tc>
          <w:tcPr>
            <w:tcW w:w="4535" w:type="dxa"/>
            <w:noWrap w:val="0"/>
            <w:vAlign w:val="top"/>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drawing>
                <wp:inline distT="0" distB="0" distL="114300" distR="114300">
                  <wp:extent cx="2710180" cy="2604135"/>
                  <wp:effectExtent l="0" t="0" r="13970" b="5715"/>
                  <wp:docPr id="49" name="图片 49" descr="IMG_20190929_14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20190929_143824"/>
                          <pic:cNvPicPr>
                            <a:picLocks noChangeAspect="1"/>
                          </pic:cNvPicPr>
                        </pic:nvPicPr>
                        <pic:blipFill>
                          <a:blip r:embed="rId27"/>
                          <a:stretch>
                            <a:fillRect/>
                          </a:stretch>
                        </pic:blipFill>
                        <pic:spPr>
                          <a:xfrm>
                            <a:off x="0" y="0"/>
                            <a:ext cx="2710180" cy="26041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4536" w:type="dxa"/>
            <w:noWrap w:val="0"/>
            <w:vAlign w:val="center"/>
          </w:tcPr>
          <w:p>
            <w:pPr>
              <w:adjustRightInd w:val="0"/>
              <w:snapToGrid w:val="0"/>
              <w:spacing w:line="240" w:lineRule="auto"/>
              <w:ind w:firstLine="0" w:firstLineChars="0"/>
              <w:jc w:val="center"/>
              <w:rPr>
                <w:rFonts w:hint="eastAsia" w:ascii="Times New Roman" w:hAnsi="Times New Roman" w:eastAsia="宋体"/>
                <w:color w:val="auto"/>
                <w:sz w:val="21"/>
                <w:highlight w:val="none"/>
                <w:lang w:eastAsia="zh-CN"/>
              </w:rPr>
            </w:pPr>
            <w:r>
              <w:rPr>
                <w:rFonts w:hint="eastAsia" w:ascii="Times New Roman" w:hAnsi="Times New Roman" w:eastAsia="宋体"/>
                <w:b/>
                <w:color w:val="auto"/>
                <w:sz w:val="21"/>
                <w:highlight w:val="none"/>
              </w:rPr>
              <w:t>原海江采石场</w:t>
            </w:r>
            <w:r>
              <w:rPr>
                <w:rFonts w:hint="eastAsia"/>
                <w:b/>
                <w:color w:val="auto"/>
                <w:sz w:val="21"/>
                <w:highlight w:val="none"/>
                <w:lang w:val="en-US" w:eastAsia="zh-CN"/>
              </w:rPr>
              <w:t>鸟瞰图</w:t>
            </w:r>
          </w:p>
        </w:tc>
        <w:tc>
          <w:tcPr>
            <w:tcW w:w="4535" w:type="dxa"/>
            <w:noWrap w:val="0"/>
            <w:vAlign w:val="center"/>
          </w:tcPr>
          <w:p>
            <w:pPr>
              <w:adjustRightInd w:val="0"/>
              <w:snapToGrid w:val="0"/>
              <w:spacing w:line="240" w:lineRule="auto"/>
              <w:ind w:firstLine="0" w:firstLineChars="0"/>
              <w:jc w:val="center"/>
              <w:rPr>
                <w:rFonts w:hint="default" w:ascii="Times New Roman" w:hAnsi="Times New Roman" w:eastAsia="宋体"/>
                <w:color w:val="auto"/>
                <w:sz w:val="21"/>
                <w:highlight w:val="none"/>
                <w:lang w:val="en-US"/>
              </w:rPr>
            </w:pPr>
            <w:r>
              <w:rPr>
                <w:rFonts w:hint="eastAsia" w:ascii="Times New Roman" w:hAnsi="Times New Roman" w:eastAsia="宋体"/>
                <w:b/>
                <w:color w:val="auto"/>
                <w:sz w:val="21"/>
                <w:highlight w:val="none"/>
              </w:rPr>
              <w:t>原海江采石场</w:t>
            </w:r>
            <w:r>
              <w:rPr>
                <w:rFonts w:hint="eastAsia"/>
                <w:b/>
                <w:color w:val="auto"/>
                <w:sz w:val="21"/>
                <w:highlight w:val="none"/>
                <w:lang w:val="en-US" w:eastAsia="zh-CN"/>
              </w:rPr>
              <w:t>泄洪通道施工照片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4536" w:type="dxa"/>
            <w:noWrap w:val="0"/>
            <w:vAlign w:val="top"/>
          </w:tcPr>
          <w:p>
            <w:pPr>
              <w:adjustRightInd w:val="0"/>
              <w:snapToGrid w:val="0"/>
              <w:spacing w:line="240" w:lineRule="auto"/>
              <w:ind w:firstLine="0" w:firstLineChars="0"/>
              <w:jc w:val="center"/>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drawing>
                <wp:inline distT="0" distB="0" distL="114300" distR="114300">
                  <wp:extent cx="2597150" cy="2663825"/>
                  <wp:effectExtent l="0" t="0" r="12700" b="3175"/>
                  <wp:docPr id="25" name="图片 80" descr="IMG_20190820_14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0" descr="IMG_20190820_144600"/>
                          <pic:cNvPicPr>
                            <a:picLocks noChangeAspect="1"/>
                          </pic:cNvPicPr>
                        </pic:nvPicPr>
                        <pic:blipFill>
                          <a:blip r:embed="rId28"/>
                          <a:stretch>
                            <a:fillRect/>
                          </a:stretch>
                        </pic:blipFill>
                        <pic:spPr>
                          <a:xfrm>
                            <a:off x="0" y="0"/>
                            <a:ext cx="2597150" cy="2663825"/>
                          </a:xfrm>
                          <a:prstGeom prst="rect">
                            <a:avLst/>
                          </a:prstGeom>
                          <a:noFill/>
                          <a:ln>
                            <a:noFill/>
                          </a:ln>
                        </pic:spPr>
                      </pic:pic>
                    </a:graphicData>
                  </a:graphic>
                </wp:inline>
              </w:drawing>
            </w:r>
          </w:p>
        </w:tc>
        <w:tc>
          <w:tcPr>
            <w:tcW w:w="4535" w:type="dxa"/>
            <w:noWrap w:val="0"/>
            <w:vAlign w:val="top"/>
          </w:tcPr>
          <w:p>
            <w:pPr>
              <w:adjustRightInd w:val="0"/>
              <w:snapToGrid w:val="0"/>
              <w:spacing w:line="240" w:lineRule="auto"/>
              <w:ind w:firstLine="0" w:firstLineChars="0"/>
              <w:jc w:val="center"/>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drawing>
                <wp:inline distT="0" distB="0" distL="114300" distR="114300">
                  <wp:extent cx="2559050" cy="2663825"/>
                  <wp:effectExtent l="0" t="0" r="12700" b="3175"/>
                  <wp:docPr id="26" name="图片 81" descr="微信图片_2019090410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1" descr="微信图片_20190904105912"/>
                          <pic:cNvPicPr>
                            <a:picLocks noChangeAspect="1"/>
                          </pic:cNvPicPr>
                        </pic:nvPicPr>
                        <pic:blipFill>
                          <a:blip r:embed="rId29"/>
                          <a:stretch>
                            <a:fillRect/>
                          </a:stretch>
                        </pic:blipFill>
                        <pic:spPr>
                          <a:xfrm>
                            <a:off x="0" y="0"/>
                            <a:ext cx="2559050" cy="2663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4536" w:type="dxa"/>
            <w:noWrap w:val="0"/>
            <w:vAlign w:val="center"/>
          </w:tcPr>
          <w:p>
            <w:pPr>
              <w:adjustRightInd w:val="0"/>
              <w:snapToGrid w:val="0"/>
              <w:spacing w:line="240" w:lineRule="auto"/>
              <w:ind w:firstLine="0" w:firstLineChars="0"/>
              <w:jc w:val="center"/>
              <w:rPr>
                <w:rFonts w:hint="eastAsia" w:ascii="Times New Roman" w:hAnsi="Times New Roman" w:eastAsia="宋体"/>
                <w:color w:val="auto"/>
                <w:sz w:val="21"/>
                <w:highlight w:val="none"/>
              </w:rPr>
            </w:pPr>
            <w:r>
              <w:rPr>
                <w:rFonts w:hint="eastAsia" w:ascii="Times New Roman" w:hAnsi="Times New Roman" w:eastAsia="宋体"/>
                <w:b/>
                <w:color w:val="auto"/>
                <w:sz w:val="21"/>
                <w:highlight w:val="none"/>
              </w:rPr>
              <w:t>原海江采石场临时排土场</w:t>
            </w:r>
          </w:p>
        </w:tc>
        <w:tc>
          <w:tcPr>
            <w:tcW w:w="4535" w:type="dxa"/>
            <w:noWrap w:val="0"/>
            <w:vAlign w:val="center"/>
          </w:tcPr>
          <w:p>
            <w:pPr>
              <w:adjustRightInd w:val="0"/>
              <w:snapToGrid w:val="0"/>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b/>
                <w:color w:val="auto"/>
                <w:sz w:val="21"/>
                <w:highlight w:val="none"/>
              </w:rPr>
              <w:t>项目负责人现场踏勘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4536" w:type="dxa"/>
            <w:noWrap w:val="0"/>
            <w:vAlign w:val="center"/>
          </w:tcPr>
          <w:p>
            <w:pPr>
              <w:adjustRightInd w:val="0"/>
              <w:snapToGrid w:val="0"/>
              <w:spacing w:line="240" w:lineRule="auto"/>
              <w:ind w:firstLine="0" w:firstLineChars="0"/>
              <w:jc w:val="center"/>
              <w:rPr>
                <w:rFonts w:hint="eastAsia" w:ascii="Times New Roman" w:hAnsi="Times New Roman" w:eastAsia="宋体"/>
                <w:b/>
                <w:color w:val="auto"/>
                <w:sz w:val="21"/>
                <w:highlight w:val="none"/>
              </w:rPr>
            </w:pPr>
            <w:r>
              <w:rPr>
                <w:rFonts w:hint="eastAsia" w:ascii="Times New Roman" w:hAnsi="Times New Roman" w:eastAsia="宋体"/>
                <w:b/>
                <w:color w:val="auto"/>
                <w:sz w:val="21"/>
                <w:highlight w:val="none"/>
              </w:rPr>
              <w:drawing>
                <wp:inline distT="0" distB="0" distL="114300" distR="114300">
                  <wp:extent cx="2625725" cy="2663825"/>
                  <wp:effectExtent l="0" t="0" r="3175" b="3175"/>
                  <wp:docPr id="27" name="图片 373" descr="IMG_20190820_14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73" descr="IMG_20190820_143704"/>
                          <pic:cNvPicPr>
                            <a:picLocks noChangeAspect="1"/>
                          </pic:cNvPicPr>
                        </pic:nvPicPr>
                        <pic:blipFill>
                          <a:blip r:embed="rId30"/>
                          <a:stretch>
                            <a:fillRect/>
                          </a:stretch>
                        </pic:blipFill>
                        <pic:spPr>
                          <a:xfrm>
                            <a:off x="0" y="0"/>
                            <a:ext cx="2625725" cy="2663825"/>
                          </a:xfrm>
                          <a:prstGeom prst="rect">
                            <a:avLst/>
                          </a:prstGeom>
                          <a:noFill/>
                          <a:ln>
                            <a:noFill/>
                          </a:ln>
                        </pic:spPr>
                      </pic:pic>
                    </a:graphicData>
                  </a:graphic>
                </wp:inline>
              </w:drawing>
            </w:r>
          </w:p>
        </w:tc>
        <w:tc>
          <w:tcPr>
            <w:tcW w:w="4535" w:type="dxa"/>
            <w:noWrap w:val="0"/>
            <w:vAlign w:val="center"/>
          </w:tcPr>
          <w:p>
            <w:pPr>
              <w:adjustRightInd w:val="0"/>
              <w:snapToGrid w:val="0"/>
              <w:spacing w:line="240" w:lineRule="auto"/>
              <w:ind w:firstLine="0" w:firstLineChars="0"/>
              <w:jc w:val="center"/>
              <w:rPr>
                <w:rFonts w:hint="eastAsia" w:ascii="Times New Roman" w:hAnsi="Times New Roman" w:eastAsia="宋体"/>
                <w:b/>
                <w:color w:val="auto"/>
                <w:sz w:val="21"/>
                <w:highlight w:val="none"/>
              </w:rPr>
            </w:pPr>
            <w:r>
              <w:rPr>
                <w:rFonts w:hint="eastAsia" w:ascii="Times New Roman" w:hAnsi="Times New Roman" w:eastAsia="宋体"/>
                <w:b/>
                <w:color w:val="auto"/>
                <w:sz w:val="21"/>
                <w:highlight w:val="none"/>
              </w:rPr>
              <w:drawing>
                <wp:inline distT="0" distB="0" distL="114300" distR="114300">
                  <wp:extent cx="2549525" cy="2663825"/>
                  <wp:effectExtent l="0" t="0" r="3175" b="3175"/>
                  <wp:docPr id="28" name="图片 82" descr="微信图片_2019090410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2" descr="微信图片_20190904105955"/>
                          <pic:cNvPicPr>
                            <a:picLocks noChangeAspect="1"/>
                          </pic:cNvPicPr>
                        </pic:nvPicPr>
                        <pic:blipFill>
                          <a:blip r:embed="rId31"/>
                          <a:stretch>
                            <a:fillRect/>
                          </a:stretch>
                        </pic:blipFill>
                        <pic:spPr>
                          <a:xfrm>
                            <a:off x="0" y="0"/>
                            <a:ext cx="2549525" cy="2663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4536" w:type="dxa"/>
            <w:noWrap w:val="0"/>
            <w:vAlign w:val="center"/>
          </w:tcPr>
          <w:p>
            <w:pPr>
              <w:adjustRightInd w:val="0"/>
              <w:snapToGrid w:val="0"/>
              <w:spacing w:line="240" w:lineRule="auto"/>
              <w:ind w:firstLine="0" w:firstLineChars="0"/>
              <w:jc w:val="center"/>
              <w:rPr>
                <w:rFonts w:hint="eastAsia" w:ascii="Times New Roman" w:hAnsi="Times New Roman" w:eastAsia="宋体"/>
                <w:b/>
                <w:color w:val="auto"/>
                <w:sz w:val="21"/>
                <w:highlight w:val="none"/>
              </w:rPr>
            </w:pPr>
            <w:r>
              <w:rPr>
                <w:rFonts w:hint="eastAsia" w:ascii="Times New Roman" w:hAnsi="Times New Roman" w:eastAsia="宋体"/>
                <w:b/>
                <w:color w:val="auto"/>
                <w:sz w:val="21"/>
                <w:highlight w:val="none"/>
              </w:rPr>
              <w:t>原海江采石场洗砂区</w:t>
            </w:r>
          </w:p>
        </w:tc>
        <w:tc>
          <w:tcPr>
            <w:tcW w:w="4535" w:type="dxa"/>
            <w:noWrap w:val="0"/>
            <w:vAlign w:val="center"/>
          </w:tcPr>
          <w:p>
            <w:pPr>
              <w:adjustRightInd w:val="0"/>
              <w:snapToGrid w:val="0"/>
              <w:spacing w:line="240" w:lineRule="auto"/>
              <w:ind w:firstLine="0" w:firstLineChars="0"/>
              <w:jc w:val="center"/>
              <w:rPr>
                <w:rFonts w:ascii="Times New Roman" w:hAnsi="Times New Roman" w:eastAsia="宋体"/>
                <w:b/>
                <w:color w:val="auto"/>
                <w:sz w:val="21"/>
                <w:highlight w:val="none"/>
              </w:rPr>
            </w:pPr>
            <w:r>
              <w:rPr>
                <w:rFonts w:hint="eastAsia" w:ascii="Times New Roman" w:hAnsi="Times New Roman" w:eastAsia="宋体"/>
                <w:b/>
                <w:color w:val="auto"/>
                <w:sz w:val="21"/>
                <w:highlight w:val="none"/>
              </w:rPr>
              <w:t>原海江采石破碎筛分区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4536" w:type="dxa"/>
            <w:noWrap w:val="0"/>
            <w:vAlign w:val="center"/>
          </w:tcPr>
          <w:p>
            <w:pPr>
              <w:adjustRightInd w:val="0"/>
              <w:snapToGrid w:val="0"/>
              <w:spacing w:line="240" w:lineRule="auto"/>
              <w:ind w:firstLine="0" w:firstLineChars="0"/>
              <w:jc w:val="center"/>
              <w:rPr>
                <w:rFonts w:hint="eastAsia" w:ascii="Times New Roman" w:hAnsi="Times New Roman" w:eastAsia="宋体"/>
                <w:b/>
                <w:color w:val="auto"/>
                <w:sz w:val="21"/>
                <w:highlight w:val="none"/>
                <w:lang w:eastAsia="zh-CN"/>
              </w:rPr>
            </w:pPr>
            <w:r>
              <w:rPr>
                <w:rFonts w:hint="eastAsia" w:ascii="Times New Roman" w:hAnsi="Times New Roman" w:eastAsia="宋体"/>
                <w:b/>
                <w:color w:val="auto"/>
                <w:sz w:val="21"/>
                <w:highlight w:val="none"/>
                <w:lang w:eastAsia="zh-CN"/>
              </w:rPr>
              <w:drawing>
                <wp:inline distT="0" distB="0" distL="114300" distR="114300">
                  <wp:extent cx="2743200" cy="2532380"/>
                  <wp:effectExtent l="0" t="0" r="0" b="1270"/>
                  <wp:docPr id="46" name="图片 46" descr="b4b396effee9e6c584b113863784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b4b396effee9e6c584b113863784e54"/>
                          <pic:cNvPicPr>
                            <a:picLocks noChangeAspect="1"/>
                          </pic:cNvPicPr>
                        </pic:nvPicPr>
                        <pic:blipFill>
                          <a:blip r:embed="rId32"/>
                          <a:stretch>
                            <a:fillRect/>
                          </a:stretch>
                        </pic:blipFill>
                        <pic:spPr>
                          <a:xfrm>
                            <a:off x="0" y="0"/>
                            <a:ext cx="2743200" cy="2532380"/>
                          </a:xfrm>
                          <a:prstGeom prst="rect">
                            <a:avLst/>
                          </a:prstGeom>
                        </pic:spPr>
                      </pic:pic>
                    </a:graphicData>
                  </a:graphic>
                </wp:inline>
              </w:drawing>
            </w:r>
          </w:p>
        </w:tc>
        <w:tc>
          <w:tcPr>
            <w:tcW w:w="4535" w:type="dxa"/>
            <w:noWrap w:val="0"/>
            <w:vAlign w:val="center"/>
          </w:tcPr>
          <w:p>
            <w:pPr>
              <w:adjustRightInd w:val="0"/>
              <w:snapToGrid w:val="0"/>
              <w:spacing w:line="240" w:lineRule="auto"/>
              <w:ind w:firstLine="0" w:firstLineChars="0"/>
              <w:jc w:val="center"/>
              <w:rPr>
                <w:rFonts w:hint="eastAsia" w:ascii="Times New Roman" w:hAnsi="Times New Roman" w:eastAsia="宋体"/>
                <w:b/>
                <w:color w:val="auto"/>
                <w:sz w:val="21"/>
                <w:highlight w:val="none"/>
              </w:rPr>
            </w:pPr>
            <w:r>
              <w:rPr>
                <w:rFonts w:hint="eastAsia" w:ascii="Times New Roman" w:hAnsi="Times New Roman" w:eastAsia="宋体"/>
                <w:b/>
                <w:color w:val="auto"/>
                <w:sz w:val="21"/>
                <w:highlight w:val="none"/>
              </w:rPr>
              <w:drawing>
                <wp:inline distT="0" distB="0" distL="114300" distR="114300">
                  <wp:extent cx="2511425" cy="2549525"/>
                  <wp:effectExtent l="0" t="0" r="3175" b="3175"/>
                  <wp:docPr id="30" name="图片 359" descr="IMG_20190820_1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59" descr="IMG_20190820_141826"/>
                          <pic:cNvPicPr>
                            <a:picLocks noChangeAspect="1"/>
                          </pic:cNvPicPr>
                        </pic:nvPicPr>
                        <pic:blipFill>
                          <a:blip r:embed="rId33"/>
                          <a:stretch>
                            <a:fillRect/>
                          </a:stretch>
                        </pic:blipFill>
                        <pic:spPr>
                          <a:xfrm>
                            <a:off x="0" y="0"/>
                            <a:ext cx="2511425" cy="25495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4536" w:type="dxa"/>
            <w:noWrap w:val="0"/>
            <w:vAlign w:val="center"/>
          </w:tcPr>
          <w:p>
            <w:pPr>
              <w:adjustRightInd w:val="0"/>
              <w:snapToGrid w:val="0"/>
              <w:spacing w:line="240" w:lineRule="auto"/>
              <w:ind w:firstLine="0" w:firstLineChars="0"/>
              <w:jc w:val="center"/>
              <w:rPr>
                <w:rFonts w:ascii="Times New Roman" w:hAnsi="Times New Roman" w:eastAsia="宋体"/>
                <w:b/>
                <w:color w:val="auto"/>
                <w:sz w:val="21"/>
                <w:highlight w:val="none"/>
              </w:rPr>
            </w:pPr>
            <w:r>
              <w:rPr>
                <w:rFonts w:hint="eastAsia" w:ascii="Times New Roman" w:hAnsi="Times New Roman" w:eastAsia="宋体"/>
                <w:b/>
                <w:color w:val="auto"/>
                <w:sz w:val="21"/>
                <w:highlight w:val="none"/>
              </w:rPr>
              <w:t>原宏保兴采石场</w:t>
            </w:r>
            <w:r>
              <w:rPr>
                <w:rFonts w:hint="eastAsia"/>
                <w:b/>
                <w:color w:val="auto"/>
                <w:sz w:val="21"/>
                <w:highlight w:val="none"/>
                <w:lang w:val="en-US" w:eastAsia="zh-CN"/>
              </w:rPr>
              <w:t>鸟瞰图</w:t>
            </w:r>
          </w:p>
        </w:tc>
        <w:tc>
          <w:tcPr>
            <w:tcW w:w="4535" w:type="dxa"/>
            <w:noWrap w:val="0"/>
            <w:vAlign w:val="center"/>
          </w:tcPr>
          <w:p>
            <w:pPr>
              <w:adjustRightInd w:val="0"/>
              <w:snapToGrid w:val="0"/>
              <w:spacing w:line="240" w:lineRule="auto"/>
              <w:ind w:firstLine="0" w:firstLineChars="0"/>
              <w:jc w:val="center"/>
              <w:rPr>
                <w:rFonts w:ascii="Times New Roman" w:hAnsi="Times New Roman" w:eastAsia="宋体"/>
                <w:b/>
                <w:color w:val="auto"/>
                <w:sz w:val="21"/>
                <w:highlight w:val="none"/>
              </w:rPr>
            </w:pPr>
            <w:r>
              <w:rPr>
                <w:rFonts w:hint="eastAsia" w:ascii="Times New Roman" w:hAnsi="Times New Roman" w:eastAsia="宋体"/>
                <w:b/>
                <w:color w:val="auto"/>
                <w:sz w:val="21"/>
                <w:highlight w:val="none"/>
              </w:rPr>
              <w:t>原宏保兴采石场排土场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4536" w:type="dxa"/>
            <w:noWrap w:val="0"/>
            <w:vAlign w:val="center"/>
          </w:tcPr>
          <w:p>
            <w:pPr>
              <w:adjustRightInd w:val="0"/>
              <w:snapToGrid w:val="0"/>
              <w:spacing w:line="240" w:lineRule="auto"/>
              <w:ind w:firstLine="0" w:firstLineChars="0"/>
              <w:jc w:val="center"/>
              <w:rPr>
                <w:rFonts w:hint="eastAsia" w:ascii="Times New Roman" w:hAnsi="Times New Roman" w:eastAsia="宋体"/>
                <w:b/>
                <w:color w:val="auto"/>
                <w:sz w:val="21"/>
                <w:highlight w:val="none"/>
              </w:rPr>
            </w:pPr>
            <w:r>
              <w:rPr>
                <w:rFonts w:hint="eastAsia" w:ascii="Times New Roman" w:hAnsi="Times New Roman" w:eastAsia="宋体"/>
                <w:b/>
                <w:color w:val="auto"/>
                <w:sz w:val="21"/>
                <w:highlight w:val="none"/>
              </w:rPr>
              <w:drawing>
                <wp:inline distT="0" distB="0" distL="114300" distR="114300">
                  <wp:extent cx="2558415" cy="2663825"/>
                  <wp:effectExtent l="0" t="0" r="13335" b="3175"/>
                  <wp:docPr id="31" name="图片 360" descr="IMG_20190820_14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60" descr="IMG_20190820_142127"/>
                          <pic:cNvPicPr>
                            <a:picLocks noChangeAspect="1"/>
                          </pic:cNvPicPr>
                        </pic:nvPicPr>
                        <pic:blipFill>
                          <a:blip r:embed="rId34"/>
                          <a:stretch>
                            <a:fillRect/>
                          </a:stretch>
                        </pic:blipFill>
                        <pic:spPr>
                          <a:xfrm>
                            <a:off x="0" y="0"/>
                            <a:ext cx="2558415" cy="2663825"/>
                          </a:xfrm>
                          <a:prstGeom prst="rect">
                            <a:avLst/>
                          </a:prstGeom>
                          <a:noFill/>
                          <a:ln>
                            <a:noFill/>
                          </a:ln>
                        </pic:spPr>
                      </pic:pic>
                    </a:graphicData>
                  </a:graphic>
                </wp:inline>
              </w:drawing>
            </w:r>
          </w:p>
        </w:tc>
        <w:tc>
          <w:tcPr>
            <w:tcW w:w="4535" w:type="dxa"/>
            <w:noWrap w:val="0"/>
            <w:vAlign w:val="center"/>
          </w:tcPr>
          <w:p>
            <w:pPr>
              <w:adjustRightInd w:val="0"/>
              <w:snapToGrid w:val="0"/>
              <w:spacing w:line="240" w:lineRule="auto"/>
              <w:ind w:firstLine="0" w:firstLineChars="0"/>
              <w:jc w:val="center"/>
              <w:rPr>
                <w:rFonts w:hint="eastAsia" w:ascii="Times New Roman" w:hAnsi="Times New Roman" w:eastAsia="宋体"/>
                <w:b/>
                <w:color w:val="auto"/>
                <w:sz w:val="21"/>
                <w:highlight w:val="none"/>
              </w:rPr>
            </w:pPr>
            <w:r>
              <w:rPr>
                <w:rFonts w:hint="eastAsia" w:ascii="Times New Roman" w:hAnsi="Times New Roman" w:eastAsia="宋体"/>
                <w:b/>
                <w:color w:val="auto"/>
                <w:sz w:val="21"/>
                <w:highlight w:val="none"/>
              </w:rPr>
              <w:drawing>
                <wp:inline distT="0" distB="0" distL="114300" distR="114300">
                  <wp:extent cx="2530475" cy="2663825"/>
                  <wp:effectExtent l="0" t="0" r="3175" b="3175"/>
                  <wp:docPr id="32" name="图片 368" descr="IMG_20190820_14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68" descr="IMG_20190820_141246"/>
                          <pic:cNvPicPr>
                            <a:picLocks noChangeAspect="1"/>
                          </pic:cNvPicPr>
                        </pic:nvPicPr>
                        <pic:blipFill>
                          <a:blip r:embed="rId35"/>
                          <a:stretch>
                            <a:fillRect/>
                          </a:stretch>
                        </pic:blipFill>
                        <pic:spPr>
                          <a:xfrm>
                            <a:off x="0" y="0"/>
                            <a:ext cx="2530475" cy="2663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4536" w:type="dxa"/>
            <w:noWrap w:val="0"/>
            <w:vAlign w:val="center"/>
          </w:tcPr>
          <w:p>
            <w:pPr>
              <w:adjustRightInd w:val="0"/>
              <w:snapToGrid w:val="0"/>
              <w:spacing w:line="240" w:lineRule="auto"/>
              <w:ind w:firstLine="0" w:firstLineChars="0"/>
              <w:jc w:val="center"/>
              <w:rPr>
                <w:rFonts w:ascii="Times New Roman" w:hAnsi="Times New Roman" w:eastAsia="宋体"/>
                <w:b/>
                <w:color w:val="auto"/>
                <w:sz w:val="21"/>
                <w:highlight w:val="none"/>
              </w:rPr>
            </w:pPr>
            <w:r>
              <w:rPr>
                <w:rFonts w:hint="eastAsia" w:ascii="Times New Roman" w:hAnsi="Times New Roman" w:eastAsia="宋体"/>
                <w:b/>
                <w:color w:val="auto"/>
                <w:sz w:val="21"/>
                <w:highlight w:val="none"/>
              </w:rPr>
              <w:t>原宏保兴采石场破碎筛分生产线</w:t>
            </w:r>
          </w:p>
        </w:tc>
        <w:tc>
          <w:tcPr>
            <w:tcW w:w="4535" w:type="dxa"/>
            <w:noWrap w:val="0"/>
            <w:vAlign w:val="center"/>
          </w:tcPr>
          <w:p>
            <w:pPr>
              <w:adjustRightInd w:val="0"/>
              <w:snapToGrid w:val="0"/>
              <w:spacing w:line="240" w:lineRule="auto"/>
              <w:ind w:firstLine="0" w:firstLineChars="0"/>
              <w:jc w:val="center"/>
              <w:rPr>
                <w:rFonts w:hint="eastAsia" w:ascii="Times New Roman" w:hAnsi="Times New Roman" w:eastAsia="宋体"/>
                <w:b/>
                <w:color w:val="auto"/>
                <w:sz w:val="21"/>
                <w:highlight w:val="none"/>
              </w:rPr>
            </w:pPr>
            <w:r>
              <w:rPr>
                <w:rFonts w:hint="eastAsia" w:ascii="Times New Roman" w:hAnsi="Times New Roman" w:eastAsia="宋体"/>
                <w:b/>
                <w:color w:val="auto"/>
                <w:sz w:val="21"/>
                <w:highlight w:val="none"/>
              </w:rPr>
              <w:t>原宏保兴采石场柴油储罐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4536" w:type="dxa"/>
            <w:noWrap w:val="0"/>
            <w:vAlign w:val="center"/>
          </w:tcPr>
          <w:p>
            <w:pPr>
              <w:adjustRightInd w:val="0"/>
              <w:snapToGrid w:val="0"/>
              <w:spacing w:line="240" w:lineRule="auto"/>
              <w:ind w:firstLine="0" w:firstLineChars="0"/>
              <w:jc w:val="center"/>
              <w:rPr>
                <w:rFonts w:hint="eastAsia" w:ascii="Times New Roman" w:hAnsi="Times New Roman" w:eastAsia="宋体"/>
                <w:b/>
                <w:color w:val="auto"/>
                <w:sz w:val="21"/>
                <w:highlight w:val="none"/>
              </w:rPr>
            </w:pPr>
            <w:r>
              <w:rPr>
                <w:rFonts w:hint="eastAsia" w:ascii="Times New Roman" w:hAnsi="Times New Roman" w:eastAsia="宋体"/>
                <w:b/>
                <w:color w:val="auto"/>
                <w:sz w:val="21"/>
                <w:highlight w:val="none"/>
              </w:rPr>
              <w:drawing>
                <wp:inline distT="0" distB="0" distL="114300" distR="114300">
                  <wp:extent cx="2549525" cy="2663825"/>
                  <wp:effectExtent l="0" t="0" r="3175" b="3175"/>
                  <wp:docPr id="33" name="图片 374" descr="IMG_20190820_14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74" descr="IMG_20190820_142302"/>
                          <pic:cNvPicPr>
                            <a:picLocks noChangeAspect="1"/>
                          </pic:cNvPicPr>
                        </pic:nvPicPr>
                        <pic:blipFill>
                          <a:blip r:embed="rId36"/>
                          <a:stretch>
                            <a:fillRect/>
                          </a:stretch>
                        </pic:blipFill>
                        <pic:spPr>
                          <a:xfrm>
                            <a:off x="0" y="0"/>
                            <a:ext cx="2549525" cy="2663825"/>
                          </a:xfrm>
                          <a:prstGeom prst="rect">
                            <a:avLst/>
                          </a:prstGeom>
                          <a:noFill/>
                          <a:ln>
                            <a:noFill/>
                          </a:ln>
                        </pic:spPr>
                      </pic:pic>
                    </a:graphicData>
                  </a:graphic>
                </wp:inline>
              </w:drawing>
            </w:r>
          </w:p>
        </w:tc>
        <w:tc>
          <w:tcPr>
            <w:tcW w:w="4535" w:type="dxa"/>
            <w:noWrap w:val="0"/>
            <w:vAlign w:val="center"/>
          </w:tcPr>
          <w:p>
            <w:pPr>
              <w:adjustRightInd w:val="0"/>
              <w:snapToGrid w:val="0"/>
              <w:spacing w:line="240" w:lineRule="auto"/>
              <w:ind w:firstLine="0" w:firstLineChars="0"/>
              <w:jc w:val="center"/>
              <w:rPr>
                <w:rFonts w:hint="eastAsia" w:ascii="Times New Roman" w:hAnsi="Times New Roman" w:eastAsia="宋体"/>
                <w:b/>
                <w:color w:val="auto"/>
                <w:sz w:val="21"/>
                <w:highlight w:val="none"/>
              </w:rPr>
            </w:pPr>
            <w:r>
              <w:rPr>
                <w:rFonts w:hint="eastAsia" w:ascii="Times New Roman" w:hAnsi="Times New Roman" w:eastAsia="宋体"/>
                <w:b/>
                <w:color w:val="auto"/>
                <w:sz w:val="21"/>
                <w:highlight w:val="none"/>
              </w:rPr>
              <w:drawing>
                <wp:inline distT="0" distB="0" distL="114300" distR="114300">
                  <wp:extent cx="2521585" cy="2663825"/>
                  <wp:effectExtent l="0" t="0" r="12065" b="3175"/>
                  <wp:docPr id="34" name="图片 375" descr="IMG_20190820_14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75" descr="IMG_20190820_141554"/>
                          <pic:cNvPicPr>
                            <a:picLocks noChangeAspect="1"/>
                          </pic:cNvPicPr>
                        </pic:nvPicPr>
                        <pic:blipFill>
                          <a:blip r:embed="rId37"/>
                          <a:stretch>
                            <a:fillRect/>
                          </a:stretch>
                        </pic:blipFill>
                        <pic:spPr>
                          <a:xfrm>
                            <a:off x="0" y="0"/>
                            <a:ext cx="2521585" cy="2663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4536" w:type="dxa"/>
            <w:noWrap w:val="0"/>
            <w:vAlign w:val="center"/>
          </w:tcPr>
          <w:p>
            <w:pPr>
              <w:adjustRightInd w:val="0"/>
              <w:snapToGrid w:val="0"/>
              <w:spacing w:line="240" w:lineRule="auto"/>
              <w:ind w:firstLine="0" w:firstLineChars="0"/>
              <w:jc w:val="center"/>
              <w:rPr>
                <w:rFonts w:hint="eastAsia" w:ascii="Times New Roman" w:hAnsi="Times New Roman" w:eastAsia="宋体"/>
                <w:b/>
                <w:color w:val="auto"/>
                <w:sz w:val="21"/>
                <w:highlight w:val="none"/>
              </w:rPr>
            </w:pPr>
            <w:r>
              <w:rPr>
                <w:rFonts w:hint="eastAsia" w:ascii="Times New Roman" w:hAnsi="Times New Roman" w:eastAsia="宋体"/>
                <w:b/>
                <w:color w:val="auto"/>
                <w:sz w:val="21"/>
                <w:highlight w:val="none"/>
              </w:rPr>
              <w:t>原宏保兴采石场堆料场</w:t>
            </w:r>
          </w:p>
        </w:tc>
        <w:tc>
          <w:tcPr>
            <w:tcW w:w="4535" w:type="dxa"/>
            <w:noWrap w:val="0"/>
            <w:vAlign w:val="center"/>
          </w:tcPr>
          <w:p>
            <w:pPr>
              <w:adjustRightInd w:val="0"/>
              <w:snapToGrid w:val="0"/>
              <w:spacing w:line="240" w:lineRule="auto"/>
              <w:ind w:firstLine="0" w:firstLineChars="0"/>
              <w:jc w:val="center"/>
              <w:rPr>
                <w:rFonts w:ascii="Times New Roman" w:hAnsi="Times New Roman" w:eastAsia="宋体"/>
                <w:b/>
                <w:color w:val="auto"/>
                <w:sz w:val="21"/>
                <w:highlight w:val="none"/>
              </w:rPr>
            </w:pPr>
            <w:r>
              <w:rPr>
                <w:rFonts w:hint="eastAsia" w:ascii="Times New Roman" w:hAnsi="Times New Roman" w:eastAsia="宋体"/>
                <w:b/>
                <w:color w:val="auto"/>
                <w:sz w:val="21"/>
                <w:highlight w:val="none"/>
              </w:rPr>
              <w:t>原宏保兴采石场上山道路</w:t>
            </w:r>
          </w:p>
        </w:tc>
      </w:tr>
    </w:tbl>
    <w:p>
      <w:pPr>
        <w:adjustRightInd w:val="0"/>
        <w:snapToGrid w:val="0"/>
        <w:ind w:firstLine="0" w:firstLineChars="0"/>
        <w:rPr>
          <w:rFonts w:ascii="Times New Roman" w:hAnsi="Times New Roman" w:eastAsia="宋体" w:cs="Times New Roman"/>
          <w:color w:val="auto"/>
          <w:highlight w:val="none"/>
        </w:rPr>
        <w:sectPr>
          <w:headerReference r:id="rId8" w:type="default"/>
          <w:footerReference r:id="rId9" w:type="default"/>
          <w:pgSz w:w="11906" w:h="16838"/>
          <w:pgMar w:top="1440" w:right="1440" w:bottom="1440" w:left="144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lang w:val="en-US" w:eastAsia="zh-CN"/>
        </w:rPr>
        <w:t>三江侗族自治县宏源采石场硅质岩矿年开采加工50万吨砂石料项目技术评审</w:t>
      </w:r>
      <w:r>
        <w:rPr>
          <w:rFonts w:ascii="Times New Roman" w:hAnsi="Times New Roman" w:eastAsia="宋体"/>
          <w:b/>
          <w:bCs/>
          <w:color w:val="auto"/>
          <w:sz w:val="24"/>
          <w:szCs w:val="24"/>
          <w:highlight w:val="none"/>
        </w:rPr>
        <w:t>意见表</w:t>
      </w:r>
    </w:p>
    <w:p>
      <w:pPr>
        <w:rPr>
          <w:rFonts w:ascii="Times New Roman" w:hAnsi="Times New Roman" w:eastAsia="宋体"/>
          <w:color w:val="auto"/>
          <w:highlight w:val="none"/>
        </w:rPr>
      </w:pPr>
    </w:p>
    <w:tbl>
      <w:tblPr>
        <w:tblStyle w:val="49"/>
        <w:tblW w:w="9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5593"/>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序号</w:t>
            </w:r>
          </w:p>
        </w:tc>
        <w:tc>
          <w:tcPr>
            <w:tcW w:w="559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lang w:val="en-US" w:eastAsia="zh-CN"/>
              </w:rPr>
              <w:t>评审</w:t>
            </w:r>
            <w:r>
              <w:rPr>
                <w:rFonts w:hint="default" w:ascii="Times New Roman" w:hAnsi="Times New Roman" w:eastAsia="宋体" w:cs="Times New Roman"/>
                <w:b/>
                <w:bCs w:val="0"/>
                <w:color w:val="auto"/>
                <w:sz w:val="21"/>
                <w:szCs w:val="21"/>
                <w:highlight w:val="none"/>
              </w:rPr>
              <w:t>意见</w:t>
            </w:r>
          </w:p>
        </w:tc>
        <w:tc>
          <w:tcPr>
            <w:tcW w:w="28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c>
          <w:tcPr>
            <w:tcW w:w="559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完善相关规划相符性分析（砂石规划、林业规划、生态功能区划等）</w:t>
            </w:r>
            <w:r>
              <w:rPr>
                <w:rFonts w:hint="default" w:ascii="Times New Roman" w:hAnsi="Times New Roman" w:eastAsia="宋体" w:cs="Times New Roman"/>
                <w:b w:val="0"/>
                <w:bCs/>
                <w:color w:val="auto"/>
                <w:sz w:val="21"/>
                <w:szCs w:val="21"/>
                <w:highlight w:val="none"/>
                <w:lang w:val="en-US" w:eastAsia="zh-CN"/>
              </w:rPr>
              <w:t>；</w:t>
            </w:r>
          </w:p>
        </w:tc>
        <w:tc>
          <w:tcPr>
            <w:tcW w:w="28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已补充</w:t>
            </w:r>
            <w:r>
              <w:rPr>
                <w:rFonts w:hint="eastAsia" w:ascii="Times New Roman" w:hAnsi="Times New Roman" w:eastAsia="宋体" w:cs="Times New Roman"/>
                <w:b w:val="0"/>
                <w:bCs/>
                <w:color w:val="auto"/>
                <w:sz w:val="21"/>
                <w:szCs w:val="21"/>
                <w:highlight w:val="none"/>
                <w:lang w:val="en-US" w:eastAsia="zh-CN"/>
              </w:rPr>
              <w:t>完善</w:t>
            </w:r>
            <w:r>
              <w:rPr>
                <w:rFonts w:hint="default" w:ascii="Times New Roman" w:hAnsi="Times New Roman" w:eastAsia="宋体" w:cs="Times New Roman"/>
                <w:b w:val="0"/>
                <w:bCs/>
                <w:color w:val="auto"/>
                <w:sz w:val="21"/>
                <w:szCs w:val="21"/>
                <w:highlight w:val="none"/>
                <w:lang w:val="en-US" w:eastAsia="zh-CN"/>
              </w:rPr>
              <w:t>，见P</w:t>
            </w:r>
            <w:r>
              <w:rPr>
                <w:rFonts w:hint="eastAsia" w:cs="Times New Roman"/>
                <w:b w:val="0"/>
                <w:bCs/>
                <w:color w:val="auto"/>
                <w:sz w:val="21"/>
                <w:szCs w:val="21"/>
                <w:highlight w:val="none"/>
                <w:lang w:val="en-US" w:eastAsia="zh-CN"/>
              </w:rPr>
              <w:t>21</w:t>
            </w:r>
            <w:r>
              <w:rPr>
                <w:rFonts w:hint="eastAsia" w:ascii="Times New Roman" w:hAnsi="Times New Roman" w:eastAsia="宋体" w:cs="Times New Roman"/>
                <w:b w:val="0"/>
                <w:bCs/>
                <w:color w:val="auto"/>
                <w:sz w:val="21"/>
                <w:szCs w:val="21"/>
                <w:highlight w:val="none"/>
                <w:lang w:val="en-US" w:eastAsia="zh-CN"/>
              </w:rPr>
              <w:t>-2</w:t>
            </w:r>
            <w:r>
              <w:rPr>
                <w:rFonts w:hint="eastAsia" w:cs="Times New Roman"/>
                <w:b w:val="0"/>
                <w:bCs/>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w:t>
            </w:r>
          </w:p>
        </w:tc>
        <w:tc>
          <w:tcPr>
            <w:tcW w:w="559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完善矿区开采现状、遗留环境问题的调查，完善整改措施</w:t>
            </w:r>
            <w:r>
              <w:rPr>
                <w:rFonts w:hint="default" w:ascii="Times New Roman" w:hAnsi="Times New Roman" w:eastAsia="宋体" w:cs="Times New Roman"/>
                <w:b w:val="0"/>
                <w:bCs/>
                <w:color w:val="auto"/>
                <w:sz w:val="21"/>
                <w:szCs w:val="21"/>
                <w:highlight w:val="none"/>
                <w:lang w:val="en-US" w:eastAsia="zh-CN"/>
              </w:rPr>
              <w:t>；</w:t>
            </w:r>
          </w:p>
        </w:tc>
        <w:tc>
          <w:tcPr>
            <w:tcW w:w="28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已</w:t>
            </w:r>
            <w:r>
              <w:rPr>
                <w:rFonts w:hint="eastAsia" w:ascii="Times New Roman" w:hAnsi="Times New Roman" w:eastAsia="宋体" w:cs="Times New Roman"/>
                <w:b w:val="0"/>
                <w:bCs/>
                <w:color w:val="auto"/>
                <w:sz w:val="21"/>
                <w:szCs w:val="21"/>
                <w:highlight w:val="none"/>
                <w:lang w:val="en-US" w:eastAsia="zh-CN"/>
              </w:rPr>
              <w:t>补充完善，见P4</w:t>
            </w:r>
            <w:r>
              <w:rPr>
                <w:rFonts w:hint="eastAsia" w:cs="Times New Roman"/>
                <w:b w:val="0"/>
                <w:bCs/>
                <w:color w:val="auto"/>
                <w:sz w:val="21"/>
                <w:szCs w:val="21"/>
                <w:highlight w:val="none"/>
                <w:lang w:val="en-US" w:eastAsia="zh-CN"/>
              </w:rPr>
              <w:t>6</w:t>
            </w:r>
            <w:r>
              <w:rPr>
                <w:rFonts w:hint="eastAsia" w:ascii="Times New Roman" w:hAnsi="Times New Roman" w:eastAsia="宋体" w:cs="Times New Roman"/>
                <w:b w:val="0"/>
                <w:bCs/>
                <w:color w:val="auto"/>
                <w:sz w:val="21"/>
                <w:szCs w:val="21"/>
                <w:highlight w:val="none"/>
                <w:lang w:val="en-US" w:eastAsia="zh-CN"/>
              </w:rPr>
              <w:t>-4</w:t>
            </w:r>
            <w:r>
              <w:rPr>
                <w:rFonts w:hint="eastAsia" w:cs="Times New Roman"/>
                <w:b w:val="0"/>
                <w:bCs/>
                <w:color w:val="auto"/>
                <w:sz w:val="21"/>
                <w:szCs w:val="21"/>
                <w:highlight w:val="none"/>
                <w:lang w:val="en-US" w:eastAsia="zh-CN"/>
              </w:rPr>
              <w:t>8</w:t>
            </w:r>
            <w:r>
              <w:rPr>
                <w:rFonts w:hint="eastAsia" w:ascii="Times New Roman" w:hAnsi="Times New Roman" w:eastAsia="宋体" w:cs="Times New Roman"/>
                <w:b w:val="0"/>
                <w:bCs/>
                <w:color w:val="auto"/>
                <w:sz w:val="21"/>
                <w:szCs w:val="21"/>
                <w:highlight w:val="none"/>
                <w:lang w:val="en-US" w:eastAsia="zh-CN"/>
              </w:rPr>
              <w:t>、7</w:t>
            </w:r>
            <w:r>
              <w:rPr>
                <w:rFonts w:hint="eastAsia" w:cs="Times New Roman"/>
                <w:b w:val="0"/>
                <w:bCs/>
                <w:color w:val="auto"/>
                <w:sz w:val="21"/>
                <w:szCs w:val="21"/>
                <w:highlight w:val="none"/>
                <w:lang w:val="en-US" w:eastAsia="zh-CN"/>
              </w:rPr>
              <w:t>2</w:t>
            </w:r>
            <w:r>
              <w:rPr>
                <w:rFonts w:hint="eastAsia" w:ascii="Times New Roman" w:hAnsi="Times New Roman" w:eastAsia="宋体" w:cs="Times New Roman"/>
                <w:b w:val="0"/>
                <w:bCs/>
                <w:color w:val="auto"/>
                <w:sz w:val="21"/>
                <w:szCs w:val="21"/>
                <w:highlight w:val="none"/>
                <w:lang w:val="en-US" w:eastAsia="zh-CN"/>
              </w:rPr>
              <w:t>-7</w:t>
            </w:r>
            <w:r>
              <w:rPr>
                <w:rFonts w:hint="eastAsia" w:cs="Times New Roman"/>
                <w:b w:val="0"/>
                <w:bCs/>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jc w:val="center"/>
        </w:trPr>
        <w:tc>
          <w:tcPr>
            <w:tcW w:w="63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w:t>
            </w:r>
          </w:p>
        </w:tc>
        <w:tc>
          <w:tcPr>
            <w:tcW w:w="559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补充完善开采区开拓方案的介绍；核实加工场地的设置；完善雨水收集、沉淀，标注雨水走向（场内、外）</w:t>
            </w:r>
            <w:r>
              <w:rPr>
                <w:rFonts w:hint="default" w:ascii="Times New Roman" w:hAnsi="Times New Roman" w:eastAsia="宋体" w:cs="Times New Roman"/>
                <w:b w:val="0"/>
                <w:bCs/>
                <w:color w:val="auto"/>
                <w:sz w:val="21"/>
                <w:szCs w:val="21"/>
                <w:highlight w:val="none"/>
                <w:lang w:val="en-US" w:eastAsia="zh-CN"/>
              </w:rPr>
              <w:t>；</w:t>
            </w:r>
          </w:p>
        </w:tc>
        <w:tc>
          <w:tcPr>
            <w:tcW w:w="28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已</w:t>
            </w:r>
            <w:r>
              <w:rPr>
                <w:rFonts w:hint="eastAsia" w:ascii="Times New Roman" w:hAnsi="Times New Roman" w:eastAsia="宋体" w:cs="Times New Roman"/>
                <w:b w:val="0"/>
                <w:bCs/>
                <w:color w:val="auto"/>
                <w:sz w:val="21"/>
                <w:szCs w:val="21"/>
                <w:highlight w:val="none"/>
                <w:lang w:val="en-US" w:eastAsia="zh-CN"/>
              </w:rPr>
              <w:t>补充</w:t>
            </w:r>
            <w:r>
              <w:rPr>
                <w:rFonts w:hint="default" w:ascii="Times New Roman" w:hAnsi="Times New Roman" w:eastAsia="宋体" w:cs="Times New Roman"/>
                <w:b w:val="0"/>
                <w:bCs/>
                <w:color w:val="auto"/>
                <w:sz w:val="21"/>
                <w:szCs w:val="21"/>
                <w:highlight w:val="none"/>
                <w:lang w:val="en-US" w:eastAsia="zh-CN"/>
              </w:rPr>
              <w:t>完善，见</w:t>
            </w:r>
            <w:r>
              <w:rPr>
                <w:rFonts w:hint="eastAsia" w:ascii="Times New Roman" w:hAnsi="Times New Roman" w:eastAsia="宋体" w:cs="Times New Roman"/>
                <w:b w:val="0"/>
                <w:bCs/>
                <w:color w:val="auto"/>
                <w:sz w:val="21"/>
                <w:szCs w:val="21"/>
                <w:highlight w:val="none"/>
                <w:lang w:val="en-US" w:eastAsia="zh-CN"/>
              </w:rPr>
              <w:t>P7</w:t>
            </w:r>
            <w:r>
              <w:rPr>
                <w:rFonts w:hint="eastAsia" w:cs="Times New Roman"/>
                <w:b w:val="0"/>
                <w:bCs/>
                <w:color w:val="auto"/>
                <w:sz w:val="21"/>
                <w:szCs w:val="21"/>
                <w:highlight w:val="none"/>
                <w:lang w:val="en-US" w:eastAsia="zh-CN"/>
              </w:rPr>
              <w:t>6</w:t>
            </w: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P</w:t>
            </w:r>
            <w:r>
              <w:rPr>
                <w:rFonts w:hint="eastAsia" w:ascii="Times New Roman" w:hAnsi="Times New Roman" w:eastAsia="宋体" w:cs="Times New Roman"/>
                <w:b w:val="0"/>
                <w:bCs/>
                <w:color w:val="auto"/>
                <w:sz w:val="21"/>
                <w:szCs w:val="21"/>
                <w:highlight w:val="none"/>
                <w:lang w:val="en-US" w:eastAsia="zh-CN"/>
              </w:rPr>
              <w:t>8</w:t>
            </w:r>
            <w:r>
              <w:rPr>
                <w:rFonts w:hint="eastAsia" w:cs="Times New Roman"/>
                <w:b w:val="0"/>
                <w:bCs/>
                <w:color w:val="auto"/>
                <w:sz w:val="21"/>
                <w:szCs w:val="21"/>
                <w:highlight w:val="none"/>
                <w:lang w:val="en-US" w:eastAsia="zh-CN"/>
              </w:rPr>
              <w:t>6</w:t>
            </w:r>
            <w:r>
              <w:rPr>
                <w:rFonts w:hint="eastAsia" w:ascii="Times New Roman" w:hAnsi="Times New Roman" w:eastAsia="宋体" w:cs="Times New Roman"/>
                <w:b w:val="0"/>
                <w:bCs/>
                <w:color w:val="auto"/>
                <w:sz w:val="21"/>
                <w:szCs w:val="21"/>
                <w:highlight w:val="none"/>
                <w:lang w:val="en-US" w:eastAsia="zh-CN"/>
              </w:rPr>
              <w:t>-9</w:t>
            </w:r>
            <w:r>
              <w:rPr>
                <w:rFonts w:hint="eastAsia" w:cs="Times New Roman"/>
                <w:b w:val="0"/>
                <w:bCs/>
                <w:color w:val="auto"/>
                <w:sz w:val="21"/>
                <w:szCs w:val="21"/>
                <w:highlight w:val="none"/>
                <w:lang w:val="en-US" w:eastAsia="zh-CN"/>
              </w:rPr>
              <w:t>0</w:t>
            </w:r>
            <w:r>
              <w:rPr>
                <w:rFonts w:hint="eastAsia" w:ascii="Times New Roman" w:hAnsi="Times New Roman" w:eastAsia="宋体" w:cs="Times New Roman"/>
                <w:b w:val="0"/>
                <w:bCs/>
                <w:color w:val="auto"/>
                <w:sz w:val="21"/>
                <w:szCs w:val="21"/>
                <w:highlight w:val="none"/>
                <w:lang w:val="en-US" w:eastAsia="zh-CN"/>
              </w:rPr>
              <w:t>、P11</w:t>
            </w:r>
            <w:r>
              <w:rPr>
                <w:rFonts w:hint="eastAsia" w:cs="Times New Roman"/>
                <w:b w:val="0"/>
                <w:bCs/>
                <w:color w:val="auto"/>
                <w:sz w:val="21"/>
                <w:szCs w:val="21"/>
                <w:highlight w:val="none"/>
                <w:lang w:val="en-US" w:eastAsia="zh-CN"/>
              </w:rPr>
              <w:t>0</w:t>
            </w:r>
            <w:r>
              <w:rPr>
                <w:rFonts w:hint="eastAsia" w:ascii="Times New Roman" w:hAnsi="Times New Roman" w:eastAsia="宋体" w:cs="Times New Roman"/>
                <w:b w:val="0"/>
                <w:bCs/>
                <w:color w:val="auto"/>
                <w:sz w:val="21"/>
                <w:szCs w:val="21"/>
                <w:highlight w:val="none"/>
                <w:lang w:val="en-US" w:eastAsia="zh-CN"/>
              </w:rPr>
              <w:t>、附图3-1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w:t>
            </w:r>
          </w:p>
        </w:tc>
        <w:tc>
          <w:tcPr>
            <w:tcW w:w="559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核实废土石产生量，完善废土堆场（排土场）的设置；核实“三本账”</w:t>
            </w:r>
            <w:r>
              <w:rPr>
                <w:rFonts w:hint="default" w:ascii="Times New Roman" w:hAnsi="Times New Roman" w:eastAsia="宋体" w:cs="Times New Roman"/>
                <w:b w:val="0"/>
                <w:bCs/>
                <w:color w:val="auto"/>
                <w:sz w:val="21"/>
                <w:szCs w:val="21"/>
                <w:highlight w:val="none"/>
                <w:lang w:val="en-US" w:eastAsia="zh-CN"/>
              </w:rPr>
              <w:t>；</w:t>
            </w:r>
          </w:p>
        </w:tc>
        <w:tc>
          <w:tcPr>
            <w:tcW w:w="28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已</w:t>
            </w:r>
            <w:r>
              <w:rPr>
                <w:rFonts w:hint="eastAsia" w:ascii="Times New Roman" w:hAnsi="Times New Roman" w:eastAsia="宋体" w:cs="Times New Roman"/>
                <w:b w:val="0"/>
                <w:bCs/>
                <w:color w:val="auto"/>
                <w:sz w:val="21"/>
                <w:szCs w:val="21"/>
                <w:highlight w:val="none"/>
                <w:lang w:val="en-US" w:eastAsia="zh-CN"/>
              </w:rPr>
              <w:t>核实补充完善</w:t>
            </w:r>
            <w:r>
              <w:rPr>
                <w:rFonts w:hint="default" w:ascii="Times New Roman" w:hAnsi="Times New Roman" w:eastAsia="宋体" w:cs="Times New Roman"/>
                <w:b w:val="0"/>
                <w:bCs/>
                <w:color w:val="auto"/>
                <w:sz w:val="21"/>
                <w:szCs w:val="21"/>
                <w:highlight w:val="none"/>
                <w:lang w:val="en-US" w:eastAsia="zh-CN"/>
              </w:rPr>
              <w:t>，见P</w:t>
            </w:r>
            <w:r>
              <w:rPr>
                <w:rFonts w:hint="eastAsia" w:ascii="Times New Roman" w:hAnsi="Times New Roman" w:eastAsia="宋体" w:cs="Times New Roman"/>
                <w:b w:val="0"/>
                <w:bCs/>
                <w:color w:val="auto"/>
                <w:sz w:val="21"/>
                <w:szCs w:val="21"/>
                <w:highlight w:val="none"/>
                <w:lang w:val="en-US" w:eastAsia="zh-CN"/>
              </w:rPr>
              <w:t>11</w:t>
            </w:r>
            <w:r>
              <w:rPr>
                <w:rFonts w:hint="eastAsia" w:cs="Times New Roman"/>
                <w:b w:val="0"/>
                <w:bCs/>
                <w:color w:val="auto"/>
                <w:sz w:val="21"/>
                <w:szCs w:val="21"/>
                <w:highlight w:val="none"/>
                <w:lang w:val="en-US" w:eastAsia="zh-CN"/>
              </w:rPr>
              <w:t>2</w:t>
            </w:r>
            <w:r>
              <w:rPr>
                <w:rFonts w:hint="eastAsia" w:ascii="Times New Roman" w:hAnsi="Times New Roman" w:eastAsia="宋体" w:cs="Times New Roman"/>
                <w:b w:val="0"/>
                <w:bCs/>
                <w:color w:val="auto"/>
                <w:sz w:val="21"/>
                <w:szCs w:val="21"/>
                <w:highlight w:val="none"/>
                <w:lang w:val="en-US" w:eastAsia="zh-CN"/>
              </w:rPr>
              <w:t>、P18</w:t>
            </w:r>
            <w:r>
              <w:rPr>
                <w:rFonts w:hint="eastAsia" w:cs="Times New Roman"/>
                <w:b w:val="0"/>
                <w:bCs/>
                <w:color w:val="auto"/>
                <w:sz w:val="21"/>
                <w:szCs w:val="21"/>
                <w:highlight w:val="none"/>
                <w:lang w:val="en-US" w:eastAsia="zh-CN"/>
              </w:rPr>
              <w:t>1</w:t>
            </w:r>
            <w:r>
              <w:rPr>
                <w:rFonts w:hint="eastAsia" w:ascii="Times New Roman" w:hAnsi="Times New Roman" w:eastAsia="宋体" w:cs="Times New Roman"/>
                <w:b w:val="0"/>
                <w:bCs/>
                <w:color w:val="auto"/>
                <w:sz w:val="21"/>
                <w:szCs w:val="21"/>
                <w:highlight w:val="none"/>
                <w:lang w:val="en-US" w:eastAsia="zh-CN"/>
              </w:rPr>
              <w:t>-18</w:t>
            </w:r>
            <w:r>
              <w:rPr>
                <w:rFonts w:hint="eastAsia" w:cs="Times New Roman"/>
                <w:b w:val="0"/>
                <w:bCs/>
                <w:color w:val="auto"/>
                <w:sz w:val="21"/>
                <w:szCs w:val="21"/>
                <w:highlight w:val="none"/>
                <w:lang w:val="en-US" w:eastAsia="zh-CN"/>
              </w:rPr>
              <w:t>2</w:t>
            </w:r>
            <w:r>
              <w:rPr>
                <w:rFonts w:hint="eastAsia" w:ascii="Times New Roman" w:hAnsi="Times New Roman" w:eastAsia="宋体" w:cs="Times New Roman"/>
                <w:b w:val="0"/>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已核实修改，见</w:t>
            </w:r>
            <w:r>
              <w:rPr>
                <w:rFonts w:hint="default" w:ascii="Times New Roman" w:hAnsi="Times New Roman" w:eastAsia="宋体" w:cs="Times New Roman"/>
                <w:b w:val="0"/>
                <w:bCs/>
                <w:color w:val="auto"/>
                <w:sz w:val="21"/>
                <w:szCs w:val="21"/>
                <w:highlight w:val="none"/>
                <w:lang w:val="en-US" w:eastAsia="zh-CN"/>
              </w:rPr>
              <w:t>P</w:t>
            </w:r>
            <w:r>
              <w:rPr>
                <w:rFonts w:hint="eastAsia" w:ascii="Times New Roman" w:hAnsi="Times New Roman" w:eastAsia="宋体" w:cs="Times New Roman"/>
                <w:b w:val="0"/>
                <w:bCs/>
                <w:color w:val="auto"/>
                <w:sz w:val="21"/>
                <w:szCs w:val="21"/>
                <w:highlight w:val="none"/>
                <w:lang w:val="en-US" w:eastAsia="zh-CN"/>
              </w:rPr>
              <w:t>1</w:t>
            </w:r>
            <w:r>
              <w:rPr>
                <w:rFonts w:hint="eastAsia" w:cs="Times New Roman"/>
                <w:b w:val="0"/>
                <w:bCs/>
                <w:color w:val="auto"/>
                <w:sz w:val="21"/>
                <w:szCs w:val="21"/>
                <w:highlight w:val="none"/>
                <w:lang w:val="en-US" w:eastAsia="zh-CN"/>
              </w:rPr>
              <w:t>17</w:t>
            </w:r>
            <w:r>
              <w:rPr>
                <w:rFonts w:hint="eastAsia" w:ascii="Times New Roman" w:hAnsi="Times New Roman" w:eastAsia="宋体" w:cs="Times New Roman"/>
                <w:b w:val="0"/>
                <w:bCs/>
                <w:color w:val="auto"/>
                <w:sz w:val="21"/>
                <w:szCs w:val="21"/>
                <w:highlight w:val="none"/>
                <w:lang w:val="en-US" w:eastAsia="zh-CN"/>
              </w:rPr>
              <w:t>-1</w:t>
            </w:r>
            <w:r>
              <w:rPr>
                <w:rFonts w:hint="eastAsia" w:cs="Times New Roman"/>
                <w:b w:val="0"/>
                <w:bCs/>
                <w:color w:val="auto"/>
                <w:sz w:val="21"/>
                <w:szCs w:val="21"/>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5</w:t>
            </w:r>
          </w:p>
        </w:tc>
        <w:tc>
          <w:tcPr>
            <w:tcW w:w="559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核实土壤环境影响评价等级的判别；根据核实的评价等级，完善土壤环境影响分析</w:t>
            </w:r>
            <w:r>
              <w:rPr>
                <w:rFonts w:hint="default" w:ascii="Times New Roman" w:hAnsi="Times New Roman" w:eastAsia="宋体" w:cs="Times New Roman"/>
                <w:b w:val="0"/>
                <w:bCs/>
                <w:color w:val="auto"/>
                <w:sz w:val="21"/>
                <w:szCs w:val="21"/>
                <w:highlight w:val="none"/>
                <w:lang w:val="en-US" w:eastAsia="zh-CN"/>
              </w:rPr>
              <w:t>；</w:t>
            </w:r>
          </w:p>
        </w:tc>
        <w:tc>
          <w:tcPr>
            <w:tcW w:w="28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已核实修改，见P</w:t>
            </w:r>
            <w:r>
              <w:rPr>
                <w:rFonts w:hint="eastAsia" w:cs="Times New Roman"/>
                <w:b w:val="0"/>
                <w:bCs/>
                <w:color w:val="auto"/>
                <w:sz w:val="21"/>
                <w:szCs w:val="21"/>
                <w:highlight w:val="none"/>
                <w:lang w:val="en-US" w:eastAsia="zh-CN"/>
              </w:rPr>
              <w:t>40</w:t>
            </w:r>
            <w:r>
              <w:rPr>
                <w:rFonts w:hint="eastAsia" w:ascii="Times New Roman" w:hAnsi="Times New Roman" w:eastAsia="宋体" w:cs="Times New Roman"/>
                <w:b w:val="0"/>
                <w:bCs/>
                <w:color w:val="auto"/>
                <w:sz w:val="21"/>
                <w:szCs w:val="21"/>
                <w:highlight w:val="none"/>
                <w:lang w:val="en-US" w:eastAsia="zh-CN"/>
              </w:rPr>
              <w:t>-4</w:t>
            </w:r>
            <w:r>
              <w:rPr>
                <w:rFonts w:hint="eastAsia" w:cs="Times New Roman"/>
                <w:b w:val="0"/>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w:t>
            </w:r>
          </w:p>
        </w:tc>
        <w:tc>
          <w:tcPr>
            <w:tcW w:w="559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补充林地占用情况的介绍；完善生态恢复措施</w:t>
            </w:r>
            <w:r>
              <w:rPr>
                <w:rFonts w:hint="default" w:ascii="Times New Roman" w:hAnsi="Times New Roman" w:eastAsia="宋体" w:cs="Times New Roman"/>
                <w:b w:val="0"/>
                <w:bCs/>
                <w:color w:val="auto"/>
                <w:sz w:val="21"/>
                <w:szCs w:val="21"/>
                <w:highlight w:val="none"/>
                <w:lang w:val="en-US" w:eastAsia="zh-CN"/>
              </w:rPr>
              <w:t>；</w:t>
            </w:r>
          </w:p>
        </w:tc>
        <w:tc>
          <w:tcPr>
            <w:tcW w:w="28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已补充，见P2</w:t>
            </w:r>
            <w:r>
              <w:rPr>
                <w:rFonts w:hint="eastAsia" w:cs="Times New Roman"/>
                <w:b w:val="0"/>
                <w:bCs/>
                <w:color w:val="auto"/>
                <w:sz w:val="21"/>
                <w:szCs w:val="21"/>
                <w:highlight w:val="none"/>
                <w:lang w:val="en-US" w:eastAsia="zh-CN"/>
              </w:rPr>
              <w:t>7</w:t>
            </w:r>
            <w:r>
              <w:rPr>
                <w:rFonts w:hint="eastAsia" w:ascii="Times New Roman" w:hAnsi="Times New Roman" w:eastAsia="宋体" w:cs="Times New Roman"/>
                <w:b w:val="0"/>
                <w:bCs/>
                <w:color w:val="auto"/>
                <w:sz w:val="21"/>
                <w:szCs w:val="21"/>
                <w:highlight w:val="none"/>
                <w:lang w:val="en-US" w:eastAsia="zh-CN"/>
              </w:rPr>
              <w:t>、P13</w:t>
            </w:r>
            <w:r>
              <w:rPr>
                <w:rFonts w:hint="eastAsia" w:cs="Times New Roman"/>
                <w:b w:val="0"/>
                <w:bCs/>
                <w:color w:val="auto"/>
                <w:sz w:val="21"/>
                <w:szCs w:val="21"/>
                <w:highlight w:val="none"/>
                <w:lang w:val="en-US" w:eastAsia="zh-CN"/>
              </w:rPr>
              <w:t>5</w:t>
            </w:r>
            <w:r>
              <w:rPr>
                <w:rFonts w:hint="eastAsia" w:ascii="Times New Roman" w:hAnsi="Times New Roman" w:eastAsia="宋体" w:cs="Times New Roman"/>
                <w:b w:val="0"/>
                <w:bCs/>
                <w:color w:val="auto"/>
                <w:sz w:val="21"/>
                <w:szCs w:val="21"/>
                <w:highlight w:val="none"/>
                <w:lang w:val="en-US" w:eastAsia="zh-CN"/>
              </w:rPr>
              <w:t>、P22</w:t>
            </w:r>
            <w:r>
              <w:rPr>
                <w:rFonts w:hint="eastAsia" w:cs="Times New Roman"/>
                <w:b w:val="0"/>
                <w:bCs/>
                <w:color w:val="auto"/>
                <w:sz w:val="21"/>
                <w:szCs w:val="21"/>
                <w:highlight w:val="none"/>
                <w:lang w:val="en-US" w:eastAsia="zh-CN"/>
              </w:rPr>
              <w:t>1</w:t>
            </w:r>
            <w:r>
              <w:rPr>
                <w:rFonts w:hint="eastAsia" w:ascii="Times New Roman" w:hAnsi="Times New Roman" w:eastAsia="宋体" w:cs="Times New Roman"/>
                <w:b w:val="0"/>
                <w:bCs/>
                <w:color w:val="auto"/>
                <w:sz w:val="21"/>
                <w:szCs w:val="21"/>
                <w:highlight w:val="none"/>
                <w:lang w:val="en-US" w:eastAsia="zh-CN"/>
              </w:rPr>
              <w:t>-22</w:t>
            </w:r>
            <w:r>
              <w:rPr>
                <w:rFonts w:hint="eastAsia" w:cs="Times New Roman"/>
                <w:b w:val="0"/>
                <w:bCs/>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7</w:t>
            </w:r>
          </w:p>
        </w:tc>
        <w:tc>
          <w:tcPr>
            <w:tcW w:w="559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补充完善内、外部运输的介绍，完善运输的影响分析</w:t>
            </w:r>
            <w:r>
              <w:rPr>
                <w:rFonts w:hint="default" w:ascii="Times New Roman" w:hAnsi="Times New Roman" w:eastAsia="宋体" w:cs="Times New Roman"/>
                <w:b w:val="0"/>
                <w:bCs/>
                <w:color w:val="auto"/>
                <w:sz w:val="21"/>
                <w:szCs w:val="21"/>
                <w:highlight w:val="none"/>
                <w:lang w:val="en-US" w:eastAsia="zh-CN"/>
              </w:rPr>
              <w:t>。</w:t>
            </w:r>
          </w:p>
        </w:tc>
        <w:tc>
          <w:tcPr>
            <w:tcW w:w="28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已核实完善，见P</w:t>
            </w:r>
            <w:r>
              <w:rPr>
                <w:rFonts w:hint="eastAsia" w:cs="Times New Roman"/>
                <w:b w:val="0"/>
                <w:bCs/>
                <w:color w:val="auto"/>
                <w:sz w:val="21"/>
                <w:szCs w:val="21"/>
                <w:highlight w:val="none"/>
                <w:lang w:val="en-US" w:eastAsia="zh-CN"/>
              </w:rPr>
              <w:t>78-79</w:t>
            </w:r>
            <w:r>
              <w:rPr>
                <w:rFonts w:hint="eastAsia" w:ascii="Times New Roman" w:hAnsi="Times New Roman" w:eastAsia="宋体" w:cs="Times New Roman"/>
                <w:b w:val="0"/>
                <w:bCs/>
                <w:color w:val="auto"/>
                <w:sz w:val="21"/>
                <w:szCs w:val="21"/>
                <w:highlight w:val="none"/>
                <w:lang w:val="en-US" w:eastAsia="zh-CN"/>
              </w:rPr>
              <w:t>、P1</w:t>
            </w:r>
            <w:r>
              <w:rPr>
                <w:rFonts w:hint="eastAsia" w:cs="Times New Roman"/>
                <w:b w:val="0"/>
                <w:bCs/>
                <w:color w:val="auto"/>
                <w:sz w:val="21"/>
                <w:szCs w:val="21"/>
                <w:highlight w:val="none"/>
                <w:lang w:val="en-US" w:eastAsia="zh-CN"/>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8</w:t>
            </w:r>
          </w:p>
        </w:tc>
        <w:tc>
          <w:tcPr>
            <w:tcW w:w="559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补充矿权合法性的相关文件；完善附图（总平图、林地分布图等）</w:t>
            </w:r>
          </w:p>
        </w:tc>
        <w:tc>
          <w:tcPr>
            <w:tcW w:w="28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已补充，见附件12、附件13；</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已修改完善，见附图3-1</w:t>
            </w:r>
            <w:r>
              <w:rPr>
                <w:rFonts w:hint="default" w:ascii="Times New Roman" w:hAnsi="Times New Roman" w:eastAsia="宋体" w:cs="Times New Roman"/>
                <w:b w:val="0"/>
                <w:bCs/>
                <w:color w:val="auto"/>
                <w:sz w:val="21"/>
                <w:szCs w:val="21"/>
                <w:highlight w:val="none"/>
                <w:lang w:val="en-US" w:eastAsia="zh-CN"/>
              </w:rPr>
              <w:t>~</w:t>
            </w:r>
            <w:r>
              <w:rPr>
                <w:rFonts w:hint="eastAsia" w:ascii="Times New Roman" w:hAnsi="Times New Roman" w:eastAsia="宋体" w:cs="Times New Roman"/>
                <w:b w:val="0"/>
                <w:bCs/>
                <w:color w:val="auto"/>
                <w:sz w:val="21"/>
                <w:szCs w:val="21"/>
                <w:highlight w:val="none"/>
                <w:lang w:val="en-US" w:eastAsia="zh-CN"/>
              </w:rPr>
              <w:t>3-4、附图6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9</w:t>
            </w:r>
          </w:p>
        </w:tc>
        <w:tc>
          <w:tcPr>
            <w:tcW w:w="559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其他</w:t>
            </w:r>
          </w:p>
        </w:tc>
        <w:tc>
          <w:tcPr>
            <w:tcW w:w="284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其他修改见文本带下划线部分</w:t>
            </w:r>
          </w:p>
        </w:tc>
      </w:tr>
    </w:tbl>
    <w:p>
      <w:pPr>
        <w:adjustRightInd w:val="0"/>
        <w:snapToGrid w:val="0"/>
        <w:ind w:firstLine="0" w:firstLineChars="0"/>
        <w:rPr>
          <w:rFonts w:ascii="Times New Roman" w:hAnsi="Times New Roman" w:eastAsia="宋体" w:cs="Times New Roman"/>
          <w:color w:val="auto"/>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2"/>
        <w:rPr>
          <w:rFonts w:ascii="Times New Roman" w:hAnsi="Times New Roman" w:eastAsia="宋体"/>
          <w:color w:val="auto"/>
          <w:highlight w:val="none"/>
        </w:rPr>
      </w:pPr>
      <w:bookmarkStart w:id="7" w:name="_Toc19481"/>
      <w:r>
        <w:rPr>
          <w:rFonts w:ascii="Times New Roman" w:hAnsi="Times New Roman" w:eastAsia="宋体"/>
          <w:color w:val="auto"/>
          <w:highlight w:val="none"/>
        </w:rPr>
        <w:t>概  述</w:t>
      </w:r>
      <w:bookmarkEnd w:id="7"/>
    </w:p>
    <w:p>
      <w:pPr>
        <w:ind w:firstLine="482"/>
        <w:rPr>
          <w:rFonts w:hint="eastAsia" w:ascii="Times New Roman" w:hAnsi="Times New Roman" w:eastAsia="宋体" w:cs="Times New Roman"/>
          <w:b/>
          <w:color w:val="auto"/>
          <w:highlight w:val="none"/>
        </w:rPr>
      </w:pPr>
      <w:r>
        <w:rPr>
          <w:rFonts w:ascii="Times New Roman" w:hAnsi="Times New Roman" w:eastAsia="宋体" w:cs="Times New Roman"/>
          <w:b/>
          <w:color w:val="auto"/>
          <w:highlight w:val="none"/>
        </w:rPr>
        <w:t>一、</w:t>
      </w:r>
      <w:r>
        <w:rPr>
          <w:rFonts w:hint="eastAsia" w:ascii="Times New Roman" w:hAnsi="Times New Roman" w:eastAsia="宋体" w:cs="Times New Roman"/>
          <w:b/>
          <w:color w:val="auto"/>
          <w:highlight w:val="none"/>
        </w:rPr>
        <w:t>建设</w:t>
      </w:r>
      <w:r>
        <w:rPr>
          <w:rFonts w:ascii="Times New Roman" w:hAnsi="Times New Roman" w:eastAsia="宋体" w:cs="Times New Roman"/>
          <w:b/>
          <w:color w:val="auto"/>
          <w:highlight w:val="none"/>
        </w:rPr>
        <w:t>项目</w:t>
      </w:r>
      <w:r>
        <w:rPr>
          <w:rFonts w:hint="eastAsia" w:ascii="Times New Roman" w:hAnsi="Times New Roman" w:eastAsia="宋体" w:cs="Times New Roman"/>
          <w:b/>
          <w:color w:val="auto"/>
          <w:highlight w:val="none"/>
        </w:rPr>
        <w:t>特点</w:t>
      </w:r>
    </w:p>
    <w:p>
      <w:pPr>
        <w:ind w:firstLine="480"/>
        <w:rPr>
          <w:rFonts w:hint="default"/>
          <w:color w:val="auto"/>
          <w:highlight w:val="none"/>
          <w:u w:val="single"/>
          <w:lang w:val="en-US" w:eastAsia="zh-CN"/>
        </w:rPr>
      </w:pPr>
      <w:r>
        <w:rPr>
          <w:rFonts w:ascii="Times New Roman" w:hAnsi="Times New Roman" w:eastAsia="宋体" w:cs="Times New Roman"/>
          <w:color w:val="auto"/>
          <w:highlight w:val="none"/>
          <w:u w:val="single"/>
        </w:rPr>
        <w:t>三江县宏源采石场</w:t>
      </w:r>
      <w:r>
        <w:rPr>
          <w:rFonts w:hint="eastAsia" w:ascii="Times New Roman" w:hAnsi="Times New Roman" w:eastAsia="宋体" w:cs="Times New Roman"/>
          <w:color w:val="auto"/>
          <w:highlight w:val="none"/>
          <w:u w:val="single"/>
        </w:rPr>
        <w:t>为</w:t>
      </w:r>
      <w:r>
        <w:rPr>
          <w:rFonts w:hint="eastAsia" w:ascii="Times New Roman" w:hAnsi="Times New Roman" w:eastAsia="宋体" w:cs="Times New Roman"/>
          <w:color w:val="auto"/>
          <w:szCs w:val="24"/>
          <w:highlight w:val="none"/>
          <w:u w:val="single"/>
        </w:rPr>
        <w:t>原</w:t>
      </w:r>
      <w:r>
        <w:rPr>
          <w:rFonts w:ascii="Times New Roman" w:hAnsi="Times New Roman" w:eastAsia="宋体" w:cs="Times New Roman"/>
          <w:color w:val="auto"/>
          <w:szCs w:val="24"/>
          <w:highlight w:val="none"/>
          <w:u w:val="single"/>
        </w:rPr>
        <w:t>三江县海江采石场（下文简称</w:t>
      </w:r>
      <w:r>
        <w:rPr>
          <w:rFonts w:hint="eastAsia" w:ascii="Times New Roman" w:hAnsi="Times New Roman" w:eastAsia="宋体" w:cs="Times New Roman"/>
          <w:color w:val="auto"/>
          <w:szCs w:val="24"/>
          <w:highlight w:val="none"/>
          <w:u w:val="single"/>
        </w:rPr>
        <w:t>“原海江</w:t>
      </w:r>
      <w:r>
        <w:rPr>
          <w:rFonts w:ascii="Times New Roman" w:hAnsi="Times New Roman" w:eastAsia="宋体" w:cs="Times New Roman"/>
          <w:color w:val="auto"/>
          <w:szCs w:val="24"/>
          <w:highlight w:val="none"/>
          <w:u w:val="single"/>
        </w:rPr>
        <w:t>采石场</w:t>
      </w:r>
      <w:r>
        <w:rPr>
          <w:rFonts w:hint="eastAsia" w:ascii="Times New Roman" w:hAnsi="Times New Roman" w:eastAsia="宋体" w:cs="Times New Roman"/>
          <w:color w:val="auto"/>
          <w:szCs w:val="24"/>
          <w:highlight w:val="none"/>
          <w:u w:val="single"/>
        </w:rPr>
        <w:t>”</w:t>
      </w:r>
      <w:r>
        <w:rPr>
          <w:rFonts w:ascii="Times New Roman" w:hAnsi="Times New Roman" w:eastAsia="宋体" w:cs="Times New Roman"/>
          <w:color w:val="auto"/>
          <w:szCs w:val="24"/>
          <w:highlight w:val="none"/>
          <w:u w:val="single"/>
        </w:rPr>
        <w:t>）</w:t>
      </w:r>
      <w:r>
        <w:rPr>
          <w:rFonts w:hint="eastAsia" w:ascii="Times New Roman" w:hAnsi="Times New Roman" w:eastAsia="宋体" w:cs="Times New Roman"/>
          <w:color w:val="auto"/>
          <w:highlight w:val="none"/>
          <w:u w:val="single"/>
        </w:rPr>
        <w:t>和</w:t>
      </w:r>
      <w:r>
        <w:rPr>
          <w:rFonts w:hint="eastAsia" w:ascii="Times New Roman" w:hAnsi="Times New Roman" w:eastAsia="宋体" w:cs="Times New Roman"/>
          <w:color w:val="auto"/>
          <w:szCs w:val="24"/>
          <w:highlight w:val="none"/>
          <w:u w:val="single"/>
        </w:rPr>
        <w:t>原三江县宏保兴采石场</w:t>
      </w:r>
      <w:r>
        <w:rPr>
          <w:rFonts w:ascii="Times New Roman" w:hAnsi="Times New Roman" w:eastAsia="宋体" w:cs="Times New Roman"/>
          <w:color w:val="auto"/>
          <w:szCs w:val="24"/>
          <w:highlight w:val="none"/>
          <w:u w:val="single"/>
        </w:rPr>
        <w:t>（下文简称</w:t>
      </w:r>
      <w:r>
        <w:rPr>
          <w:rFonts w:hint="eastAsia" w:ascii="Times New Roman" w:hAnsi="Times New Roman" w:eastAsia="宋体" w:cs="Times New Roman"/>
          <w:color w:val="auto"/>
          <w:szCs w:val="24"/>
          <w:highlight w:val="none"/>
          <w:u w:val="single"/>
        </w:rPr>
        <w:t>“原宏保兴采石场”</w:t>
      </w:r>
      <w:r>
        <w:rPr>
          <w:rFonts w:ascii="Times New Roman" w:hAnsi="Times New Roman" w:eastAsia="宋体" w:cs="Times New Roman"/>
          <w:color w:val="auto"/>
          <w:szCs w:val="24"/>
          <w:highlight w:val="none"/>
          <w:u w:val="single"/>
        </w:rPr>
        <w:t>）</w:t>
      </w:r>
      <w:r>
        <w:rPr>
          <w:rFonts w:hint="eastAsia" w:ascii="Times New Roman" w:hAnsi="Times New Roman" w:eastAsia="宋体" w:cs="Times New Roman"/>
          <w:color w:val="auto"/>
          <w:highlight w:val="none"/>
          <w:u w:val="single"/>
        </w:rPr>
        <w:t>2个采石场整合而成</w:t>
      </w:r>
      <w:r>
        <w:rPr>
          <w:rFonts w:hint="eastAsia" w:cs="Times New Roman"/>
          <w:color w:val="auto"/>
          <w:highlight w:val="none"/>
          <w:u w:val="single"/>
          <w:lang w:eastAsia="zh-CN"/>
        </w:rPr>
        <w:t>。</w:t>
      </w:r>
      <w:r>
        <w:rPr>
          <w:rFonts w:hint="eastAsia" w:ascii="Times New Roman" w:hAnsi="Times New Roman" w:eastAsia="宋体" w:cs="Times New Roman"/>
          <w:color w:val="auto"/>
          <w:kern w:val="0"/>
          <w:szCs w:val="24"/>
          <w:highlight w:val="none"/>
          <w:u w:val="single"/>
        </w:rPr>
        <w:t>原</w:t>
      </w:r>
      <w:r>
        <w:rPr>
          <w:rFonts w:hint="eastAsia" w:ascii="Times New Roman" w:hAnsi="Times New Roman" w:eastAsia="宋体"/>
          <w:color w:val="auto"/>
          <w:highlight w:val="none"/>
          <w:u w:val="single"/>
        </w:rPr>
        <w:t>海江采石场于2010年6月依法取得原三江县国土资源局颁发的采矿许可证，</w:t>
      </w:r>
      <w:r>
        <w:rPr>
          <w:rFonts w:hint="eastAsia" w:ascii="Times New Roman" w:hAnsi="Times New Roman" w:eastAsia="宋体"/>
          <w:color w:val="auto"/>
          <w:highlight w:val="none"/>
          <w:u w:val="single"/>
          <w:lang w:val="en-US" w:eastAsia="zh-CN"/>
        </w:rPr>
        <w:t>有效期自</w:t>
      </w:r>
      <w:r>
        <w:rPr>
          <w:rFonts w:ascii="Times New Roman" w:hAnsi="Times New Roman" w:eastAsia="宋体"/>
          <w:color w:val="auto"/>
          <w:highlight w:val="none"/>
          <w:u w:val="single"/>
        </w:rPr>
        <w:t>201</w:t>
      </w:r>
      <w:r>
        <w:rPr>
          <w:rFonts w:hint="eastAsia" w:ascii="Times New Roman" w:hAnsi="Times New Roman" w:eastAsia="宋体"/>
          <w:color w:val="auto"/>
          <w:highlight w:val="none"/>
          <w:u w:val="single"/>
        </w:rPr>
        <w:t>6</w:t>
      </w:r>
      <w:r>
        <w:rPr>
          <w:rFonts w:ascii="Times New Roman" w:hAnsi="Times New Roman" w:eastAsia="宋体"/>
          <w:color w:val="auto"/>
          <w:highlight w:val="none"/>
          <w:u w:val="single"/>
        </w:rPr>
        <w:t>年</w:t>
      </w:r>
      <w:r>
        <w:rPr>
          <w:rFonts w:hint="eastAsia" w:ascii="Times New Roman" w:hAnsi="Times New Roman" w:eastAsia="宋体"/>
          <w:color w:val="auto"/>
          <w:highlight w:val="none"/>
          <w:u w:val="single"/>
        </w:rPr>
        <w:t>6</w:t>
      </w:r>
      <w:r>
        <w:rPr>
          <w:rFonts w:ascii="Times New Roman" w:hAnsi="Times New Roman" w:eastAsia="宋体"/>
          <w:color w:val="auto"/>
          <w:highlight w:val="none"/>
          <w:u w:val="single"/>
        </w:rPr>
        <w:t>月</w:t>
      </w:r>
      <w:r>
        <w:rPr>
          <w:rFonts w:hint="eastAsia" w:ascii="Times New Roman" w:hAnsi="Times New Roman" w:eastAsia="宋体"/>
          <w:color w:val="auto"/>
          <w:highlight w:val="none"/>
          <w:u w:val="single"/>
        </w:rPr>
        <w:t>24</w:t>
      </w:r>
      <w:r>
        <w:rPr>
          <w:rFonts w:ascii="Times New Roman" w:hAnsi="Times New Roman" w:eastAsia="宋体"/>
          <w:color w:val="auto"/>
          <w:highlight w:val="none"/>
          <w:u w:val="single"/>
        </w:rPr>
        <w:t>日</w:t>
      </w:r>
      <w:r>
        <w:rPr>
          <w:rFonts w:hint="eastAsia" w:ascii="Times New Roman" w:hAnsi="Times New Roman" w:eastAsia="宋体"/>
          <w:color w:val="auto"/>
          <w:highlight w:val="none"/>
          <w:u w:val="single"/>
        </w:rPr>
        <w:t>至</w:t>
      </w:r>
      <w:r>
        <w:rPr>
          <w:rFonts w:ascii="Times New Roman" w:hAnsi="Times New Roman" w:eastAsia="宋体"/>
          <w:color w:val="auto"/>
          <w:highlight w:val="none"/>
          <w:u w:val="single"/>
        </w:rPr>
        <w:t>201</w:t>
      </w:r>
      <w:r>
        <w:rPr>
          <w:rFonts w:hint="eastAsia" w:ascii="Times New Roman" w:hAnsi="Times New Roman" w:eastAsia="宋体"/>
          <w:color w:val="auto"/>
          <w:highlight w:val="none"/>
          <w:u w:val="single"/>
        </w:rPr>
        <w:t>7</w:t>
      </w:r>
      <w:r>
        <w:rPr>
          <w:rFonts w:ascii="Times New Roman" w:hAnsi="Times New Roman" w:eastAsia="宋体"/>
          <w:color w:val="auto"/>
          <w:highlight w:val="none"/>
          <w:u w:val="single"/>
        </w:rPr>
        <w:t>年6月</w:t>
      </w:r>
      <w:r>
        <w:rPr>
          <w:rFonts w:hint="eastAsia" w:ascii="Times New Roman" w:hAnsi="Times New Roman" w:eastAsia="宋体"/>
          <w:color w:val="auto"/>
          <w:highlight w:val="none"/>
          <w:u w:val="single"/>
        </w:rPr>
        <w:t>24</w:t>
      </w:r>
      <w:r>
        <w:rPr>
          <w:rFonts w:ascii="Times New Roman" w:hAnsi="Times New Roman" w:eastAsia="宋体"/>
          <w:color w:val="auto"/>
          <w:highlight w:val="none"/>
          <w:u w:val="single"/>
        </w:rPr>
        <w:t>日</w:t>
      </w:r>
      <w:r>
        <w:rPr>
          <w:rFonts w:hint="eastAsia"/>
          <w:color w:val="auto"/>
          <w:highlight w:val="none"/>
          <w:u w:val="single"/>
          <w:lang w:eastAsia="zh-CN"/>
        </w:rPr>
        <w:t>。</w:t>
      </w:r>
      <w:r>
        <w:rPr>
          <w:rFonts w:hint="eastAsia" w:ascii="Times New Roman" w:hAnsi="Times New Roman" w:eastAsia="宋体" w:cs="Times New Roman"/>
          <w:bCs/>
          <w:color w:val="auto"/>
          <w:szCs w:val="24"/>
          <w:highlight w:val="none"/>
          <w:u w:val="single"/>
        </w:rPr>
        <w:t>原</w:t>
      </w:r>
      <w:r>
        <w:rPr>
          <w:rFonts w:hint="eastAsia" w:ascii="Times New Roman" w:hAnsi="Times New Roman" w:eastAsia="宋体"/>
          <w:color w:val="auto"/>
          <w:highlight w:val="none"/>
          <w:u w:val="single"/>
        </w:rPr>
        <w:t>宏保兴采石场于2009年11月依法取得原三江县国土资源局颁发的采矿许可证，</w:t>
      </w:r>
      <w:r>
        <w:rPr>
          <w:rFonts w:ascii="Times New Roman" w:hAnsi="Times New Roman" w:eastAsia="宋体"/>
          <w:color w:val="auto"/>
          <w:highlight w:val="none"/>
          <w:u w:val="single"/>
        </w:rPr>
        <w:t>有效期</w:t>
      </w:r>
      <w:r>
        <w:rPr>
          <w:rFonts w:hint="eastAsia" w:ascii="Times New Roman" w:hAnsi="Times New Roman" w:eastAsia="宋体"/>
          <w:color w:val="auto"/>
          <w:highlight w:val="none"/>
          <w:u w:val="single"/>
        </w:rPr>
        <w:t>自</w:t>
      </w:r>
      <w:r>
        <w:rPr>
          <w:rFonts w:ascii="Times New Roman" w:hAnsi="Times New Roman" w:eastAsia="宋体"/>
          <w:color w:val="auto"/>
          <w:highlight w:val="none"/>
          <w:u w:val="single"/>
        </w:rPr>
        <w:t>201</w:t>
      </w:r>
      <w:r>
        <w:rPr>
          <w:rFonts w:hint="eastAsia" w:ascii="Times New Roman" w:hAnsi="Times New Roman" w:eastAsia="宋体"/>
          <w:color w:val="auto"/>
          <w:highlight w:val="none"/>
          <w:u w:val="single"/>
        </w:rPr>
        <w:t>3</w:t>
      </w:r>
      <w:r>
        <w:rPr>
          <w:rFonts w:ascii="Times New Roman" w:hAnsi="Times New Roman" w:eastAsia="宋体"/>
          <w:color w:val="auto"/>
          <w:highlight w:val="none"/>
          <w:u w:val="single"/>
        </w:rPr>
        <w:t>年</w:t>
      </w:r>
      <w:r>
        <w:rPr>
          <w:rFonts w:hint="eastAsia" w:ascii="Times New Roman" w:hAnsi="Times New Roman" w:eastAsia="宋体"/>
          <w:color w:val="auto"/>
          <w:highlight w:val="none"/>
          <w:u w:val="single"/>
        </w:rPr>
        <w:t>11</w:t>
      </w:r>
      <w:r>
        <w:rPr>
          <w:rFonts w:ascii="Times New Roman" w:hAnsi="Times New Roman" w:eastAsia="宋体"/>
          <w:color w:val="auto"/>
          <w:highlight w:val="none"/>
          <w:u w:val="single"/>
        </w:rPr>
        <w:t>月</w:t>
      </w:r>
      <w:r>
        <w:rPr>
          <w:rFonts w:hint="eastAsia" w:ascii="Times New Roman" w:hAnsi="Times New Roman" w:eastAsia="宋体"/>
          <w:color w:val="auto"/>
          <w:highlight w:val="none"/>
          <w:u w:val="single"/>
        </w:rPr>
        <w:t>26</w:t>
      </w:r>
      <w:r>
        <w:rPr>
          <w:rFonts w:ascii="Times New Roman" w:hAnsi="Times New Roman" w:eastAsia="宋体"/>
          <w:color w:val="auto"/>
          <w:highlight w:val="none"/>
          <w:u w:val="single"/>
        </w:rPr>
        <w:t>日</w:t>
      </w:r>
      <w:r>
        <w:rPr>
          <w:rFonts w:hint="eastAsia" w:ascii="Times New Roman" w:hAnsi="Times New Roman" w:eastAsia="宋体"/>
          <w:color w:val="auto"/>
          <w:highlight w:val="none"/>
          <w:u w:val="single"/>
        </w:rPr>
        <w:t>至</w:t>
      </w:r>
      <w:r>
        <w:rPr>
          <w:rFonts w:ascii="Times New Roman" w:hAnsi="Times New Roman" w:eastAsia="宋体"/>
          <w:color w:val="auto"/>
          <w:highlight w:val="none"/>
          <w:u w:val="single"/>
        </w:rPr>
        <w:t>201</w:t>
      </w:r>
      <w:r>
        <w:rPr>
          <w:rFonts w:hint="eastAsia" w:ascii="Times New Roman" w:hAnsi="Times New Roman" w:eastAsia="宋体"/>
          <w:color w:val="auto"/>
          <w:highlight w:val="none"/>
          <w:u w:val="single"/>
        </w:rPr>
        <w:t>4</w:t>
      </w:r>
      <w:r>
        <w:rPr>
          <w:rFonts w:ascii="Times New Roman" w:hAnsi="Times New Roman" w:eastAsia="宋体"/>
          <w:color w:val="auto"/>
          <w:highlight w:val="none"/>
          <w:u w:val="single"/>
        </w:rPr>
        <w:t>年</w:t>
      </w:r>
      <w:r>
        <w:rPr>
          <w:rFonts w:hint="eastAsia" w:ascii="Times New Roman" w:hAnsi="Times New Roman" w:eastAsia="宋体"/>
          <w:color w:val="auto"/>
          <w:highlight w:val="none"/>
          <w:u w:val="single"/>
        </w:rPr>
        <w:t>11</w:t>
      </w:r>
      <w:r>
        <w:rPr>
          <w:rFonts w:ascii="Times New Roman" w:hAnsi="Times New Roman" w:eastAsia="宋体"/>
          <w:color w:val="auto"/>
          <w:highlight w:val="none"/>
          <w:u w:val="single"/>
        </w:rPr>
        <w:t>月</w:t>
      </w:r>
      <w:r>
        <w:rPr>
          <w:rFonts w:hint="eastAsia" w:ascii="Times New Roman" w:hAnsi="Times New Roman" w:eastAsia="宋体"/>
          <w:color w:val="auto"/>
          <w:highlight w:val="none"/>
          <w:u w:val="single"/>
        </w:rPr>
        <w:t>26</w:t>
      </w:r>
      <w:r>
        <w:rPr>
          <w:rFonts w:ascii="Times New Roman" w:hAnsi="Times New Roman" w:eastAsia="宋体"/>
          <w:color w:val="auto"/>
          <w:highlight w:val="none"/>
          <w:u w:val="single"/>
        </w:rPr>
        <w:t>日</w:t>
      </w:r>
      <w:r>
        <w:rPr>
          <w:rFonts w:hint="eastAsia"/>
          <w:color w:val="auto"/>
          <w:highlight w:val="none"/>
          <w:u w:val="single"/>
          <w:lang w:eastAsia="zh-CN"/>
        </w:rPr>
        <w:t>。</w:t>
      </w:r>
      <w:r>
        <w:rPr>
          <w:rFonts w:hint="eastAsia"/>
          <w:color w:val="auto"/>
          <w:highlight w:val="none"/>
          <w:u w:val="single"/>
          <w:lang w:val="en-US" w:eastAsia="zh-CN"/>
        </w:rPr>
        <w:t>2处矿山采矿许可证到期后均未延续。</w:t>
      </w:r>
    </w:p>
    <w:p>
      <w:pPr>
        <w:ind w:firstLine="480"/>
        <w:rPr>
          <w:rFonts w:ascii="Times New Roman" w:hAnsi="Times New Roman" w:eastAsia="宋体" w:cs="Times New Roman"/>
          <w:color w:val="auto"/>
          <w:highlight w:val="none"/>
          <w:u w:val="single"/>
        </w:rPr>
      </w:pPr>
      <w:r>
        <w:rPr>
          <w:rFonts w:ascii="Times New Roman" w:hAnsi="Times New Roman" w:eastAsia="宋体" w:cs="Times New Roman"/>
          <w:color w:val="auto"/>
          <w:szCs w:val="24"/>
          <w:highlight w:val="none"/>
          <w:u w:val="single"/>
        </w:rPr>
        <w:t>为规范矿产资源管理和实现资源优化配置，</w:t>
      </w:r>
      <w:r>
        <w:rPr>
          <w:rFonts w:hint="eastAsia" w:ascii="Times New Roman" w:hAnsi="Times New Roman" w:eastAsia="宋体" w:cs="Times New Roman"/>
          <w:color w:val="auto"/>
          <w:szCs w:val="24"/>
          <w:highlight w:val="none"/>
          <w:u w:val="single"/>
        </w:rPr>
        <w:t>三江侗族自治县</w:t>
      </w:r>
      <w:r>
        <w:rPr>
          <w:rFonts w:hint="eastAsia" w:ascii="Times New Roman" w:hAnsi="Times New Roman" w:cs="Times New Roman"/>
          <w:color w:val="auto"/>
          <w:szCs w:val="24"/>
          <w:highlight w:val="none"/>
          <w:u w:val="single"/>
          <w:lang w:val="en-US" w:eastAsia="zh-CN"/>
        </w:rPr>
        <w:t>自然资源和规划局</w:t>
      </w:r>
      <w:r>
        <w:rPr>
          <w:rFonts w:ascii="Times New Roman" w:hAnsi="Times New Roman" w:eastAsia="宋体" w:cs="Times New Roman"/>
          <w:color w:val="auto"/>
          <w:szCs w:val="24"/>
          <w:highlight w:val="none"/>
          <w:u w:val="single"/>
        </w:rPr>
        <w:t>对辖区内的矿产资源开发进行整合</w:t>
      </w:r>
      <w:r>
        <w:rPr>
          <w:rFonts w:hint="eastAsia" w:ascii="Times New Roman" w:hAnsi="Times New Roman" w:cs="Times New Roman"/>
          <w:color w:val="auto"/>
          <w:szCs w:val="24"/>
          <w:highlight w:val="none"/>
          <w:u w:val="single"/>
          <w:lang w:eastAsia="zh-CN"/>
        </w:rPr>
        <w:t>，</w:t>
      </w:r>
      <w:r>
        <w:rPr>
          <w:rFonts w:hint="eastAsia" w:ascii="Times New Roman" w:hAnsi="Times New Roman" w:cs="Times New Roman"/>
          <w:color w:val="auto"/>
          <w:szCs w:val="24"/>
          <w:highlight w:val="none"/>
          <w:u w:val="single"/>
          <w:lang w:val="en-US" w:eastAsia="zh-CN"/>
        </w:rPr>
        <w:t>将</w:t>
      </w:r>
      <w:r>
        <w:rPr>
          <w:rFonts w:hint="eastAsia" w:ascii="Times New Roman" w:hAnsi="Times New Roman" w:eastAsia="宋体" w:cs="Times New Roman"/>
          <w:color w:val="auto"/>
          <w:kern w:val="0"/>
          <w:szCs w:val="24"/>
          <w:highlight w:val="none"/>
          <w:u w:val="single"/>
        </w:rPr>
        <w:t>原</w:t>
      </w:r>
      <w:r>
        <w:rPr>
          <w:rFonts w:hint="eastAsia" w:ascii="Times New Roman" w:hAnsi="Times New Roman" w:eastAsia="宋体" w:cs="Times New Roman"/>
          <w:color w:val="auto"/>
          <w:highlight w:val="none"/>
          <w:u w:val="single"/>
        </w:rPr>
        <w:t>海江采石场和</w:t>
      </w:r>
      <w:r>
        <w:rPr>
          <w:rFonts w:hint="eastAsia" w:ascii="Times New Roman" w:hAnsi="Times New Roman" w:eastAsia="宋体" w:cs="Times New Roman"/>
          <w:color w:val="auto"/>
          <w:kern w:val="0"/>
          <w:szCs w:val="24"/>
          <w:highlight w:val="none"/>
          <w:u w:val="single"/>
        </w:rPr>
        <w:t>原</w:t>
      </w:r>
      <w:r>
        <w:rPr>
          <w:rFonts w:hint="eastAsia" w:ascii="Times New Roman" w:hAnsi="Times New Roman" w:eastAsia="宋体" w:cs="Times New Roman"/>
          <w:color w:val="auto"/>
          <w:highlight w:val="none"/>
          <w:u w:val="single"/>
        </w:rPr>
        <w:t>宏保兴采石场2个采石场整合</w:t>
      </w:r>
      <w:r>
        <w:rPr>
          <w:rFonts w:hint="eastAsia" w:cs="Times New Roman"/>
          <w:color w:val="auto"/>
          <w:highlight w:val="none"/>
          <w:u w:val="single"/>
          <w:lang w:val="en-US" w:eastAsia="zh-CN"/>
        </w:rPr>
        <w:t>为</w:t>
      </w:r>
      <w:r>
        <w:rPr>
          <w:rFonts w:hint="eastAsia"/>
          <w:color w:val="auto"/>
          <w:highlight w:val="none"/>
          <w:u w:val="single"/>
          <w:lang w:val="en-US" w:eastAsia="zh-CN"/>
        </w:rPr>
        <w:t>三江县宏源采石场</w:t>
      </w:r>
      <w:r>
        <w:rPr>
          <w:rFonts w:ascii="Times New Roman" w:hAnsi="Times New Roman" w:eastAsia="宋体" w:cs="Times New Roman"/>
          <w:color w:val="auto"/>
          <w:szCs w:val="24"/>
          <w:highlight w:val="none"/>
          <w:u w:val="single"/>
        </w:rPr>
        <w:t>。</w:t>
      </w:r>
      <w:r>
        <w:rPr>
          <w:rFonts w:hint="eastAsia"/>
          <w:color w:val="auto"/>
          <w:highlight w:val="none"/>
          <w:u w:val="single"/>
          <w:lang w:val="en-US" w:eastAsia="zh-CN"/>
        </w:rPr>
        <w:t>2019年1月三江县人民政府通过《三江侗族自治县人民政府关于三江县宏源采石场硅质岩矿采矿权挂牌出让方案的批复》（三政函〔2019〕45号）（附件12），三江县鑫贝矿业有限公司于2019年3月通过竞标方式获得三江县宏源采石场开采权。整合后</w:t>
      </w:r>
      <w:r>
        <w:rPr>
          <w:rFonts w:hint="eastAsia" w:ascii="Times New Roman" w:hAnsi="Times New Roman" w:eastAsia="宋体" w:cs="Times New Roman"/>
          <w:color w:val="auto"/>
          <w:highlight w:val="none"/>
          <w:u w:val="single"/>
        </w:rPr>
        <w:t>矿山</w:t>
      </w:r>
      <w:r>
        <w:rPr>
          <w:rFonts w:ascii="Times New Roman" w:hAnsi="Times New Roman" w:eastAsia="宋体" w:cs="Times New Roman"/>
          <w:color w:val="auto"/>
          <w:highlight w:val="none"/>
          <w:u w:val="single"/>
        </w:rPr>
        <w:t>位于三江县</w:t>
      </w:r>
      <w:r>
        <w:rPr>
          <w:rFonts w:hint="eastAsia" w:ascii="Times New Roman" w:hAnsi="Times New Roman" w:eastAsia="宋体" w:cs="Times New Roman"/>
          <w:color w:val="auto"/>
          <w:highlight w:val="none"/>
          <w:u w:val="single"/>
          <w:lang w:val="en-US" w:eastAsia="zh-CN"/>
        </w:rPr>
        <w:t>斗江镇东坪村东恒屯</w:t>
      </w:r>
      <w:r>
        <w:rPr>
          <w:rFonts w:ascii="Times New Roman" w:hAnsi="Times New Roman" w:eastAsia="宋体" w:cs="Times New Roman"/>
          <w:color w:val="auto"/>
          <w:highlight w:val="none"/>
          <w:u w:val="single"/>
        </w:rPr>
        <w:t>，行政区划隶属三江县斗江镇管辖。</w:t>
      </w:r>
    </w:p>
    <w:p>
      <w:pPr>
        <w:ind w:firstLine="480"/>
        <w:rPr>
          <w:rFonts w:ascii="Times New Roman" w:hAnsi="Times New Roman" w:eastAsia="宋体" w:cs="Times New Roman"/>
          <w:color w:val="auto"/>
          <w:szCs w:val="24"/>
          <w:highlight w:val="none"/>
          <w:u w:val="single"/>
        </w:rPr>
      </w:pPr>
      <w:r>
        <w:rPr>
          <w:rFonts w:ascii="Times New Roman" w:hAnsi="Times New Roman" w:eastAsia="宋体" w:cs="Times New Roman"/>
          <w:color w:val="auto"/>
          <w:szCs w:val="24"/>
          <w:highlight w:val="none"/>
          <w:u w:val="single"/>
        </w:rPr>
        <w:t>整合</w:t>
      </w:r>
      <w:r>
        <w:rPr>
          <w:rFonts w:hint="eastAsia" w:ascii="Times New Roman" w:hAnsi="Times New Roman" w:eastAsia="宋体" w:cs="Times New Roman"/>
          <w:color w:val="auto"/>
          <w:szCs w:val="24"/>
          <w:highlight w:val="none"/>
          <w:u w:val="single"/>
        </w:rPr>
        <w:t>后</w:t>
      </w:r>
      <w:r>
        <w:rPr>
          <w:rFonts w:ascii="Times New Roman" w:hAnsi="Times New Roman" w:eastAsia="宋体" w:cs="Times New Roman"/>
          <w:color w:val="auto"/>
          <w:szCs w:val="24"/>
          <w:highlight w:val="none"/>
          <w:u w:val="single"/>
        </w:rPr>
        <w:t>矿区由整合主体三江县鑫贝矿业有限公司进行统一开发，矿区面积为0.</w:t>
      </w:r>
      <w:r>
        <w:rPr>
          <w:rFonts w:hint="eastAsia" w:ascii="Times New Roman" w:hAnsi="Times New Roman" w:eastAsia="宋体" w:cs="Times New Roman"/>
          <w:color w:val="auto"/>
          <w:szCs w:val="24"/>
          <w:highlight w:val="none"/>
          <w:u w:val="single"/>
        </w:rPr>
        <w:t>1598km</w:t>
      </w:r>
      <w:r>
        <w:rPr>
          <w:rFonts w:hint="eastAsia" w:ascii="Times New Roman" w:hAnsi="Times New Roman" w:eastAsia="宋体" w:cs="Times New Roman"/>
          <w:color w:val="auto"/>
          <w:szCs w:val="24"/>
          <w:highlight w:val="none"/>
          <w:u w:val="single"/>
          <w:vertAlign w:val="superscript"/>
        </w:rPr>
        <w:t>2</w:t>
      </w:r>
      <w:r>
        <w:rPr>
          <w:rFonts w:ascii="Times New Roman" w:hAnsi="Times New Roman" w:eastAsia="宋体" w:cs="Times New Roman"/>
          <w:color w:val="auto"/>
          <w:szCs w:val="24"/>
          <w:highlight w:val="none"/>
          <w:u w:val="single"/>
        </w:rPr>
        <w:t>，矿区范围由</w:t>
      </w:r>
      <w:r>
        <w:rPr>
          <w:rFonts w:hint="eastAsia" w:ascii="Times New Roman" w:hAnsi="Times New Roman" w:eastAsia="宋体" w:cs="Times New Roman"/>
          <w:color w:val="auto"/>
          <w:szCs w:val="24"/>
          <w:highlight w:val="none"/>
          <w:u w:val="single"/>
        </w:rPr>
        <w:t>6</w:t>
      </w:r>
      <w:r>
        <w:rPr>
          <w:rFonts w:ascii="Times New Roman" w:hAnsi="Times New Roman" w:eastAsia="宋体" w:cs="Times New Roman"/>
          <w:color w:val="auto"/>
          <w:szCs w:val="24"/>
          <w:highlight w:val="none"/>
          <w:u w:val="single"/>
        </w:rPr>
        <w:t>个拐点组成，矿区</w:t>
      </w:r>
      <w:r>
        <w:rPr>
          <w:rFonts w:hint="eastAsia" w:ascii="Times New Roman" w:hAnsi="Times New Roman" w:eastAsia="宋体" w:cs="Times New Roman"/>
          <w:color w:val="auto"/>
          <w:szCs w:val="24"/>
          <w:highlight w:val="none"/>
          <w:u w:val="single"/>
        </w:rPr>
        <w:t>中心</w:t>
      </w:r>
      <w:r>
        <w:rPr>
          <w:rFonts w:ascii="Times New Roman" w:hAnsi="Times New Roman" w:eastAsia="宋体" w:cs="Times New Roman"/>
          <w:color w:val="auto"/>
          <w:szCs w:val="24"/>
          <w:highlight w:val="none"/>
          <w:u w:val="single"/>
        </w:rPr>
        <w:t>地理坐标为：</w:t>
      </w:r>
      <w:r>
        <w:rPr>
          <w:rFonts w:hint="eastAsia" w:ascii="Times New Roman" w:hAnsi="Times New Roman" w:eastAsia="宋体" w:cs="Times New Roman"/>
          <w:color w:val="auto"/>
          <w:szCs w:val="24"/>
          <w:highlight w:val="none"/>
          <w:u w:val="single"/>
        </w:rPr>
        <w:t>109.704875</w:t>
      </w:r>
      <w:r>
        <w:rPr>
          <w:rFonts w:ascii="Times New Roman" w:hAnsi="Times New Roman" w:eastAsia="宋体" w:cs="Times New Roman"/>
          <w:color w:val="auto"/>
          <w:szCs w:val="24"/>
          <w:highlight w:val="none"/>
          <w:u w:val="single"/>
        </w:rPr>
        <w:t>°E，</w:t>
      </w:r>
      <w:r>
        <w:rPr>
          <w:rFonts w:hint="eastAsia" w:ascii="Times New Roman" w:hAnsi="Times New Roman" w:eastAsia="宋体" w:cs="Times New Roman"/>
          <w:color w:val="auto"/>
          <w:szCs w:val="24"/>
          <w:highlight w:val="none"/>
          <w:u w:val="single"/>
        </w:rPr>
        <w:t>25.757735</w:t>
      </w:r>
      <w:r>
        <w:rPr>
          <w:rFonts w:ascii="Times New Roman" w:hAnsi="Times New Roman" w:eastAsia="宋体" w:cs="Times New Roman"/>
          <w:color w:val="auto"/>
          <w:szCs w:val="24"/>
          <w:highlight w:val="none"/>
          <w:u w:val="single"/>
        </w:rPr>
        <w:t>°N，开采深度为+</w:t>
      </w:r>
      <w:r>
        <w:rPr>
          <w:rFonts w:hint="eastAsia" w:ascii="Times New Roman" w:hAnsi="Times New Roman" w:eastAsia="宋体" w:cs="Times New Roman"/>
          <w:color w:val="auto"/>
          <w:szCs w:val="24"/>
          <w:highlight w:val="none"/>
          <w:u w:val="single"/>
        </w:rPr>
        <w:t>447</w:t>
      </w:r>
      <w:r>
        <w:rPr>
          <w:rFonts w:ascii="Times New Roman" w:hAnsi="Times New Roman" w:eastAsia="宋体" w:cs="Times New Roman"/>
          <w:color w:val="auto"/>
          <w:szCs w:val="24"/>
          <w:highlight w:val="none"/>
          <w:u w:val="single"/>
        </w:rPr>
        <w:t>m～+</w:t>
      </w:r>
      <w:r>
        <w:rPr>
          <w:rFonts w:hint="eastAsia" w:ascii="Times New Roman" w:hAnsi="Times New Roman" w:eastAsia="宋体" w:cs="Times New Roman"/>
          <w:color w:val="auto"/>
          <w:szCs w:val="24"/>
          <w:highlight w:val="none"/>
          <w:u w:val="single"/>
        </w:rPr>
        <w:t>227</w:t>
      </w:r>
      <w:r>
        <w:rPr>
          <w:rFonts w:ascii="Times New Roman" w:hAnsi="Times New Roman" w:eastAsia="宋体" w:cs="Times New Roman"/>
          <w:color w:val="auto"/>
          <w:szCs w:val="24"/>
          <w:highlight w:val="none"/>
          <w:u w:val="single"/>
        </w:rPr>
        <w:t>m标高，</w:t>
      </w:r>
      <w:r>
        <w:rPr>
          <w:rFonts w:hint="eastAsia" w:ascii="Times New Roman" w:hAnsi="Times New Roman" w:eastAsia="宋体" w:cs="Times New Roman"/>
          <w:color w:val="auto"/>
          <w:szCs w:val="24"/>
          <w:highlight w:val="none"/>
          <w:u w:val="single"/>
        </w:rPr>
        <w:t>开采矿种为建筑用砂岩，开采方式为露天开采，</w:t>
      </w:r>
      <w:r>
        <w:rPr>
          <w:rFonts w:ascii="Times New Roman" w:hAnsi="Times New Roman" w:eastAsia="宋体" w:cs="Times New Roman"/>
          <w:color w:val="auto"/>
          <w:szCs w:val="24"/>
          <w:highlight w:val="none"/>
          <w:u w:val="single"/>
        </w:rPr>
        <w:t>矿山拟</w:t>
      </w:r>
      <w:r>
        <w:rPr>
          <w:rFonts w:hint="eastAsia" w:ascii="Times New Roman" w:hAnsi="Times New Roman" w:eastAsia="宋体" w:cs="Times New Roman"/>
          <w:color w:val="auto"/>
          <w:szCs w:val="24"/>
          <w:highlight w:val="none"/>
          <w:u w:val="single"/>
        </w:rPr>
        <w:t>设置2条</w:t>
      </w:r>
      <w:r>
        <w:rPr>
          <w:rFonts w:hint="eastAsia" w:cs="Times New Roman"/>
          <w:color w:val="auto"/>
          <w:szCs w:val="24"/>
          <w:highlight w:val="none"/>
          <w:u w:val="single"/>
          <w:lang w:val="en-US" w:eastAsia="zh-CN"/>
        </w:rPr>
        <w:t>破碎筛分</w:t>
      </w:r>
      <w:r>
        <w:rPr>
          <w:rFonts w:hint="eastAsia" w:ascii="Times New Roman" w:hAnsi="Times New Roman" w:eastAsia="宋体" w:cs="Times New Roman"/>
          <w:color w:val="auto"/>
          <w:szCs w:val="24"/>
          <w:highlight w:val="none"/>
          <w:u w:val="single"/>
        </w:rPr>
        <w:t>生产线，</w:t>
      </w:r>
      <w:r>
        <w:rPr>
          <w:rFonts w:ascii="Times New Roman" w:hAnsi="Times New Roman" w:eastAsia="宋体" w:cs="Times New Roman"/>
          <w:color w:val="auto"/>
          <w:szCs w:val="24"/>
          <w:highlight w:val="none"/>
          <w:u w:val="single"/>
        </w:rPr>
        <w:t>生产规模</w:t>
      </w:r>
      <w:r>
        <w:rPr>
          <w:rFonts w:hint="eastAsia" w:ascii="Times New Roman" w:hAnsi="Times New Roman" w:eastAsia="宋体" w:cs="Times New Roman"/>
          <w:color w:val="auto"/>
          <w:szCs w:val="24"/>
          <w:highlight w:val="none"/>
          <w:u w:val="single"/>
        </w:rPr>
        <w:t>5</w:t>
      </w:r>
      <w:r>
        <w:rPr>
          <w:rFonts w:ascii="Times New Roman" w:hAnsi="Times New Roman" w:eastAsia="宋体" w:cs="Times New Roman"/>
          <w:color w:val="auto"/>
          <w:szCs w:val="24"/>
          <w:highlight w:val="none"/>
          <w:u w:val="single"/>
        </w:rPr>
        <w:t>0万t/</w:t>
      </w:r>
      <w:r>
        <w:rPr>
          <w:rFonts w:hint="eastAsia" w:ascii="Times New Roman" w:hAnsi="Times New Roman" w:eastAsia="宋体" w:cs="Times New Roman"/>
          <w:color w:val="auto"/>
          <w:szCs w:val="24"/>
          <w:highlight w:val="none"/>
          <w:u w:val="single"/>
        </w:rPr>
        <w:t>a（20.83万m</w:t>
      </w:r>
      <w:r>
        <w:rPr>
          <w:rFonts w:hint="eastAsia" w:ascii="Times New Roman" w:hAnsi="Times New Roman" w:eastAsia="宋体" w:cs="Times New Roman"/>
          <w:color w:val="auto"/>
          <w:szCs w:val="24"/>
          <w:highlight w:val="none"/>
          <w:u w:val="single"/>
          <w:vertAlign w:val="superscript"/>
        </w:rPr>
        <w:t>3</w:t>
      </w:r>
      <w:r>
        <w:rPr>
          <w:rFonts w:hint="eastAsia" w:ascii="Times New Roman" w:hAnsi="Times New Roman" w:eastAsia="宋体" w:cs="Times New Roman"/>
          <w:color w:val="auto"/>
          <w:szCs w:val="24"/>
          <w:highlight w:val="none"/>
          <w:u w:val="single"/>
        </w:rPr>
        <w:t>/a）</w:t>
      </w:r>
      <w:r>
        <w:rPr>
          <w:rFonts w:hint="eastAsia" w:cs="Times New Roman"/>
          <w:color w:val="auto"/>
          <w:szCs w:val="24"/>
          <w:highlight w:val="none"/>
          <w:u w:val="single"/>
          <w:lang w:eastAsia="zh-CN"/>
        </w:rPr>
        <w:t>，</w:t>
      </w:r>
      <w:r>
        <w:rPr>
          <w:rFonts w:hint="eastAsia" w:ascii="Times New Roman" w:hAnsi="Times New Roman" w:eastAsia="宋体" w:cs="Times New Roman"/>
          <w:color w:val="auto"/>
          <w:szCs w:val="24"/>
          <w:highlight w:val="none"/>
          <w:u w:val="single"/>
        </w:rPr>
        <w:t>可开采</w:t>
      </w:r>
      <w:r>
        <w:rPr>
          <w:rFonts w:ascii="Times New Roman" w:hAnsi="Times New Roman" w:eastAsia="宋体" w:cs="Times New Roman"/>
          <w:color w:val="auto"/>
          <w:szCs w:val="24"/>
          <w:highlight w:val="none"/>
          <w:u w:val="single"/>
        </w:rPr>
        <w:t>服务年限为</w:t>
      </w:r>
      <w:r>
        <w:rPr>
          <w:rFonts w:hint="eastAsia" w:ascii="Times New Roman" w:hAnsi="Times New Roman" w:eastAsia="宋体" w:cs="Times New Roman"/>
          <w:color w:val="auto"/>
          <w:szCs w:val="24"/>
          <w:highlight w:val="none"/>
          <w:u w:val="single"/>
        </w:rPr>
        <w:t>2</w:t>
      </w:r>
      <w:r>
        <w:rPr>
          <w:rFonts w:hint="eastAsia" w:cs="Times New Roman"/>
          <w:color w:val="auto"/>
          <w:szCs w:val="24"/>
          <w:highlight w:val="none"/>
          <w:u w:val="single"/>
          <w:lang w:val="en-US" w:eastAsia="zh-CN"/>
        </w:rPr>
        <w:t>8</w:t>
      </w:r>
      <w:r>
        <w:rPr>
          <w:rFonts w:ascii="Times New Roman" w:hAnsi="Times New Roman" w:eastAsia="宋体" w:cs="Times New Roman"/>
          <w:color w:val="auto"/>
          <w:szCs w:val="24"/>
          <w:highlight w:val="none"/>
          <w:u w:val="single"/>
        </w:rPr>
        <w:t>年，项目总投资</w:t>
      </w:r>
      <w:r>
        <w:rPr>
          <w:rFonts w:hint="eastAsia" w:ascii="Times New Roman" w:hAnsi="Times New Roman" w:eastAsia="宋体" w:cs="Times New Roman"/>
          <w:color w:val="auto"/>
          <w:szCs w:val="24"/>
          <w:highlight w:val="none"/>
          <w:u w:val="single"/>
        </w:rPr>
        <w:t>53</w:t>
      </w:r>
      <w:r>
        <w:rPr>
          <w:rFonts w:ascii="Times New Roman" w:hAnsi="Times New Roman" w:eastAsia="宋体" w:cs="Times New Roman"/>
          <w:color w:val="auto"/>
          <w:szCs w:val="24"/>
          <w:highlight w:val="none"/>
          <w:u w:val="single"/>
        </w:rPr>
        <w:t>0万元。</w:t>
      </w:r>
    </w:p>
    <w:p>
      <w:pPr>
        <w:ind w:firstLine="480"/>
        <w:rPr>
          <w:rFonts w:hint="default" w:ascii="Times New Roman" w:hAnsi="Times New Roman" w:eastAsia="宋体" w:cs="Times New Roman"/>
          <w:color w:val="auto"/>
          <w:szCs w:val="24"/>
          <w:highlight w:val="none"/>
          <w:u w:val="single"/>
          <w:lang w:val="en-US" w:eastAsia="zh-CN"/>
        </w:rPr>
      </w:pPr>
      <w:r>
        <w:rPr>
          <w:rFonts w:hint="eastAsia" w:ascii="Times New Roman" w:hAnsi="Times New Roman" w:cs="Times New Roman"/>
          <w:color w:val="auto"/>
          <w:szCs w:val="24"/>
          <w:highlight w:val="none"/>
          <w:u w:val="single"/>
          <w:lang w:val="en-US" w:eastAsia="zh-CN"/>
        </w:rPr>
        <w:t>整合前原</w:t>
      </w:r>
      <w:r>
        <w:rPr>
          <w:rFonts w:hint="eastAsia" w:ascii="Times New Roman" w:hAnsi="Times New Roman" w:eastAsia="宋体" w:cs="Times New Roman"/>
          <w:color w:val="auto"/>
          <w:highlight w:val="none"/>
          <w:u w:val="single"/>
        </w:rPr>
        <w:t>宏保兴采石场</w:t>
      </w:r>
      <w:r>
        <w:rPr>
          <w:rFonts w:hint="eastAsia" w:ascii="Times New Roman" w:hAnsi="Times New Roman" w:cs="Times New Roman"/>
          <w:color w:val="auto"/>
          <w:highlight w:val="none"/>
          <w:u w:val="single"/>
          <w:lang w:val="en-US" w:eastAsia="zh-CN"/>
        </w:rPr>
        <w:t>开采过程非法占用农用地和国家</w:t>
      </w:r>
      <w:r>
        <w:rPr>
          <w:rFonts w:hint="eastAsia" w:ascii="宋体" w:hAnsi="宋体" w:eastAsia="宋体" w:cs="宋体"/>
          <w:color w:val="auto"/>
          <w:highlight w:val="none"/>
          <w:u w:val="single"/>
          <w:lang w:val="en-US" w:eastAsia="zh-CN"/>
        </w:rPr>
        <w:t>Ⅱ</w:t>
      </w:r>
      <w:r>
        <w:rPr>
          <w:rFonts w:hint="eastAsia" w:ascii="Times New Roman" w:hAnsi="Times New Roman" w:cs="Times New Roman"/>
          <w:color w:val="auto"/>
          <w:highlight w:val="none"/>
          <w:u w:val="single"/>
          <w:lang w:val="en-US" w:eastAsia="zh-CN"/>
        </w:rPr>
        <w:t>级重点公益林，经核实确认，被非法占用的林地面积为2.7854hm</w:t>
      </w:r>
      <w:r>
        <w:rPr>
          <w:rFonts w:hint="eastAsia" w:ascii="Times New Roman" w:hAnsi="Times New Roman" w:cs="Times New Roman"/>
          <w:color w:val="auto"/>
          <w:highlight w:val="none"/>
          <w:u w:val="single"/>
          <w:vertAlign w:val="superscript"/>
          <w:lang w:val="en-US" w:eastAsia="zh-CN"/>
        </w:rPr>
        <w:t>2</w:t>
      </w:r>
      <w:r>
        <w:rPr>
          <w:rFonts w:hint="eastAsia" w:ascii="Times New Roman" w:hAnsi="Times New Roman" w:cs="Times New Roman"/>
          <w:color w:val="auto"/>
          <w:highlight w:val="none"/>
          <w:u w:val="single"/>
          <w:lang w:val="en-US" w:eastAsia="zh-CN"/>
        </w:rPr>
        <w:t>，该案件已由三江侗族自治县人民法院下达刑事判决书，案件责任人已缴清罚金，该案件已办结（附件13）。</w:t>
      </w:r>
    </w:p>
    <w:p>
      <w:pPr>
        <w:ind w:firstLine="480"/>
        <w:rPr>
          <w:rFonts w:hint="eastAsia" w:ascii="Times New Roman" w:hAnsi="Times New Roman" w:eastAsia="宋体"/>
          <w:color w:val="auto"/>
          <w:highlight w:val="none"/>
        </w:rPr>
      </w:pPr>
      <w:r>
        <w:rPr>
          <w:rFonts w:ascii="Times New Roman" w:hAnsi="Times New Roman" w:eastAsia="宋体" w:cs="Times New Roman"/>
          <w:color w:val="auto"/>
          <w:szCs w:val="24"/>
          <w:highlight w:val="none"/>
        </w:rPr>
        <w:t>项目运营期排放的主要污染物为颗粒物，矿石开采过程采用湿式作业，各工序设置洒水降尘措施，场地配置洒水车定期洒水降尘。项目</w:t>
      </w:r>
      <w:r>
        <w:rPr>
          <w:rFonts w:hint="eastAsia"/>
          <w:color w:val="auto"/>
          <w:highlight w:val="none"/>
          <w:u w:val="single"/>
          <w:lang w:eastAsia="zh-CN"/>
        </w:rPr>
        <w:t>破碎场①</w:t>
      </w:r>
      <w:r>
        <w:rPr>
          <w:rFonts w:hint="eastAsia" w:ascii="Times New Roman" w:hAnsi="Times New Roman" w:eastAsia="宋体" w:cs="Times New Roman"/>
          <w:color w:val="auto"/>
          <w:szCs w:val="24"/>
          <w:highlight w:val="none"/>
          <w:u w:val="single"/>
        </w:rPr>
        <w:t>、</w:t>
      </w:r>
      <w:r>
        <w:rPr>
          <w:rFonts w:hint="eastAsia" w:cs="Times New Roman"/>
          <w:color w:val="auto"/>
          <w:szCs w:val="24"/>
          <w:highlight w:val="none"/>
          <w:u w:val="single"/>
          <w:lang w:eastAsia="zh-CN"/>
        </w:rPr>
        <w:t>破碎场②</w:t>
      </w:r>
      <w:r>
        <w:rPr>
          <w:rFonts w:hint="eastAsia" w:ascii="Times New Roman" w:hAnsi="Times New Roman" w:eastAsia="宋体" w:cs="Times New Roman"/>
          <w:color w:val="auto"/>
          <w:szCs w:val="24"/>
          <w:highlight w:val="none"/>
        </w:rPr>
        <w:t>筛选</w:t>
      </w:r>
      <w:r>
        <w:rPr>
          <w:rFonts w:ascii="Times New Roman" w:hAnsi="Times New Roman" w:eastAsia="宋体" w:cs="Times New Roman"/>
          <w:color w:val="auto"/>
          <w:szCs w:val="24"/>
          <w:highlight w:val="none"/>
        </w:rPr>
        <w:t>破碎、</w:t>
      </w:r>
      <w:r>
        <w:rPr>
          <w:rFonts w:hint="eastAsia" w:ascii="Times New Roman" w:hAnsi="Times New Roman" w:eastAsia="宋体" w:cs="Times New Roman"/>
          <w:color w:val="auto"/>
          <w:szCs w:val="24"/>
          <w:highlight w:val="none"/>
        </w:rPr>
        <w:t>二级破碎</w:t>
      </w:r>
      <w:r>
        <w:rPr>
          <w:rFonts w:ascii="Times New Roman" w:hAnsi="Times New Roman" w:eastAsia="宋体" w:cs="Times New Roman"/>
          <w:color w:val="auto"/>
          <w:szCs w:val="24"/>
          <w:highlight w:val="none"/>
        </w:rPr>
        <w:t>筛分、</w:t>
      </w:r>
      <w:r>
        <w:rPr>
          <w:rFonts w:hint="eastAsia" w:ascii="Times New Roman" w:hAnsi="Times New Roman" w:eastAsia="宋体" w:cs="Times New Roman"/>
          <w:color w:val="auto"/>
          <w:szCs w:val="24"/>
          <w:highlight w:val="none"/>
        </w:rPr>
        <w:t>三级破碎</w:t>
      </w:r>
      <w:r>
        <w:rPr>
          <w:rFonts w:ascii="Times New Roman" w:hAnsi="Times New Roman" w:eastAsia="宋体" w:cs="Times New Roman"/>
          <w:color w:val="auto"/>
          <w:szCs w:val="24"/>
          <w:highlight w:val="none"/>
        </w:rPr>
        <w:t>筛分工序分别设置1套</w:t>
      </w:r>
      <w:r>
        <w:rPr>
          <w:rFonts w:hint="eastAsia" w:ascii="Times New Roman" w:hAnsi="Times New Roman" w:eastAsia="宋体" w:cs="Times New Roman"/>
          <w:color w:val="auto"/>
          <w:szCs w:val="24"/>
          <w:highlight w:val="none"/>
          <w:lang w:val="en-US" w:eastAsia="zh-CN"/>
        </w:rPr>
        <w:t>喷淋</w:t>
      </w:r>
      <w:r>
        <w:rPr>
          <w:rFonts w:hint="eastAsia" w:ascii="Times New Roman" w:hAnsi="Times New Roman" w:eastAsia="宋体" w:cs="Times New Roman"/>
          <w:color w:val="auto"/>
          <w:szCs w:val="24"/>
          <w:highlight w:val="none"/>
        </w:rPr>
        <w:t>+封闭+负压收集+袋式除尘器除尘设施</w:t>
      </w:r>
      <w:r>
        <w:rPr>
          <w:rFonts w:ascii="Times New Roman" w:hAnsi="Times New Roman" w:eastAsia="宋体" w:cs="Times New Roman"/>
          <w:color w:val="auto"/>
          <w:szCs w:val="24"/>
          <w:highlight w:val="none"/>
        </w:rPr>
        <w:t>，颗粒物经处理后达标排放；</w:t>
      </w:r>
      <w:r>
        <w:rPr>
          <w:rFonts w:hint="eastAsia" w:ascii="Times New Roman" w:hAnsi="Times New Roman" w:eastAsia="宋体" w:cs="Times New Roman"/>
          <w:color w:val="auto"/>
          <w:szCs w:val="24"/>
          <w:highlight w:val="none"/>
        </w:rPr>
        <w:t>破碎筛分区、堆料场和运输道路地面硬化处理，石粉堆场建设厂棚；堆料场覆盖防尘网，临时排土场设置</w:t>
      </w:r>
      <w:r>
        <w:rPr>
          <w:rFonts w:ascii="Times New Roman" w:hAnsi="Times New Roman" w:eastAsia="宋体" w:cs="Times New Roman"/>
          <w:color w:val="auto"/>
          <w:szCs w:val="24"/>
          <w:highlight w:val="none"/>
        </w:rPr>
        <w:t>围挡</w:t>
      </w:r>
      <w:r>
        <w:rPr>
          <w:rFonts w:hint="eastAsia" w:ascii="Times New Roman" w:hAnsi="Times New Roman" w:eastAsia="宋体" w:cs="Times New Roman"/>
          <w:color w:val="auto"/>
          <w:szCs w:val="24"/>
          <w:highlight w:val="none"/>
        </w:rPr>
        <w:t>和导流沟，并覆盖防尘网，定时洒水降尘；输送过程密闭处理并在输送带两端设置喷淋和帘布、落料上堆增加可伸缩斜槽；进出厂车辆设置车辆清洗池；</w:t>
      </w:r>
      <w:r>
        <w:rPr>
          <w:rFonts w:ascii="Times New Roman" w:hAnsi="Times New Roman" w:eastAsia="宋体" w:cs="Times New Roman"/>
          <w:color w:val="auto"/>
          <w:szCs w:val="24"/>
          <w:highlight w:val="none"/>
        </w:rPr>
        <w:t>项目生活污水经化粪池处理后用于周边旱地施肥，初期雨水经收集沉淀后回用，</w:t>
      </w:r>
      <w:r>
        <w:rPr>
          <w:rFonts w:hint="eastAsia" w:ascii="Times New Roman" w:hAnsi="Times New Roman" w:eastAsia="宋体" w:cs="Times New Roman"/>
          <w:color w:val="auto"/>
          <w:szCs w:val="24"/>
          <w:highlight w:val="none"/>
        </w:rPr>
        <w:t>车辆清洗废水和洗砂废水循环使用</w:t>
      </w:r>
      <w:r>
        <w:rPr>
          <w:rFonts w:ascii="Times New Roman" w:hAnsi="Times New Roman" w:eastAsia="宋体" w:cs="Times New Roman"/>
          <w:color w:val="auto"/>
          <w:szCs w:val="24"/>
          <w:highlight w:val="none"/>
        </w:rPr>
        <w:t>；</w:t>
      </w:r>
      <w:r>
        <w:rPr>
          <w:rFonts w:ascii="Times New Roman" w:hAnsi="Times New Roman" w:eastAsia="宋体" w:cs="Times New Roman"/>
          <w:color w:val="auto"/>
          <w:highlight w:val="none"/>
        </w:rPr>
        <w:t>项目破碎筛分生产线合理布置，设备运行产生的噪声对周围影响较小；</w:t>
      </w:r>
      <w:r>
        <w:rPr>
          <w:rFonts w:ascii="Times New Roman" w:hAnsi="Times New Roman" w:eastAsia="宋体" w:cs="Times New Roman"/>
          <w:color w:val="auto"/>
          <w:highlight w:val="none"/>
          <w:u w:val="single"/>
        </w:rPr>
        <w:t>生产过程产生少量废机油，经收集后委托有资质单位处置</w:t>
      </w:r>
      <w:r>
        <w:rPr>
          <w:rFonts w:ascii="Times New Roman" w:hAnsi="Times New Roman" w:eastAsia="宋体" w:cs="Times New Roman"/>
          <w:color w:val="auto"/>
          <w:highlight w:val="none"/>
        </w:rPr>
        <w:t>，表土临时堆存用于矿山复垦，</w:t>
      </w:r>
      <w:r>
        <w:rPr>
          <w:rFonts w:hint="eastAsia" w:ascii="Times New Roman" w:hAnsi="Times New Roman" w:eastAsia="宋体" w:cs="Times New Roman"/>
          <w:color w:val="auto"/>
          <w:highlight w:val="none"/>
        </w:rPr>
        <w:t>废土石渣经外卖</w:t>
      </w:r>
      <w:r>
        <w:rPr>
          <w:rFonts w:ascii="Times New Roman" w:hAnsi="Times New Roman" w:eastAsia="宋体" w:cs="Times New Roman"/>
          <w:color w:val="auto"/>
          <w:highlight w:val="none"/>
        </w:rPr>
        <w:t>用于</w:t>
      </w:r>
      <w:r>
        <w:rPr>
          <w:rFonts w:hint="eastAsia" w:ascii="Times New Roman" w:hAnsi="Times New Roman" w:eastAsia="宋体" w:cs="Times New Roman"/>
          <w:color w:val="auto"/>
          <w:highlight w:val="none"/>
        </w:rPr>
        <w:t>周边</w:t>
      </w:r>
      <w:r>
        <w:rPr>
          <w:rFonts w:ascii="Times New Roman" w:hAnsi="Times New Roman" w:eastAsia="宋体" w:cs="Times New Roman"/>
          <w:color w:val="auto"/>
          <w:highlight w:val="none"/>
        </w:rPr>
        <w:t>道路</w:t>
      </w:r>
      <w:r>
        <w:rPr>
          <w:rFonts w:hint="eastAsia" w:ascii="Times New Roman" w:hAnsi="Times New Roman" w:eastAsia="宋体" w:cs="Times New Roman"/>
          <w:color w:val="auto"/>
          <w:highlight w:val="none"/>
        </w:rPr>
        <w:t>建设，</w:t>
      </w:r>
      <w:r>
        <w:rPr>
          <w:rFonts w:ascii="Times New Roman" w:hAnsi="Times New Roman" w:eastAsia="宋体" w:cs="Times New Roman"/>
          <w:color w:val="auto"/>
          <w:highlight w:val="none"/>
        </w:rPr>
        <w:t>泥渣</w:t>
      </w:r>
      <w:r>
        <w:rPr>
          <w:rFonts w:hint="eastAsia" w:ascii="Times New Roman" w:hAnsi="Times New Roman" w:eastAsia="宋体" w:cs="Times New Roman"/>
          <w:color w:val="auto"/>
          <w:highlight w:val="none"/>
        </w:rPr>
        <w:t>用于矿区道路平整，洗砂泥饼外卖砖厂</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除尘器粉尘</w:t>
      </w:r>
      <w:r>
        <w:rPr>
          <w:rFonts w:ascii="Times New Roman" w:hAnsi="Times New Roman" w:eastAsia="宋体" w:cs="Times New Roman"/>
          <w:color w:val="auto"/>
          <w:highlight w:val="none"/>
        </w:rPr>
        <w:t>和废零件统一收集后外卖，</w:t>
      </w:r>
      <w:r>
        <w:rPr>
          <w:rFonts w:ascii="Times New Roman" w:hAnsi="Times New Roman" w:eastAsia="宋体" w:cs="Times New Roman"/>
          <w:color w:val="auto"/>
          <w:highlight w:val="none"/>
          <w:u w:val="single"/>
        </w:rPr>
        <w:t>生活垃圾</w:t>
      </w:r>
      <w:r>
        <w:rPr>
          <w:rFonts w:hint="eastAsia" w:ascii="Times New Roman" w:hAnsi="Times New Roman" w:eastAsia="宋体" w:cs="Times New Roman"/>
          <w:color w:val="auto"/>
          <w:highlight w:val="none"/>
          <w:u w:val="single"/>
        </w:rPr>
        <w:t>和废含油抹布收集后</w:t>
      </w:r>
      <w:r>
        <w:rPr>
          <w:rFonts w:ascii="Times New Roman" w:hAnsi="Times New Roman" w:eastAsia="宋体" w:cs="Times New Roman"/>
          <w:color w:val="auto"/>
          <w:highlight w:val="none"/>
          <w:u w:val="single"/>
        </w:rPr>
        <w:t>委托环卫部门处</w:t>
      </w:r>
      <w:r>
        <w:rPr>
          <w:rFonts w:ascii="Times New Roman" w:hAnsi="Times New Roman" w:eastAsia="宋体" w:cs="Times New Roman"/>
          <w:color w:val="auto"/>
          <w:highlight w:val="none"/>
        </w:rPr>
        <w:t>理；项目距周边敏感点较远，最近的敏感点位于项目</w:t>
      </w:r>
      <w:r>
        <w:rPr>
          <w:rFonts w:hint="eastAsia" w:ascii="Times New Roman" w:hAnsi="Times New Roman" w:eastAsia="宋体" w:cs="Times New Roman"/>
          <w:color w:val="auto"/>
          <w:highlight w:val="none"/>
        </w:rPr>
        <w:t>东面</w:t>
      </w:r>
      <w:r>
        <w:rPr>
          <w:rFonts w:ascii="Times New Roman" w:hAnsi="Times New Roman" w:eastAsia="宋体" w:cs="Times New Roman"/>
          <w:color w:val="auto"/>
          <w:highlight w:val="none"/>
        </w:rPr>
        <w:t>约</w:t>
      </w:r>
      <w:r>
        <w:rPr>
          <w:rFonts w:hint="eastAsia" w:ascii="Times New Roman" w:hAnsi="Times New Roman" w:eastAsia="宋体" w:cs="Times New Roman"/>
          <w:color w:val="auto"/>
          <w:highlight w:val="none"/>
        </w:rPr>
        <w:t>50</w:t>
      </w:r>
      <w:r>
        <w:rPr>
          <w:rFonts w:ascii="Times New Roman" w:hAnsi="Times New Roman" w:eastAsia="宋体" w:cs="Times New Roman"/>
          <w:color w:val="auto"/>
          <w:highlight w:val="none"/>
        </w:rPr>
        <w:t>0m（</w:t>
      </w:r>
      <w:r>
        <w:rPr>
          <w:rFonts w:hint="eastAsia" w:ascii="Times New Roman" w:hAnsi="Times New Roman" w:eastAsia="宋体" w:cs="Times New Roman"/>
          <w:color w:val="auto"/>
          <w:highlight w:val="none"/>
        </w:rPr>
        <w:t>东恒</w:t>
      </w:r>
      <w:r>
        <w:rPr>
          <w:rFonts w:ascii="Times New Roman" w:hAnsi="Times New Roman" w:eastAsia="宋体" w:cs="Times New Roman"/>
          <w:color w:val="auto"/>
          <w:highlight w:val="none"/>
        </w:rPr>
        <w:t>屯），对敏感点的环境风险影响较小。</w:t>
      </w:r>
    </w:p>
    <w:p>
      <w:pPr>
        <w:ind w:firstLine="482"/>
        <w:rPr>
          <w:rFonts w:ascii="Times New Roman" w:hAnsi="Times New Roman" w:eastAsia="宋体" w:cs="Times New Roman"/>
          <w:b/>
          <w:color w:val="auto"/>
          <w:highlight w:val="none"/>
        </w:rPr>
      </w:pPr>
      <w:r>
        <w:rPr>
          <w:rFonts w:hint="eastAsia" w:ascii="Times New Roman" w:hAnsi="Times New Roman" w:eastAsia="宋体" w:cs="Times New Roman"/>
          <w:b/>
          <w:color w:val="auto"/>
          <w:highlight w:val="none"/>
        </w:rPr>
        <w:t>二</w:t>
      </w:r>
      <w:r>
        <w:rPr>
          <w:rFonts w:ascii="Times New Roman" w:hAnsi="Times New Roman" w:eastAsia="宋体" w:cs="Times New Roman"/>
          <w:b/>
          <w:color w:val="auto"/>
          <w:highlight w:val="none"/>
        </w:rPr>
        <w:t>、环境影响评价过程</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kern w:val="0"/>
          <w:highlight w:val="none"/>
        </w:rPr>
        <w:t>根据《广西壮族自治区人民政府关于划分我区水土流失重点预防区和重点治理区的通告》（桂政发〔2017〕5号），柳州市</w:t>
      </w:r>
      <w:r>
        <w:rPr>
          <w:rFonts w:hint="eastAsia" w:ascii="Times New Roman" w:hAnsi="Times New Roman" w:eastAsia="宋体" w:cs="Times New Roman"/>
          <w:color w:val="auto"/>
          <w:kern w:val="0"/>
          <w:highlight w:val="none"/>
        </w:rPr>
        <w:t>三江侗族自治县</w:t>
      </w:r>
      <w:r>
        <w:rPr>
          <w:rFonts w:ascii="Times New Roman" w:hAnsi="Times New Roman" w:eastAsia="宋体" w:cs="Times New Roman"/>
          <w:color w:val="auto"/>
          <w:kern w:val="0"/>
          <w:highlight w:val="none"/>
        </w:rPr>
        <w:t>划分为自治区级</w:t>
      </w:r>
      <w:r>
        <w:rPr>
          <w:rFonts w:hint="eastAsia" w:ascii="Times New Roman" w:hAnsi="Times New Roman" w:eastAsia="宋体" w:cs="Times New Roman"/>
          <w:color w:val="auto"/>
          <w:kern w:val="0"/>
          <w:highlight w:val="none"/>
        </w:rPr>
        <w:t>水土流失重点预防区</w:t>
      </w:r>
      <w:r>
        <w:rPr>
          <w:rFonts w:ascii="Times New Roman" w:hAnsi="Times New Roman" w:eastAsia="宋体" w:cs="Times New Roman"/>
          <w:color w:val="auto"/>
          <w:kern w:val="0"/>
          <w:highlight w:val="none"/>
        </w:rPr>
        <w:t>。</w:t>
      </w:r>
      <w:r>
        <w:rPr>
          <w:rFonts w:ascii="Times New Roman" w:hAnsi="Times New Roman" w:eastAsia="宋体" w:cs="Times New Roman"/>
          <w:color w:val="auto"/>
          <w:szCs w:val="24"/>
          <w:highlight w:val="none"/>
        </w:rPr>
        <w:t>根据《中华人民共和国环境影响评价法》、《建设项目环境保护管理条例》和《建设项目环境影响评价分类管理名录》及其修改单等文件的有关规定，本项目属《建设项目环境影响评价分类管理名录》</w:t>
      </w:r>
      <w:r>
        <w:rPr>
          <w:rFonts w:ascii="Times New Roman" w:hAnsi="Times New Roman" w:eastAsia="宋体" w:cs="Times New Roman"/>
          <w:color w:val="auto"/>
          <w:kern w:val="0"/>
          <w:highlight w:val="none"/>
        </w:rPr>
        <w:t>中“四十五、非金属矿采选业：137 -土砂石、石材开采加工；涉及环境敏感区的”编制报告书类别，环境敏感区包括：“自然保护区、风景名胜区、世界文化和自然遗产地、海洋特别保护区、饮用水水源保护区、基本草原、重要水生生物的自然产卵场、索饵场、越冬场和洄游通道、沙化土地封禁保护区、水土流失重点防治区。”本项目涉及水土流失重点防治区，故本项目属需</w:t>
      </w:r>
      <w:r>
        <w:rPr>
          <w:rFonts w:ascii="Times New Roman" w:hAnsi="Times New Roman" w:eastAsia="宋体" w:cs="Times New Roman"/>
          <w:color w:val="auto"/>
          <w:szCs w:val="24"/>
          <w:highlight w:val="none"/>
        </w:rPr>
        <w:t>编制环境影响报告书类别。</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szCs w:val="24"/>
          <w:highlight w:val="none"/>
        </w:rPr>
        <w:t>为此，三江县鑫贝矿业有限公司于2019年</w:t>
      </w:r>
      <w:r>
        <w:rPr>
          <w:rFonts w:hint="eastAsia" w:ascii="Times New Roman" w:hAnsi="Times New Roman" w:eastAsia="宋体" w:cs="Times New Roman"/>
          <w:color w:val="auto"/>
          <w:szCs w:val="24"/>
          <w:highlight w:val="none"/>
        </w:rPr>
        <w:t>7</w:t>
      </w:r>
      <w:r>
        <w:rPr>
          <w:rFonts w:ascii="Times New Roman" w:hAnsi="Times New Roman" w:eastAsia="宋体" w:cs="Times New Roman"/>
          <w:color w:val="auto"/>
          <w:szCs w:val="24"/>
          <w:highlight w:val="none"/>
        </w:rPr>
        <w:t>月委托我公司承担该项目的环境影响评价工作（见附件1）。接受业主委托后，我公司组织有关工作技术人员成立环评课题组，进行了现场勘察和资料的收集，编制了环境影响评价工作实施方案，在完成环境质量现状调查、环境影响预测及评价等工作的基础上，根据国家建设项目环境影响评价技术导则、规范及相关的法律法规，本着科学、客观、公正的原则编制完成《</w:t>
      </w:r>
      <w:r>
        <w:rPr>
          <w:rFonts w:hint="eastAsia" w:ascii="Times New Roman" w:hAnsi="Times New Roman" w:eastAsia="宋体" w:cs="Times New Roman"/>
          <w:color w:val="auto"/>
          <w:szCs w:val="24"/>
          <w:highlight w:val="none"/>
        </w:rPr>
        <w:t>三江侗族自治县宏源采石场硅质岩矿年开采加工50万吨砂石料项目</w:t>
      </w:r>
      <w:r>
        <w:rPr>
          <w:rFonts w:ascii="Times New Roman" w:hAnsi="Times New Roman" w:eastAsia="宋体" w:cs="Times New Roman"/>
          <w:color w:val="auto"/>
          <w:kern w:val="0"/>
          <w:highlight w:val="none"/>
        </w:rPr>
        <w:t>环境影响报告书</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（送审稿）</w:t>
      </w:r>
      <w:r>
        <w:rPr>
          <w:rFonts w:ascii="Times New Roman" w:hAnsi="Times New Roman" w:eastAsia="宋体" w:cs="Times New Roman"/>
          <w:color w:val="auto"/>
          <w:kern w:val="0"/>
          <w:highlight w:val="none"/>
        </w:rPr>
        <w:t>。</w:t>
      </w:r>
    </w:p>
    <w:p>
      <w:pPr>
        <w:ind w:firstLine="482"/>
        <w:rPr>
          <w:rFonts w:ascii="Times New Roman" w:hAnsi="Times New Roman" w:eastAsia="宋体" w:cs="Times New Roman"/>
          <w:b/>
          <w:color w:val="auto"/>
          <w:highlight w:val="none"/>
        </w:rPr>
      </w:pPr>
      <w:r>
        <w:rPr>
          <w:rFonts w:hint="eastAsia" w:ascii="Times New Roman" w:hAnsi="Times New Roman" w:eastAsia="宋体" w:cs="Times New Roman"/>
          <w:b/>
          <w:color w:val="auto"/>
          <w:highlight w:val="none"/>
        </w:rPr>
        <w:t>三</w:t>
      </w:r>
      <w:r>
        <w:rPr>
          <w:rFonts w:ascii="Times New Roman" w:hAnsi="Times New Roman" w:eastAsia="宋体" w:cs="Times New Roman"/>
          <w:b/>
          <w:color w:val="auto"/>
          <w:highlight w:val="none"/>
        </w:rPr>
        <w:t>、分析判定相关情况</w:t>
      </w:r>
    </w:p>
    <w:p>
      <w:pPr>
        <w:ind w:firstLine="482"/>
        <w:rPr>
          <w:rFonts w:ascii="Times New Roman" w:hAnsi="Times New Roman" w:eastAsia="宋体" w:cs="Times New Roman"/>
          <w:b/>
          <w:bCs/>
          <w:color w:val="auto"/>
          <w:kern w:val="0"/>
          <w:highlight w:val="none"/>
        </w:rPr>
      </w:pPr>
      <w:r>
        <w:rPr>
          <w:rFonts w:ascii="Times New Roman" w:hAnsi="Times New Roman" w:eastAsia="宋体" w:cs="Times New Roman"/>
          <w:b/>
          <w:bCs/>
          <w:color w:val="auto"/>
          <w:kern w:val="0"/>
          <w:highlight w:val="none"/>
        </w:rPr>
        <w:t>1、产业政策合理性分析</w:t>
      </w:r>
    </w:p>
    <w:p>
      <w:pPr>
        <w:ind w:firstLine="480"/>
        <w:rPr>
          <w:rFonts w:ascii="Times New Roman" w:hAnsi="Times New Roman" w:eastAsia="宋体" w:cs="Times New Roman"/>
          <w:color w:val="auto"/>
          <w:kern w:val="0"/>
          <w:highlight w:val="none"/>
        </w:rPr>
      </w:pPr>
      <w:r>
        <w:rPr>
          <w:rFonts w:ascii="Times New Roman" w:hAnsi="Times New Roman" w:eastAsia="宋体" w:cs="Times New Roman"/>
          <w:bCs/>
          <w:color w:val="auto"/>
          <w:szCs w:val="24"/>
          <w:highlight w:val="none"/>
        </w:rPr>
        <w:t>本项目</w:t>
      </w:r>
      <w:r>
        <w:rPr>
          <w:rFonts w:hint="eastAsia" w:ascii="Times New Roman" w:hAnsi="Times New Roman" w:eastAsia="宋体" w:cs="Times New Roman"/>
          <w:bCs/>
          <w:color w:val="auto"/>
          <w:szCs w:val="24"/>
          <w:highlight w:val="none"/>
        </w:rPr>
        <w:t>砂石料</w:t>
      </w:r>
      <w:r>
        <w:rPr>
          <w:rFonts w:ascii="Times New Roman" w:hAnsi="Times New Roman" w:eastAsia="宋体" w:cs="Times New Roman"/>
          <w:bCs/>
          <w:color w:val="auto"/>
          <w:szCs w:val="24"/>
          <w:highlight w:val="none"/>
        </w:rPr>
        <w:t>开采过程全部采用机械化作业，根据《产业结构调整指导目录》（2011年本）（2013年修正），项目属于“建材类”中的“</w:t>
      </w:r>
      <w:r>
        <w:rPr>
          <w:rFonts w:ascii="Times New Roman" w:hAnsi="Times New Roman" w:eastAsia="宋体" w:cs="Times New Roman"/>
          <w:color w:val="auto"/>
          <w:highlight w:val="none"/>
        </w:rPr>
        <w:t>机械化石材矿山开采</w:t>
      </w:r>
      <w:r>
        <w:rPr>
          <w:rFonts w:ascii="Times New Roman" w:hAnsi="Times New Roman" w:eastAsia="宋体" w:cs="Times New Roman"/>
          <w:bCs/>
          <w:color w:val="auto"/>
          <w:szCs w:val="24"/>
          <w:highlight w:val="none"/>
        </w:rPr>
        <w:t>”，为指导目录中的鼓励类项目，</w:t>
      </w:r>
      <w:r>
        <w:rPr>
          <w:rFonts w:ascii="Times New Roman" w:hAnsi="Times New Roman" w:eastAsia="宋体" w:cs="Times New Roman"/>
          <w:color w:val="auto"/>
          <w:kern w:val="0"/>
          <w:highlight w:val="none"/>
        </w:rPr>
        <w:t>项目建设符合相关产业政策。</w:t>
      </w:r>
      <w:r>
        <w:rPr>
          <w:rFonts w:ascii="Times New Roman" w:hAnsi="Times New Roman" w:eastAsia="宋体" w:cs="Times New Roman"/>
          <w:color w:val="auto"/>
          <w:szCs w:val="24"/>
          <w:highlight w:val="none"/>
        </w:rPr>
        <w:t>该项目已经在广西投资项目在线并联审批监管平台上进行项目备案申报，并</w:t>
      </w:r>
      <w:r>
        <w:rPr>
          <w:rFonts w:hint="eastAsia" w:ascii="Times New Roman" w:hAnsi="Times New Roman" w:eastAsia="宋体" w:cs="Times New Roman"/>
          <w:color w:val="auto"/>
          <w:szCs w:val="24"/>
          <w:highlight w:val="none"/>
        </w:rPr>
        <w:t>通过三江侗族自治县发展和改革</w:t>
      </w:r>
      <w:r>
        <w:rPr>
          <w:rFonts w:ascii="Times New Roman" w:hAnsi="Times New Roman" w:eastAsia="宋体" w:cs="Times New Roman"/>
          <w:color w:val="auto"/>
          <w:szCs w:val="24"/>
          <w:highlight w:val="none"/>
        </w:rPr>
        <w:t>局</w:t>
      </w:r>
      <w:r>
        <w:rPr>
          <w:rFonts w:hint="eastAsia" w:ascii="Times New Roman" w:hAnsi="Times New Roman" w:eastAsia="宋体" w:cs="Times New Roman"/>
          <w:color w:val="auto"/>
          <w:szCs w:val="24"/>
          <w:highlight w:val="none"/>
        </w:rPr>
        <w:t>登记</w:t>
      </w:r>
      <w:r>
        <w:rPr>
          <w:rFonts w:ascii="Times New Roman" w:hAnsi="Times New Roman" w:eastAsia="宋体" w:cs="Times New Roman"/>
          <w:color w:val="auto"/>
          <w:szCs w:val="24"/>
          <w:highlight w:val="none"/>
        </w:rPr>
        <w:t>备案，项目代码201</w:t>
      </w:r>
      <w:r>
        <w:rPr>
          <w:rFonts w:hint="eastAsia" w:ascii="Times New Roman" w:hAnsi="Times New Roman" w:eastAsia="宋体" w:cs="Times New Roman"/>
          <w:color w:val="auto"/>
          <w:szCs w:val="24"/>
          <w:highlight w:val="none"/>
        </w:rPr>
        <w:t>9</w:t>
      </w:r>
      <w:r>
        <w:rPr>
          <w:rFonts w:ascii="Times New Roman" w:hAnsi="Times New Roman" w:eastAsia="宋体" w:cs="Times New Roman"/>
          <w:color w:val="auto"/>
          <w:szCs w:val="24"/>
          <w:highlight w:val="none"/>
        </w:rPr>
        <w:t>-45022</w:t>
      </w:r>
      <w:r>
        <w:rPr>
          <w:rFonts w:hint="eastAsia" w:ascii="Times New Roman" w:hAnsi="Times New Roman" w:eastAsia="宋体" w:cs="Times New Roman"/>
          <w:color w:val="auto"/>
          <w:szCs w:val="24"/>
          <w:highlight w:val="none"/>
        </w:rPr>
        <w:t>6</w:t>
      </w:r>
      <w:r>
        <w:rPr>
          <w:rFonts w:ascii="Times New Roman" w:hAnsi="Times New Roman" w:eastAsia="宋体" w:cs="Times New Roman"/>
          <w:color w:val="auto"/>
          <w:szCs w:val="24"/>
          <w:highlight w:val="none"/>
        </w:rPr>
        <w:t>-10-03-</w:t>
      </w:r>
      <w:r>
        <w:rPr>
          <w:rFonts w:hint="eastAsia" w:ascii="Times New Roman" w:hAnsi="Times New Roman" w:eastAsia="宋体" w:cs="Times New Roman"/>
          <w:color w:val="auto"/>
          <w:szCs w:val="24"/>
          <w:highlight w:val="none"/>
        </w:rPr>
        <w:t>021946</w:t>
      </w:r>
      <w:r>
        <w:rPr>
          <w:rFonts w:ascii="Times New Roman" w:hAnsi="Times New Roman" w:eastAsia="宋体" w:cs="Times New Roman"/>
          <w:color w:val="auto"/>
          <w:szCs w:val="24"/>
          <w:highlight w:val="none"/>
        </w:rPr>
        <w:t>（附件2）。</w:t>
      </w:r>
    </w:p>
    <w:p>
      <w:pPr>
        <w:ind w:firstLine="482"/>
        <w:rPr>
          <w:rFonts w:ascii="Times New Roman" w:hAnsi="Times New Roman" w:eastAsia="宋体"/>
          <w:b/>
          <w:bCs/>
          <w:color w:val="auto"/>
          <w:highlight w:val="none"/>
        </w:rPr>
      </w:pPr>
      <w:r>
        <w:rPr>
          <w:rFonts w:hint="eastAsia" w:ascii="Times New Roman" w:hAnsi="Times New Roman" w:eastAsia="宋体"/>
          <w:b/>
          <w:bCs/>
          <w:color w:val="auto"/>
          <w:highlight w:val="none"/>
        </w:rPr>
        <w:t>2、</w:t>
      </w:r>
      <w:r>
        <w:rPr>
          <w:rFonts w:ascii="Times New Roman" w:hAnsi="Times New Roman" w:eastAsia="宋体"/>
          <w:b/>
          <w:bCs/>
          <w:color w:val="auto"/>
          <w:highlight w:val="none"/>
        </w:rPr>
        <w:t xml:space="preserve">矿产资源规划符合性分析 </w:t>
      </w:r>
    </w:p>
    <w:p>
      <w:pPr>
        <w:ind w:firstLine="480"/>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项目建设符合</w:t>
      </w:r>
      <w:r>
        <w:rPr>
          <w:rFonts w:ascii="Times New Roman" w:hAnsi="Times New Roman" w:eastAsia="宋体" w:cs="Times New Roman"/>
          <w:color w:val="auto"/>
          <w:kern w:val="0"/>
          <w:szCs w:val="24"/>
          <w:highlight w:val="none"/>
        </w:rPr>
        <w:t xml:space="preserve">《三江侗族自治县矿产资源总体规划 </w:t>
      </w:r>
      <w:r>
        <w:rPr>
          <w:rFonts w:hint="eastAsia" w:ascii="Times New Roman" w:hAnsi="Times New Roman" w:eastAsia="宋体" w:cs="Times New Roman"/>
          <w:color w:val="auto"/>
          <w:kern w:val="0"/>
          <w:szCs w:val="24"/>
          <w:highlight w:val="none"/>
          <w:lang w:eastAsia="zh-CN"/>
        </w:rPr>
        <w:t>（</w:t>
      </w:r>
      <w:r>
        <w:rPr>
          <w:rFonts w:ascii="Times New Roman" w:hAnsi="Times New Roman" w:eastAsia="宋体" w:cs="Times New Roman"/>
          <w:color w:val="auto"/>
          <w:kern w:val="0"/>
          <w:szCs w:val="24"/>
          <w:highlight w:val="none"/>
        </w:rPr>
        <w:t>2016-2020年</w:t>
      </w:r>
      <w:r>
        <w:rPr>
          <w:rFonts w:hint="eastAsia" w:ascii="Times New Roman" w:hAnsi="Times New Roman" w:eastAsia="宋体" w:cs="Times New Roman"/>
          <w:color w:val="auto"/>
          <w:kern w:val="0"/>
          <w:szCs w:val="24"/>
          <w:highlight w:val="none"/>
          <w:lang w:eastAsia="zh-CN"/>
        </w:rPr>
        <w:t>）</w:t>
      </w:r>
      <w:r>
        <w:rPr>
          <w:rFonts w:ascii="Times New Roman" w:hAnsi="Times New Roman" w:eastAsia="宋体" w:cs="Times New Roman"/>
          <w:color w:val="auto"/>
          <w:kern w:val="0"/>
          <w:szCs w:val="24"/>
          <w:highlight w:val="none"/>
        </w:rPr>
        <w:t>》</w:t>
      </w:r>
      <w:r>
        <w:rPr>
          <w:rFonts w:hint="eastAsia" w:ascii="Times New Roman" w:hAnsi="Times New Roman" w:eastAsia="宋体" w:cs="Times New Roman"/>
          <w:color w:val="auto"/>
          <w:kern w:val="0"/>
          <w:szCs w:val="24"/>
          <w:highlight w:val="none"/>
          <w:lang w:val="en-US" w:eastAsia="zh-CN"/>
        </w:rPr>
        <w:t>和</w:t>
      </w:r>
      <w:r>
        <w:rPr>
          <w:rFonts w:ascii="Times New Roman" w:hAnsi="Times New Roman" w:eastAsia="宋体" w:cs="Times New Roman"/>
          <w:color w:val="auto"/>
          <w:kern w:val="0"/>
          <w:highlight w:val="none"/>
        </w:rPr>
        <w:t>《三江侗族自治县砂石资源开发专项规划（2016-2020年）》</w:t>
      </w:r>
      <w:r>
        <w:rPr>
          <w:rFonts w:hint="eastAsia" w:ascii="Times New Roman" w:hAnsi="Times New Roman" w:eastAsia="宋体" w:cs="Times New Roman"/>
          <w:color w:val="auto"/>
          <w:kern w:val="0"/>
          <w:highlight w:val="none"/>
        </w:rPr>
        <w:t>要求和规划</w:t>
      </w:r>
      <w:r>
        <w:rPr>
          <w:rFonts w:ascii="Times New Roman" w:hAnsi="Times New Roman" w:eastAsia="宋体" w:cs="Times New Roman"/>
          <w:color w:val="auto"/>
          <w:kern w:val="0"/>
          <w:highlight w:val="none"/>
        </w:rPr>
        <w:t>发展方向，项目</w:t>
      </w:r>
      <w:r>
        <w:rPr>
          <w:rFonts w:hint="eastAsia" w:ascii="Times New Roman" w:hAnsi="Times New Roman" w:eastAsia="宋体" w:cs="Times New Roman"/>
          <w:color w:val="auto"/>
          <w:kern w:val="0"/>
          <w:highlight w:val="none"/>
        </w:rPr>
        <w:t>已取得三江侗族自治县自然资源和规划局下发采矿许可证</w:t>
      </w:r>
      <w:r>
        <w:rPr>
          <w:rFonts w:ascii="Times New Roman" w:hAnsi="Times New Roman" w:eastAsia="宋体" w:cs="Times New Roman"/>
          <w:color w:val="auto"/>
          <w:kern w:val="0"/>
          <w:highlight w:val="none"/>
        </w:rPr>
        <w:t>（附件</w:t>
      </w:r>
      <w:r>
        <w:rPr>
          <w:rFonts w:hint="eastAsia" w:ascii="Times New Roman" w:hAnsi="Times New Roman" w:eastAsia="宋体" w:cs="Times New Roman"/>
          <w:color w:val="auto"/>
          <w:kern w:val="0"/>
          <w:highlight w:val="none"/>
        </w:rPr>
        <w:t>4</w:t>
      </w:r>
      <w:r>
        <w:rPr>
          <w:rFonts w:ascii="Times New Roman" w:hAnsi="Times New Roman" w:eastAsia="宋体" w:cs="Times New Roman"/>
          <w:color w:val="auto"/>
          <w:kern w:val="0"/>
          <w:highlight w:val="none"/>
        </w:rPr>
        <w:t>），因此项目建设符合矿产资源规划要求。</w:t>
      </w:r>
    </w:p>
    <w:p>
      <w:pPr>
        <w:ind w:firstLine="482"/>
        <w:rPr>
          <w:rFonts w:ascii="Times New Roman" w:hAnsi="Times New Roman" w:eastAsia="宋体" w:cs="Times New Roman"/>
          <w:b/>
          <w:bCs/>
          <w:color w:val="auto"/>
          <w:szCs w:val="24"/>
          <w:highlight w:val="none"/>
        </w:rPr>
      </w:pPr>
      <w:r>
        <w:rPr>
          <w:rFonts w:hint="eastAsia" w:ascii="Times New Roman" w:hAnsi="Times New Roman" w:eastAsia="宋体" w:cs="Times New Roman"/>
          <w:b/>
          <w:bCs/>
          <w:color w:val="auto"/>
          <w:kern w:val="0"/>
          <w:highlight w:val="none"/>
        </w:rPr>
        <w:t>3、</w:t>
      </w:r>
      <w:r>
        <w:rPr>
          <w:rFonts w:ascii="Times New Roman" w:hAnsi="Times New Roman" w:eastAsia="宋体" w:cs="Times New Roman"/>
          <w:b/>
          <w:bCs/>
          <w:color w:val="auto"/>
          <w:szCs w:val="24"/>
          <w:highlight w:val="none"/>
        </w:rPr>
        <w:t xml:space="preserve">项目选址合理性分析 </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项目所在区域不属于</w:t>
      </w:r>
      <w:r>
        <w:rPr>
          <w:rFonts w:ascii="Times New Roman" w:hAnsi="Times New Roman" w:eastAsia="宋体" w:cs="Times New Roman"/>
          <w:color w:val="auto"/>
          <w:kern w:val="0"/>
          <w:szCs w:val="24"/>
          <w:highlight w:val="none"/>
        </w:rPr>
        <w:t xml:space="preserve">《三江侗族自治县矿产资源总体规划 </w:t>
      </w:r>
      <w:r>
        <w:rPr>
          <w:rFonts w:hint="eastAsia" w:ascii="Times New Roman" w:hAnsi="Times New Roman" w:eastAsia="宋体" w:cs="Times New Roman"/>
          <w:color w:val="auto"/>
          <w:kern w:val="0"/>
          <w:szCs w:val="24"/>
          <w:highlight w:val="none"/>
          <w:lang w:eastAsia="zh-CN"/>
        </w:rPr>
        <w:t>（</w:t>
      </w:r>
      <w:r>
        <w:rPr>
          <w:rFonts w:ascii="Times New Roman" w:hAnsi="Times New Roman" w:eastAsia="宋体" w:cs="Times New Roman"/>
          <w:color w:val="auto"/>
          <w:kern w:val="0"/>
          <w:szCs w:val="24"/>
          <w:highlight w:val="none"/>
        </w:rPr>
        <w:t>2016-2020年</w:t>
      </w:r>
      <w:r>
        <w:rPr>
          <w:rFonts w:hint="eastAsia" w:ascii="Times New Roman" w:hAnsi="Times New Roman" w:eastAsia="宋体" w:cs="Times New Roman"/>
          <w:color w:val="auto"/>
          <w:kern w:val="0"/>
          <w:szCs w:val="24"/>
          <w:highlight w:val="none"/>
          <w:lang w:eastAsia="zh-CN"/>
        </w:rPr>
        <w:t>）</w:t>
      </w:r>
      <w:r>
        <w:rPr>
          <w:rFonts w:ascii="Times New Roman" w:hAnsi="Times New Roman" w:eastAsia="宋体" w:cs="Times New Roman"/>
          <w:color w:val="auto"/>
          <w:kern w:val="0"/>
          <w:szCs w:val="24"/>
          <w:highlight w:val="none"/>
        </w:rPr>
        <w:t>》</w:t>
      </w:r>
      <w:r>
        <w:rPr>
          <w:rFonts w:hint="eastAsia" w:ascii="Times New Roman" w:hAnsi="Times New Roman" w:eastAsia="宋体" w:cs="Times New Roman"/>
          <w:color w:val="auto"/>
          <w:kern w:val="0"/>
          <w:szCs w:val="24"/>
          <w:highlight w:val="none"/>
          <w:lang w:val="en-US" w:eastAsia="zh-CN"/>
        </w:rPr>
        <w:t>和</w:t>
      </w:r>
      <w:r>
        <w:rPr>
          <w:rFonts w:ascii="Times New Roman" w:hAnsi="Times New Roman" w:eastAsia="宋体" w:cs="Times New Roman"/>
          <w:color w:val="auto"/>
          <w:kern w:val="0"/>
          <w:highlight w:val="none"/>
        </w:rPr>
        <w:t>《三江侗族自治县砂石资源开发专项规划（2016-2020年）》中所列禁止开采区</w:t>
      </w:r>
      <w:r>
        <w:rPr>
          <w:rFonts w:hint="eastAsia" w:ascii="Times New Roman" w:hAnsi="Times New Roman" w:eastAsia="宋体" w:cs="Times New Roman"/>
          <w:color w:val="auto"/>
          <w:kern w:val="0"/>
          <w:highlight w:val="none"/>
        </w:rPr>
        <w:t>，属于允许开采区</w:t>
      </w:r>
      <w:r>
        <w:rPr>
          <w:rFonts w:ascii="Times New Roman" w:hAnsi="Times New Roman" w:eastAsia="宋体" w:cs="Times New Roman"/>
          <w:color w:val="auto"/>
          <w:kern w:val="0"/>
          <w:highlight w:val="none"/>
        </w:rPr>
        <w:t>，且不属于自然保护区、风景名胜区、地质遗迹保护区、文物古迹等重点保护区域。项目周边2km范围内没有铁路线经过，不在铁路、高速公路、国道、省道两侧直观可视范围内。项目所在区域不涉及饮用水水源保护区和准保护区、重要渔业水域和其他具有特殊经济文化价值的水体区域、基本农田保护区等禁止开采区，项目选址合理。</w:t>
      </w:r>
      <w:r>
        <w:rPr>
          <w:rFonts w:ascii="Times New Roman" w:hAnsi="Times New Roman" w:eastAsia="宋体" w:cs="Times New Roman"/>
          <w:color w:val="auto"/>
          <w:sz w:val="23"/>
          <w:highlight w:val="none"/>
        </w:rPr>
        <w:t xml:space="preserve"> </w:t>
      </w:r>
    </w:p>
    <w:p>
      <w:pPr>
        <w:ind w:firstLine="482"/>
        <w:rPr>
          <w:rFonts w:ascii="Times New Roman" w:hAnsi="Times New Roman" w:eastAsia="宋体"/>
          <w:b/>
          <w:bCs/>
          <w:color w:val="auto"/>
          <w:highlight w:val="none"/>
        </w:rPr>
      </w:pPr>
      <w:r>
        <w:rPr>
          <w:rFonts w:hint="eastAsia" w:ascii="Times New Roman" w:hAnsi="Times New Roman" w:eastAsia="宋体"/>
          <w:b/>
          <w:bCs/>
          <w:color w:val="auto"/>
          <w:highlight w:val="none"/>
        </w:rPr>
        <w:t>4、</w:t>
      </w:r>
      <w:r>
        <w:rPr>
          <w:rFonts w:ascii="Times New Roman" w:hAnsi="Times New Roman" w:eastAsia="宋体"/>
          <w:b/>
          <w:bCs/>
          <w:color w:val="auto"/>
          <w:highlight w:val="none"/>
        </w:rPr>
        <w:t>“三线一单”相符性分析</w:t>
      </w:r>
    </w:p>
    <w:p>
      <w:pPr>
        <w:ind w:firstLine="480"/>
        <w:rPr>
          <w:rFonts w:ascii="Times New Roman" w:hAnsi="Times New Roman" w:eastAsia="宋体"/>
          <w:color w:val="auto"/>
          <w:highlight w:val="none"/>
        </w:rPr>
      </w:pPr>
      <w:r>
        <w:rPr>
          <w:rFonts w:ascii="Times New Roman" w:hAnsi="Times New Roman" w:eastAsia="宋体"/>
          <w:color w:val="auto"/>
          <w:highlight w:val="none"/>
        </w:rPr>
        <w:t>（1）生态保护红线</w:t>
      </w:r>
    </w:p>
    <w:p>
      <w:pPr>
        <w:ind w:firstLine="480"/>
        <w:rPr>
          <w:rFonts w:ascii="Times New Roman" w:hAnsi="Times New Roman" w:eastAsia="宋体"/>
          <w:color w:val="auto"/>
          <w:highlight w:val="none"/>
        </w:rPr>
      </w:pPr>
      <w:r>
        <w:rPr>
          <w:rFonts w:ascii="Times New Roman" w:hAnsi="Times New Roman" w:eastAsia="宋体"/>
          <w:color w:val="auto"/>
          <w:highlight w:val="none"/>
        </w:rPr>
        <w:t>根据现场调查和查阅相关资料，项目</w:t>
      </w:r>
      <w:r>
        <w:rPr>
          <w:rFonts w:hint="eastAsia" w:ascii="Times New Roman" w:hAnsi="Times New Roman" w:eastAsia="宋体"/>
          <w:color w:val="auto"/>
          <w:highlight w:val="none"/>
        </w:rPr>
        <w:t>评价范围</w:t>
      </w:r>
      <w:r>
        <w:rPr>
          <w:rFonts w:ascii="Times New Roman" w:hAnsi="Times New Roman" w:eastAsia="宋体"/>
          <w:color w:val="auto"/>
          <w:highlight w:val="none"/>
        </w:rPr>
        <w:t>内无自然保护区、饮用水源保护区等环境保护目标</w:t>
      </w:r>
      <w:r>
        <w:rPr>
          <w:rFonts w:hint="eastAsia" w:ascii="Times New Roman" w:hAnsi="Times New Roman" w:eastAsia="宋体"/>
          <w:color w:val="auto"/>
          <w:highlight w:val="none"/>
        </w:rPr>
        <w:t>；</w:t>
      </w:r>
      <w:r>
        <w:rPr>
          <w:rFonts w:ascii="Times New Roman" w:hAnsi="Times New Roman" w:eastAsia="宋体"/>
          <w:color w:val="auto"/>
          <w:highlight w:val="none"/>
        </w:rPr>
        <w:t>根据《广西壮族自治区人民政府关于划分我区水土流失重点预防区和重点治理区的通告》（桂政发〔2017〕5号），柳州市</w:t>
      </w:r>
      <w:r>
        <w:rPr>
          <w:rFonts w:hint="eastAsia" w:ascii="Times New Roman" w:hAnsi="Times New Roman" w:eastAsia="宋体"/>
          <w:color w:val="auto"/>
          <w:highlight w:val="none"/>
        </w:rPr>
        <w:t>三江县</w:t>
      </w:r>
      <w:r>
        <w:rPr>
          <w:rFonts w:ascii="Times New Roman" w:hAnsi="Times New Roman" w:eastAsia="宋体"/>
          <w:color w:val="auto"/>
          <w:highlight w:val="none"/>
        </w:rPr>
        <w:t>划分为自治区级水土流失重点</w:t>
      </w:r>
      <w:r>
        <w:rPr>
          <w:rFonts w:hint="eastAsia" w:ascii="Times New Roman" w:hAnsi="Times New Roman" w:eastAsia="宋体"/>
          <w:color w:val="auto"/>
          <w:highlight w:val="none"/>
        </w:rPr>
        <w:t>预防</w:t>
      </w:r>
      <w:r>
        <w:rPr>
          <w:rFonts w:ascii="Times New Roman" w:hAnsi="Times New Roman" w:eastAsia="宋体"/>
          <w:color w:val="auto"/>
          <w:highlight w:val="none"/>
        </w:rPr>
        <w:t>区</w:t>
      </w:r>
      <w:r>
        <w:rPr>
          <w:rFonts w:hint="eastAsia" w:ascii="Times New Roman" w:hAnsi="Times New Roman" w:eastAsia="宋体"/>
          <w:color w:val="auto"/>
          <w:highlight w:val="none"/>
        </w:rPr>
        <w:t>，项目已</w:t>
      </w:r>
      <w:r>
        <w:rPr>
          <w:rFonts w:ascii="Times New Roman" w:hAnsi="Times New Roman" w:eastAsia="宋体"/>
          <w:color w:val="auto"/>
          <w:highlight w:val="none"/>
        </w:rPr>
        <w:t>编制完成地质环境保护与土地复垦方案</w:t>
      </w:r>
      <w:r>
        <w:rPr>
          <w:rFonts w:hint="eastAsia" w:ascii="Times New Roman" w:hAnsi="Times New Roman" w:eastAsia="宋体"/>
          <w:color w:val="auto"/>
          <w:highlight w:val="none"/>
        </w:rPr>
        <w:t>并通过评审，符合生态环境保护要求</w:t>
      </w:r>
      <w:r>
        <w:rPr>
          <w:rFonts w:ascii="Times New Roman" w:hAnsi="Times New Roman" w:eastAsia="宋体"/>
          <w:color w:val="auto"/>
          <w:highlight w:val="none"/>
        </w:rPr>
        <w:t>；根据《广西壮族自治区生态功能区划》（附图8），项目所在区域</w:t>
      </w:r>
      <w:r>
        <w:rPr>
          <w:rFonts w:hint="eastAsia" w:ascii="Times New Roman" w:hAnsi="Times New Roman" w:eastAsia="宋体"/>
          <w:color w:val="auto"/>
          <w:highlight w:val="none"/>
        </w:rPr>
        <w:t>不</w:t>
      </w:r>
      <w:r>
        <w:rPr>
          <w:rFonts w:ascii="Times New Roman" w:hAnsi="Times New Roman" w:eastAsia="宋体"/>
          <w:color w:val="auto"/>
          <w:highlight w:val="none"/>
        </w:rPr>
        <w:t>属于禁止开发区域，项目建设符合生态保护红线要求。</w:t>
      </w:r>
    </w:p>
    <w:p>
      <w:pPr>
        <w:ind w:firstLine="480"/>
        <w:rPr>
          <w:rFonts w:ascii="Times New Roman" w:hAnsi="Times New Roman" w:eastAsia="宋体"/>
          <w:color w:val="auto"/>
          <w:highlight w:val="none"/>
        </w:rPr>
      </w:pPr>
      <w:r>
        <w:rPr>
          <w:rFonts w:ascii="Times New Roman" w:hAnsi="Times New Roman" w:eastAsia="宋体"/>
          <w:color w:val="auto"/>
          <w:highlight w:val="none"/>
        </w:rPr>
        <w:t>（2）环境质量底线</w:t>
      </w:r>
    </w:p>
    <w:p>
      <w:pPr>
        <w:ind w:firstLine="480"/>
        <w:rPr>
          <w:rFonts w:ascii="Times New Roman" w:hAnsi="Times New Roman" w:eastAsia="宋体"/>
          <w:color w:val="auto"/>
          <w:highlight w:val="none"/>
        </w:rPr>
      </w:pPr>
      <w:r>
        <w:rPr>
          <w:rFonts w:ascii="Times New Roman" w:hAnsi="Times New Roman" w:eastAsia="宋体"/>
          <w:color w:val="auto"/>
          <w:highlight w:val="none"/>
        </w:rPr>
        <w:t>根据</w:t>
      </w:r>
      <w:r>
        <w:rPr>
          <w:rFonts w:hint="eastAsia" w:ascii="Times New Roman" w:hAnsi="Times New Roman" w:eastAsia="宋体"/>
          <w:color w:val="auto"/>
          <w:highlight w:val="none"/>
        </w:rPr>
        <w:t>三江县</w:t>
      </w:r>
      <w:r>
        <w:rPr>
          <w:rFonts w:ascii="Times New Roman" w:hAnsi="Times New Roman" w:eastAsia="宋体"/>
          <w:color w:val="auto"/>
          <w:highlight w:val="none"/>
        </w:rPr>
        <w:t>2018年环境质量</w:t>
      </w:r>
      <w:r>
        <w:rPr>
          <w:rFonts w:hint="eastAsia" w:ascii="Times New Roman" w:hAnsi="Times New Roman" w:eastAsia="宋体"/>
          <w:color w:val="auto"/>
          <w:highlight w:val="none"/>
        </w:rPr>
        <w:t>公报</w:t>
      </w:r>
      <w:r>
        <w:rPr>
          <w:rFonts w:ascii="Times New Roman" w:hAnsi="Times New Roman" w:eastAsia="宋体"/>
          <w:color w:val="auto"/>
          <w:highlight w:val="none"/>
        </w:rPr>
        <w:t>，</w:t>
      </w:r>
      <w:r>
        <w:rPr>
          <w:rFonts w:hint="eastAsia" w:ascii="Times New Roman" w:hAnsi="Times New Roman" w:eastAsia="宋体"/>
          <w:color w:val="auto"/>
          <w:highlight w:val="none"/>
        </w:rPr>
        <w:t>三江县2018年为环境空气达标区，</w:t>
      </w:r>
      <w:r>
        <w:rPr>
          <w:rFonts w:ascii="Times New Roman" w:hAnsi="Times New Roman" w:eastAsia="宋体"/>
          <w:color w:val="auto"/>
          <w:highlight w:val="none"/>
        </w:rPr>
        <w:t>评价区域环境空气污染物基本项目满足《环境空气质量标准》（GB</w:t>
      </w:r>
      <w:r>
        <w:rPr>
          <w:rFonts w:hint="eastAsia" w:ascii="Times New Roman" w:hAnsi="Times New Roman" w:eastAsia="宋体"/>
          <w:color w:val="auto"/>
          <w:highlight w:val="none"/>
          <w:lang w:val="en-US" w:eastAsia="zh-CN"/>
        </w:rPr>
        <w:t xml:space="preserve"> </w:t>
      </w:r>
      <w:r>
        <w:rPr>
          <w:rFonts w:ascii="Times New Roman" w:hAnsi="Times New Roman" w:eastAsia="宋体"/>
          <w:color w:val="auto"/>
          <w:highlight w:val="none"/>
        </w:rPr>
        <w:t>3095-2012）</w:t>
      </w:r>
      <w:r>
        <w:rPr>
          <w:rFonts w:ascii="Times New Roman" w:hAnsi="Times New Roman" w:eastAsia="宋体" w:cs="Times New Roman"/>
          <w:color w:val="auto"/>
          <w:szCs w:val="24"/>
          <w:highlight w:val="none"/>
        </w:rPr>
        <w:t>及其修改单二级标准</w:t>
      </w:r>
      <w:r>
        <w:rPr>
          <w:rFonts w:ascii="Times New Roman" w:hAnsi="Times New Roman" w:eastAsia="宋体"/>
          <w:color w:val="auto"/>
          <w:highlight w:val="none"/>
        </w:rPr>
        <w:t>。根据现状监测，</w:t>
      </w:r>
      <w:r>
        <w:rPr>
          <w:rFonts w:hint="eastAsia" w:ascii="Times New Roman" w:hAnsi="Times New Roman" w:eastAsia="宋体"/>
          <w:color w:val="auto"/>
          <w:highlight w:val="none"/>
        </w:rPr>
        <w:t>项目区域无名小沟</w:t>
      </w:r>
      <w:r>
        <w:rPr>
          <w:rFonts w:ascii="Times New Roman" w:hAnsi="Times New Roman" w:eastAsia="宋体"/>
          <w:color w:val="auto"/>
          <w:highlight w:val="none"/>
        </w:rPr>
        <w:t>各监测因子均符合《地表水环境质量标准》（GB</w:t>
      </w:r>
      <w:r>
        <w:rPr>
          <w:rFonts w:hint="eastAsia" w:ascii="Times New Roman" w:hAnsi="Times New Roman" w:eastAsia="宋体"/>
          <w:color w:val="auto"/>
          <w:highlight w:val="none"/>
          <w:lang w:val="en-US" w:eastAsia="zh-CN"/>
        </w:rPr>
        <w:t xml:space="preserve"> </w:t>
      </w:r>
      <w:r>
        <w:rPr>
          <w:rFonts w:ascii="Times New Roman" w:hAnsi="Times New Roman" w:eastAsia="宋体"/>
          <w:color w:val="auto"/>
          <w:highlight w:val="none"/>
        </w:rPr>
        <w:t>3838-2002）Ⅲ类标准要求。项目实施后无工艺废水</w:t>
      </w:r>
      <w:r>
        <w:rPr>
          <w:rFonts w:hint="eastAsia" w:ascii="Times New Roman" w:hAnsi="Times New Roman" w:eastAsia="宋体"/>
          <w:color w:val="auto"/>
          <w:highlight w:val="none"/>
        </w:rPr>
        <w:t>外排</w:t>
      </w:r>
      <w:r>
        <w:rPr>
          <w:rFonts w:ascii="Times New Roman" w:hAnsi="Times New Roman" w:eastAsia="宋体"/>
          <w:color w:val="auto"/>
          <w:highlight w:val="none"/>
        </w:rPr>
        <w:t>，隔油后的厨房废水与生活污水经化粪池处理后用于周边旱地施肥，初期雨水收集沉淀后回用，</w:t>
      </w:r>
      <w:r>
        <w:rPr>
          <w:rFonts w:hint="eastAsia" w:ascii="Times New Roman" w:hAnsi="Times New Roman" w:eastAsia="宋体" w:cs="Times New Roman"/>
          <w:color w:val="auto"/>
          <w:szCs w:val="24"/>
          <w:highlight w:val="none"/>
        </w:rPr>
        <w:t>车辆清洗废水和洗砂废水循环使用，</w:t>
      </w:r>
      <w:r>
        <w:rPr>
          <w:rFonts w:ascii="Times New Roman" w:hAnsi="Times New Roman" w:eastAsia="宋体"/>
          <w:color w:val="auto"/>
          <w:highlight w:val="none"/>
        </w:rPr>
        <w:t>项目废水对周边地表水环境影响不大；</w:t>
      </w:r>
      <w:r>
        <w:rPr>
          <w:rFonts w:hint="eastAsia" w:ascii="Times New Roman" w:hAnsi="Times New Roman" w:eastAsia="宋体"/>
          <w:color w:val="auto"/>
          <w:highlight w:val="none"/>
        </w:rPr>
        <w:t>厂</w:t>
      </w:r>
      <w:r>
        <w:rPr>
          <w:rFonts w:ascii="Times New Roman" w:hAnsi="Times New Roman" w:eastAsia="宋体"/>
          <w:color w:val="auto"/>
          <w:highlight w:val="none"/>
        </w:rPr>
        <w:t>界声环境质量满足《声环境质量标准》（GB</w:t>
      </w:r>
      <w:r>
        <w:rPr>
          <w:rFonts w:hint="eastAsia" w:ascii="Times New Roman" w:hAnsi="Times New Roman" w:eastAsia="宋体"/>
          <w:color w:val="auto"/>
          <w:highlight w:val="none"/>
          <w:lang w:val="en-US" w:eastAsia="zh-CN"/>
        </w:rPr>
        <w:t xml:space="preserve"> </w:t>
      </w:r>
      <w:r>
        <w:rPr>
          <w:rFonts w:ascii="Times New Roman" w:hAnsi="Times New Roman" w:eastAsia="宋体"/>
          <w:color w:val="auto"/>
          <w:highlight w:val="none"/>
        </w:rPr>
        <w:t>3096-2008）2类标准</w:t>
      </w:r>
      <w:r>
        <w:rPr>
          <w:rFonts w:hint="eastAsia" w:ascii="Times New Roman" w:hAnsi="Times New Roman" w:eastAsia="宋体"/>
          <w:color w:val="auto"/>
          <w:highlight w:val="none"/>
        </w:rPr>
        <w:t>，固体废物均得到合理处置</w:t>
      </w:r>
      <w:r>
        <w:rPr>
          <w:rFonts w:ascii="Times New Roman" w:hAnsi="Times New Roman" w:eastAsia="宋体"/>
          <w:color w:val="auto"/>
          <w:highlight w:val="none"/>
        </w:rPr>
        <w:t>。项目废气、废水、噪声</w:t>
      </w:r>
      <w:r>
        <w:rPr>
          <w:rFonts w:hint="eastAsia" w:ascii="Times New Roman" w:hAnsi="Times New Roman" w:eastAsia="宋体"/>
          <w:color w:val="auto"/>
          <w:highlight w:val="none"/>
        </w:rPr>
        <w:t>、固体废物</w:t>
      </w:r>
      <w:r>
        <w:rPr>
          <w:rFonts w:ascii="Times New Roman" w:hAnsi="Times New Roman" w:eastAsia="宋体"/>
          <w:color w:val="auto"/>
          <w:highlight w:val="none"/>
        </w:rPr>
        <w:t>经有效措施处理后，对周围环境影响可接受，因此项目符合环境质量底线的要求。</w:t>
      </w:r>
    </w:p>
    <w:p>
      <w:pPr>
        <w:ind w:firstLine="480"/>
        <w:rPr>
          <w:rFonts w:ascii="Times New Roman" w:hAnsi="Times New Roman" w:eastAsia="宋体"/>
          <w:color w:val="auto"/>
          <w:highlight w:val="none"/>
        </w:rPr>
      </w:pPr>
      <w:r>
        <w:rPr>
          <w:rFonts w:ascii="Times New Roman" w:hAnsi="Times New Roman" w:eastAsia="宋体"/>
          <w:color w:val="auto"/>
          <w:highlight w:val="none"/>
        </w:rPr>
        <w:t>（3）资源利用上线</w:t>
      </w:r>
    </w:p>
    <w:p>
      <w:pPr>
        <w:ind w:firstLine="480"/>
        <w:rPr>
          <w:rFonts w:ascii="Times New Roman" w:hAnsi="Times New Roman" w:eastAsia="宋体"/>
          <w:color w:val="auto"/>
          <w:highlight w:val="none"/>
        </w:rPr>
      </w:pPr>
      <w:r>
        <w:rPr>
          <w:rFonts w:ascii="Times New Roman" w:hAnsi="Times New Roman" w:eastAsia="宋体"/>
          <w:color w:val="auto"/>
          <w:highlight w:val="none"/>
        </w:rPr>
        <w:t>项目用水由</w:t>
      </w:r>
      <w:r>
        <w:rPr>
          <w:rFonts w:hint="eastAsia" w:ascii="Times New Roman" w:hAnsi="Times New Roman" w:eastAsia="宋体"/>
          <w:color w:val="auto"/>
          <w:highlight w:val="none"/>
        </w:rPr>
        <w:t>山泉水</w:t>
      </w:r>
      <w:r>
        <w:rPr>
          <w:rFonts w:ascii="Times New Roman" w:hAnsi="Times New Roman" w:eastAsia="宋体"/>
          <w:color w:val="auto"/>
          <w:highlight w:val="none"/>
        </w:rPr>
        <w:t>供应，用电由当地供电所供给，周边水电资源丰富；项目所使用的原辅材料均有固定的合作供应商，供货充足。</w:t>
      </w:r>
      <w:r>
        <w:rPr>
          <w:rFonts w:hint="eastAsia" w:ascii="Times New Roman" w:hAnsi="Times New Roman" w:eastAsia="宋体"/>
          <w:color w:val="auto"/>
          <w:highlight w:val="none"/>
        </w:rPr>
        <w:t>项目开采硅质岩矿，</w:t>
      </w:r>
      <w:r>
        <w:rPr>
          <w:rFonts w:hint="eastAsia"/>
          <w:color w:val="auto"/>
          <w:highlight w:val="none"/>
          <w:u w:val="single"/>
          <w:lang w:val="en-US" w:eastAsia="zh-CN"/>
        </w:rPr>
        <w:t>根据</w:t>
      </w:r>
      <w:r>
        <w:rPr>
          <w:rFonts w:ascii="Times New Roman" w:hAnsi="Times New Roman" w:eastAsia="宋体" w:cs="Times New Roman"/>
          <w:color w:val="auto"/>
          <w:szCs w:val="24"/>
          <w:highlight w:val="none"/>
          <w:u w:val="single"/>
        </w:rPr>
        <w:t>《三江县宏源采石场硅质岩矿矿产资源开发利用方案》</w:t>
      </w:r>
      <w:r>
        <w:rPr>
          <w:rFonts w:hint="eastAsia" w:cs="Times New Roman"/>
          <w:color w:val="auto"/>
          <w:szCs w:val="24"/>
          <w:highlight w:val="none"/>
          <w:u w:val="single"/>
          <w:lang w:eastAsia="zh-CN"/>
        </w:rPr>
        <w:t>，</w:t>
      </w:r>
      <w:r>
        <w:rPr>
          <w:rFonts w:hint="eastAsia" w:cs="Times New Roman"/>
          <w:color w:val="auto"/>
          <w:highlight w:val="none"/>
          <w:u w:val="single"/>
          <w:lang w:val="en-US" w:eastAsia="zh-CN"/>
        </w:rPr>
        <w:t>项目矿山</w:t>
      </w:r>
      <w:r>
        <w:rPr>
          <w:rFonts w:hint="eastAsia" w:ascii="Times New Roman" w:hAnsi="Times New Roman" w:eastAsia="宋体" w:cs="Times New Roman"/>
          <w:color w:val="auto"/>
          <w:highlight w:val="none"/>
          <w:u w:val="single"/>
          <w:lang w:val="en-US" w:eastAsia="zh-CN"/>
        </w:rPr>
        <w:t>可开采</w:t>
      </w:r>
      <w:r>
        <w:rPr>
          <w:rFonts w:hint="eastAsia" w:cs="Times New Roman"/>
          <w:color w:val="auto"/>
          <w:highlight w:val="none"/>
          <w:u w:val="single"/>
          <w:lang w:val="en-US" w:eastAsia="zh-CN"/>
        </w:rPr>
        <w:t>28</w:t>
      </w:r>
      <w:r>
        <w:rPr>
          <w:rFonts w:hint="eastAsia" w:ascii="Times New Roman" w:hAnsi="Times New Roman" w:eastAsia="宋体" w:cs="Times New Roman"/>
          <w:color w:val="auto"/>
          <w:highlight w:val="none"/>
          <w:u w:val="single"/>
          <w:lang w:val="en-US" w:eastAsia="zh-CN"/>
        </w:rPr>
        <w:t>年</w:t>
      </w:r>
      <w:r>
        <w:rPr>
          <w:rFonts w:hint="eastAsia" w:ascii="Times New Roman" w:hAnsi="Times New Roman" w:eastAsia="宋体" w:cs="Times New Roman"/>
          <w:color w:val="auto"/>
          <w:highlight w:val="none"/>
          <w:u w:val="single"/>
          <w:lang w:eastAsia="zh-CN"/>
        </w:rPr>
        <w:t>，</w:t>
      </w:r>
      <w:r>
        <w:rPr>
          <w:rFonts w:hint="eastAsia" w:ascii="Times New Roman" w:hAnsi="Times New Roman" w:eastAsia="宋体"/>
          <w:color w:val="auto"/>
          <w:highlight w:val="none"/>
          <w:u w:val="single"/>
          <w:lang w:val="en-US" w:eastAsia="zh-CN"/>
        </w:rPr>
        <w:t>矿石</w:t>
      </w:r>
      <w:r>
        <w:rPr>
          <w:rFonts w:hint="eastAsia" w:ascii="Times New Roman" w:hAnsi="Times New Roman" w:eastAsia="宋体"/>
          <w:color w:val="auto"/>
          <w:highlight w:val="none"/>
          <w:u w:val="single"/>
        </w:rPr>
        <w:t>资源充足。</w:t>
      </w:r>
      <w:r>
        <w:rPr>
          <w:rFonts w:ascii="Times New Roman" w:hAnsi="Times New Roman" w:eastAsia="宋体"/>
          <w:color w:val="auto"/>
          <w:highlight w:val="none"/>
          <w:u w:val="single"/>
        </w:rPr>
        <w:t>因此，项目建设符合资源利用上线要求。</w:t>
      </w:r>
    </w:p>
    <w:p>
      <w:pPr>
        <w:ind w:firstLine="480"/>
        <w:rPr>
          <w:rFonts w:ascii="Times New Roman" w:hAnsi="Times New Roman" w:eastAsia="宋体"/>
          <w:color w:val="auto"/>
          <w:highlight w:val="none"/>
        </w:rPr>
      </w:pPr>
      <w:r>
        <w:rPr>
          <w:rFonts w:ascii="Times New Roman" w:hAnsi="Times New Roman" w:eastAsia="宋体"/>
          <w:color w:val="auto"/>
          <w:highlight w:val="none"/>
        </w:rPr>
        <w:t>（4）环境准入负面清单</w:t>
      </w:r>
    </w:p>
    <w:p>
      <w:pPr>
        <w:ind w:firstLine="480"/>
        <w:rPr>
          <w:rFonts w:ascii="Times New Roman" w:hAnsi="Times New Roman" w:eastAsia="宋体"/>
          <w:color w:val="auto"/>
          <w:highlight w:val="none"/>
        </w:rPr>
      </w:pPr>
      <w:r>
        <w:rPr>
          <w:rFonts w:ascii="Times New Roman" w:hAnsi="Times New Roman" w:eastAsia="宋体"/>
          <w:color w:val="auto"/>
          <w:highlight w:val="none"/>
        </w:rPr>
        <w:t>项目所</w:t>
      </w:r>
      <w:r>
        <w:rPr>
          <w:rFonts w:hint="eastAsia" w:ascii="Times New Roman" w:hAnsi="Times New Roman" w:eastAsia="宋体"/>
          <w:color w:val="auto"/>
          <w:highlight w:val="none"/>
        </w:rPr>
        <w:t>属行业未列入</w:t>
      </w:r>
      <w:bookmarkStart w:id="8" w:name="_Toc451878268"/>
      <w:r>
        <w:rPr>
          <w:rFonts w:hint="eastAsia" w:ascii="Times New Roman" w:hAnsi="Times New Roman" w:eastAsia="宋体"/>
          <w:color w:val="auto"/>
          <w:highlight w:val="none"/>
        </w:rPr>
        <w:t>广西壮族自治区三江县国家重点生态功能区</w:t>
      </w:r>
      <w:bookmarkEnd w:id="8"/>
      <w:r>
        <w:rPr>
          <w:rFonts w:hint="eastAsia" w:ascii="Times New Roman" w:hAnsi="Times New Roman" w:eastAsia="宋体"/>
          <w:color w:val="auto"/>
          <w:highlight w:val="none"/>
        </w:rPr>
        <w:t>产业准入负面清单</w:t>
      </w:r>
      <w:r>
        <w:rPr>
          <w:rFonts w:ascii="Times New Roman" w:hAnsi="Times New Roman" w:eastAsia="宋体"/>
          <w:color w:val="auto"/>
          <w:highlight w:val="none"/>
        </w:rPr>
        <w:t>。根据《市场准入负面清单（2018年本）》，采矿业属于许可准入类，采矿业禁止或许可事项规定“未获得许可或资质条件等，不得从事矿产资源的勘察开采、生产经营及对外合作”，本项目已经获得采矿许可，符合环境准入负面清单要求。</w:t>
      </w:r>
    </w:p>
    <w:p>
      <w:pPr>
        <w:ind w:firstLine="480"/>
        <w:rPr>
          <w:rFonts w:ascii="Times New Roman" w:hAnsi="Times New Roman" w:eastAsia="宋体"/>
          <w:color w:val="auto"/>
          <w:highlight w:val="none"/>
        </w:rPr>
      </w:pPr>
      <w:r>
        <w:rPr>
          <w:rFonts w:ascii="Times New Roman" w:hAnsi="Times New Roman" w:eastAsia="宋体"/>
          <w:color w:val="auto"/>
          <w:highlight w:val="none"/>
        </w:rPr>
        <w:t>综上，项目符合“三线一单”的要求。</w:t>
      </w:r>
    </w:p>
    <w:p>
      <w:pPr>
        <w:ind w:firstLine="482"/>
        <w:rPr>
          <w:rFonts w:ascii="Times New Roman" w:hAnsi="Times New Roman" w:eastAsia="宋体" w:cs="Times New Roman"/>
          <w:b/>
          <w:color w:val="auto"/>
          <w:szCs w:val="24"/>
          <w:highlight w:val="none"/>
        </w:rPr>
      </w:pPr>
      <w:bookmarkStart w:id="9" w:name="_Toc11809"/>
      <w:bookmarkStart w:id="10" w:name="_Toc364345908"/>
      <w:bookmarkStart w:id="11" w:name="_Toc414804785"/>
      <w:bookmarkStart w:id="12" w:name="_Toc22454"/>
      <w:bookmarkStart w:id="13" w:name="_Toc476756045"/>
      <w:bookmarkStart w:id="14" w:name="_Toc26206"/>
      <w:bookmarkStart w:id="15" w:name="_Toc9349"/>
      <w:bookmarkStart w:id="16" w:name="_Toc425287056"/>
      <w:bookmarkStart w:id="17" w:name="_Toc471739448"/>
      <w:r>
        <w:rPr>
          <w:rFonts w:hint="eastAsia" w:ascii="Times New Roman" w:hAnsi="Times New Roman" w:eastAsia="宋体" w:cs="Times New Roman"/>
          <w:b/>
          <w:color w:val="auto"/>
          <w:highlight w:val="none"/>
        </w:rPr>
        <w:t>四</w:t>
      </w:r>
      <w:r>
        <w:rPr>
          <w:rFonts w:ascii="Times New Roman" w:hAnsi="Times New Roman" w:eastAsia="宋体" w:cs="Times New Roman"/>
          <w:b/>
          <w:color w:val="auto"/>
          <w:highlight w:val="none"/>
        </w:rPr>
        <w:t>、关注的主要环境问题</w:t>
      </w:r>
      <w:bookmarkEnd w:id="9"/>
      <w:bookmarkEnd w:id="10"/>
      <w:bookmarkEnd w:id="11"/>
      <w:bookmarkEnd w:id="12"/>
      <w:bookmarkEnd w:id="13"/>
      <w:bookmarkEnd w:id="14"/>
      <w:bookmarkEnd w:id="15"/>
      <w:bookmarkEnd w:id="16"/>
      <w:bookmarkEnd w:id="17"/>
      <w:r>
        <w:rPr>
          <w:rFonts w:ascii="Times New Roman" w:hAnsi="Times New Roman" w:eastAsia="宋体" w:cs="Times New Roman"/>
          <w:b/>
          <w:color w:val="auto"/>
          <w:highlight w:val="none"/>
        </w:rPr>
        <w:t>及环境影响</w:t>
      </w:r>
      <w:r>
        <w:rPr>
          <w:rFonts w:ascii="Times New Roman" w:hAnsi="Times New Roman" w:eastAsia="宋体" w:cs="Times New Roman"/>
          <w:b/>
          <w:color w:val="auto"/>
          <w:szCs w:val="24"/>
          <w:highlight w:val="none"/>
        </w:rPr>
        <w:tab/>
      </w:r>
    </w:p>
    <w:p>
      <w:pPr>
        <w:ind w:firstLine="480"/>
        <w:rPr>
          <w:rFonts w:ascii="Times New Roman" w:hAnsi="Times New Roman" w:eastAsia="宋体" w:cs="Times New Roman"/>
          <w:color w:val="auto"/>
          <w:szCs w:val="22"/>
          <w:highlight w:val="none"/>
        </w:rPr>
      </w:pPr>
      <w:bookmarkStart w:id="18" w:name="_Toc9679"/>
      <w:bookmarkStart w:id="19" w:name="_Toc29304"/>
      <w:bookmarkStart w:id="20" w:name="_Toc425287057"/>
      <w:bookmarkStart w:id="21" w:name="_Toc11154"/>
      <w:bookmarkStart w:id="22" w:name="_Toc4174"/>
      <w:bookmarkStart w:id="23" w:name="_Toc476756046"/>
      <w:bookmarkStart w:id="24" w:name="_Toc471739449"/>
      <w:bookmarkStart w:id="25" w:name="_Toc364345909"/>
      <w:bookmarkStart w:id="26" w:name="_Toc414804786"/>
      <w:r>
        <w:rPr>
          <w:rFonts w:ascii="Times New Roman" w:hAnsi="Times New Roman" w:eastAsia="宋体" w:cs="Times New Roman"/>
          <w:color w:val="auto"/>
          <w:szCs w:val="22"/>
          <w:highlight w:val="none"/>
        </w:rPr>
        <w:t xml:space="preserve">根据项目自身特点及周边环境敏感程度，确定项目主要关注的环境问题为：项目选址是否合理，项目建设对生态环境造成的影响，矿石开采及加工过程中产生的颗粒物对周围环境的影响，开采区闭矿后生态复垦措施及环保可行性。 </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1、项目的选址是否合理，是否会影响项目所在区域的各敏感保护目标；</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2、项目运营过程中可能发生的风险事故对周边环境造成的影响，同时针对各风险事故进行影响分析，并提出合理可行的风险防范措施及应急预案；</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3、项目建设和运营中产生和排放各种污染物的情况、采取的环保措施及对环境的影响。拟采取的废气、废水、噪声环保设施和以及固体废物污染防治措施的可行性和可靠性。</w:t>
      </w:r>
    </w:p>
    <w:p>
      <w:pPr>
        <w:ind w:firstLine="48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rPr>
        <w:t>4、现有项目开采过程中对周围环境造成的污染情况，是否发生过环境污染事故，是否因环境污染被周围村民投诉，矿山周围环境现状如何</w:t>
      </w:r>
      <w:r>
        <w:rPr>
          <w:rFonts w:hint="eastAsia" w:ascii="Times New Roman" w:hAnsi="Times New Roman" w:eastAsia="宋体" w:cs="Times New Roman"/>
          <w:color w:val="auto"/>
          <w:highlight w:val="none"/>
          <w:lang w:eastAsia="zh-CN"/>
        </w:rPr>
        <w:t>。</w:t>
      </w:r>
    </w:p>
    <w:p>
      <w:pPr>
        <w:ind w:firstLine="482"/>
        <w:rPr>
          <w:rFonts w:ascii="Times New Roman" w:hAnsi="Times New Roman" w:eastAsia="宋体" w:cs="Times New Roman"/>
          <w:b/>
          <w:color w:val="auto"/>
          <w:highlight w:val="none"/>
        </w:rPr>
      </w:pPr>
      <w:r>
        <w:rPr>
          <w:rFonts w:hint="eastAsia" w:ascii="Times New Roman" w:hAnsi="Times New Roman" w:eastAsia="宋体" w:cs="Times New Roman"/>
          <w:b/>
          <w:color w:val="auto"/>
          <w:highlight w:val="none"/>
        </w:rPr>
        <w:t>五</w:t>
      </w:r>
      <w:r>
        <w:rPr>
          <w:rFonts w:ascii="Times New Roman" w:hAnsi="Times New Roman" w:eastAsia="宋体" w:cs="Times New Roman"/>
          <w:b/>
          <w:color w:val="auto"/>
          <w:highlight w:val="none"/>
        </w:rPr>
        <w:t>、环境影响评价主要结论</w:t>
      </w:r>
      <w:bookmarkEnd w:id="18"/>
      <w:bookmarkEnd w:id="19"/>
      <w:bookmarkEnd w:id="20"/>
      <w:bookmarkEnd w:id="21"/>
      <w:bookmarkEnd w:id="22"/>
      <w:bookmarkEnd w:id="23"/>
      <w:bookmarkEnd w:id="24"/>
      <w:bookmarkEnd w:id="25"/>
      <w:bookmarkEnd w:id="26"/>
    </w:p>
    <w:p>
      <w:pPr>
        <w:ind w:firstLine="480"/>
        <w:rPr>
          <w:rFonts w:ascii="Times New Roman" w:hAnsi="Times New Roman" w:eastAsia="宋体" w:cs="Times New Roman"/>
          <w:b/>
          <w:bCs/>
          <w:color w:val="auto"/>
          <w:highlight w:val="none"/>
        </w:rPr>
      </w:pPr>
      <w:r>
        <w:rPr>
          <w:rFonts w:hint="eastAsia" w:ascii="Times New Roman" w:hAnsi="Times New Roman" w:eastAsia="宋体" w:cs="Times New Roman"/>
          <w:color w:val="auto"/>
          <w:szCs w:val="24"/>
          <w:highlight w:val="none"/>
        </w:rPr>
        <w:t>三江侗族自治县宏源采石场硅质岩矿年开采加工50万吨砂石料项目</w:t>
      </w:r>
      <w:r>
        <w:rPr>
          <w:rFonts w:ascii="Times New Roman" w:hAnsi="Times New Roman" w:eastAsia="宋体" w:cs="Times New Roman"/>
          <w:color w:val="auto"/>
          <w:highlight w:val="none"/>
        </w:rPr>
        <w:t>建设地点位于</w:t>
      </w:r>
      <w:r>
        <w:rPr>
          <w:rFonts w:hint="eastAsia" w:ascii="Times New Roman" w:hAnsi="Times New Roman" w:eastAsia="宋体" w:cs="Times New Roman"/>
          <w:color w:val="auto"/>
          <w:szCs w:val="24"/>
          <w:highlight w:val="none"/>
          <w:lang w:val="en-US" w:eastAsia="zh-CN"/>
        </w:rPr>
        <w:t>三江县斗江镇东坪村东恒屯</w:t>
      </w:r>
      <w:r>
        <w:rPr>
          <w:rFonts w:ascii="Times New Roman" w:hAnsi="Times New Roman" w:eastAsia="宋体" w:cs="Times New Roman"/>
          <w:color w:val="auto"/>
          <w:highlight w:val="none"/>
        </w:rPr>
        <w:t>，为</w:t>
      </w:r>
      <w:r>
        <w:rPr>
          <w:rFonts w:hint="eastAsia" w:ascii="Times New Roman" w:hAnsi="Times New Roman" w:eastAsia="宋体" w:cs="Times New Roman"/>
          <w:color w:val="auto"/>
          <w:highlight w:val="none"/>
        </w:rPr>
        <w:t>矿山整合工程</w:t>
      </w:r>
      <w:r>
        <w:rPr>
          <w:rFonts w:ascii="Times New Roman" w:hAnsi="Times New Roman" w:eastAsia="宋体" w:cs="Times New Roman"/>
          <w:color w:val="auto"/>
          <w:highlight w:val="none"/>
        </w:rPr>
        <w:t>，项目</w:t>
      </w:r>
      <w:r>
        <w:rPr>
          <w:rFonts w:hint="eastAsia" w:ascii="Times New Roman" w:hAnsi="Times New Roman" w:eastAsia="宋体" w:cs="Times New Roman"/>
          <w:color w:val="auto"/>
          <w:highlight w:val="none"/>
        </w:rPr>
        <w:t>建设</w:t>
      </w:r>
      <w:r>
        <w:rPr>
          <w:rFonts w:ascii="Times New Roman" w:hAnsi="Times New Roman" w:eastAsia="宋体" w:cs="Times New Roman"/>
          <w:color w:val="auto"/>
          <w:highlight w:val="none"/>
        </w:rPr>
        <w:t>符合国家产业政策，项目实施后具有较好的社会效益和经济效益，有利于促进本地区社会经济的发展。项目用地符合矿产资源规划，选址合理。项目建设符合“三线一单”准入要求，项目建设虽对周边环境造成一定的不利影响，但在采取各种污染防治措施情况下，废气、废水、噪声达标排放，固体废物得到有效综合处置，生态环境影响较小，对周围环境的不良影响在可接受范围内。建设单位应认真落实本报告提出的各项环保措施，在严格执行环保“三同时”制度的前提下，</w:t>
      </w:r>
      <w:r>
        <w:rPr>
          <w:rFonts w:ascii="Times New Roman" w:hAnsi="Times New Roman" w:eastAsia="宋体" w:cs="Times New Roman"/>
          <w:snapToGrid w:val="0"/>
          <w:color w:val="auto"/>
          <w:kern w:val="0"/>
          <w:highlight w:val="none"/>
        </w:rPr>
        <w:t>从环保角度分析，项目建设可行。</w:t>
      </w:r>
    </w:p>
    <w:p>
      <w:pPr>
        <w:ind w:firstLine="562"/>
        <w:rPr>
          <w:rFonts w:ascii="Times New Roman" w:hAnsi="Times New Roman" w:eastAsia="宋体" w:cs="Times New Roman"/>
          <w:b/>
          <w:bCs/>
          <w:color w:val="auto"/>
          <w:sz w:val="28"/>
          <w:szCs w:val="28"/>
          <w:highlight w:val="none"/>
        </w:rPr>
        <w:sectPr>
          <w:headerReference r:id="rId10" w:type="default"/>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47"/>
        <w:ind w:firstLine="0" w:firstLineChars="0"/>
        <w:jc w:val="center"/>
        <w:rPr>
          <w:rFonts w:ascii="Times New Roman" w:hAnsi="Times New Roman" w:eastAsia="宋体"/>
          <w:b/>
          <w:color w:val="auto"/>
          <w:sz w:val="32"/>
          <w:szCs w:val="32"/>
          <w:highlight w:val="none"/>
        </w:rPr>
      </w:pPr>
      <w:r>
        <w:rPr>
          <w:rFonts w:ascii="Times New Roman" w:hAnsi="Times New Roman" w:eastAsia="宋体"/>
          <w:b/>
          <w:color w:val="auto"/>
          <w:sz w:val="32"/>
          <w:szCs w:val="32"/>
          <w:highlight w:val="none"/>
        </w:rPr>
        <w:t>目  录</w:t>
      </w:r>
    </w:p>
    <w:p>
      <w:pPr>
        <w:pStyle w:val="33"/>
        <w:tabs>
          <w:tab w:val="right" w:leader="middleDot" w:pos="9026"/>
          <w:tab w:val="clear" w:pos="8296"/>
        </w:tabs>
        <w:rPr>
          <w:color w:val="auto"/>
          <w:highlight w:val="none"/>
        </w:rPr>
      </w:pPr>
      <w:r>
        <w:rPr>
          <w:rFonts w:ascii="Times New Roman" w:hAnsi="Times New Roman" w:eastAsia="宋体"/>
          <w:b w:val="0"/>
          <w:bCs/>
          <w:color w:val="auto"/>
          <w:szCs w:val="21"/>
          <w:highlight w:val="none"/>
        </w:rPr>
        <w:fldChar w:fldCharType="begin"/>
      </w:r>
      <w:r>
        <w:rPr>
          <w:rFonts w:ascii="Times New Roman" w:hAnsi="Times New Roman" w:eastAsia="宋体"/>
          <w:b w:val="0"/>
          <w:bCs/>
          <w:color w:val="auto"/>
          <w:szCs w:val="21"/>
          <w:highlight w:val="none"/>
        </w:rPr>
        <w:instrText xml:space="preserve"> TOC \o "1-2" \h \z \u </w:instrText>
      </w:r>
      <w:r>
        <w:rPr>
          <w:rFonts w:ascii="Times New Roman" w:hAnsi="Times New Roman" w:eastAsia="宋体"/>
          <w:b w:val="0"/>
          <w:bCs/>
          <w:color w:val="auto"/>
          <w:szCs w:val="21"/>
          <w:highlight w:val="none"/>
        </w:rPr>
        <w:fldChar w:fldCharType="separate"/>
      </w:r>
      <w:r>
        <w:rPr>
          <w:rFonts w:ascii="Times New Roman" w:hAnsi="Times New Roman" w:eastAsia="宋体"/>
          <w:bCs/>
          <w:color w:val="auto"/>
          <w:szCs w:val="21"/>
          <w:highlight w:val="none"/>
        </w:rPr>
        <w:fldChar w:fldCharType="begin"/>
      </w:r>
      <w:r>
        <w:rPr>
          <w:rFonts w:ascii="Times New Roman" w:hAnsi="Times New Roman" w:eastAsia="宋体"/>
          <w:bCs/>
          <w:color w:val="auto"/>
          <w:szCs w:val="21"/>
          <w:highlight w:val="none"/>
        </w:rPr>
        <w:instrText xml:space="preserve"> HYPERLINK \l _Toc19481 </w:instrText>
      </w:r>
      <w:r>
        <w:rPr>
          <w:rFonts w:ascii="Times New Roman" w:hAnsi="Times New Roman" w:eastAsia="宋体"/>
          <w:bCs/>
          <w:color w:val="auto"/>
          <w:szCs w:val="21"/>
          <w:highlight w:val="none"/>
        </w:rPr>
        <w:fldChar w:fldCharType="separate"/>
      </w:r>
      <w:r>
        <w:rPr>
          <w:rFonts w:ascii="Times New Roman" w:hAnsi="Times New Roman" w:eastAsia="宋体"/>
          <w:color w:val="auto"/>
          <w:highlight w:val="none"/>
        </w:rPr>
        <w:t>概  述</w:t>
      </w:r>
      <w:r>
        <w:rPr>
          <w:color w:val="auto"/>
          <w:highlight w:val="none"/>
        </w:rPr>
        <w:tab/>
      </w:r>
      <w:r>
        <w:rPr>
          <w:color w:val="auto"/>
          <w:highlight w:val="none"/>
        </w:rPr>
        <w:fldChar w:fldCharType="begin"/>
      </w:r>
      <w:r>
        <w:rPr>
          <w:color w:val="auto"/>
          <w:highlight w:val="none"/>
        </w:rPr>
        <w:instrText xml:space="preserve"> PAGEREF _Toc19481 </w:instrText>
      </w:r>
      <w:r>
        <w:rPr>
          <w:color w:val="auto"/>
          <w:highlight w:val="none"/>
        </w:rPr>
        <w:fldChar w:fldCharType="separate"/>
      </w:r>
      <w:r>
        <w:rPr>
          <w:color w:val="auto"/>
          <w:highlight w:val="none"/>
        </w:rPr>
        <w:t>4</w:t>
      </w:r>
      <w:r>
        <w:rPr>
          <w:color w:val="auto"/>
          <w:highlight w:val="none"/>
        </w:rPr>
        <w:fldChar w:fldCharType="end"/>
      </w:r>
      <w:r>
        <w:rPr>
          <w:rFonts w:ascii="Times New Roman" w:hAnsi="Times New Roman" w:eastAsia="宋体"/>
          <w:bCs/>
          <w:color w:val="auto"/>
          <w:szCs w:val="21"/>
          <w:highlight w:val="none"/>
        </w:rPr>
        <w:fldChar w:fldCharType="end"/>
      </w:r>
    </w:p>
    <w:p>
      <w:pPr>
        <w:pStyle w:val="33"/>
        <w:tabs>
          <w:tab w:val="right" w:leader="middleDot" w:pos="9026"/>
          <w:tab w:val="clear" w:pos="829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_Toc27538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1 总则</w:t>
      </w:r>
      <w:r>
        <w:rPr>
          <w:color w:val="auto"/>
          <w:highlight w:val="none"/>
        </w:rPr>
        <w:tab/>
      </w:r>
      <w:r>
        <w:rPr>
          <w:color w:val="auto"/>
          <w:highlight w:val="none"/>
        </w:rPr>
        <w:fldChar w:fldCharType="begin"/>
      </w:r>
      <w:r>
        <w:rPr>
          <w:color w:val="auto"/>
          <w:highlight w:val="none"/>
        </w:rPr>
        <w:instrText xml:space="preserve"> PAGEREF _Toc27538 </w:instrText>
      </w:r>
      <w:r>
        <w:rPr>
          <w:color w:val="auto"/>
          <w:highlight w:val="none"/>
        </w:rPr>
        <w:fldChar w:fldCharType="separate"/>
      </w:r>
      <w:r>
        <w:rPr>
          <w:color w:val="auto"/>
          <w:highlight w:val="none"/>
        </w:rPr>
        <w:t>13</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_Toc8282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1.1 编制依据</w:t>
      </w:r>
      <w:r>
        <w:rPr>
          <w:color w:val="auto"/>
          <w:highlight w:val="none"/>
        </w:rPr>
        <w:tab/>
      </w:r>
      <w:r>
        <w:rPr>
          <w:color w:val="auto"/>
          <w:highlight w:val="none"/>
        </w:rPr>
        <w:fldChar w:fldCharType="begin"/>
      </w:r>
      <w:r>
        <w:rPr>
          <w:color w:val="auto"/>
          <w:highlight w:val="none"/>
        </w:rPr>
        <w:instrText xml:space="preserve"> PAGEREF _Toc8282 </w:instrText>
      </w:r>
      <w:r>
        <w:rPr>
          <w:color w:val="auto"/>
          <w:highlight w:val="none"/>
        </w:rPr>
        <w:fldChar w:fldCharType="separate"/>
      </w:r>
      <w:r>
        <w:rPr>
          <w:color w:val="auto"/>
          <w:highlight w:val="none"/>
        </w:rPr>
        <w:t>13</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_Toc25624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1.2 相关规划及环境功能区划</w:t>
      </w:r>
      <w:r>
        <w:rPr>
          <w:color w:val="auto"/>
          <w:highlight w:val="none"/>
        </w:rPr>
        <w:tab/>
      </w:r>
      <w:r>
        <w:rPr>
          <w:color w:val="auto"/>
          <w:highlight w:val="none"/>
        </w:rPr>
        <w:fldChar w:fldCharType="begin"/>
      </w:r>
      <w:r>
        <w:rPr>
          <w:color w:val="auto"/>
          <w:highlight w:val="none"/>
        </w:rPr>
        <w:instrText xml:space="preserve"> PAGEREF _Toc25624 </w:instrText>
      </w:r>
      <w:r>
        <w:rPr>
          <w:color w:val="auto"/>
          <w:highlight w:val="none"/>
        </w:rPr>
        <w:fldChar w:fldCharType="separate"/>
      </w:r>
      <w:r>
        <w:rPr>
          <w:color w:val="auto"/>
          <w:highlight w:val="none"/>
        </w:rPr>
        <w:t>18</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_Toc24459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1.3 环境影响因素识别与评价因子筛选</w:t>
      </w:r>
      <w:r>
        <w:rPr>
          <w:color w:val="auto"/>
          <w:highlight w:val="none"/>
        </w:rPr>
        <w:tab/>
      </w:r>
      <w:r>
        <w:rPr>
          <w:color w:val="auto"/>
          <w:highlight w:val="none"/>
        </w:rPr>
        <w:fldChar w:fldCharType="begin"/>
      </w:r>
      <w:r>
        <w:rPr>
          <w:color w:val="auto"/>
          <w:highlight w:val="none"/>
        </w:rPr>
        <w:instrText xml:space="preserve"> PAGEREF _Toc24459 </w:instrText>
      </w:r>
      <w:r>
        <w:rPr>
          <w:color w:val="auto"/>
          <w:highlight w:val="none"/>
        </w:rPr>
        <w:fldChar w:fldCharType="separate"/>
      </w:r>
      <w:r>
        <w:rPr>
          <w:color w:val="auto"/>
          <w:highlight w:val="none"/>
        </w:rPr>
        <w:t>30</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_Toc24282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1.4 评价标准</w:t>
      </w:r>
      <w:r>
        <w:rPr>
          <w:color w:val="auto"/>
          <w:highlight w:val="none"/>
        </w:rPr>
        <w:tab/>
      </w:r>
      <w:r>
        <w:rPr>
          <w:color w:val="auto"/>
          <w:highlight w:val="none"/>
        </w:rPr>
        <w:fldChar w:fldCharType="begin"/>
      </w:r>
      <w:r>
        <w:rPr>
          <w:color w:val="auto"/>
          <w:highlight w:val="none"/>
        </w:rPr>
        <w:instrText xml:space="preserve"> PAGEREF _Toc24282 </w:instrText>
      </w:r>
      <w:r>
        <w:rPr>
          <w:color w:val="auto"/>
          <w:highlight w:val="none"/>
        </w:rPr>
        <w:fldChar w:fldCharType="separate"/>
      </w:r>
      <w:r>
        <w:rPr>
          <w:color w:val="auto"/>
          <w:highlight w:val="none"/>
        </w:rPr>
        <w:t>31</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_Toc3388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1.5 评价等级和评价范围</w:t>
      </w:r>
      <w:r>
        <w:rPr>
          <w:color w:val="auto"/>
          <w:highlight w:val="none"/>
        </w:rPr>
        <w:tab/>
      </w:r>
      <w:r>
        <w:rPr>
          <w:color w:val="auto"/>
          <w:highlight w:val="none"/>
        </w:rPr>
        <w:fldChar w:fldCharType="begin"/>
      </w:r>
      <w:r>
        <w:rPr>
          <w:color w:val="auto"/>
          <w:highlight w:val="none"/>
        </w:rPr>
        <w:instrText xml:space="preserve"> PAGEREF _Toc3388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_Toc15983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1.6 环境保护目标</w:t>
      </w:r>
      <w:r>
        <w:rPr>
          <w:color w:val="auto"/>
          <w:highlight w:val="none"/>
        </w:rPr>
        <w:tab/>
      </w:r>
      <w:r>
        <w:rPr>
          <w:color w:val="auto"/>
          <w:highlight w:val="none"/>
        </w:rPr>
        <w:fldChar w:fldCharType="begin"/>
      </w:r>
      <w:r>
        <w:rPr>
          <w:color w:val="auto"/>
          <w:highlight w:val="none"/>
        </w:rPr>
        <w:instrText xml:space="preserve"> PAGEREF _Toc15983 </w:instrText>
      </w:r>
      <w:r>
        <w:rPr>
          <w:color w:val="auto"/>
          <w:highlight w:val="none"/>
        </w:rPr>
        <w:fldChar w:fldCharType="separate"/>
      </w:r>
      <w:r>
        <w:rPr>
          <w:color w:val="auto"/>
          <w:highlight w:val="none"/>
        </w:rPr>
        <w:t>44</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3"/>
        <w:tabs>
          <w:tab w:val="right" w:leader="middleDot" w:pos="9026"/>
          <w:tab w:val="clear" w:pos="829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_Toc19965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2 工程分析</w:t>
      </w:r>
      <w:r>
        <w:rPr>
          <w:color w:val="auto"/>
          <w:highlight w:val="none"/>
        </w:rPr>
        <w:tab/>
      </w:r>
      <w:r>
        <w:rPr>
          <w:color w:val="auto"/>
          <w:highlight w:val="none"/>
        </w:rPr>
        <w:fldChar w:fldCharType="begin"/>
      </w:r>
      <w:r>
        <w:rPr>
          <w:color w:val="auto"/>
          <w:highlight w:val="none"/>
        </w:rPr>
        <w:instrText xml:space="preserve"> PAGEREF _Toc19965 </w:instrText>
      </w:r>
      <w:r>
        <w:rPr>
          <w:color w:val="auto"/>
          <w:highlight w:val="none"/>
        </w:rPr>
        <w:fldChar w:fldCharType="separate"/>
      </w:r>
      <w:r>
        <w:rPr>
          <w:color w:val="auto"/>
          <w:highlight w:val="none"/>
        </w:rPr>
        <w:t>46</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_Toc27982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 xml:space="preserve">2.1 </w:t>
      </w:r>
      <w:r>
        <w:rPr>
          <w:rFonts w:hint="eastAsia" w:ascii="Times New Roman" w:hAnsi="Times New Roman" w:eastAsia="宋体"/>
          <w:color w:val="auto"/>
          <w:highlight w:val="none"/>
        </w:rPr>
        <w:t>矿山</w:t>
      </w:r>
      <w:r>
        <w:rPr>
          <w:rFonts w:ascii="Times New Roman" w:hAnsi="Times New Roman" w:eastAsia="宋体"/>
          <w:color w:val="auto"/>
          <w:highlight w:val="none"/>
        </w:rPr>
        <w:t>概况</w:t>
      </w:r>
      <w:r>
        <w:rPr>
          <w:color w:val="auto"/>
          <w:highlight w:val="none"/>
        </w:rPr>
        <w:tab/>
      </w:r>
      <w:r>
        <w:rPr>
          <w:color w:val="auto"/>
          <w:highlight w:val="none"/>
        </w:rPr>
        <w:fldChar w:fldCharType="begin"/>
      </w:r>
      <w:r>
        <w:rPr>
          <w:color w:val="auto"/>
          <w:highlight w:val="none"/>
        </w:rPr>
        <w:instrText xml:space="preserve"> PAGEREF _Toc27982 </w:instrText>
      </w:r>
      <w:r>
        <w:rPr>
          <w:color w:val="auto"/>
          <w:highlight w:val="none"/>
        </w:rPr>
        <w:fldChar w:fldCharType="separate"/>
      </w:r>
      <w:r>
        <w:rPr>
          <w:color w:val="auto"/>
          <w:highlight w:val="none"/>
        </w:rPr>
        <w:t>46</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_Toc16156 </w:instrText>
      </w:r>
      <w:r>
        <w:rPr>
          <w:rFonts w:ascii="Times New Roman" w:hAnsi="Times New Roman" w:eastAsia="宋体" w:cs="Times New Roman"/>
          <w:bCs/>
          <w:color w:val="auto"/>
          <w:spacing w:val="-2"/>
          <w:kern w:val="30"/>
          <w:highlight w:val="none"/>
        </w:rPr>
        <w:fldChar w:fldCharType="separate"/>
      </w:r>
      <w:r>
        <w:rPr>
          <w:rFonts w:hint="eastAsia" w:ascii="Times New Roman" w:hAnsi="Times New Roman" w:eastAsia="宋体"/>
          <w:color w:val="auto"/>
          <w:highlight w:val="none"/>
        </w:rPr>
        <w:t>2.2 整合前</w:t>
      </w:r>
      <w:r>
        <w:rPr>
          <w:rFonts w:hint="eastAsia" w:ascii="Times New Roman" w:hAnsi="Times New Roman" w:eastAsia="宋体"/>
          <w:color w:val="auto"/>
          <w:highlight w:val="none"/>
          <w:lang w:val="en-US" w:eastAsia="zh-CN"/>
        </w:rPr>
        <w:t>原有项目</w:t>
      </w:r>
      <w:r>
        <w:rPr>
          <w:rFonts w:hint="eastAsia" w:ascii="Times New Roman" w:hAnsi="Times New Roman" w:eastAsia="宋体"/>
          <w:color w:val="auto"/>
          <w:highlight w:val="none"/>
        </w:rPr>
        <w:t>概况</w:t>
      </w:r>
      <w:r>
        <w:rPr>
          <w:color w:val="auto"/>
          <w:highlight w:val="none"/>
        </w:rPr>
        <w:tab/>
      </w:r>
      <w:r>
        <w:rPr>
          <w:color w:val="auto"/>
          <w:highlight w:val="none"/>
        </w:rPr>
        <w:fldChar w:fldCharType="begin"/>
      </w:r>
      <w:r>
        <w:rPr>
          <w:color w:val="auto"/>
          <w:highlight w:val="none"/>
        </w:rPr>
        <w:instrText xml:space="preserve"> PAGEREF _Toc16156 </w:instrText>
      </w:r>
      <w:r>
        <w:rPr>
          <w:color w:val="auto"/>
          <w:highlight w:val="none"/>
        </w:rPr>
        <w:fldChar w:fldCharType="separate"/>
      </w:r>
      <w:r>
        <w:rPr>
          <w:color w:val="auto"/>
          <w:highlight w:val="none"/>
        </w:rPr>
        <w:t>48</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_Toc11618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2.</w:t>
      </w:r>
      <w:r>
        <w:rPr>
          <w:rFonts w:hint="eastAsia" w:ascii="Times New Roman" w:hAnsi="Times New Roman" w:eastAsia="宋体"/>
          <w:color w:val="auto"/>
          <w:highlight w:val="none"/>
        </w:rPr>
        <w:t>3</w:t>
      </w:r>
      <w:r>
        <w:rPr>
          <w:rFonts w:ascii="Times New Roman" w:hAnsi="Times New Roman" w:eastAsia="宋体"/>
          <w:color w:val="auto"/>
          <w:highlight w:val="none"/>
        </w:rPr>
        <w:t xml:space="preserve"> </w:t>
      </w:r>
      <w:r>
        <w:rPr>
          <w:rFonts w:hint="eastAsia" w:ascii="Times New Roman" w:hAnsi="Times New Roman" w:eastAsia="宋体"/>
          <w:color w:val="auto"/>
          <w:highlight w:val="none"/>
        </w:rPr>
        <w:t>整合后</w:t>
      </w:r>
      <w:r>
        <w:rPr>
          <w:rFonts w:ascii="Times New Roman" w:hAnsi="Times New Roman" w:eastAsia="宋体"/>
          <w:color w:val="auto"/>
          <w:highlight w:val="none"/>
        </w:rPr>
        <w:t>项目概况</w:t>
      </w:r>
      <w:r>
        <w:rPr>
          <w:color w:val="auto"/>
          <w:highlight w:val="none"/>
        </w:rPr>
        <w:tab/>
      </w:r>
      <w:r>
        <w:rPr>
          <w:color w:val="auto"/>
          <w:highlight w:val="none"/>
        </w:rPr>
        <w:fldChar w:fldCharType="begin"/>
      </w:r>
      <w:r>
        <w:rPr>
          <w:color w:val="auto"/>
          <w:highlight w:val="none"/>
        </w:rPr>
        <w:instrText xml:space="preserve"> PAGEREF _Toc11618 </w:instrText>
      </w:r>
      <w:r>
        <w:rPr>
          <w:color w:val="auto"/>
          <w:highlight w:val="none"/>
        </w:rPr>
        <w:fldChar w:fldCharType="separate"/>
      </w:r>
      <w:r>
        <w:rPr>
          <w:color w:val="auto"/>
          <w:highlight w:val="none"/>
        </w:rPr>
        <w:t>74</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_Toc7857 </w:instrText>
      </w:r>
      <w:r>
        <w:rPr>
          <w:rFonts w:ascii="Times New Roman" w:hAnsi="Times New Roman" w:eastAsia="宋体" w:cs="Times New Roman"/>
          <w:bCs/>
          <w:color w:val="auto"/>
          <w:spacing w:val="-2"/>
          <w:kern w:val="30"/>
          <w:highlight w:val="none"/>
        </w:rPr>
        <w:fldChar w:fldCharType="separate"/>
      </w:r>
      <w:r>
        <w:rPr>
          <w:rFonts w:hint="eastAsia" w:ascii="Times New Roman" w:hAnsi="Times New Roman" w:eastAsia="宋体"/>
          <w:color w:val="auto"/>
          <w:highlight w:val="none"/>
        </w:rPr>
        <w:t>2.4 整合后矿山情况</w:t>
      </w:r>
      <w:r>
        <w:rPr>
          <w:color w:val="auto"/>
          <w:highlight w:val="none"/>
        </w:rPr>
        <w:tab/>
      </w:r>
      <w:r>
        <w:rPr>
          <w:color w:val="auto"/>
          <w:highlight w:val="none"/>
        </w:rPr>
        <w:fldChar w:fldCharType="begin"/>
      </w:r>
      <w:r>
        <w:rPr>
          <w:color w:val="auto"/>
          <w:highlight w:val="none"/>
        </w:rPr>
        <w:instrText xml:space="preserve"> PAGEREF _Toc7857 </w:instrText>
      </w:r>
      <w:r>
        <w:rPr>
          <w:color w:val="auto"/>
          <w:highlight w:val="none"/>
        </w:rPr>
        <w:fldChar w:fldCharType="separate"/>
      </w:r>
      <w:r>
        <w:rPr>
          <w:color w:val="auto"/>
          <w:highlight w:val="none"/>
        </w:rPr>
        <w:t>83</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_Toc8403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2.</w:t>
      </w:r>
      <w:r>
        <w:rPr>
          <w:rFonts w:hint="eastAsia" w:ascii="Times New Roman" w:hAnsi="Times New Roman" w:eastAsia="宋体"/>
          <w:color w:val="auto"/>
          <w:highlight w:val="none"/>
        </w:rPr>
        <w:t>5</w:t>
      </w:r>
      <w:r>
        <w:rPr>
          <w:rFonts w:ascii="Times New Roman" w:hAnsi="Times New Roman" w:eastAsia="宋体"/>
          <w:color w:val="auto"/>
          <w:highlight w:val="none"/>
        </w:rPr>
        <w:t xml:space="preserve"> 污染源及环境影响因素分析</w:t>
      </w:r>
      <w:r>
        <w:rPr>
          <w:color w:val="auto"/>
          <w:highlight w:val="none"/>
        </w:rPr>
        <w:tab/>
      </w:r>
      <w:r>
        <w:rPr>
          <w:color w:val="auto"/>
          <w:highlight w:val="none"/>
        </w:rPr>
        <w:fldChar w:fldCharType="begin"/>
      </w:r>
      <w:r>
        <w:rPr>
          <w:color w:val="auto"/>
          <w:highlight w:val="none"/>
        </w:rPr>
        <w:instrText xml:space="preserve"> PAGEREF _Toc8403 </w:instrText>
      </w:r>
      <w:r>
        <w:rPr>
          <w:color w:val="auto"/>
          <w:highlight w:val="none"/>
        </w:rPr>
        <w:fldChar w:fldCharType="separate"/>
      </w:r>
      <w:r>
        <w:rPr>
          <w:color w:val="auto"/>
          <w:highlight w:val="none"/>
        </w:rPr>
        <w:t>90</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3"/>
        <w:tabs>
          <w:tab w:val="right" w:leader="middleDot" w:pos="9026"/>
          <w:tab w:val="clear" w:pos="829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_Toc14572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3 环境现状调查与评价</w:t>
      </w:r>
      <w:r>
        <w:rPr>
          <w:color w:val="auto"/>
          <w:highlight w:val="none"/>
        </w:rPr>
        <w:tab/>
      </w:r>
      <w:r>
        <w:rPr>
          <w:color w:val="auto"/>
          <w:highlight w:val="none"/>
        </w:rPr>
        <w:fldChar w:fldCharType="begin"/>
      </w:r>
      <w:r>
        <w:rPr>
          <w:color w:val="auto"/>
          <w:highlight w:val="none"/>
        </w:rPr>
        <w:instrText xml:space="preserve"> PAGEREF _Toc14572 </w:instrText>
      </w:r>
      <w:r>
        <w:rPr>
          <w:color w:val="auto"/>
          <w:highlight w:val="none"/>
        </w:rPr>
        <w:fldChar w:fldCharType="separate"/>
      </w:r>
      <w:r>
        <w:rPr>
          <w:color w:val="auto"/>
          <w:highlight w:val="none"/>
        </w:rPr>
        <w:t>119</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_Toc29459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3.1 自然环境现状调查与评价</w:t>
      </w:r>
      <w:r>
        <w:rPr>
          <w:color w:val="auto"/>
          <w:highlight w:val="none"/>
        </w:rPr>
        <w:tab/>
      </w:r>
      <w:r>
        <w:rPr>
          <w:color w:val="auto"/>
          <w:highlight w:val="none"/>
        </w:rPr>
        <w:fldChar w:fldCharType="begin"/>
      </w:r>
      <w:r>
        <w:rPr>
          <w:color w:val="auto"/>
          <w:highlight w:val="none"/>
        </w:rPr>
        <w:instrText xml:space="preserve"> PAGEREF _Toc29459 </w:instrText>
      </w:r>
      <w:r>
        <w:rPr>
          <w:color w:val="auto"/>
          <w:highlight w:val="none"/>
        </w:rPr>
        <w:fldChar w:fldCharType="separate"/>
      </w:r>
      <w:r>
        <w:rPr>
          <w:color w:val="auto"/>
          <w:highlight w:val="none"/>
        </w:rPr>
        <w:t>119</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_Toc25459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3.2 环境质量现状调查与评价</w:t>
      </w:r>
      <w:r>
        <w:rPr>
          <w:color w:val="auto"/>
          <w:highlight w:val="none"/>
        </w:rPr>
        <w:tab/>
      </w:r>
      <w:r>
        <w:rPr>
          <w:color w:val="auto"/>
          <w:highlight w:val="none"/>
        </w:rPr>
        <w:fldChar w:fldCharType="begin"/>
      </w:r>
      <w:r>
        <w:rPr>
          <w:color w:val="auto"/>
          <w:highlight w:val="none"/>
        </w:rPr>
        <w:instrText xml:space="preserve"> PAGEREF _Toc25459 </w:instrText>
      </w:r>
      <w:r>
        <w:rPr>
          <w:color w:val="auto"/>
          <w:highlight w:val="none"/>
        </w:rPr>
        <w:fldChar w:fldCharType="separate"/>
      </w:r>
      <w:r>
        <w:rPr>
          <w:color w:val="auto"/>
          <w:highlight w:val="none"/>
        </w:rPr>
        <w:t>124</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_Toc839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3.3 污染源调查</w:t>
      </w:r>
      <w:r>
        <w:rPr>
          <w:color w:val="auto"/>
          <w:highlight w:val="none"/>
        </w:rPr>
        <w:tab/>
      </w:r>
      <w:r>
        <w:rPr>
          <w:color w:val="auto"/>
          <w:highlight w:val="none"/>
        </w:rPr>
        <w:fldChar w:fldCharType="begin"/>
      </w:r>
      <w:r>
        <w:rPr>
          <w:color w:val="auto"/>
          <w:highlight w:val="none"/>
        </w:rPr>
        <w:instrText xml:space="preserve"> PAGEREF _Toc839 </w:instrText>
      </w:r>
      <w:r>
        <w:rPr>
          <w:color w:val="auto"/>
          <w:highlight w:val="none"/>
        </w:rPr>
        <w:fldChar w:fldCharType="separate"/>
      </w:r>
      <w:r>
        <w:rPr>
          <w:color w:val="auto"/>
          <w:highlight w:val="none"/>
        </w:rPr>
        <w:t>145</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3"/>
        <w:tabs>
          <w:tab w:val="right" w:leader="middleDot" w:pos="9026"/>
          <w:tab w:val="clear" w:pos="829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_Toc10404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4 环境影响预测与评价</w:t>
      </w:r>
      <w:r>
        <w:rPr>
          <w:color w:val="auto"/>
          <w:highlight w:val="none"/>
        </w:rPr>
        <w:tab/>
      </w:r>
      <w:r>
        <w:rPr>
          <w:color w:val="auto"/>
          <w:highlight w:val="none"/>
        </w:rPr>
        <w:fldChar w:fldCharType="begin"/>
      </w:r>
      <w:r>
        <w:rPr>
          <w:color w:val="auto"/>
          <w:highlight w:val="none"/>
        </w:rPr>
        <w:instrText xml:space="preserve"> PAGEREF _Toc10404 </w:instrText>
      </w:r>
      <w:r>
        <w:rPr>
          <w:color w:val="auto"/>
          <w:highlight w:val="none"/>
        </w:rPr>
        <w:fldChar w:fldCharType="separate"/>
      </w:r>
      <w:r>
        <w:rPr>
          <w:color w:val="auto"/>
          <w:highlight w:val="none"/>
        </w:rPr>
        <w:t>149</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_Toc25328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4.1 施工期环境影响分析与评价</w:t>
      </w:r>
      <w:r>
        <w:rPr>
          <w:color w:val="auto"/>
          <w:highlight w:val="none"/>
        </w:rPr>
        <w:tab/>
      </w:r>
      <w:r>
        <w:rPr>
          <w:color w:val="auto"/>
          <w:highlight w:val="none"/>
        </w:rPr>
        <w:fldChar w:fldCharType="begin"/>
      </w:r>
      <w:r>
        <w:rPr>
          <w:color w:val="auto"/>
          <w:highlight w:val="none"/>
        </w:rPr>
        <w:instrText xml:space="preserve"> PAGEREF _Toc25328 </w:instrText>
      </w:r>
      <w:r>
        <w:rPr>
          <w:color w:val="auto"/>
          <w:highlight w:val="none"/>
        </w:rPr>
        <w:fldChar w:fldCharType="separate"/>
      </w:r>
      <w:r>
        <w:rPr>
          <w:color w:val="auto"/>
          <w:highlight w:val="none"/>
        </w:rPr>
        <w:t>149</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_Toc18962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4.2 运营期环境影响预测与评价</w:t>
      </w:r>
      <w:r>
        <w:rPr>
          <w:color w:val="auto"/>
          <w:highlight w:val="none"/>
        </w:rPr>
        <w:tab/>
      </w:r>
      <w:r>
        <w:rPr>
          <w:color w:val="auto"/>
          <w:highlight w:val="none"/>
        </w:rPr>
        <w:fldChar w:fldCharType="begin"/>
      </w:r>
      <w:r>
        <w:rPr>
          <w:color w:val="auto"/>
          <w:highlight w:val="none"/>
        </w:rPr>
        <w:instrText xml:space="preserve"> PAGEREF _Toc18962 </w:instrText>
      </w:r>
      <w:r>
        <w:rPr>
          <w:color w:val="auto"/>
          <w:highlight w:val="none"/>
        </w:rPr>
        <w:fldChar w:fldCharType="separate"/>
      </w:r>
      <w:r>
        <w:rPr>
          <w:color w:val="auto"/>
          <w:highlight w:val="none"/>
        </w:rPr>
        <w:t>152</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_Toc21259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4.3 环境风险评价</w:t>
      </w:r>
      <w:r>
        <w:rPr>
          <w:color w:val="auto"/>
          <w:highlight w:val="none"/>
        </w:rPr>
        <w:tab/>
      </w:r>
      <w:r>
        <w:rPr>
          <w:color w:val="auto"/>
          <w:highlight w:val="none"/>
        </w:rPr>
        <w:fldChar w:fldCharType="begin"/>
      </w:r>
      <w:r>
        <w:rPr>
          <w:color w:val="auto"/>
          <w:highlight w:val="none"/>
        </w:rPr>
        <w:instrText xml:space="preserve"> PAGEREF _Toc21259 </w:instrText>
      </w:r>
      <w:r>
        <w:rPr>
          <w:color w:val="auto"/>
          <w:highlight w:val="none"/>
        </w:rPr>
        <w:fldChar w:fldCharType="separate"/>
      </w:r>
      <w:r>
        <w:rPr>
          <w:color w:val="auto"/>
          <w:highlight w:val="none"/>
        </w:rPr>
        <w:t>189</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_Toc15281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4.4 闭矿期生态环境影响分析</w:t>
      </w:r>
      <w:r>
        <w:rPr>
          <w:color w:val="auto"/>
          <w:highlight w:val="none"/>
        </w:rPr>
        <w:tab/>
      </w:r>
      <w:r>
        <w:rPr>
          <w:color w:val="auto"/>
          <w:highlight w:val="none"/>
        </w:rPr>
        <w:fldChar w:fldCharType="begin"/>
      </w:r>
      <w:r>
        <w:rPr>
          <w:color w:val="auto"/>
          <w:highlight w:val="none"/>
        </w:rPr>
        <w:instrText xml:space="preserve"> PAGEREF _Toc15281 </w:instrText>
      </w:r>
      <w:r>
        <w:rPr>
          <w:color w:val="auto"/>
          <w:highlight w:val="none"/>
        </w:rPr>
        <w:fldChar w:fldCharType="separate"/>
      </w:r>
      <w:r>
        <w:rPr>
          <w:color w:val="auto"/>
          <w:highlight w:val="none"/>
        </w:rPr>
        <w:t>203</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_Toc31487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4.5 矿山地质环境影响分析</w:t>
      </w:r>
      <w:r>
        <w:rPr>
          <w:color w:val="auto"/>
          <w:highlight w:val="none"/>
        </w:rPr>
        <w:tab/>
      </w:r>
      <w:r>
        <w:rPr>
          <w:color w:val="auto"/>
          <w:highlight w:val="none"/>
        </w:rPr>
        <w:fldChar w:fldCharType="begin"/>
      </w:r>
      <w:r>
        <w:rPr>
          <w:color w:val="auto"/>
          <w:highlight w:val="none"/>
        </w:rPr>
        <w:instrText xml:space="preserve"> PAGEREF _Toc31487 </w:instrText>
      </w:r>
      <w:r>
        <w:rPr>
          <w:color w:val="auto"/>
          <w:highlight w:val="none"/>
        </w:rPr>
        <w:fldChar w:fldCharType="separate"/>
      </w:r>
      <w:r>
        <w:rPr>
          <w:color w:val="auto"/>
          <w:highlight w:val="none"/>
        </w:rPr>
        <w:t>204</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3"/>
        <w:tabs>
          <w:tab w:val="right" w:leader="middleDot" w:pos="9026"/>
          <w:tab w:val="clear" w:pos="829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_Toc1415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5 环境保护措施及可行性论证</w:t>
      </w:r>
      <w:r>
        <w:rPr>
          <w:color w:val="auto"/>
          <w:highlight w:val="none"/>
        </w:rPr>
        <w:tab/>
      </w:r>
      <w:r>
        <w:rPr>
          <w:color w:val="auto"/>
          <w:highlight w:val="none"/>
        </w:rPr>
        <w:fldChar w:fldCharType="begin"/>
      </w:r>
      <w:r>
        <w:rPr>
          <w:color w:val="auto"/>
          <w:highlight w:val="none"/>
        </w:rPr>
        <w:instrText xml:space="preserve"> PAGEREF _Toc1415 </w:instrText>
      </w:r>
      <w:r>
        <w:rPr>
          <w:color w:val="auto"/>
          <w:highlight w:val="none"/>
        </w:rPr>
        <w:fldChar w:fldCharType="separate"/>
      </w:r>
      <w:r>
        <w:rPr>
          <w:color w:val="auto"/>
          <w:highlight w:val="none"/>
        </w:rPr>
        <w:t>210</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_Toc12295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5.1 运营期污染防治措施可行性分析</w:t>
      </w:r>
      <w:r>
        <w:rPr>
          <w:color w:val="auto"/>
          <w:highlight w:val="none"/>
        </w:rPr>
        <w:tab/>
      </w:r>
      <w:r>
        <w:rPr>
          <w:color w:val="auto"/>
          <w:highlight w:val="none"/>
        </w:rPr>
        <w:fldChar w:fldCharType="begin"/>
      </w:r>
      <w:r>
        <w:rPr>
          <w:color w:val="auto"/>
          <w:highlight w:val="none"/>
        </w:rPr>
        <w:instrText xml:space="preserve"> PAGEREF _Toc12295 </w:instrText>
      </w:r>
      <w:r>
        <w:rPr>
          <w:color w:val="auto"/>
          <w:highlight w:val="none"/>
        </w:rPr>
        <w:fldChar w:fldCharType="separate"/>
      </w:r>
      <w:r>
        <w:rPr>
          <w:color w:val="auto"/>
          <w:highlight w:val="none"/>
        </w:rPr>
        <w:t>210</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_Toc10218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5.2 矿山土地复垦方案</w:t>
      </w:r>
      <w:r>
        <w:rPr>
          <w:color w:val="auto"/>
          <w:highlight w:val="none"/>
        </w:rPr>
        <w:tab/>
      </w:r>
      <w:r>
        <w:rPr>
          <w:color w:val="auto"/>
          <w:highlight w:val="none"/>
        </w:rPr>
        <w:fldChar w:fldCharType="begin"/>
      </w:r>
      <w:r>
        <w:rPr>
          <w:color w:val="auto"/>
          <w:highlight w:val="none"/>
        </w:rPr>
        <w:instrText xml:space="preserve"> PAGEREF _Toc10218 </w:instrText>
      </w:r>
      <w:r>
        <w:rPr>
          <w:color w:val="auto"/>
          <w:highlight w:val="none"/>
        </w:rPr>
        <w:fldChar w:fldCharType="separate"/>
      </w:r>
      <w:r>
        <w:rPr>
          <w:color w:val="auto"/>
          <w:highlight w:val="none"/>
        </w:rPr>
        <w:t>223</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_Toc6409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s="Times New Roman"/>
          <w:color w:val="auto"/>
          <w:highlight w:val="none"/>
        </w:rPr>
        <w:t>5.3 环保投资</w:t>
      </w:r>
      <w:r>
        <w:rPr>
          <w:color w:val="auto"/>
          <w:highlight w:val="none"/>
        </w:rPr>
        <w:tab/>
      </w:r>
      <w:r>
        <w:rPr>
          <w:color w:val="auto"/>
          <w:highlight w:val="none"/>
        </w:rPr>
        <w:fldChar w:fldCharType="begin"/>
      </w:r>
      <w:r>
        <w:rPr>
          <w:color w:val="auto"/>
          <w:highlight w:val="none"/>
        </w:rPr>
        <w:instrText xml:space="preserve"> PAGEREF _Toc6409 </w:instrText>
      </w:r>
      <w:r>
        <w:rPr>
          <w:color w:val="auto"/>
          <w:highlight w:val="none"/>
        </w:rPr>
        <w:fldChar w:fldCharType="separate"/>
      </w:r>
      <w:r>
        <w:rPr>
          <w:color w:val="auto"/>
          <w:highlight w:val="none"/>
        </w:rPr>
        <w:t>228</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3"/>
        <w:tabs>
          <w:tab w:val="right" w:leader="middleDot" w:pos="9026"/>
          <w:tab w:val="clear" w:pos="829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_Toc16006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6 环境经济损益分析</w:t>
      </w:r>
      <w:r>
        <w:rPr>
          <w:color w:val="auto"/>
          <w:highlight w:val="none"/>
        </w:rPr>
        <w:tab/>
      </w:r>
      <w:r>
        <w:rPr>
          <w:color w:val="auto"/>
          <w:highlight w:val="none"/>
        </w:rPr>
        <w:fldChar w:fldCharType="begin"/>
      </w:r>
      <w:r>
        <w:rPr>
          <w:color w:val="auto"/>
          <w:highlight w:val="none"/>
        </w:rPr>
        <w:instrText xml:space="preserve"> PAGEREF _Toc16006 </w:instrText>
      </w:r>
      <w:r>
        <w:rPr>
          <w:color w:val="auto"/>
          <w:highlight w:val="none"/>
        </w:rPr>
        <w:fldChar w:fldCharType="separate"/>
      </w:r>
      <w:r>
        <w:rPr>
          <w:color w:val="auto"/>
          <w:highlight w:val="none"/>
        </w:rPr>
        <w:t>229</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_Toc6639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6.1 经济效益分析</w:t>
      </w:r>
      <w:r>
        <w:rPr>
          <w:color w:val="auto"/>
          <w:highlight w:val="none"/>
        </w:rPr>
        <w:tab/>
      </w:r>
      <w:r>
        <w:rPr>
          <w:color w:val="auto"/>
          <w:highlight w:val="none"/>
        </w:rPr>
        <w:fldChar w:fldCharType="begin"/>
      </w:r>
      <w:r>
        <w:rPr>
          <w:color w:val="auto"/>
          <w:highlight w:val="none"/>
        </w:rPr>
        <w:instrText xml:space="preserve"> PAGEREF _Toc6639 </w:instrText>
      </w:r>
      <w:r>
        <w:rPr>
          <w:color w:val="auto"/>
          <w:highlight w:val="none"/>
        </w:rPr>
        <w:fldChar w:fldCharType="separate"/>
      </w:r>
      <w:r>
        <w:rPr>
          <w:color w:val="auto"/>
          <w:highlight w:val="none"/>
        </w:rPr>
        <w:t>229</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_Toc16581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6.2 社会效益分析</w:t>
      </w:r>
      <w:r>
        <w:rPr>
          <w:color w:val="auto"/>
          <w:highlight w:val="none"/>
        </w:rPr>
        <w:tab/>
      </w:r>
      <w:r>
        <w:rPr>
          <w:color w:val="auto"/>
          <w:highlight w:val="none"/>
        </w:rPr>
        <w:fldChar w:fldCharType="begin"/>
      </w:r>
      <w:r>
        <w:rPr>
          <w:color w:val="auto"/>
          <w:highlight w:val="none"/>
        </w:rPr>
        <w:instrText xml:space="preserve"> PAGEREF _Toc16581 </w:instrText>
      </w:r>
      <w:r>
        <w:rPr>
          <w:color w:val="auto"/>
          <w:highlight w:val="none"/>
        </w:rPr>
        <w:fldChar w:fldCharType="separate"/>
      </w:r>
      <w:r>
        <w:rPr>
          <w:color w:val="auto"/>
          <w:highlight w:val="none"/>
        </w:rPr>
        <w:t>229</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_Toc2814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6.3 环境效益分析</w:t>
      </w:r>
      <w:r>
        <w:rPr>
          <w:color w:val="auto"/>
          <w:highlight w:val="none"/>
        </w:rPr>
        <w:tab/>
      </w:r>
      <w:r>
        <w:rPr>
          <w:color w:val="auto"/>
          <w:highlight w:val="none"/>
        </w:rPr>
        <w:fldChar w:fldCharType="begin"/>
      </w:r>
      <w:r>
        <w:rPr>
          <w:color w:val="auto"/>
          <w:highlight w:val="none"/>
        </w:rPr>
        <w:instrText xml:space="preserve"> PAGEREF _Toc2814 </w:instrText>
      </w:r>
      <w:r>
        <w:rPr>
          <w:color w:val="auto"/>
          <w:highlight w:val="none"/>
        </w:rPr>
        <w:fldChar w:fldCharType="separate"/>
      </w:r>
      <w:r>
        <w:rPr>
          <w:color w:val="auto"/>
          <w:highlight w:val="none"/>
        </w:rPr>
        <w:t>230</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_Toc29267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6.4 小结</w:t>
      </w:r>
      <w:r>
        <w:rPr>
          <w:color w:val="auto"/>
          <w:highlight w:val="none"/>
        </w:rPr>
        <w:tab/>
      </w:r>
      <w:r>
        <w:rPr>
          <w:color w:val="auto"/>
          <w:highlight w:val="none"/>
        </w:rPr>
        <w:fldChar w:fldCharType="begin"/>
      </w:r>
      <w:r>
        <w:rPr>
          <w:color w:val="auto"/>
          <w:highlight w:val="none"/>
        </w:rPr>
        <w:instrText xml:space="preserve"> PAGEREF _Toc29267 </w:instrText>
      </w:r>
      <w:r>
        <w:rPr>
          <w:color w:val="auto"/>
          <w:highlight w:val="none"/>
        </w:rPr>
        <w:fldChar w:fldCharType="separate"/>
      </w:r>
      <w:r>
        <w:rPr>
          <w:color w:val="auto"/>
          <w:highlight w:val="none"/>
        </w:rPr>
        <w:t>232</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3"/>
        <w:tabs>
          <w:tab w:val="right" w:leader="middleDot" w:pos="9026"/>
          <w:tab w:val="clear" w:pos="829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_Toc9157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7 环境管理与监测计划</w:t>
      </w:r>
      <w:r>
        <w:rPr>
          <w:color w:val="auto"/>
          <w:highlight w:val="none"/>
        </w:rPr>
        <w:tab/>
      </w:r>
      <w:r>
        <w:rPr>
          <w:color w:val="auto"/>
          <w:highlight w:val="none"/>
        </w:rPr>
        <w:fldChar w:fldCharType="begin"/>
      </w:r>
      <w:r>
        <w:rPr>
          <w:color w:val="auto"/>
          <w:highlight w:val="none"/>
        </w:rPr>
        <w:instrText xml:space="preserve"> PAGEREF _Toc9157 </w:instrText>
      </w:r>
      <w:r>
        <w:rPr>
          <w:color w:val="auto"/>
          <w:highlight w:val="none"/>
        </w:rPr>
        <w:fldChar w:fldCharType="separate"/>
      </w:r>
      <w:r>
        <w:rPr>
          <w:color w:val="auto"/>
          <w:highlight w:val="none"/>
        </w:rPr>
        <w:t>233</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_Toc27851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7.1 环境管理制度</w:t>
      </w:r>
      <w:r>
        <w:rPr>
          <w:color w:val="auto"/>
          <w:highlight w:val="none"/>
        </w:rPr>
        <w:tab/>
      </w:r>
      <w:r>
        <w:rPr>
          <w:color w:val="auto"/>
          <w:highlight w:val="none"/>
        </w:rPr>
        <w:fldChar w:fldCharType="begin"/>
      </w:r>
      <w:r>
        <w:rPr>
          <w:color w:val="auto"/>
          <w:highlight w:val="none"/>
        </w:rPr>
        <w:instrText xml:space="preserve"> PAGEREF _Toc27851 </w:instrText>
      </w:r>
      <w:r>
        <w:rPr>
          <w:color w:val="auto"/>
          <w:highlight w:val="none"/>
        </w:rPr>
        <w:fldChar w:fldCharType="separate"/>
      </w:r>
      <w:r>
        <w:rPr>
          <w:color w:val="auto"/>
          <w:highlight w:val="none"/>
        </w:rPr>
        <w:t>233</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_Toc32405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7.1 环境管理制度</w:t>
      </w:r>
      <w:r>
        <w:rPr>
          <w:color w:val="auto"/>
          <w:highlight w:val="none"/>
        </w:rPr>
        <w:tab/>
      </w:r>
      <w:r>
        <w:rPr>
          <w:color w:val="auto"/>
          <w:highlight w:val="none"/>
        </w:rPr>
        <w:fldChar w:fldCharType="begin"/>
      </w:r>
      <w:r>
        <w:rPr>
          <w:color w:val="auto"/>
          <w:highlight w:val="none"/>
        </w:rPr>
        <w:instrText xml:space="preserve"> PAGEREF _Toc32405 </w:instrText>
      </w:r>
      <w:r>
        <w:rPr>
          <w:color w:val="auto"/>
          <w:highlight w:val="none"/>
        </w:rPr>
        <w:fldChar w:fldCharType="separate"/>
      </w:r>
      <w:r>
        <w:rPr>
          <w:color w:val="auto"/>
          <w:highlight w:val="none"/>
        </w:rPr>
        <w:t>233</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_Toc160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7.2 污染物排放清单及管理要求</w:t>
      </w:r>
      <w:r>
        <w:rPr>
          <w:color w:val="auto"/>
          <w:highlight w:val="none"/>
        </w:rPr>
        <w:tab/>
      </w:r>
      <w:r>
        <w:rPr>
          <w:color w:val="auto"/>
          <w:highlight w:val="none"/>
        </w:rPr>
        <w:fldChar w:fldCharType="begin"/>
      </w:r>
      <w:r>
        <w:rPr>
          <w:color w:val="auto"/>
          <w:highlight w:val="none"/>
        </w:rPr>
        <w:instrText xml:space="preserve"> PAGEREF _Toc160 </w:instrText>
      </w:r>
      <w:r>
        <w:rPr>
          <w:color w:val="auto"/>
          <w:highlight w:val="none"/>
        </w:rPr>
        <w:fldChar w:fldCharType="separate"/>
      </w:r>
      <w:r>
        <w:rPr>
          <w:color w:val="auto"/>
          <w:highlight w:val="none"/>
        </w:rPr>
        <w:t>234</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_Toc3913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7.3 环境监测计划</w:t>
      </w:r>
      <w:r>
        <w:rPr>
          <w:color w:val="auto"/>
          <w:highlight w:val="none"/>
        </w:rPr>
        <w:tab/>
      </w:r>
      <w:r>
        <w:rPr>
          <w:color w:val="auto"/>
          <w:highlight w:val="none"/>
        </w:rPr>
        <w:fldChar w:fldCharType="begin"/>
      </w:r>
      <w:r>
        <w:rPr>
          <w:color w:val="auto"/>
          <w:highlight w:val="none"/>
        </w:rPr>
        <w:instrText xml:space="preserve"> PAGEREF _Toc3913 </w:instrText>
      </w:r>
      <w:r>
        <w:rPr>
          <w:color w:val="auto"/>
          <w:highlight w:val="none"/>
        </w:rPr>
        <w:fldChar w:fldCharType="separate"/>
      </w:r>
      <w:r>
        <w:rPr>
          <w:color w:val="auto"/>
          <w:highlight w:val="none"/>
        </w:rPr>
        <w:t>238</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_Toc5171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7.4 排污口管理</w:t>
      </w:r>
      <w:r>
        <w:rPr>
          <w:color w:val="auto"/>
          <w:highlight w:val="none"/>
        </w:rPr>
        <w:tab/>
      </w:r>
      <w:r>
        <w:rPr>
          <w:color w:val="auto"/>
          <w:highlight w:val="none"/>
        </w:rPr>
        <w:fldChar w:fldCharType="begin"/>
      </w:r>
      <w:r>
        <w:rPr>
          <w:color w:val="auto"/>
          <w:highlight w:val="none"/>
        </w:rPr>
        <w:instrText xml:space="preserve"> PAGEREF _Toc5171 </w:instrText>
      </w:r>
      <w:r>
        <w:rPr>
          <w:color w:val="auto"/>
          <w:highlight w:val="none"/>
        </w:rPr>
        <w:fldChar w:fldCharType="separate"/>
      </w:r>
      <w:r>
        <w:rPr>
          <w:color w:val="auto"/>
          <w:highlight w:val="none"/>
        </w:rPr>
        <w:t>238</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_Toc755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7.5 排污许可管理</w:t>
      </w:r>
      <w:r>
        <w:rPr>
          <w:color w:val="auto"/>
          <w:highlight w:val="none"/>
        </w:rPr>
        <w:tab/>
      </w:r>
      <w:r>
        <w:rPr>
          <w:color w:val="auto"/>
          <w:highlight w:val="none"/>
        </w:rPr>
        <w:fldChar w:fldCharType="begin"/>
      </w:r>
      <w:r>
        <w:rPr>
          <w:color w:val="auto"/>
          <w:highlight w:val="none"/>
        </w:rPr>
        <w:instrText xml:space="preserve"> PAGEREF _Toc755 </w:instrText>
      </w:r>
      <w:r>
        <w:rPr>
          <w:color w:val="auto"/>
          <w:highlight w:val="none"/>
        </w:rPr>
        <w:fldChar w:fldCharType="separate"/>
      </w:r>
      <w:r>
        <w:rPr>
          <w:color w:val="auto"/>
          <w:highlight w:val="none"/>
        </w:rPr>
        <w:t>239</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_Toc19883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7.6 环境管理台账记录要求</w:t>
      </w:r>
      <w:r>
        <w:rPr>
          <w:color w:val="auto"/>
          <w:highlight w:val="none"/>
        </w:rPr>
        <w:tab/>
      </w:r>
      <w:r>
        <w:rPr>
          <w:color w:val="auto"/>
          <w:highlight w:val="none"/>
        </w:rPr>
        <w:fldChar w:fldCharType="begin"/>
      </w:r>
      <w:r>
        <w:rPr>
          <w:color w:val="auto"/>
          <w:highlight w:val="none"/>
        </w:rPr>
        <w:instrText xml:space="preserve"> PAGEREF _Toc19883 </w:instrText>
      </w:r>
      <w:r>
        <w:rPr>
          <w:color w:val="auto"/>
          <w:highlight w:val="none"/>
        </w:rPr>
        <w:fldChar w:fldCharType="separate"/>
      </w:r>
      <w:r>
        <w:rPr>
          <w:color w:val="auto"/>
          <w:highlight w:val="none"/>
        </w:rPr>
        <w:t>240</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_Toc14921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7.7 竣工环境保护验收</w:t>
      </w:r>
      <w:r>
        <w:rPr>
          <w:color w:val="auto"/>
          <w:highlight w:val="none"/>
        </w:rPr>
        <w:tab/>
      </w:r>
      <w:r>
        <w:rPr>
          <w:color w:val="auto"/>
          <w:highlight w:val="none"/>
        </w:rPr>
        <w:fldChar w:fldCharType="begin"/>
      </w:r>
      <w:r>
        <w:rPr>
          <w:color w:val="auto"/>
          <w:highlight w:val="none"/>
        </w:rPr>
        <w:instrText xml:space="preserve"> PAGEREF _Toc14921 </w:instrText>
      </w:r>
      <w:r>
        <w:rPr>
          <w:color w:val="auto"/>
          <w:highlight w:val="none"/>
        </w:rPr>
        <w:fldChar w:fldCharType="separate"/>
      </w:r>
      <w:r>
        <w:rPr>
          <w:color w:val="auto"/>
          <w:highlight w:val="none"/>
        </w:rPr>
        <w:t>242</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3"/>
        <w:tabs>
          <w:tab w:val="right" w:leader="middleDot" w:pos="9026"/>
          <w:tab w:val="clear" w:pos="829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_Toc6414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8 环境影响评价结论</w:t>
      </w:r>
      <w:r>
        <w:rPr>
          <w:color w:val="auto"/>
          <w:highlight w:val="none"/>
        </w:rPr>
        <w:tab/>
      </w:r>
      <w:r>
        <w:rPr>
          <w:color w:val="auto"/>
          <w:highlight w:val="none"/>
        </w:rPr>
        <w:fldChar w:fldCharType="begin"/>
      </w:r>
      <w:r>
        <w:rPr>
          <w:color w:val="auto"/>
          <w:highlight w:val="none"/>
        </w:rPr>
        <w:instrText xml:space="preserve"> PAGEREF _Toc6414 </w:instrText>
      </w:r>
      <w:r>
        <w:rPr>
          <w:color w:val="auto"/>
          <w:highlight w:val="none"/>
        </w:rPr>
        <w:fldChar w:fldCharType="separate"/>
      </w:r>
      <w:r>
        <w:rPr>
          <w:color w:val="auto"/>
          <w:highlight w:val="none"/>
        </w:rPr>
        <w:t>246</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_Toc11796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8.1 建设项目概况</w:t>
      </w:r>
      <w:r>
        <w:rPr>
          <w:color w:val="auto"/>
          <w:highlight w:val="none"/>
        </w:rPr>
        <w:tab/>
      </w:r>
      <w:r>
        <w:rPr>
          <w:color w:val="auto"/>
          <w:highlight w:val="none"/>
        </w:rPr>
        <w:fldChar w:fldCharType="begin"/>
      </w:r>
      <w:r>
        <w:rPr>
          <w:color w:val="auto"/>
          <w:highlight w:val="none"/>
        </w:rPr>
        <w:instrText xml:space="preserve"> PAGEREF _Toc11796 </w:instrText>
      </w:r>
      <w:r>
        <w:rPr>
          <w:color w:val="auto"/>
          <w:highlight w:val="none"/>
        </w:rPr>
        <w:fldChar w:fldCharType="separate"/>
      </w:r>
      <w:r>
        <w:rPr>
          <w:color w:val="auto"/>
          <w:highlight w:val="none"/>
        </w:rPr>
        <w:t>246</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_Toc15728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8.2 环境质量现状</w:t>
      </w:r>
      <w:r>
        <w:rPr>
          <w:color w:val="auto"/>
          <w:highlight w:val="none"/>
        </w:rPr>
        <w:tab/>
      </w:r>
      <w:r>
        <w:rPr>
          <w:color w:val="auto"/>
          <w:highlight w:val="none"/>
        </w:rPr>
        <w:fldChar w:fldCharType="begin"/>
      </w:r>
      <w:r>
        <w:rPr>
          <w:color w:val="auto"/>
          <w:highlight w:val="none"/>
        </w:rPr>
        <w:instrText xml:space="preserve"> PAGEREF _Toc15728 </w:instrText>
      </w:r>
      <w:r>
        <w:rPr>
          <w:color w:val="auto"/>
          <w:highlight w:val="none"/>
        </w:rPr>
        <w:fldChar w:fldCharType="separate"/>
      </w:r>
      <w:r>
        <w:rPr>
          <w:color w:val="auto"/>
          <w:highlight w:val="none"/>
        </w:rPr>
        <w:t>246</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_Toc15552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8.3 污染物排放情况</w:t>
      </w:r>
      <w:r>
        <w:rPr>
          <w:color w:val="auto"/>
          <w:highlight w:val="none"/>
        </w:rPr>
        <w:tab/>
      </w:r>
      <w:r>
        <w:rPr>
          <w:color w:val="auto"/>
          <w:highlight w:val="none"/>
        </w:rPr>
        <w:fldChar w:fldCharType="begin"/>
      </w:r>
      <w:r>
        <w:rPr>
          <w:color w:val="auto"/>
          <w:highlight w:val="none"/>
        </w:rPr>
        <w:instrText xml:space="preserve"> PAGEREF _Toc15552 </w:instrText>
      </w:r>
      <w:r>
        <w:rPr>
          <w:color w:val="auto"/>
          <w:highlight w:val="none"/>
        </w:rPr>
        <w:fldChar w:fldCharType="separate"/>
      </w:r>
      <w:r>
        <w:rPr>
          <w:color w:val="auto"/>
          <w:highlight w:val="none"/>
        </w:rPr>
        <w:t>247</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_Toc11410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8.4 主要环境影响</w:t>
      </w:r>
      <w:r>
        <w:rPr>
          <w:color w:val="auto"/>
          <w:highlight w:val="none"/>
        </w:rPr>
        <w:tab/>
      </w:r>
      <w:r>
        <w:rPr>
          <w:color w:val="auto"/>
          <w:highlight w:val="none"/>
        </w:rPr>
        <w:fldChar w:fldCharType="begin"/>
      </w:r>
      <w:r>
        <w:rPr>
          <w:color w:val="auto"/>
          <w:highlight w:val="none"/>
        </w:rPr>
        <w:instrText xml:space="preserve"> PAGEREF _Toc11410 </w:instrText>
      </w:r>
      <w:r>
        <w:rPr>
          <w:color w:val="auto"/>
          <w:highlight w:val="none"/>
        </w:rPr>
        <w:fldChar w:fldCharType="separate"/>
      </w:r>
      <w:r>
        <w:rPr>
          <w:color w:val="auto"/>
          <w:highlight w:val="none"/>
        </w:rPr>
        <w:t>249</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_Toc29192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8.5 公众意见采纳情况</w:t>
      </w:r>
      <w:r>
        <w:rPr>
          <w:color w:val="auto"/>
          <w:highlight w:val="none"/>
        </w:rPr>
        <w:tab/>
      </w:r>
      <w:r>
        <w:rPr>
          <w:color w:val="auto"/>
          <w:highlight w:val="none"/>
        </w:rPr>
        <w:fldChar w:fldCharType="begin"/>
      </w:r>
      <w:r>
        <w:rPr>
          <w:color w:val="auto"/>
          <w:highlight w:val="none"/>
        </w:rPr>
        <w:instrText xml:space="preserve"> PAGEREF _Toc29192 </w:instrText>
      </w:r>
      <w:r>
        <w:rPr>
          <w:color w:val="auto"/>
          <w:highlight w:val="none"/>
        </w:rPr>
        <w:fldChar w:fldCharType="separate"/>
      </w:r>
      <w:r>
        <w:rPr>
          <w:color w:val="auto"/>
          <w:highlight w:val="none"/>
        </w:rPr>
        <w:t>250</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_Toc2135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8.6 环境保护措施可行性分析</w:t>
      </w:r>
      <w:r>
        <w:rPr>
          <w:color w:val="auto"/>
          <w:highlight w:val="none"/>
        </w:rPr>
        <w:tab/>
      </w:r>
      <w:r>
        <w:rPr>
          <w:color w:val="auto"/>
          <w:highlight w:val="none"/>
        </w:rPr>
        <w:fldChar w:fldCharType="begin"/>
      </w:r>
      <w:r>
        <w:rPr>
          <w:color w:val="auto"/>
          <w:highlight w:val="none"/>
        </w:rPr>
        <w:instrText xml:space="preserve"> PAGEREF _Toc2135 </w:instrText>
      </w:r>
      <w:r>
        <w:rPr>
          <w:color w:val="auto"/>
          <w:highlight w:val="none"/>
        </w:rPr>
        <w:fldChar w:fldCharType="separate"/>
      </w:r>
      <w:r>
        <w:rPr>
          <w:color w:val="auto"/>
          <w:highlight w:val="none"/>
        </w:rPr>
        <w:t>250</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_Toc24841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8.7 环境影响经济损益分析</w:t>
      </w:r>
      <w:r>
        <w:rPr>
          <w:color w:val="auto"/>
          <w:highlight w:val="none"/>
        </w:rPr>
        <w:tab/>
      </w:r>
      <w:r>
        <w:rPr>
          <w:color w:val="auto"/>
          <w:highlight w:val="none"/>
        </w:rPr>
        <w:fldChar w:fldCharType="begin"/>
      </w:r>
      <w:r>
        <w:rPr>
          <w:color w:val="auto"/>
          <w:highlight w:val="none"/>
        </w:rPr>
        <w:instrText xml:space="preserve"> PAGEREF _Toc24841 </w:instrText>
      </w:r>
      <w:r>
        <w:rPr>
          <w:color w:val="auto"/>
          <w:highlight w:val="none"/>
        </w:rPr>
        <w:fldChar w:fldCharType="separate"/>
      </w:r>
      <w:r>
        <w:rPr>
          <w:color w:val="auto"/>
          <w:highlight w:val="none"/>
        </w:rPr>
        <w:t>251</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_Toc21764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8.8 环境管理与监测计划</w:t>
      </w:r>
      <w:r>
        <w:rPr>
          <w:color w:val="auto"/>
          <w:highlight w:val="none"/>
        </w:rPr>
        <w:tab/>
      </w:r>
      <w:r>
        <w:rPr>
          <w:color w:val="auto"/>
          <w:highlight w:val="none"/>
        </w:rPr>
        <w:fldChar w:fldCharType="begin"/>
      </w:r>
      <w:r>
        <w:rPr>
          <w:color w:val="auto"/>
          <w:highlight w:val="none"/>
        </w:rPr>
        <w:instrText xml:space="preserve"> PAGEREF _Toc21764 </w:instrText>
      </w:r>
      <w:r>
        <w:rPr>
          <w:color w:val="auto"/>
          <w:highlight w:val="none"/>
        </w:rPr>
        <w:fldChar w:fldCharType="separate"/>
      </w:r>
      <w:r>
        <w:rPr>
          <w:color w:val="auto"/>
          <w:highlight w:val="none"/>
        </w:rPr>
        <w:t>252</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pStyle w:val="38"/>
        <w:tabs>
          <w:tab w:val="right" w:leader="middleDot" w:pos="9026"/>
        </w:tabs>
        <w:rPr>
          <w:color w:val="auto"/>
          <w:highlight w:val="none"/>
        </w:rPr>
      </w:pPr>
      <w:r>
        <w:rPr>
          <w:rFonts w:ascii="Times New Roman" w:hAnsi="Times New Roman" w:eastAsia="宋体" w:cs="Times New Roman"/>
          <w:bCs/>
          <w:color w:val="auto"/>
          <w:spacing w:val="-2"/>
          <w:kern w:val="30"/>
          <w:highlight w:val="none"/>
        </w:rPr>
        <w:fldChar w:fldCharType="begin"/>
      </w:r>
      <w:r>
        <w:rPr>
          <w:rFonts w:ascii="Times New Roman" w:hAnsi="Times New Roman" w:eastAsia="宋体" w:cs="Times New Roman"/>
          <w:bCs/>
          <w:color w:val="auto"/>
          <w:spacing w:val="-2"/>
          <w:kern w:val="30"/>
          <w:highlight w:val="none"/>
        </w:rPr>
        <w:instrText xml:space="preserve"> HYPERLINK \l _Toc19472 </w:instrText>
      </w:r>
      <w:r>
        <w:rPr>
          <w:rFonts w:ascii="Times New Roman" w:hAnsi="Times New Roman" w:eastAsia="宋体" w:cs="Times New Roman"/>
          <w:bCs/>
          <w:color w:val="auto"/>
          <w:spacing w:val="-2"/>
          <w:kern w:val="30"/>
          <w:highlight w:val="none"/>
        </w:rPr>
        <w:fldChar w:fldCharType="separate"/>
      </w:r>
      <w:r>
        <w:rPr>
          <w:rFonts w:ascii="Times New Roman" w:hAnsi="Times New Roman" w:eastAsia="宋体"/>
          <w:color w:val="auto"/>
          <w:highlight w:val="none"/>
        </w:rPr>
        <w:t>8.9 总结论</w:t>
      </w:r>
      <w:r>
        <w:rPr>
          <w:color w:val="auto"/>
          <w:highlight w:val="none"/>
        </w:rPr>
        <w:tab/>
      </w:r>
      <w:r>
        <w:rPr>
          <w:color w:val="auto"/>
          <w:highlight w:val="none"/>
        </w:rPr>
        <w:fldChar w:fldCharType="begin"/>
      </w:r>
      <w:r>
        <w:rPr>
          <w:color w:val="auto"/>
          <w:highlight w:val="none"/>
        </w:rPr>
        <w:instrText xml:space="preserve"> PAGEREF _Toc19472 </w:instrText>
      </w:r>
      <w:r>
        <w:rPr>
          <w:color w:val="auto"/>
          <w:highlight w:val="none"/>
        </w:rPr>
        <w:fldChar w:fldCharType="separate"/>
      </w:r>
      <w:r>
        <w:rPr>
          <w:color w:val="auto"/>
          <w:highlight w:val="none"/>
        </w:rPr>
        <w:t>252</w:t>
      </w:r>
      <w:r>
        <w:rPr>
          <w:color w:val="auto"/>
          <w:highlight w:val="none"/>
        </w:rPr>
        <w:fldChar w:fldCharType="end"/>
      </w:r>
      <w:r>
        <w:rPr>
          <w:rFonts w:ascii="Times New Roman" w:hAnsi="Times New Roman" w:eastAsia="宋体" w:cs="Times New Roman"/>
          <w:bCs/>
          <w:color w:val="auto"/>
          <w:spacing w:val="-2"/>
          <w:kern w:val="30"/>
          <w:highlight w:val="none"/>
        </w:rPr>
        <w:fldChar w:fldCharType="end"/>
      </w:r>
    </w:p>
    <w:p>
      <w:pPr>
        <w:ind w:firstLine="0" w:firstLineChars="0"/>
        <w:rPr>
          <w:rFonts w:ascii="Times New Roman" w:hAnsi="Times New Roman" w:eastAsia="宋体" w:cs="Times New Roman"/>
          <w:bCs/>
          <w:color w:val="auto"/>
          <w:spacing w:val="-2"/>
          <w:kern w:val="30"/>
          <w:highlight w:val="none"/>
        </w:rPr>
        <w:sectPr>
          <w:headerReference r:id="rId11" w:type="default"/>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r>
        <w:rPr>
          <w:rFonts w:ascii="Times New Roman" w:hAnsi="Times New Roman" w:eastAsia="宋体" w:cs="Times New Roman"/>
          <w:bCs/>
          <w:color w:val="auto"/>
          <w:spacing w:val="-2"/>
          <w:kern w:val="30"/>
          <w:highlight w:val="none"/>
        </w:rPr>
        <w:fldChar w:fldCharType="end"/>
      </w:r>
    </w:p>
    <w:p>
      <w:pPr>
        <w:ind w:firstLine="0" w:firstLineChars="0"/>
        <w:rPr>
          <w:rFonts w:ascii="Times New Roman" w:hAnsi="Times New Roman" w:eastAsia="宋体" w:cs="Times New Roman"/>
          <w:b/>
          <w:bCs/>
          <w:color w:val="auto"/>
          <w:szCs w:val="24"/>
          <w:highlight w:val="none"/>
        </w:rPr>
      </w:pPr>
      <w:r>
        <w:rPr>
          <w:rFonts w:ascii="Times New Roman" w:hAnsi="Times New Roman" w:eastAsia="宋体" w:cs="Times New Roman"/>
          <w:b/>
          <w:bCs/>
          <w:color w:val="auto"/>
          <w:szCs w:val="24"/>
          <w:highlight w:val="none"/>
        </w:rPr>
        <w:t>一、附  图</w:t>
      </w:r>
    </w:p>
    <w:p>
      <w:pPr>
        <w:ind w:firstLine="480"/>
        <w:rPr>
          <w:rFonts w:ascii="Times New Roman" w:hAnsi="Times New Roman" w:eastAsia="宋体" w:cs="Times New Roman"/>
          <w:color w:val="auto"/>
          <w:highlight w:val="none"/>
        </w:rPr>
      </w:pPr>
      <w:bookmarkStart w:id="27" w:name="_Toc29"/>
      <w:r>
        <w:rPr>
          <w:rFonts w:ascii="Times New Roman" w:hAnsi="Times New Roman" w:eastAsia="宋体" w:cs="Times New Roman"/>
          <w:color w:val="auto"/>
          <w:highlight w:val="none"/>
        </w:rPr>
        <w:t>附图1：项目地理位置图</w:t>
      </w:r>
    </w:p>
    <w:p>
      <w:pPr>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附图2：</w:t>
      </w:r>
      <w:r>
        <w:rPr>
          <w:rFonts w:hint="eastAsia" w:ascii="Times New Roman" w:hAnsi="Times New Roman" w:eastAsia="宋体" w:cs="Times New Roman"/>
          <w:bCs/>
          <w:color w:val="auto"/>
          <w:szCs w:val="24"/>
          <w:highlight w:val="none"/>
        </w:rPr>
        <w:t>整合前矿山平面布置及土地损毁情况评估图</w:t>
      </w:r>
    </w:p>
    <w:p>
      <w:pPr>
        <w:ind w:firstLine="480"/>
        <w:rPr>
          <w:rFonts w:hint="eastAsia" w:ascii="Times New Roman" w:hAnsi="Times New Roman" w:eastAsia="宋体" w:cs="Times New Roman"/>
          <w:bCs/>
          <w:color w:val="auto"/>
          <w:szCs w:val="24"/>
          <w:highlight w:val="none"/>
          <w:u w:val="single"/>
        </w:rPr>
      </w:pPr>
      <w:r>
        <w:rPr>
          <w:rFonts w:ascii="Times New Roman" w:hAnsi="Times New Roman" w:eastAsia="宋体" w:cs="Times New Roman"/>
          <w:bCs/>
          <w:color w:val="auto"/>
          <w:szCs w:val="24"/>
          <w:highlight w:val="none"/>
          <w:u w:val="single"/>
        </w:rPr>
        <w:t>附图3</w:t>
      </w:r>
      <w:r>
        <w:rPr>
          <w:rFonts w:hint="eastAsia" w:cs="Times New Roman"/>
          <w:bCs/>
          <w:color w:val="auto"/>
          <w:szCs w:val="24"/>
          <w:highlight w:val="none"/>
          <w:u w:val="single"/>
          <w:lang w:val="en-US" w:eastAsia="zh-CN"/>
        </w:rPr>
        <w:t>-1</w:t>
      </w:r>
      <w:r>
        <w:rPr>
          <w:rFonts w:ascii="Times New Roman" w:hAnsi="Times New Roman" w:eastAsia="宋体" w:cs="Times New Roman"/>
          <w:bCs/>
          <w:color w:val="auto"/>
          <w:szCs w:val="24"/>
          <w:highlight w:val="none"/>
          <w:u w:val="single"/>
        </w:rPr>
        <w:t>：</w:t>
      </w:r>
      <w:r>
        <w:rPr>
          <w:rFonts w:hint="eastAsia" w:ascii="Times New Roman" w:hAnsi="Times New Roman" w:eastAsia="宋体" w:cs="Times New Roman"/>
          <w:bCs/>
          <w:color w:val="auto"/>
          <w:szCs w:val="24"/>
          <w:highlight w:val="none"/>
          <w:u w:val="single"/>
        </w:rPr>
        <w:t>整合后矿山平面布置图</w:t>
      </w:r>
    </w:p>
    <w:p>
      <w:pPr>
        <w:ind w:firstLine="480"/>
        <w:rPr>
          <w:rFonts w:hint="eastAsia" w:ascii="Times New Roman" w:hAnsi="Times New Roman" w:eastAsia="宋体" w:cs="Times New Roman"/>
          <w:bCs/>
          <w:color w:val="auto"/>
          <w:szCs w:val="24"/>
          <w:highlight w:val="none"/>
          <w:u w:val="single"/>
        </w:rPr>
      </w:pPr>
      <w:r>
        <w:rPr>
          <w:rFonts w:hint="eastAsia" w:ascii="Times New Roman" w:hAnsi="Times New Roman" w:eastAsia="宋体" w:cs="Times New Roman"/>
          <w:bCs/>
          <w:color w:val="auto"/>
          <w:szCs w:val="24"/>
          <w:highlight w:val="none"/>
          <w:u w:val="single"/>
        </w:rPr>
        <w:t>附图3-2</w:t>
      </w:r>
      <w:r>
        <w:rPr>
          <w:rFonts w:hint="eastAsia" w:cs="Times New Roman"/>
          <w:bCs/>
          <w:color w:val="auto"/>
          <w:szCs w:val="24"/>
          <w:highlight w:val="none"/>
          <w:u w:val="single"/>
          <w:lang w:eastAsia="zh-CN"/>
        </w:rPr>
        <w:t>：</w:t>
      </w:r>
      <w:r>
        <w:rPr>
          <w:rFonts w:hint="eastAsia" w:ascii="Times New Roman" w:hAnsi="Times New Roman" w:eastAsia="宋体" w:cs="Times New Roman"/>
          <w:bCs/>
          <w:color w:val="auto"/>
          <w:szCs w:val="24"/>
          <w:highlight w:val="none"/>
          <w:u w:val="single"/>
        </w:rPr>
        <w:t>破碎场①临时用1地红线范围</w:t>
      </w:r>
    </w:p>
    <w:p>
      <w:pPr>
        <w:ind w:firstLine="480"/>
        <w:rPr>
          <w:rFonts w:hint="eastAsia" w:ascii="Times New Roman" w:hAnsi="Times New Roman" w:eastAsia="宋体" w:cs="Times New Roman"/>
          <w:bCs/>
          <w:color w:val="auto"/>
          <w:szCs w:val="24"/>
          <w:highlight w:val="none"/>
          <w:u w:val="single"/>
        </w:rPr>
      </w:pPr>
      <w:r>
        <w:rPr>
          <w:rFonts w:hint="eastAsia" w:ascii="Times New Roman" w:hAnsi="Times New Roman" w:eastAsia="宋体" w:cs="Times New Roman"/>
          <w:bCs/>
          <w:color w:val="auto"/>
          <w:szCs w:val="24"/>
          <w:highlight w:val="none"/>
          <w:u w:val="single"/>
        </w:rPr>
        <w:t>附图3-</w:t>
      </w:r>
      <w:r>
        <w:rPr>
          <w:rFonts w:hint="eastAsia" w:cs="Times New Roman"/>
          <w:bCs/>
          <w:color w:val="auto"/>
          <w:szCs w:val="24"/>
          <w:highlight w:val="none"/>
          <w:u w:val="single"/>
          <w:lang w:val="en-US" w:eastAsia="zh-CN"/>
        </w:rPr>
        <w:t>3</w:t>
      </w:r>
      <w:r>
        <w:rPr>
          <w:rFonts w:hint="eastAsia" w:cs="Times New Roman"/>
          <w:bCs/>
          <w:color w:val="auto"/>
          <w:szCs w:val="24"/>
          <w:highlight w:val="none"/>
          <w:u w:val="single"/>
          <w:lang w:eastAsia="zh-CN"/>
        </w:rPr>
        <w:t>：</w:t>
      </w:r>
      <w:r>
        <w:rPr>
          <w:rFonts w:hint="eastAsia" w:ascii="Times New Roman" w:hAnsi="Times New Roman" w:eastAsia="宋体" w:cs="Times New Roman"/>
          <w:bCs/>
          <w:color w:val="auto"/>
          <w:szCs w:val="24"/>
          <w:highlight w:val="none"/>
          <w:u w:val="single"/>
        </w:rPr>
        <w:t>破碎场①临时用地2红线范围</w:t>
      </w:r>
    </w:p>
    <w:p>
      <w:pPr>
        <w:ind w:firstLine="480"/>
        <w:rPr>
          <w:rFonts w:ascii="Times New Roman" w:hAnsi="Times New Roman" w:eastAsia="宋体" w:cs="Times New Roman"/>
          <w:bCs/>
          <w:color w:val="auto"/>
          <w:szCs w:val="24"/>
          <w:highlight w:val="none"/>
          <w:u w:val="single"/>
        </w:rPr>
      </w:pPr>
      <w:r>
        <w:rPr>
          <w:rFonts w:hint="eastAsia" w:ascii="Times New Roman" w:hAnsi="Times New Roman" w:eastAsia="宋体" w:cs="Times New Roman"/>
          <w:bCs/>
          <w:color w:val="auto"/>
          <w:szCs w:val="24"/>
          <w:highlight w:val="none"/>
          <w:u w:val="single"/>
        </w:rPr>
        <w:t>附图3-</w:t>
      </w:r>
      <w:r>
        <w:rPr>
          <w:rFonts w:hint="eastAsia" w:cs="Times New Roman"/>
          <w:bCs/>
          <w:color w:val="auto"/>
          <w:szCs w:val="24"/>
          <w:highlight w:val="none"/>
          <w:u w:val="single"/>
          <w:lang w:val="en-US" w:eastAsia="zh-CN"/>
        </w:rPr>
        <w:t>4</w:t>
      </w:r>
      <w:r>
        <w:rPr>
          <w:rFonts w:hint="eastAsia" w:cs="Times New Roman"/>
          <w:bCs/>
          <w:color w:val="auto"/>
          <w:szCs w:val="24"/>
          <w:highlight w:val="none"/>
          <w:u w:val="single"/>
          <w:lang w:eastAsia="zh-CN"/>
        </w:rPr>
        <w:t>：</w:t>
      </w:r>
      <w:r>
        <w:rPr>
          <w:rFonts w:hint="eastAsia" w:ascii="Times New Roman" w:hAnsi="Times New Roman" w:eastAsia="宋体" w:cs="Times New Roman"/>
          <w:bCs/>
          <w:color w:val="auto"/>
          <w:szCs w:val="24"/>
          <w:highlight w:val="none"/>
          <w:u w:val="single"/>
        </w:rPr>
        <w:t>破碎场②临时用地红线范围</w:t>
      </w:r>
    </w:p>
    <w:p>
      <w:pPr>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附图4：</w:t>
      </w:r>
      <w:r>
        <w:rPr>
          <w:rFonts w:hint="eastAsia" w:ascii="Times New Roman" w:hAnsi="Times New Roman" w:eastAsia="宋体" w:cs="Times New Roman"/>
          <w:bCs/>
          <w:color w:val="auto"/>
          <w:szCs w:val="24"/>
          <w:highlight w:val="none"/>
        </w:rPr>
        <w:t>项目矿区开采终了平面图</w:t>
      </w:r>
    </w:p>
    <w:p>
      <w:pPr>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附图5：</w:t>
      </w:r>
      <w:r>
        <w:rPr>
          <w:rFonts w:hint="eastAsia" w:ascii="Times New Roman" w:hAnsi="Times New Roman" w:eastAsia="宋体" w:cs="Times New Roman"/>
          <w:bCs/>
          <w:color w:val="auto"/>
          <w:szCs w:val="24"/>
          <w:highlight w:val="none"/>
        </w:rPr>
        <w:t>项目矿山开采终了剖面图</w:t>
      </w:r>
    </w:p>
    <w:p>
      <w:pPr>
        <w:ind w:firstLine="480"/>
        <w:rPr>
          <w:rFonts w:hint="eastAsia" w:ascii="Times New Roman" w:hAnsi="Times New Roman" w:eastAsia="宋体" w:cs="Times New Roman"/>
          <w:bCs/>
          <w:color w:val="auto"/>
          <w:szCs w:val="24"/>
          <w:highlight w:val="none"/>
          <w:u w:val="single"/>
        </w:rPr>
      </w:pPr>
      <w:r>
        <w:rPr>
          <w:rFonts w:ascii="Times New Roman" w:hAnsi="Times New Roman" w:eastAsia="宋体" w:cs="Times New Roman"/>
          <w:bCs/>
          <w:color w:val="auto"/>
          <w:szCs w:val="24"/>
          <w:highlight w:val="none"/>
          <w:u w:val="single"/>
        </w:rPr>
        <w:t>附图6：</w:t>
      </w:r>
      <w:r>
        <w:rPr>
          <w:rFonts w:hint="eastAsia" w:ascii="Times New Roman" w:hAnsi="Times New Roman" w:eastAsia="宋体" w:cs="Times New Roman"/>
          <w:bCs/>
          <w:color w:val="auto"/>
          <w:szCs w:val="24"/>
          <w:highlight w:val="none"/>
          <w:u w:val="single"/>
        </w:rPr>
        <w:t>项目环境质量现状监测布点图</w:t>
      </w:r>
    </w:p>
    <w:p>
      <w:pPr>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附图7：项目评价范围及周边环境示意图</w:t>
      </w:r>
    </w:p>
    <w:p>
      <w:pPr>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附图8：项目与广西生态功能区划的关系图</w:t>
      </w:r>
    </w:p>
    <w:p>
      <w:pPr>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附图9：项目在</w:t>
      </w:r>
      <w:r>
        <w:rPr>
          <w:rFonts w:hint="eastAsia" w:ascii="Times New Roman" w:hAnsi="Times New Roman" w:eastAsia="宋体" w:cs="Times New Roman"/>
          <w:bCs/>
          <w:color w:val="auto"/>
          <w:szCs w:val="24"/>
          <w:highlight w:val="none"/>
        </w:rPr>
        <w:t>斗江</w:t>
      </w:r>
      <w:r>
        <w:rPr>
          <w:rFonts w:ascii="Times New Roman" w:hAnsi="Times New Roman" w:eastAsia="宋体" w:cs="Times New Roman"/>
          <w:bCs/>
          <w:color w:val="auto"/>
          <w:szCs w:val="24"/>
          <w:highlight w:val="none"/>
        </w:rPr>
        <w:t>镇土地利用总体规划图中位置</w:t>
      </w:r>
    </w:p>
    <w:p>
      <w:pPr>
        <w:ind w:firstLine="480"/>
        <w:rPr>
          <w:rFonts w:hint="eastAsia"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附图10：</w:t>
      </w:r>
      <w:r>
        <w:rPr>
          <w:rFonts w:hint="eastAsia" w:ascii="Times New Roman" w:hAnsi="Times New Roman" w:eastAsia="宋体" w:cs="Times New Roman"/>
          <w:bCs/>
          <w:color w:val="auto"/>
          <w:szCs w:val="24"/>
          <w:highlight w:val="none"/>
        </w:rPr>
        <w:t>项目与斗江镇饮用水源保护地位置关系图</w:t>
      </w:r>
    </w:p>
    <w:p>
      <w:pPr>
        <w:ind w:firstLine="480"/>
        <w:rPr>
          <w:rFonts w:ascii="Times New Roman" w:hAnsi="Times New Roman" w:eastAsia="宋体" w:cs="Times New Roman"/>
          <w:bCs/>
          <w:color w:val="auto"/>
          <w:szCs w:val="24"/>
          <w:highlight w:val="none"/>
        </w:rPr>
      </w:pPr>
      <w:r>
        <w:rPr>
          <w:rFonts w:hint="eastAsia" w:ascii="Times New Roman" w:hAnsi="Times New Roman" w:eastAsia="宋体" w:cs="Times New Roman"/>
          <w:bCs/>
          <w:color w:val="auto"/>
          <w:szCs w:val="24"/>
          <w:highlight w:val="none"/>
        </w:rPr>
        <w:t>附图11：项目与三江县城饮用水水源地保护区划分关系图</w:t>
      </w:r>
    </w:p>
    <w:p>
      <w:pPr>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附图1</w:t>
      </w:r>
      <w:r>
        <w:rPr>
          <w:rFonts w:hint="eastAsia" w:ascii="Times New Roman" w:hAnsi="Times New Roman" w:eastAsia="宋体" w:cs="Times New Roman"/>
          <w:bCs/>
          <w:color w:val="auto"/>
          <w:szCs w:val="24"/>
          <w:highlight w:val="none"/>
        </w:rPr>
        <w:t>2</w:t>
      </w:r>
      <w:r>
        <w:rPr>
          <w:rFonts w:ascii="Times New Roman" w:hAnsi="Times New Roman" w:eastAsia="宋体" w:cs="Times New Roman"/>
          <w:bCs/>
          <w:color w:val="auto"/>
          <w:szCs w:val="24"/>
          <w:highlight w:val="none"/>
        </w:rPr>
        <w:t>：项目沉沙池施工方案</w:t>
      </w:r>
    </w:p>
    <w:p>
      <w:pPr>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附图1</w:t>
      </w:r>
      <w:r>
        <w:rPr>
          <w:rFonts w:hint="eastAsia" w:ascii="Times New Roman" w:hAnsi="Times New Roman" w:eastAsia="宋体" w:cs="Times New Roman"/>
          <w:bCs/>
          <w:color w:val="auto"/>
          <w:szCs w:val="24"/>
          <w:highlight w:val="none"/>
        </w:rPr>
        <w:t>3</w:t>
      </w:r>
      <w:r>
        <w:rPr>
          <w:rFonts w:ascii="Times New Roman" w:hAnsi="Times New Roman" w:eastAsia="宋体" w:cs="Times New Roman"/>
          <w:bCs/>
          <w:color w:val="auto"/>
          <w:szCs w:val="24"/>
          <w:highlight w:val="none"/>
        </w:rPr>
        <w:t>：项目</w:t>
      </w:r>
      <w:r>
        <w:rPr>
          <w:rFonts w:hint="eastAsia" w:ascii="Times New Roman" w:hAnsi="Times New Roman" w:eastAsia="宋体" w:cs="Times New Roman"/>
          <w:bCs/>
          <w:color w:val="auto"/>
          <w:szCs w:val="24"/>
          <w:highlight w:val="none"/>
        </w:rPr>
        <w:t>临时排土场</w:t>
      </w:r>
      <w:r>
        <w:rPr>
          <w:rFonts w:ascii="Times New Roman" w:hAnsi="Times New Roman" w:eastAsia="宋体" w:cs="Times New Roman"/>
          <w:bCs/>
          <w:color w:val="auto"/>
          <w:szCs w:val="24"/>
          <w:highlight w:val="none"/>
        </w:rPr>
        <w:t>施工方案</w:t>
      </w:r>
    </w:p>
    <w:p>
      <w:pPr>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附图1</w:t>
      </w:r>
      <w:r>
        <w:rPr>
          <w:rFonts w:hint="eastAsia" w:ascii="Times New Roman" w:hAnsi="Times New Roman" w:eastAsia="宋体" w:cs="Times New Roman"/>
          <w:bCs/>
          <w:color w:val="auto"/>
          <w:szCs w:val="24"/>
          <w:highlight w:val="none"/>
        </w:rPr>
        <w:t>4</w:t>
      </w:r>
      <w:r>
        <w:rPr>
          <w:rFonts w:ascii="Times New Roman" w:hAnsi="Times New Roman" w:eastAsia="宋体" w:cs="Times New Roman"/>
          <w:bCs/>
          <w:color w:val="auto"/>
          <w:szCs w:val="24"/>
          <w:highlight w:val="none"/>
        </w:rPr>
        <w:t>：</w:t>
      </w:r>
      <w:r>
        <w:rPr>
          <w:rFonts w:hint="eastAsia" w:ascii="Times New Roman" w:hAnsi="Times New Roman" w:eastAsia="宋体" w:cs="Times New Roman"/>
          <w:bCs/>
          <w:color w:val="auto"/>
          <w:szCs w:val="24"/>
          <w:highlight w:val="none"/>
        </w:rPr>
        <w:t>三江县宏源采石场硅质岩矿山土地利用现状图</w:t>
      </w:r>
    </w:p>
    <w:p>
      <w:pPr>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附图15：</w:t>
      </w:r>
      <w:r>
        <w:rPr>
          <w:rFonts w:hint="eastAsia" w:ascii="Times New Roman" w:hAnsi="Times New Roman" w:eastAsia="宋体" w:cs="Times New Roman"/>
          <w:bCs/>
          <w:color w:val="auto"/>
          <w:szCs w:val="24"/>
          <w:highlight w:val="none"/>
        </w:rPr>
        <w:t>三江县宏源采石场硅质岩矿山复垦规划图</w:t>
      </w:r>
    </w:p>
    <w:p>
      <w:pPr>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附图16：</w:t>
      </w:r>
      <w:r>
        <w:rPr>
          <w:rFonts w:hint="eastAsia" w:ascii="Times New Roman" w:hAnsi="Times New Roman" w:eastAsia="宋体" w:cs="Times New Roman"/>
          <w:bCs/>
          <w:color w:val="auto"/>
          <w:szCs w:val="24"/>
          <w:highlight w:val="none"/>
        </w:rPr>
        <w:t>三江县宏源采石场硅质岩矿山地质环境保护工程部署图</w:t>
      </w:r>
    </w:p>
    <w:p>
      <w:pPr>
        <w:ind w:firstLine="480"/>
        <w:rPr>
          <w:rFonts w:hint="eastAsia"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附图17：项目周边</w:t>
      </w:r>
      <w:r>
        <w:rPr>
          <w:rFonts w:hint="eastAsia" w:ascii="Times New Roman" w:hAnsi="Times New Roman" w:eastAsia="宋体" w:cs="Times New Roman"/>
          <w:bCs/>
          <w:color w:val="auto"/>
          <w:szCs w:val="24"/>
          <w:highlight w:val="none"/>
        </w:rPr>
        <w:t>水系图</w:t>
      </w:r>
    </w:p>
    <w:p>
      <w:pPr>
        <w:ind w:firstLine="480"/>
        <w:rPr>
          <w:rFonts w:hint="eastAsia" w:ascii="Times New Roman" w:hAnsi="Times New Roman" w:eastAsia="宋体" w:cs="Times New Roman"/>
          <w:bCs/>
          <w:color w:val="auto"/>
          <w:szCs w:val="24"/>
          <w:highlight w:val="none"/>
        </w:rPr>
      </w:pPr>
      <w:r>
        <w:rPr>
          <w:rFonts w:hint="eastAsia" w:ascii="Times New Roman" w:hAnsi="Times New Roman" w:eastAsia="宋体" w:cs="Times New Roman"/>
          <w:bCs/>
          <w:color w:val="auto"/>
          <w:szCs w:val="24"/>
          <w:highlight w:val="none"/>
        </w:rPr>
        <w:t>附图18：项目与三江县矿产资源开发利用与保护规划(2016-2020年)关系图</w:t>
      </w:r>
    </w:p>
    <w:p>
      <w:pPr>
        <w:ind w:firstLine="480"/>
        <w:rPr>
          <w:rFonts w:hint="eastAsia" w:ascii="Times New Roman" w:hAnsi="Times New Roman" w:eastAsia="宋体" w:cs="Times New Roman"/>
          <w:bCs/>
          <w:color w:val="auto"/>
          <w:szCs w:val="24"/>
          <w:highlight w:val="none"/>
        </w:rPr>
      </w:pPr>
      <w:r>
        <w:rPr>
          <w:rFonts w:hint="eastAsia" w:ascii="Times New Roman" w:hAnsi="Times New Roman" w:eastAsia="宋体" w:cs="Times New Roman"/>
          <w:bCs/>
          <w:color w:val="auto"/>
          <w:szCs w:val="24"/>
          <w:highlight w:val="none"/>
        </w:rPr>
        <w:t>附图19：项目与三江县砂石资源开发利用与保护规划(2016-2020年)关系图</w:t>
      </w:r>
    </w:p>
    <w:p>
      <w:pPr>
        <w:ind w:firstLine="480"/>
        <w:rPr>
          <w:rFonts w:hint="eastAsia" w:ascii="Times New Roman" w:hAnsi="Times New Roman" w:eastAsia="宋体" w:cs="Times New Roman"/>
          <w:bCs/>
          <w:color w:val="auto"/>
          <w:szCs w:val="24"/>
          <w:highlight w:val="none"/>
        </w:rPr>
      </w:pPr>
      <w:r>
        <w:rPr>
          <w:rFonts w:hint="eastAsia" w:ascii="Times New Roman" w:hAnsi="Times New Roman" w:eastAsia="宋体" w:cs="Times New Roman"/>
          <w:bCs/>
          <w:color w:val="auto"/>
          <w:szCs w:val="24"/>
          <w:highlight w:val="none"/>
        </w:rPr>
        <w:t>附图20：三江县宏保兴采石场申请变更缩小矿区范围图</w:t>
      </w:r>
    </w:p>
    <w:p>
      <w:pPr>
        <w:ind w:firstLine="0" w:firstLineChars="0"/>
        <w:rPr>
          <w:rFonts w:ascii="Times New Roman" w:hAnsi="Times New Roman" w:eastAsia="宋体" w:cs="Times New Roman"/>
          <w:b/>
          <w:bCs/>
          <w:color w:val="auto"/>
          <w:szCs w:val="24"/>
          <w:highlight w:val="none"/>
        </w:rPr>
      </w:pPr>
      <w:r>
        <w:rPr>
          <w:rFonts w:ascii="Times New Roman" w:hAnsi="Times New Roman" w:eastAsia="宋体" w:cs="Times New Roman"/>
          <w:b/>
          <w:bCs/>
          <w:color w:val="auto"/>
          <w:szCs w:val="24"/>
          <w:highlight w:val="none"/>
        </w:rPr>
        <w:t>二、附  件</w:t>
      </w:r>
    </w:p>
    <w:p>
      <w:pPr>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附件1：</w:t>
      </w:r>
      <w:r>
        <w:rPr>
          <w:rFonts w:hint="eastAsia" w:ascii="Times New Roman" w:hAnsi="Times New Roman" w:eastAsia="宋体" w:cs="Times New Roman"/>
          <w:bCs/>
          <w:color w:val="auto"/>
          <w:szCs w:val="24"/>
          <w:highlight w:val="none"/>
        </w:rPr>
        <w:t>项目</w:t>
      </w:r>
      <w:r>
        <w:rPr>
          <w:rFonts w:ascii="Times New Roman" w:hAnsi="Times New Roman" w:eastAsia="宋体" w:cs="Times New Roman"/>
          <w:bCs/>
          <w:color w:val="auto"/>
          <w:szCs w:val="24"/>
          <w:highlight w:val="none"/>
        </w:rPr>
        <w:t>委托书</w:t>
      </w:r>
    </w:p>
    <w:p>
      <w:pPr>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附件2：项目备案证明</w:t>
      </w:r>
    </w:p>
    <w:p>
      <w:pPr>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附件3：营业执照</w:t>
      </w:r>
      <w:r>
        <w:rPr>
          <w:rFonts w:hint="eastAsia" w:ascii="Times New Roman" w:hAnsi="Times New Roman" w:eastAsia="宋体" w:cs="Times New Roman"/>
          <w:bCs/>
          <w:color w:val="auto"/>
          <w:szCs w:val="24"/>
          <w:highlight w:val="none"/>
        </w:rPr>
        <w:t>和法人身份证明</w:t>
      </w:r>
    </w:p>
    <w:p>
      <w:pPr>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附件4：采矿许可证</w:t>
      </w:r>
    </w:p>
    <w:p>
      <w:pPr>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附件5：</w:t>
      </w:r>
      <w:r>
        <w:rPr>
          <w:rFonts w:hint="eastAsia" w:ascii="Times New Roman" w:hAnsi="Times New Roman" w:eastAsia="宋体" w:cs="Times New Roman"/>
          <w:bCs/>
          <w:color w:val="auto"/>
          <w:szCs w:val="24"/>
          <w:highlight w:val="none"/>
        </w:rPr>
        <w:t>租赁合同</w:t>
      </w:r>
    </w:p>
    <w:p>
      <w:pPr>
        <w:ind w:firstLine="480"/>
        <w:rPr>
          <w:rFonts w:hint="eastAsia" w:ascii="Times New Roman" w:hAnsi="Times New Roman" w:eastAsia="宋体" w:cs="Times New Roman"/>
          <w:bCs/>
          <w:color w:val="auto"/>
          <w:szCs w:val="24"/>
          <w:highlight w:val="none"/>
        </w:rPr>
      </w:pPr>
      <w:r>
        <w:rPr>
          <w:rFonts w:hint="eastAsia" w:ascii="Times New Roman" w:hAnsi="Times New Roman" w:eastAsia="宋体" w:cs="Times New Roman"/>
          <w:bCs/>
          <w:color w:val="auto"/>
          <w:szCs w:val="24"/>
          <w:highlight w:val="none"/>
        </w:rPr>
        <w:t>附件6-1：关于三江县海江采石场年开采建筑用石料3万立方米项目环境影响报告表的批复</w:t>
      </w:r>
    </w:p>
    <w:p>
      <w:pPr>
        <w:ind w:firstLine="480"/>
        <w:rPr>
          <w:rFonts w:ascii="Times New Roman" w:hAnsi="Times New Roman" w:eastAsia="宋体" w:cs="Times New Roman"/>
          <w:bCs/>
          <w:color w:val="auto"/>
          <w:szCs w:val="24"/>
          <w:highlight w:val="none"/>
        </w:rPr>
      </w:pPr>
      <w:r>
        <w:rPr>
          <w:rFonts w:hint="eastAsia" w:ascii="Times New Roman" w:hAnsi="Times New Roman" w:eastAsia="宋体" w:cs="Times New Roman"/>
          <w:bCs/>
          <w:color w:val="auto"/>
          <w:szCs w:val="24"/>
          <w:highlight w:val="none"/>
        </w:rPr>
        <w:t>附件6-2：关于三江县宏保兴采石场年开采8万立方米灰岩矿项目环境影响报告表的批复</w:t>
      </w:r>
    </w:p>
    <w:p>
      <w:pPr>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附件7：</w:t>
      </w:r>
      <w:r>
        <w:rPr>
          <w:rFonts w:hint="eastAsia" w:ascii="Times New Roman" w:hAnsi="Times New Roman" w:eastAsia="宋体" w:cs="Times New Roman"/>
          <w:bCs/>
          <w:color w:val="auto"/>
          <w:szCs w:val="24"/>
          <w:highlight w:val="none"/>
        </w:rPr>
        <w:t>三江县宏源采石场硅质岩矿矿产资源开发利用方案评审意见书</w:t>
      </w:r>
    </w:p>
    <w:p>
      <w:pPr>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附件8：</w:t>
      </w:r>
      <w:r>
        <w:rPr>
          <w:rFonts w:hint="eastAsia" w:ascii="Times New Roman" w:hAnsi="Times New Roman" w:eastAsia="宋体" w:cs="Times New Roman"/>
          <w:bCs/>
          <w:color w:val="auto"/>
          <w:szCs w:val="24"/>
          <w:highlight w:val="none"/>
        </w:rPr>
        <w:t>广西三江县宏源采石场硅质岩矿资源储量简测报告评审意见</w:t>
      </w:r>
    </w:p>
    <w:p>
      <w:pPr>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u w:val="single"/>
        </w:rPr>
        <w:t>附件9：</w:t>
      </w:r>
      <w:r>
        <w:rPr>
          <w:rFonts w:hint="eastAsia" w:ascii="Times New Roman" w:hAnsi="Times New Roman" w:eastAsia="宋体" w:cs="Times New Roman"/>
          <w:bCs/>
          <w:color w:val="auto"/>
          <w:szCs w:val="24"/>
          <w:highlight w:val="none"/>
          <w:u w:val="single"/>
        </w:rPr>
        <w:t>三江县宏源采石场硅质岩矿矿山地质环境保护与土地复垦方案评审意见书</w:t>
      </w:r>
    </w:p>
    <w:p>
      <w:pPr>
        <w:ind w:firstLine="480"/>
        <w:rPr>
          <w:rFonts w:hint="eastAsia"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附件10</w:t>
      </w:r>
      <w:r>
        <w:rPr>
          <w:rFonts w:hint="eastAsia" w:ascii="Times New Roman" w:hAnsi="Times New Roman" w:eastAsia="宋体" w:cs="Times New Roman"/>
          <w:bCs/>
          <w:color w:val="auto"/>
          <w:szCs w:val="24"/>
          <w:highlight w:val="none"/>
        </w:rPr>
        <w:t>-1</w:t>
      </w:r>
      <w:r>
        <w:rPr>
          <w:rFonts w:ascii="Times New Roman" w:hAnsi="Times New Roman" w:eastAsia="宋体" w:cs="Times New Roman"/>
          <w:bCs/>
          <w:color w:val="auto"/>
          <w:szCs w:val="24"/>
          <w:highlight w:val="none"/>
        </w:rPr>
        <w:t>：</w:t>
      </w:r>
      <w:r>
        <w:rPr>
          <w:rFonts w:hint="eastAsia" w:ascii="Times New Roman" w:hAnsi="Times New Roman" w:eastAsia="宋体" w:cs="Times New Roman"/>
          <w:bCs/>
          <w:color w:val="auto"/>
          <w:szCs w:val="24"/>
          <w:highlight w:val="none"/>
        </w:rPr>
        <w:t>原海江采石场采矿许可证</w:t>
      </w:r>
    </w:p>
    <w:p>
      <w:pPr>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附件10</w:t>
      </w:r>
      <w:r>
        <w:rPr>
          <w:rFonts w:hint="eastAsia" w:ascii="Times New Roman" w:hAnsi="Times New Roman" w:eastAsia="宋体" w:cs="Times New Roman"/>
          <w:bCs/>
          <w:color w:val="auto"/>
          <w:szCs w:val="24"/>
          <w:highlight w:val="none"/>
        </w:rPr>
        <w:t>-2</w:t>
      </w:r>
      <w:r>
        <w:rPr>
          <w:rFonts w:ascii="Times New Roman" w:hAnsi="Times New Roman" w:eastAsia="宋体" w:cs="Times New Roman"/>
          <w:bCs/>
          <w:color w:val="auto"/>
          <w:szCs w:val="24"/>
          <w:highlight w:val="none"/>
        </w:rPr>
        <w:t>：</w:t>
      </w:r>
      <w:r>
        <w:rPr>
          <w:rFonts w:hint="eastAsia" w:ascii="Times New Roman" w:hAnsi="Times New Roman" w:eastAsia="宋体" w:cs="Times New Roman"/>
          <w:bCs/>
          <w:color w:val="auto"/>
          <w:szCs w:val="24"/>
          <w:highlight w:val="none"/>
        </w:rPr>
        <w:t>原宏保兴采石场采矿许可证</w:t>
      </w:r>
    </w:p>
    <w:p>
      <w:pPr>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附件11：项目监测报告</w:t>
      </w:r>
    </w:p>
    <w:p>
      <w:pPr>
        <w:ind w:firstLine="480"/>
        <w:rPr>
          <w:rFonts w:hint="eastAsia" w:ascii="Times New Roman" w:hAnsi="Times New Roman" w:eastAsia="宋体" w:cs="Times New Roman"/>
          <w:color w:val="auto"/>
          <w:szCs w:val="24"/>
          <w:highlight w:val="none"/>
          <w:u w:val="single"/>
        </w:rPr>
      </w:pPr>
      <w:r>
        <w:rPr>
          <w:rFonts w:hint="eastAsia" w:ascii="Times New Roman" w:hAnsi="Times New Roman" w:eastAsia="宋体" w:cs="Times New Roman"/>
          <w:color w:val="auto"/>
          <w:szCs w:val="24"/>
          <w:highlight w:val="none"/>
          <w:u w:val="single"/>
        </w:rPr>
        <w:t>附件12</w:t>
      </w:r>
      <w:r>
        <w:rPr>
          <w:rFonts w:hint="eastAsia" w:cs="Times New Roman"/>
          <w:color w:val="auto"/>
          <w:szCs w:val="24"/>
          <w:highlight w:val="none"/>
          <w:u w:val="single"/>
          <w:lang w:eastAsia="zh-CN"/>
        </w:rPr>
        <w:t>：</w:t>
      </w:r>
      <w:r>
        <w:rPr>
          <w:rFonts w:hint="eastAsia" w:ascii="Times New Roman" w:hAnsi="Times New Roman" w:eastAsia="宋体" w:cs="Times New Roman"/>
          <w:color w:val="auto"/>
          <w:szCs w:val="24"/>
          <w:highlight w:val="none"/>
          <w:u w:val="single"/>
        </w:rPr>
        <w:t>三江侗族自治县人民政府关于三江县宏源采石场硅质岩矿采矿权挂牌出让方案的批复</w:t>
      </w:r>
    </w:p>
    <w:p>
      <w:pPr>
        <w:ind w:firstLine="480"/>
        <w:rPr>
          <w:rFonts w:hint="eastAsia" w:ascii="Times New Roman" w:hAnsi="Times New Roman" w:eastAsia="宋体" w:cs="Times New Roman"/>
          <w:color w:val="auto"/>
          <w:szCs w:val="24"/>
          <w:highlight w:val="none"/>
          <w:u w:val="single"/>
        </w:rPr>
      </w:pPr>
      <w:r>
        <w:rPr>
          <w:rFonts w:hint="eastAsia" w:ascii="Times New Roman" w:hAnsi="Times New Roman" w:eastAsia="宋体" w:cs="Times New Roman"/>
          <w:color w:val="auto"/>
          <w:szCs w:val="24"/>
          <w:highlight w:val="none"/>
          <w:u w:val="single"/>
        </w:rPr>
        <w:t>附件13</w:t>
      </w:r>
      <w:r>
        <w:rPr>
          <w:rFonts w:hint="eastAsia" w:cs="Times New Roman"/>
          <w:color w:val="auto"/>
          <w:szCs w:val="24"/>
          <w:highlight w:val="none"/>
          <w:u w:val="single"/>
          <w:lang w:val="en-US" w:eastAsia="zh-CN"/>
        </w:rPr>
        <w:t>：</w:t>
      </w:r>
      <w:r>
        <w:rPr>
          <w:rFonts w:hint="eastAsia" w:ascii="Times New Roman" w:hAnsi="Times New Roman" w:eastAsia="宋体" w:cs="Times New Roman"/>
          <w:color w:val="auto"/>
          <w:szCs w:val="24"/>
          <w:highlight w:val="none"/>
          <w:u w:val="single"/>
        </w:rPr>
        <w:t>三江侗族自治县人民法院刑事判决书及缴费证明</w:t>
      </w:r>
    </w:p>
    <w:p>
      <w:pPr>
        <w:ind w:firstLine="0" w:firstLineChars="0"/>
        <w:rPr>
          <w:rFonts w:ascii="Times New Roman" w:hAnsi="Times New Roman" w:eastAsia="宋体" w:cs="Times New Roman"/>
          <w:b/>
          <w:bCs/>
          <w:color w:val="auto"/>
          <w:szCs w:val="24"/>
          <w:highlight w:val="none"/>
        </w:rPr>
      </w:pPr>
      <w:r>
        <w:rPr>
          <w:rFonts w:ascii="Times New Roman" w:hAnsi="Times New Roman" w:eastAsia="宋体" w:cs="Times New Roman"/>
          <w:b/>
          <w:bCs/>
          <w:color w:val="auto"/>
          <w:szCs w:val="24"/>
          <w:highlight w:val="none"/>
        </w:rPr>
        <w:t>三、附  表</w:t>
      </w:r>
    </w:p>
    <w:p>
      <w:pPr>
        <w:ind w:firstLine="480"/>
        <w:rPr>
          <w:rFonts w:ascii="Times New Roman" w:hAnsi="Times New Roman" w:eastAsia="宋体" w:cs="Times New Roman"/>
          <w:bCs/>
          <w:color w:val="auto"/>
          <w:szCs w:val="24"/>
          <w:highlight w:val="none"/>
        </w:rPr>
      </w:pPr>
      <w:r>
        <w:rPr>
          <w:rFonts w:hint="eastAsia" w:ascii="Times New Roman" w:hAnsi="Times New Roman" w:eastAsia="宋体"/>
          <w:color w:val="auto"/>
          <w:highlight w:val="none"/>
        </w:rPr>
        <w:t>附表1：建设项目大气环境影响评价自查表</w:t>
      </w:r>
    </w:p>
    <w:p>
      <w:pPr>
        <w:ind w:firstLine="480"/>
        <w:rPr>
          <w:rFonts w:ascii="Times New Roman" w:hAnsi="Times New Roman" w:eastAsia="宋体" w:cs="Times New Roman"/>
          <w:bCs/>
          <w:color w:val="auto"/>
          <w:szCs w:val="24"/>
          <w:highlight w:val="none"/>
        </w:rPr>
      </w:pPr>
      <w:r>
        <w:rPr>
          <w:rFonts w:hint="eastAsia" w:ascii="Times New Roman" w:hAnsi="Times New Roman" w:eastAsia="宋体"/>
          <w:color w:val="auto"/>
          <w:highlight w:val="none"/>
        </w:rPr>
        <w:t>附表2：</w:t>
      </w:r>
      <w:r>
        <w:rPr>
          <w:rFonts w:hint="eastAsia" w:ascii="Times New Roman" w:hAnsi="Times New Roman" w:eastAsia="宋体" w:cs="Times New Roman"/>
          <w:bCs/>
          <w:color w:val="auto"/>
          <w:szCs w:val="24"/>
          <w:highlight w:val="none"/>
        </w:rPr>
        <w:t>地表水环境影响评价自查</w:t>
      </w:r>
      <w:r>
        <w:rPr>
          <w:rFonts w:ascii="Times New Roman" w:hAnsi="Times New Roman" w:eastAsia="宋体" w:cs="Times New Roman"/>
          <w:bCs/>
          <w:color w:val="auto"/>
          <w:szCs w:val="24"/>
          <w:highlight w:val="none"/>
        </w:rPr>
        <w:t>表</w:t>
      </w:r>
    </w:p>
    <w:p>
      <w:pPr>
        <w:ind w:firstLine="480"/>
        <w:rPr>
          <w:rFonts w:ascii="Times New Roman" w:hAnsi="Times New Roman" w:eastAsia="宋体" w:cs="Times New Roman"/>
          <w:bCs/>
          <w:color w:val="auto"/>
          <w:szCs w:val="24"/>
          <w:highlight w:val="none"/>
        </w:rPr>
      </w:pPr>
      <w:r>
        <w:rPr>
          <w:rFonts w:hint="eastAsia" w:ascii="Times New Roman" w:hAnsi="Times New Roman" w:eastAsia="宋体"/>
          <w:color w:val="auto"/>
          <w:highlight w:val="none"/>
        </w:rPr>
        <w:t>附表3：</w:t>
      </w:r>
      <w:r>
        <w:rPr>
          <w:rFonts w:ascii="Times New Roman" w:hAnsi="Times New Roman" w:eastAsia="宋体" w:cs="Times New Roman"/>
          <w:bCs/>
          <w:color w:val="auto"/>
          <w:szCs w:val="24"/>
          <w:highlight w:val="none"/>
        </w:rPr>
        <w:t>环境风险评价自查表</w:t>
      </w:r>
    </w:p>
    <w:p>
      <w:pPr>
        <w:ind w:firstLine="480"/>
        <w:rPr>
          <w:rFonts w:ascii="Times New Roman" w:hAnsi="Times New Roman" w:eastAsia="宋体" w:cs="Times New Roman"/>
          <w:bCs/>
          <w:color w:val="auto"/>
          <w:szCs w:val="24"/>
          <w:highlight w:val="none"/>
        </w:rPr>
      </w:pPr>
      <w:r>
        <w:rPr>
          <w:rFonts w:hint="eastAsia" w:ascii="Times New Roman" w:hAnsi="Times New Roman" w:eastAsia="宋体"/>
          <w:color w:val="auto"/>
          <w:highlight w:val="none"/>
        </w:rPr>
        <w:t>附表4：</w:t>
      </w:r>
      <w:r>
        <w:rPr>
          <w:rFonts w:hint="eastAsia" w:ascii="Times New Roman" w:hAnsi="Times New Roman" w:eastAsia="宋体" w:cs="Times New Roman"/>
          <w:bCs/>
          <w:color w:val="auto"/>
          <w:szCs w:val="24"/>
          <w:highlight w:val="none"/>
        </w:rPr>
        <w:t>土壤环境影响评价自查表</w:t>
      </w:r>
    </w:p>
    <w:p>
      <w:pPr>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建设项目环评审批基础信息表</w:t>
      </w:r>
    </w:p>
    <w:p>
      <w:pPr>
        <w:pStyle w:val="2"/>
        <w:tabs>
          <w:tab w:val="left" w:pos="5760"/>
        </w:tabs>
        <w:spacing w:before="0" w:after="0"/>
        <w:jc w:val="both"/>
        <w:rPr>
          <w:rFonts w:ascii="Times New Roman" w:hAnsi="Times New Roman" w:eastAsia="宋体"/>
          <w:color w:val="auto"/>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2"/>
        <w:rPr>
          <w:rFonts w:ascii="Times New Roman" w:hAnsi="Times New Roman" w:eastAsia="宋体"/>
          <w:color w:val="auto"/>
          <w:highlight w:val="none"/>
        </w:rPr>
      </w:pPr>
      <w:bookmarkStart w:id="28" w:name="_Toc27538"/>
      <w:r>
        <w:rPr>
          <w:rFonts w:ascii="Times New Roman" w:hAnsi="Times New Roman" w:eastAsia="宋体"/>
          <w:color w:val="auto"/>
          <w:highlight w:val="none"/>
        </w:rPr>
        <w:t>1 总则</w:t>
      </w:r>
      <w:bookmarkEnd w:id="27"/>
      <w:bookmarkEnd w:id="28"/>
    </w:p>
    <w:p>
      <w:pPr>
        <w:pStyle w:val="4"/>
        <w:rPr>
          <w:rFonts w:ascii="Times New Roman" w:hAnsi="Times New Roman" w:eastAsia="宋体"/>
          <w:color w:val="auto"/>
          <w:highlight w:val="none"/>
        </w:rPr>
      </w:pPr>
      <w:bookmarkStart w:id="29" w:name="_Toc221899003"/>
      <w:bookmarkStart w:id="30" w:name="_Toc3684"/>
      <w:bookmarkStart w:id="31" w:name="_Toc417635404"/>
      <w:bookmarkStart w:id="32" w:name="_Toc425287060"/>
      <w:bookmarkStart w:id="33" w:name="_Toc266289047"/>
      <w:bookmarkStart w:id="34" w:name="_Toc8282"/>
      <w:bookmarkStart w:id="35" w:name="_Toc231129970"/>
      <w:bookmarkStart w:id="36" w:name="_Toc514999256"/>
      <w:bookmarkStart w:id="37" w:name="_Toc477336892"/>
      <w:bookmarkStart w:id="38" w:name="_Toc1220"/>
      <w:r>
        <w:rPr>
          <w:rFonts w:ascii="Times New Roman" w:hAnsi="Times New Roman" w:eastAsia="宋体"/>
          <w:color w:val="auto"/>
          <w:highlight w:val="none"/>
        </w:rPr>
        <w:t>1.1 编制依据</w:t>
      </w:r>
      <w:bookmarkEnd w:id="29"/>
      <w:bookmarkEnd w:id="30"/>
      <w:bookmarkEnd w:id="31"/>
      <w:bookmarkEnd w:id="32"/>
      <w:bookmarkEnd w:id="33"/>
      <w:bookmarkEnd w:id="34"/>
      <w:bookmarkEnd w:id="35"/>
    </w:p>
    <w:p>
      <w:pPr>
        <w:pStyle w:val="5"/>
        <w:rPr>
          <w:rFonts w:ascii="Times New Roman" w:hAnsi="Times New Roman" w:eastAsia="宋体"/>
          <w:color w:val="auto"/>
          <w:highlight w:val="none"/>
        </w:rPr>
      </w:pPr>
      <w:bookmarkStart w:id="39" w:name="_Toc9451"/>
      <w:r>
        <w:rPr>
          <w:rFonts w:ascii="Times New Roman" w:hAnsi="Times New Roman" w:eastAsia="宋体"/>
          <w:color w:val="auto"/>
          <w:highlight w:val="none"/>
        </w:rPr>
        <w:t>1.1.1 法律、法规</w:t>
      </w:r>
      <w:bookmarkEnd w:id="39"/>
      <w:r>
        <w:rPr>
          <w:rFonts w:ascii="Times New Roman" w:hAnsi="Times New Roman" w:eastAsia="宋体"/>
          <w:color w:val="auto"/>
          <w:highlight w:val="none"/>
        </w:rPr>
        <w:t>及国务院发布的规范性文件</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（1）《中华人民共和国环境保护法》（2014年4月24日修订，2015年1月1日起施行）；</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（2）《中华人民共和国环境影响评价法》（2018年12月29日修订）；</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（3）《中华人民共和国固体废物污染环境防治法》</w:t>
      </w:r>
      <w:r>
        <w:rPr>
          <w:rFonts w:ascii="Times New Roman" w:hAnsi="Times New Roman" w:eastAsia="宋体" w:cs="Times New Roman"/>
          <w:color w:val="auto"/>
          <w:highlight w:val="none"/>
        </w:rPr>
        <w:t>（201</w:t>
      </w:r>
      <w:r>
        <w:rPr>
          <w:rFonts w:hint="eastAsia" w:cs="Times New Roman"/>
          <w:color w:val="auto"/>
          <w:highlight w:val="none"/>
          <w:lang w:val="en-US" w:eastAsia="zh-CN"/>
        </w:rPr>
        <w:t>6</w:t>
      </w:r>
      <w:r>
        <w:rPr>
          <w:rFonts w:ascii="Times New Roman" w:hAnsi="Times New Roman" w:eastAsia="宋体" w:cs="Times New Roman"/>
          <w:color w:val="auto"/>
          <w:highlight w:val="none"/>
        </w:rPr>
        <w:t>年</w:t>
      </w:r>
      <w:r>
        <w:rPr>
          <w:rFonts w:hint="eastAsia" w:cs="Times New Roman"/>
          <w:color w:val="auto"/>
          <w:highlight w:val="none"/>
          <w:lang w:val="en-US" w:eastAsia="zh-CN"/>
        </w:rPr>
        <w:t>11</w:t>
      </w:r>
      <w:r>
        <w:rPr>
          <w:rFonts w:ascii="Times New Roman" w:hAnsi="Times New Roman" w:eastAsia="宋体" w:cs="Times New Roman"/>
          <w:color w:val="auto"/>
          <w:highlight w:val="none"/>
        </w:rPr>
        <w:t>月</w:t>
      </w:r>
      <w:r>
        <w:rPr>
          <w:rFonts w:hint="eastAsia" w:cs="Times New Roman"/>
          <w:color w:val="auto"/>
          <w:highlight w:val="none"/>
          <w:lang w:val="en-US" w:eastAsia="zh-CN"/>
        </w:rPr>
        <w:t>7</w:t>
      </w:r>
      <w:r>
        <w:rPr>
          <w:rFonts w:ascii="Times New Roman" w:hAnsi="Times New Roman" w:eastAsia="宋体" w:cs="Times New Roman"/>
          <w:color w:val="auto"/>
          <w:highlight w:val="none"/>
        </w:rPr>
        <w:t>日修订）</w:t>
      </w:r>
      <w:r>
        <w:rPr>
          <w:rFonts w:ascii="Times New Roman" w:hAnsi="Times New Roman" w:eastAsia="宋体" w:cs="Times New Roman"/>
          <w:color w:val="auto"/>
          <w:szCs w:val="24"/>
          <w:highlight w:val="none"/>
        </w:rPr>
        <w:t>；</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（4）《中华人民共和国大气污染防治法》（2018年10月26日修正）；</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（5）《中华人民共和国水污染防治法》（2017年6月27日修正，2018年1月1日起施行）；</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（6）《中华人民共和国环境噪声污染防治法》（2018年12月29日修正）；</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 xml:space="preserve">（7）《中华人民共和国清洁生产促进法》（2012年2月29日修订，2012年7月1日起施行）； </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（8）《中华人民共和国循环经济促进法》（2018年10月26日修正）；</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（9）《中华人民共和国节约能源法》（2018年10月26日修正）；</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（10）《中华人民共和国土地管理法》（2004年8月28日修正）；</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（11）《中华人民共和国矿产资源法》（2009年8月27日修正）；</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（12）</w:t>
      </w:r>
      <w:r>
        <w:rPr>
          <w:rFonts w:ascii="Times New Roman" w:hAnsi="Times New Roman" w:eastAsia="宋体" w:cs="Times New Roman"/>
          <w:bCs/>
          <w:color w:val="auto"/>
          <w:highlight w:val="none"/>
        </w:rPr>
        <w:t>《中华人民共和国野生动物保护法》（</w:t>
      </w:r>
      <w:r>
        <w:rPr>
          <w:rFonts w:ascii="Times New Roman" w:hAnsi="Times New Roman" w:eastAsia="宋体" w:cs="Times New Roman"/>
          <w:color w:val="auto"/>
          <w:szCs w:val="24"/>
          <w:highlight w:val="none"/>
        </w:rPr>
        <w:t>2018年10月26日修正</w:t>
      </w:r>
      <w:r>
        <w:rPr>
          <w:rFonts w:ascii="Times New Roman" w:hAnsi="Times New Roman" w:eastAsia="宋体" w:cs="Times New Roman"/>
          <w:bCs/>
          <w:color w:val="auto"/>
          <w:highlight w:val="none"/>
        </w:rPr>
        <w:t>）</w:t>
      </w:r>
      <w:r>
        <w:rPr>
          <w:rFonts w:ascii="Times New Roman" w:hAnsi="Times New Roman" w:eastAsia="宋体" w:cs="Times New Roman"/>
          <w:color w:val="auto"/>
          <w:szCs w:val="24"/>
          <w:highlight w:val="none"/>
        </w:rPr>
        <w:t>；</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（13）《中华人民共和国土壤污染防治法》（2019年1月1日起施行）；</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（14）《土地复垦条例》（2011年3月5日起施行）；</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（15）《建设项目环境保护管理条例》（2017年10月1日起施行）；</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（16）</w:t>
      </w:r>
      <w:r>
        <w:rPr>
          <w:rFonts w:ascii="Times New Roman" w:hAnsi="Times New Roman" w:eastAsia="宋体" w:cs="Times New Roman"/>
          <w:bCs/>
          <w:color w:val="auto"/>
          <w:highlight w:val="none"/>
        </w:rPr>
        <w:t>《国务院关于印发大气污染防治行动计划的通知》（国发</w:t>
      </w:r>
      <w:r>
        <w:rPr>
          <w:rFonts w:ascii="Times New Roman" w:hAnsi="Times New Roman" w:eastAsia="宋体" w:cs="Times New Roman"/>
          <w:color w:val="auto"/>
          <w:highlight w:val="none"/>
        </w:rPr>
        <w:t>〔2013〕</w:t>
      </w:r>
      <w:r>
        <w:rPr>
          <w:rFonts w:ascii="Times New Roman" w:hAnsi="Times New Roman" w:eastAsia="宋体" w:cs="Times New Roman"/>
          <w:bCs/>
          <w:color w:val="auto"/>
          <w:highlight w:val="none"/>
        </w:rPr>
        <w:t>37号）；</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（17）</w:t>
      </w:r>
      <w:r>
        <w:rPr>
          <w:rFonts w:ascii="Times New Roman" w:hAnsi="Times New Roman" w:eastAsia="宋体" w:cs="Times New Roman"/>
          <w:bCs/>
          <w:color w:val="auto"/>
          <w:highlight w:val="none"/>
        </w:rPr>
        <w:t>《国务院关于印发水污染防治行动计划的通知》（国发</w:t>
      </w:r>
      <w:r>
        <w:rPr>
          <w:rFonts w:ascii="Times New Roman" w:hAnsi="Times New Roman" w:eastAsia="宋体" w:cs="Times New Roman"/>
          <w:color w:val="auto"/>
          <w:highlight w:val="none"/>
        </w:rPr>
        <w:t>〔2015〕</w:t>
      </w:r>
      <w:r>
        <w:rPr>
          <w:rFonts w:ascii="Times New Roman" w:hAnsi="Times New Roman" w:eastAsia="宋体" w:cs="Times New Roman"/>
          <w:bCs/>
          <w:color w:val="auto"/>
          <w:highlight w:val="none"/>
        </w:rPr>
        <w:t>17号）；</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（18）</w:t>
      </w:r>
      <w:r>
        <w:rPr>
          <w:rFonts w:ascii="Times New Roman" w:hAnsi="Times New Roman" w:eastAsia="宋体" w:cs="Times New Roman"/>
          <w:color w:val="auto"/>
          <w:highlight w:val="none"/>
        </w:rPr>
        <w:t>《国务院关于印发土壤污染防治行动计划的通知》（国发〔2016〕31号）；</w:t>
      </w:r>
    </w:p>
    <w:p>
      <w:pPr>
        <w:ind w:firstLine="480"/>
        <w:rPr>
          <w:rFonts w:hint="eastAsia" w:ascii="Times New Roman" w:hAnsi="Times New Roman" w:eastAsia="宋体" w:cs="Times New Roman"/>
          <w:color w:val="auto"/>
          <w:szCs w:val="24"/>
          <w:highlight w:val="none"/>
        </w:rPr>
      </w:pPr>
      <w:r>
        <w:rPr>
          <w:rFonts w:ascii="Times New Roman" w:hAnsi="Times New Roman" w:eastAsia="宋体" w:cs="Times New Roman"/>
          <w:color w:val="auto"/>
          <w:highlight w:val="none"/>
        </w:rPr>
        <w:t>（19）</w:t>
      </w:r>
      <w:r>
        <w:rPr>
          <w:rFonts w:ascii="Times New Roman" w:hAnsi="Times New Roman" w:eastAsia="宋体" w:cs="Times New Roman"/>
          <w:color w:val="auto"/>
          <w:szCs w:val="24"/>
          <w:highlight w:val="none"/>
        </w:rPr>
        <w:t>《中华人民共和国环境保护税法》（</w:t>
      </w:r>
      <w:r>
        <w:rPr>
          <w:rFonts w:ascii="Times New Roman" w:hAnsi="Times New Roman" w:eastAsia="宋体" w:cs="Times New Roman"/>
          <w:bCs/>
          <w:color w:val="auto"/>
          <w:highlight w:val="none"/>
        </w:rPr>
        <w:t>2018年10月26日修正</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w:t>
      </w:r>
    </w:p>
    <w:p>
      <w:pPr>
        <w:ind w:firstLine="480"/>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（20）《中华人民共和国水法》（</w:t>
      </w:r>
      <w:r>
        <w:rPr>
          <w:rFonts w:ascii="Times New Roman" w:hAnsi="Times New Roman" w:eastAsia="宋体" w:cs="Times New Roman"/>
          <w:color w:val="auto"/>
          <w:szCs w:val="24"/>
          <w:highlight w:val="none"/>
        </w:rPr>
        <w:t>201</w:t>
      </w:r>
      <w:r>
        <w:rPr>
          <w:rFonts w:hint="eastAsia" w:ascii="Times New Roman" w:hAnsi="Times New Roman" w:eastAsia="宋体" w:cs="Times New Roman"/>
          <w:color w:val="auto"/>
          <w:szCs w:val="24"/>
          <w:highlight w:val="none"/>
        </w:rPr>
        <w:t>6</w:t>
      </w:r>
      <w:r>
        <w:rPr>
          <w:rFonts w:ascii="Times New Roman" w:hAnsi="Times New Roman" w:eastAsia="宋体" w:cs="Times New Roman"/>
          <w:color w:val="auto"/>
          <w:szCs w:val="24"/>
          <w:highlight w:val="none"/>
        </w:rPr>
        <w:t>年</w:t>
      </w:r>
      <w:r>
        <w:rPr>
          <w:rFonts w:hint="eastAsia" w:ascii="Times New Roman" w:hAnsi="Times New Roman" w:eastAsia="宋体" w:cs="Times New Roman"/>
          <w:color w:val="auto"/>
          <w:szCs w:val="24"/>
          <w:highlight w:val="none"/>
        </w:rPr>
        <w:t>7</w:t>
      </w:r>
      <w:r>
        <w:rPr>
          <w:rFonts w:ascii="Times New Roman" w:hAnsi="Times New Roman" w:eastAsia="宋体" w:cs="Times New Roman"/>
          <w:color w:val="auto"/>
          <w:szCs w:val="24"/>
          <w:highlight w:val="none"/>
        </w:rPr>
        <w:t>月2日修订</w:t>
      </w:r>
      <w:r>
        <w:rPr>
          <w:rFonts w:hint="eastAsia" w:ascii="Times New Roman" w:hAnsi="Times New Roman" w:eastAsia="宋体" w:cs="Times New Roman"/>
          <w:color w:val="auto"/>
          <w:szCs w:val="24"/>
          <w:highlight w:val="none"/>
        </w:rPr>
        <w:t>）；</w:t>
      </w:r>
    </w:p>
    <w:p>
      <w:pPr>
        <w:ind w:firstLine="480"/>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（21）《中华人民共和国水土保持法》（</w:t>
      </w:r>
      <w:r>
        <w:rPr>
          <w:rFonts w:ascii="Times New Roman" w:hAnsi="Times New Roman" w:eastAsia="宋体" w:cs="Times New Roman"/>
          <w:color w:val="auto"/>
          <w:szCs w:val="24"/>
          <w:highlight w:val="none"/>
        </w:rPr>
        <w:t>201</w:t>
      </w:r>
      <w:r>
        <w:rPr>
          <w:rFonts w:hint="eastAsia" w:ascii="Times New Roman" w:hAnsi="Times New Roman" w:eastAsia="宋体" w:cs="Times New Roman"/>
          <w:color w:val="auto"/>
          <w:szCs w:val="24"/>
          <w:highlight w:val="none"/>
        </w:rPr>
        <w:t>0</w:t>
      </w:r>
      <w:r>
        <w:rPr>
          <w:rFonts w:ascii="Times New Roman" w:hAnsi="Times New Roman" w:eastAsia="宋体" w:cs="Times New Roman"/>
          <w:color w:val="auto"/>
          <w:szCs w:val="24"/>
          <w:highlight w:val="none"/>
        </w:rPr>
        <w:t>年</w:t>
      </w:r>
      <w:r>
        <w:rPr>
          <w:rFonts w:hint="eastAsia" w:ascii="Times New Roman" w:hAnsi="Times New Roman" w:eastAsia="宋体" w:cs="Times New Roman"/>
          <w:color w:val="auto"/>
          <w:szCs w:val="24"/>
          <w:highlight w:val="none"/>
        </w:rPr>
        <w:t>12</w:t>
      </w:r>
      <w:r>
        <w:rPr>
          <w:rFonts w:ascii="Times New Roman" w:hAnsi="Times New Roman" w:eastAsia="宋体" w:cs="Times New Roman"/>
          <w:color w:val="auto"/>
          <w:szCs w:val="24"/>
          <w:highlight w:val="none"/>
        </w:rPr>
        <w:t>月</w:t>
      </w:r>
      <w:r>
        <w:rPr>
          <w:rFonts w:hint="eastAsia" w:ascii="Times New Roman" w:hAnsi="Times New Roman" w:eastAsia="宋体" w:cs="Times New Roman"/>
          <w:color w:val="auto"/>
          <w:szCs w:val="24"/>
          <w:highlight w:val="none"/>
        </w:rPr>
        <w:t>25</w:t>
      </w:r>
      <w:r>
        <w:rPr>
          <w:rFonts w:ascii="Times New Roman" w:hAnsi="Times New Roman" w:eastAsia="宋体" w:cs="Times New Roman"/>
          <w:color w:val="auto"/>
          <w:szCs w:val="24"/>
          <w:highlight w:val="none"/>
        </w:rPr>
        <w:t>日修订</w:t>
      </w:r>
      <w:r>
        <w:rPr>
          <w:rFonts w:hint="eastAsia" w:ascii="Times New Roman" w:hAnsi="Times New Roman" w:eastAsia="宋体" w:cs="Times New Roman"/>
          <w:color w:val="auto"/>
          <w:szCs w:val="24"/>
          <w:highlight w:val="none"/>
        </w:rPr>
        <w:t>）；</w:t>
      </w:r>
    </w:p>
    <w:p>
      <w:pPr>
        <w:ind w:firstLine="480"/>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（22）《中华人民共和国森林法》（</w:t>
      </w:r>
      <w:r>
        <w:rPr>
          <w:rFonts w:ascii="Times New Roman" w:hAnsi="Times New Roman" w:eastAsia="宋体" w:cs="Times New Roman"/>
          <w:color w:val="auto"/>
          <w:szCs w:val="24"/>
          <w:highlight w:val="none"/>
        </w:rPr>
        <w:t>20</w:t>
      </w:r>
      <w:r>
        <w:rPr>
          <w:rFonts w:hint="eastAsia" w:ascii="Times New Roman" w:hAnsi="Times New Roman" w:eastAsia="宋体" w:cs="Times New Roman"/>
          <w:color w:val="auto"/>
          <w:szCs w:val="24"/>
          <w:highlight w:val="none"/>
        </w:rPr>
        <w:t>09</w:t>
      </w:r>
      <w:r>
        <w:rPr>
          <w:rFonts w:ascii="Times New Roman" w:hAnsi="Times New Roman" w:eastAsia="宋体" w:cs="Times New Roman"/>
          <w:color w:val="auto"/>
          <w:szCs w:val="24"/>
          <w:highlight w:val="none"/>
        </w:rPr>
        <w:t>年</w:t>
      </w:r>
      <w:r>
        <w:rPr>
          <w:rFonts w:hint="eastAsia" w:ascii="Times New Roman" w:hAnsi="Times New Roman" w:eastAsia="宋体" w:cs="Times New Roman"/>
          <w:color w:val="auto"/>
          <w:szCs w:val="24"/>
          <w:highlight w:val="none"/>
        </w:rPr>
        <w:t>8</w:t>
      </w:r>
      <w:r>
        <w:rPr>
          <w:rFonts w:ascii="Times New Roman" w:hAnsi="Times New Roman" w:eastAsia="宋体" w:cs="Times New Roman"/>
          <w:color w:val="auto"/>
          <w:szCs w:val="24"/>
          <w:highlight w:val="none"/>
        </w:rPr>
        <w:t>月</w:t>
      </w:r>
      <w:r>
        <w:rPr>
          <w:rFonts w:hint="eastAsia" w:ascii="Times New Roman" w:hAnsi="Times New Roman" w:eastAsia="宋体" w:cs="Times New Roman"/>
          <w:color w:val="auto"/>
          <w:szCs w:val="24"/>
          <w:highlight w:val="none"/>
        </w:rPr>
        <w:t>27</w:t>
      </w:r>
      <w:r>
        <w:rPr>
          <w:rFonts w:ascii="Times New Roman" w:hAnsi="Times New Roman" w:eastAsia="宋体" w:cs="Times New Roman"/>
          <w:color w:val="auto"/>
          <w:szCs w:val="24"/>
          <w:highlight w:val="none"/>
        </w:rPr>
        <w:t>日修</w:t>
      </w:r>
      <w:r>
        <w:rPr>
          <w:rFonts w:hint="eastAsia" w:ascii="Times New Roman" w:hAnsi="Times New Roman" w:eastAsia="宋体" w:cs="Times New Roman"/>
          <w:color w:val="auto"/>
          <w:szCs w:val="24"/>
          <w:highlight w:val="none"/>
        </w:rPr>
        <w:t>改）；</w:t>
      </w:r>
    </w:p>
    <w:p>
      <w:pPr>
        <w:ind w:firstLine="480"/>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（23）《国务院关于印发打赢蓝天保卫战三年行动计划的通知》（国发〔2018〕22号）；</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szCs w:val="24"/>
          <w:highlight w:val="none"/>
        </w:rPr>
        <w:t>（24）《中华人民共和国河道管理条例》（2018年3月19日修正）</w:t>
      </w:r>
      <w:r>
        <w:rPr>
          <w:rFonts w:ascii="Times New Roman" w:hAnsi="Times New Roman" w:eastAsia="宋体" w:cs="Times New Roman"/>
          <w:color w:val="auto"/>
          <w:highlight w:val="none"/>
        </w:rPr>
        <w:t>。</w:t>
      </w:r>
    </w:p>
    <w:p>
      <w:pPr>
        <w:pStyle w:val="5"/>
        <w:rPr>
          <w:rFonts w:ascii="Times New Roman" w:hAnsi="Times New Roman" w:eastAsia="宋体"/>
          <w:color w:val="auto"/>
          <w:highlight w:val="none"/>
        </w:rPr>
      </w:pPr>
      <w:bookmarkStart w:id="40" w:name="_Toc4722"/>
      <w:r>
        <w:rPr>
          <w:rFonts w:ascii="Times New Roman" w:hAnsi="Times New Roman" w:eastAsia="宋体"/>
          <w:color w:val="auto"/>
          <w:highlight w:val="none"/>
        </w:rPr>
        <w:t xml:space="preserve">1.1.2 </w:t>
      </w:r>
      <w:r>
        <w:rPr>
          <w:rFonts w:ascii="Times New Roman" w:hAnsi="Times New Roman" w:eastAsia="宋体"/>
          <w:color w:val="auto"/>
          <w:szCs w:val="28"/>
          <w:highlight w:val="none"/>
        </w:rPr>
        <w:t>部门规章及部门发布的规范性文件</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（1）《建设项目环境影响评价分类管理名录及其修改单》（2017年9月1日起施行，2018年4月修订）；</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（2）《产业结构调整指导目录（2011年本）（2013修正）》（2013年5月1日起施行）；</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（3）《国家危险废物名录》（2016年8月1日起施行）；</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szCs w:val="24"/>
          <w:highlight w:val="none"/>
        </w:rPr>
        <w:t>（4）</w:t>
      </w:r>
      <w:r>
        <w:rPr>
          <w:rFonts w:ascii="Times New Roman" w:hAnsi="Times New Roman" w:eastAsia="宋体" w:cs="Times New Roman"/>
          <w:color w:val="auto"/>
          <w:highlight w:val="none"/>
        </w:rPr>
        <w:t>《危险废物转移联单管理办法》（1999年10月1日起施行）；</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（5）《危险化学品名录（201</w:t>
      </w:r>
      <w:r>
        <w:rPr>
          <w:rFonts w:hint="eastAsia" w:ascii="Times New Roman" w:hAnsi="Times New Roman" w:eastAsia="宋体" w:cs="Times New Roman"/>
          <w:color w:val="auto"/>
          <w:highlight w:val="none"/>
        </w:rPr>
        <w:t>8</w:t>
      </w:r>
      <w:r>
        <w:rPr>
          <w:rFonts w:ascii="Times New Roman" w:hAnsi="Times New Roman" w:eastAsia="宋体" w:cs="Times New Roman"/>
          <w:color w:val="auto"/>
          <w:highlight w:val="none"/>
        </w:rPr>
        <w:t>版）》；</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（6）《环境影响评价公众参与办法》（2019年1月1日起施行）；</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highlight w:val="none"/>
        </w:rPr>
        <w:t>（7）</w:t>
      </w:r>
      <w:r>
        <w:rPr>
          <w:rFonts w:ascii="Times New Roman" w:hAnsi="Times New Roman" w:eastAsia="宋体" w:cs="Times New Roman"/>
          <w:color w:val="auto"/>
          <w:szCs w:val="24"/>
          <w:highlight w:val="none"/>
        </w:rPr>
        <w:t>《关于发布﹤建设项目危险废物环境影响评价指南﹥的公告》（2017年10月1日起施行）；</w:t>
      </w:r>
    </w:p>
    <w:p>
      <w:pPr>
        <w:ind w:firstLine="480"/>
        <w:rPr>
          <w:rFonts w:ascii="Times New Roman" w:hAnsi="Times New Roman" w:eastAsia="宋体" w:cs="Times New Roman"/>
          <w:color w:val="auto"/>
          <w:kern w:val="0"/>
          <w:szCs w:val="24"/>
          <w:highlight w:val="none"/>
        </w:rPr>
      </w:pPr>
      <w:r>
        <w:rPr>
          <w:rFonts w:ascii="Times New Roman" w:hAnsi="Times New Roman" w:eastAsia="宋体" w:cs="Times New Roman"/>
          <w:color w:val="auto"/>
          <w:szCs w:val="24"/>
          <w:highlight w:val="none"/>
        </w:rPr>
        <w:t>（8）</w:t>
      </w:r>
      <w:r>
        <w:rPr>
          <w:rFonts w:ascii="Times New Roman" w:hAnsi="Times New Roman" w:eastAsia="宋体" w:cs="Times New Roman"/>
          <w:color w:val="auto"/>
          <w:kern w:val="0"/>
          <w:szCs w:val="24"/>
          <w:highlight w:val="none"/>
        </w:rPr>
        <w:t>《关于做好环境影响评价制度与排污许可制衔接相关工作的通知》</w:t>
      </w:r>
      <w:r>
        <w:rPr>
          <w:rFonts w:ascii="Times New Roman" w:hAnsi="Times New Roman" w:eastAsia="宋体" w:cs="Times New Roman"/>
          <w:color w:val="auto"/>
          <w:highlight w:val="none"/>
        </w:rPr>
        <w:t>（环办环评</w:t>
      </w:r>
      <w:r>
        <w:rPr>
          <w:rFonts w:ascii="Times New Roman" w:hAnsi="Times New Roman" w:eastAsia="宋体" w:cs="Times New Roman"/>
          <w:color w:val="auto"/>
          <w:szCs w:val="24"/>
          <w:highlight w:val="none"/>
        </w:rPr>
        <w:t>〔2017〕</w:t>
      </w:r>
      <w:r>
        <w:rPr>
          <w:rFonts w:ascii="Times New Roman" w:hAnsi="Times New Roman" w:eastAsia="宋体" w:cs="Times New Roman"/>
          <w:color w:val="auto"/>
          <w:highlight w:val="none"/>
        </w:rPr>
        <w:t>84号）</w:t>
      </w:r>
      <w:r>
        <w:rPr>
          <w:rFonts w:ascii="Times New Roman" w:hAnsi="Times New Roman" w:eastAsia="宋体" w:cs="Times New Roman"/>
          <w:color w:val="auto"/>
          <w:kern w:val="0"/>
          <w:szCs w:val="24"/>
          <w:highlight w:val="none"/>
        </w:rPr>
        <w:t>；</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kern w:val="0"/>
          <w:szCs w:val="24"/>
          <w:highlight w:val="none"/>
        </w:rPr>
        <w:t>（9）</w:t>
      </w:r>
      <w:r>
        <w:rPr>
          <w:rFonts w:ascii="Times New Roman" w:hAnsi="Times New Roman" w:eastAsia="宋体" w:cs="Times New Roman"/>
          <w:color w:val="auto"/>
          <w:szCs w:val="24"/>
          <w:highlight w:val="none"/>
        </w:rPr>
        <w:t>《关于进一步加强危险废物和医疗废物监管工作的意见》（环发〔2011〕19号）；</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（10）《关于发布《矿山生态环境保护与污染防治技术政策》的通知》（环发〔2005〕109号）；</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（11）《关于逐步建立矿山环境治理和生态恢复责任机制的指导意见》（财建〔2006〕215号）；</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（12）《关于加强资源开发生态环境保护监管工作的意见》（环发〔2004〕24 号）；</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（13）《关于印发金属非金属地下矿山安全避险“六大系统”安装使用和监督检查暂行规定的通知》（安监总管一〔2010〕168号）；</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（14）《关于加强西部地区环境影响评价工作的通知》（环发〔2011〕150号）；</w:t>
      </w:r>
    </w:p>
    <w:p>
      <w:pPr>
        <w:ind w:firstLine="480"/>
        <w:rPr>
          <w:rFonts w:hint="eastAsia" w:ascii="Times New Roman" w:hAnsi="Times New Roman" w:eastAsia="宋体" w:cs="Times New Roman"/>
          <w:color w:val="auto"/>
          <w:szCs w:val="24"/>
          <w:highlight w:val="none"/>
          <w:lang w:eastAsia="zh-CN"/>
        </w:rPr>
      </w:pPr>
      <w:r>
        <w:rPr>
          <w:rFonts w:ascii="Times New Roman" w:hAnsi="Times New Roman" w:eastAsia="宋体" w:cs="Times New Roman"/>
          <w:color w:val="auto"/>
          <w:szCs w:val="24"/>
          <w:highlight w:val="none"/>
        </w:rPr>
        <w:t>（15）《关于进一步加强环境影响评价管理防范环境风险的通知》（环发﹝2012﹞77号）</w:t>
      </w:r>
      <w:r>
        <w:rPr>
          <w:rFonts w:hint="eastAsia" w:ascii="Times New Roman" w:hAnsi="Times New Roman" w:eastAsia="宋体" w:cs="Times New Roman"/>
          <w:color w:val="auto"/>
          <w:szCs w:val="24"/>
          <w:highlight w:val="none"/>
          <w:lang w:eastAsia="zh-CN"/>
        </w:rPr>
        <w:t>；</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（16）《关于切实加强风险防范严格环境影响评价管理的通知》（环发〔2012〕98号）；</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（17）《突发环境事件应急管理办法》（2015年6月5日起施行）；</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（18）《关于做好矿产资源规划环境影响评价工作的通知》（环发〔2015〕158号）；</w:t>
      </w:r>
    </w:p>
    <w:p>
      <w:pPr>
        <w:ind w:firstLine="480"/>
        <w:rPr>
          <w:rFonts w:hint="eastAsia"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（19）《市场准入负面清单（2018年本）》</w:t>
      </w:r>
      <w:r>
        <w:rPr>
          <w:rFonts w:hint="eastAsia" w:ascii="Times New Roman" w:hAnsi="Times New Roman" w:eastAsia="宋体" w:cs="Times New Roman"/>
          <w:color w:val="auto"/>
          <w:szCs w:val="24"/>
          <w:highlight w:val="none"/>
        </w:rPr>
        <w:t>；</w:t>
      </w:r>
    </w:p>
    <w:p>
      <w:pPr>
        <w:ind w:firstLine="480"/>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（20）《国务院办公厅转发国土资源部等部门对矿产资源开发进行整合意见的通知》(国办发〔2006〕108 号)；</w:t>
      </w:r>
    </w:p>
    <w:p>
      <w:pPr>
        <w:ind w:firstLine="480"/>
        <w:rPr>
          <w:rFonts w:hint="eastAsia" w:ascii="Times New Roman" w:hAnsi="Times New Roman" w:eastAsia="宋体" w:cs="Times New Roman"/>
          <w:color w:val="auto"/>
          <w:szCs w:val="24"/>
          <w:highlight w:val="none"/>
          <w:lang w:bidi="ar"/>
        </w:rPr>
      </w:pPr>
      <w:r>
        <w:rPr>
          <w:rFonts w:hint="eastAsia" w:ascii="Times New Roman" w:hAnsi="Times New Roman" w:eastAsia="宋体" w:cs="Times New Roman"/>
          <w:color w:val="auto"/>
          <w:szCs w:val="24"/>
          <w:highlight w:val="none"/>
          <w:lang w:bidi="ar"/>
        </w:rPr>
        <w:t>（21）《砂石行业绿色矿山建设规范》（</w:t>
      </w:r>
      <w:r>
        <w:rPr>
          <w:rFonts w:ascii="Times New Roman" w:hAnsi="Times New Roman" w:eastAsia="宋体" w:cs="Times New Roman"/>
          <w:color w:val="auto"/>
          <w:szCs w:val="24"/>
          <w:highlight w:val="none"/>
          <w:lang w:bidi="ar"/>
        </w:rPr>
        <w:t>DZ/T</w:t>
      </w:r>
      <w:r>
        <w:rPr>
          <w:rFonts w:hint="eastAsia" w:ascii="Times New Roman" w:hAnsi="Times New Roman" w:eastAsia="宋体" w:cs="Times New Roman"/>
          <w:color w:val="auto"/>
          <w:szCs w:val="24"/>
          <w:highlight w:val="none"/>
          <w:lang w:val="en-US" w:eastAsia="zh-CN" w:bidi="ar"/>
        </w:rPr>
        <w:t xml:space="preserve"> </w:t>
      </w:r>
      <w:r>
        <w:rPr>
          <w:rFonts w:ascii="Times New Roman" w:hAnsi="Times New Roman" w:eastAsia="宋体" w:cs="Times New Roman"/>
          <w:color w:val="auto"/>
          <w:szCs w:val="24"/>
          <w:highlight w:val="none"/>
          <w:lang w:bidi="ar"/>
        </w:rPr>
        <w:t>0316-2018</w:t>
      </w:r>
      <w:r>
        <w:rPr>
          <w:rFonts w:hint="eastAsia" w:ascii="Times New Roman" w:hAnsi="Times New Roman" w:eastAsia="宋体" w:cs="Times New Roman"/>
          <w:color w:val="auto"/>
          <w:szCs w:val="24"/>
          <w:highlight w:val="none"/>
          <w:lang w:bidi="ar"/>
        </w:rPr>
        <w:t>）；</w:t>
      </w:r>
    </w:p>
    <w:p>
      <w:pPr>
        <w:ind w:firstLine="480"/>
        <w:rPr>
          <w:rFonts w:ascii="Times New Roman" w:hAnsi="Times New Roman" w:eastAsia="宋体"/>
          <w:color w:val="auto"/>
          <w:highlight w:val="none"/>
        </w:rPr>
      </w:pPr>
      <w:r>
        <w:rPr>
          <w:rFonts w:ascii="Times New Roman" w:hAnsi="Times New Roman" w:eastAsia="宋体"/>
          <w:color w:val="auto"/>
          <w:highlight w:val="none"/>
        </w:rPr>
        <w:t>（2</w:t>
      </w:r>
      <w:r>
        <w:rPr>
          <w:rFonts w:hint="eastAsia" w:ascii="Times New Roman" w:hAnsi="Times New Roman" w:eastAsia="宋体"/>
          <w:color w:val="auto"/>
          <w:highlight w:val="none"/>
        </w:rPr>
        <w:t>2</w:t>
      </w:r>
      <w:r>
        <w:rPr>
          <w:rFonts w:ascii="Times New Roman" w:hAnsi="Times New Roman" w:eastAsia="宋体"/>
          <w:color w:val="auto"/>
          <w:highlight w:val="none"/>
        </w:rPr>
        <w:t>）《排污许可管理办法（试行）》（部令 第48号）；</w:t>
      </w:r>
    </w:p>
    <w:p>
      <w:pPr>
        <w:ind w:firstLine="480"/>
        <w:rPr>
          <w:rFonts w:ascii="Times New Roman" w:hAnsi="Times New Roman" w:eastAsia="宋体"/>
          <w:color w:val="auto"/>
          <w:highlight w:val="none"/>
        </w:rPr>
      </w:pPr>
      <w:r>
        <w:rPr>
          <w:rFonts w:ascii="Times New Roman" w:hAnsi="Times New Roman" w:eastAsia="宋体"/>
          <w:color w:val="auto"/>
          <w:highlight w:val="none"/>
        </w:rPr>
        <w:t>（2</w:t>
      </w:r>
      <w:r>
        <w:rPr>
          <w:rFonts w:hint="eastAsia" w:ascii="Times New Roman" w:hAnsi="Times New Roman" w:eastAsia="宋体"/>
          <w:color w:val="auto"/>
          <w:highlight w:val="none"/>
        </w:rPr>
        <w:t>3</w:t>
      </w:r>
      <w:r>
        <w:rPr>
          <w:rFonts w:ascii="Times New Roman" w:hAnsi="Times New Roman" w:eastAsia="宋体"/>
          <w:color w:val="auto"/>
          <w:highlight w:val="none"/>
        </w:rPr>
        <w:t>）《工矿用地土壤环境管理办法（试行）》（部令 第3号）；</w:t>
      </w:r>
    </w:p>
    <w:p>
      <w:pPr>
        <w:ind w:firstLine="480"/>
        <w:rPr>
          <w:rFonts w:hint="eastAsia" w:ascii="Times New Roman" w:hAnsi="Times New Roman" w:eastAsia="宋体"/>
          <w:color w:val="auto"/>
          <w:highlight w:val="none"/>
        </w:rPr>
      </w:pPr>
      <w:r>
        <w:rPr>
          <w:rFonts w:ascii="Times New Roman" w:hAnsi="Times New Roman" w:eastAsia="宋体"/>
          <w:color w:val="auto"/>
          <w:highlight w:val="none"/>
        </w:rPr>
        <w:t>（</w:t>
      </w:r>
      <w:r>
        <w:rPr>
          <w:rFonts w:hint="eastAsia" w:ascii="Times New Roman" w:hAnsi="Times New Roman" w:eastAsia="宋体"/>
          <w:color w:val="auto"/>
          <w:highlight w:val="none"/>
        </w:rPr>
        <w:t>24</w:t>
      </w:r>
      <w:r>
        <w:rPr>
          <w:rFonts w:ascii="Times New Roman" w:hAnsi="Times New Roman" w:eastAsia="宋体"/>
          <w:color w:val="auto"/>
          <w:highlight w:val="none"/>
        </w:rPr>
        <w:t>）《关于强化环境影响评价事中事后监督的实施意见》（环环评〔2018〕11号）</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（25）《关于加快推进露天矿山综合整治工作实施意见的函》（自然资办函〔2019〕819号）</w:t>
      </w:r>
      <w:r>
        <w:rPr>
          <w:rFonts w:ascii="Times New Roman" w:hAnsi="Times New Roman" w:eastAsia="宋体"/>
          <w:color w:val="auto"/>
          <w:highlight w:val="none"/>
        </w:rPr>
        <w:t>。</w:t>
      </w:r>
    </w:p>
    <w:p>
      <w:pPr>
        <w:pStyle w:val="5"/>
        <w:rPr>
          <w:rFonts w:ascii="Times New Roman" w:hAnsi="Times New Roman" w:eastAsia="宋体"/>
          <w:color w:val="auto"/>
          <w:highlight w:val="none"/>
        </w:rPr>
      </w:pPr>
      <w:r>
        <w:rPr>
          <w:rFonts w:ascii="Times New Roman" w:hAnsi="Times New Roman" w:eastAsia="宋体"/>
          <w:color w:val="auto"/>
          <w:highlight w:val="none"/>
        </w:rPr>
        <w:t>1.1.3 地方性法律法规</w:t>
      </w:r>
      <w:bookmarkEnd w:id="40"/>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（1）《广西壮族自治区环境保护条例》（2016年9月1日起施行）；</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（2）《广西壮族自治区人民政府关于划分我区水土流失重点预防区和重点治理区的通告》（桂政发〔2017〕5号）；</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（3）《广西壮族自治区建设项目环境监察办法（试行）》（桂环发〔2010〕106号）；</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（4）《关于加强矿产资源开发管理的实施意见》（</w:t>
      </w:r>
      <w:r>
        <w:rPr>
          <w:rFonts w:hint="eastAsia" w:ascii="Times New Roman" w:hAnsi="Times New Roman" w:eastAsia="宋体" w:cs="Times New Roman"/>
          <w:color w:val="auto"/>
          <w:highlight w:val="none"/>
        </w:rPr>
        <w:t>桂国土资规〔</w:t>
      </w:r>
      <w:r>
        <w:rPr>
          <w:rFonts w:ascii="Times New Roman" w:hAnsi="Times New Roman" w:eastAsia="宋体" w:cs="Times New Roman"/>
          <w:color w:val="auto"/>
          <w:highlight w:val="none"/>
        </w:rPr>
        <w:t>2017</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6</w:t>
      </w:r>
      <w:r>
        <w:rPr>
          <w:rFonts w:hint="eastAsia" w:ascii="Times New Roman" w:hAnsi="Times New Roman" w:eastAsia="宋体" w:cs="Times New Roman"/>
          <w:color w:val="auto"/>
          <w:highlight w:val="none"/>
        </w:rPr>
        <w:t>号</w:t>
      </w:r>
      <w:r>
        <w:rPr>
          <w:rFonts w:ascii="Times New Roman" w:hAnsi="Times New Roman" w:eastAsia="宋体" w:cs="Times New Roman"/>
          <w:color w:val="auto"/>
          <w:highlight w:val="none"/>
        </w:rPr>
        <w:t>）；</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（5）《广西壮族自治区地质环境保护条例》（2006年5月1日起施行）；</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（6）《广西壮族自治区人民政府办公厅关于印发广西壮族自治区建设项目环境准入管理办法的通知》（桂政办发〔2012〕103号）；</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（7）《广西壮族自治区环境保护厅关于贯彻执行</w:t>
      </w:r>
      <w:r>
        <w:rPr>
          <w:rFonts w:ascii="Times New Roman" w:hAnsi="Times New Roman" w:eastAsia="宋体" w:cs="Times New Roman"/>
          <w:color w:val="auto"/>
          <w:szCs w:val="24"/>
          <w:highlight w:val="none"/>
        </w:rPr>
        <w:t>&lt;</w:t>
      </w:r>
      <w:r>
        <w:rPr>
          <w:rFonts w:ascii="Times New Roman" w:hAnsi="Times New Roman" w:eastAsia="宋体" w:cs="Times New Roman"/>
          <w:color w:val="auto"/>
          <w:highlight w:val="none"/>
        </w:rPr>
        <w:t>建设项目环境影响评价技术导则 总纲</w:t>
      </w:r>
      <w:r>
        <w:rPr>
          <w:rFonts w:ascii="Times New Roman" w:hAnsi="Times New Roman" w:eastAsia="宋体" w:cs="Times New Roman"/>
          <w:color w:val="auto"/>
          <w:szCs w:val="24"/>
          <w:highlight w:val="none"/>
        </w:rPr>
        <w:t>&gt;</w:t>
      </w:r>
      <w:r>
        <w:rPr>
          <w:rFonts w:ascii="Times New Roman" w:hAnsi="Times New Roman" w:eastAsia="宋体" w:cs="Times New Roman"/>
          <w:color w:val="auto"/>
          <w:highlight w:val="none"/>
        </w:rPr>
        <w:t>的通知》（桂环函〔2016〕2146号）；</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（8）《关于印发&lt;广西壮族自治区环境保护和生态建设“十三五”规划&gt;的通知》（桂政办发〔2016〕125 号）；</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（9）《广西壮族自治区大气污染防治条例》</w:t>
      </w:r>
      <w:r>
        <w:rPr>
          <w:rFonts w:hint="eastAsia" w:ascii="Times New Roman" w:hAnsi="Times New Roman" w:eastAsia="宋体" w:cs="Times New Roman"/>
          <w:color w:val="auto"/>
          <w:szCs w:val="24"/>
          <w:highlight w:val="none"/>
        </w:rPr>
        <w:t>（2019年1月1日起施行）</w:t>
      </w:r>
      <w:r>
        <w:rPr>
          <w:rFonts w:ascii="Times New Roman" w:hAnsi="Times New Roman" w:eastAsia="宋体" w:cs="Times New Roman"/>
          <w:color w:val="auto"/>
          <w:szCs w:val="24"/>
          <w:highlight w:val="none"/>
        </w:rPr>
        <w:t>；</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（10）</w:t>
      </w:r>
      <w:r>
        <w:rPr>
          <w:rFonts w:ascii="Times New Roman" w:hAnsi="Times New Roman" w:eastAsia="宋体" w:cs="Times New Roman"/>
          <w:color w:val="auto"/>
          <w:highlight w:val="none"/>
        </w:rPr>
        <w:t>《广西壮族自治区矿产资源管理条例》（2016年11月30日修订）；</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szCs w:val="24"/>
          <w:highlight w:val="none"/>
        </w:rPr>
        <w:t>（11）《广西壮族自治区国土资源厅关于印发&lt;广西壮族自治区砂石土矿产资源开发利用管理办法&gt;的通知》（桂国土资规〔2017〕13号）；</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highlight w:val="none"/>
        </w:rPr>
        <w:t>（12）《广西壮族自治区人民政府关于公布广西壮族自治区第一批重点保护野生植物名录的通知》（桂政发〔2010〕17号）；</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（13）《广西壮族自治区人民政府办公厅关于印发广西壮族自治区矿产资源开发整合总体方案的通知》（桂政办发〔2010〕30号）；</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（14）《广西壮族自治区人民政府办公厅关于加强矿产资源监管促进产业结构升级的意见》（桂政办发〔2012〕94号）；</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（15）《广西壮族自治区矿山地质环境恢复保证金管理办法》（2013年9月1日）；</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（16）《广西壮族自治区人民政府关于印发广西壮族自治区主体功能区划的通知》（桂政发〔2012〕89号）；</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 xml:space="preserve">（17）《广西壮族自治区人民政府办公厅关于印发广西生态保护红线管理办法（试行）的通知》（桂政办发〔2016〕152号）； </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 xml:space="preserve">（18）《自治区安全监管局 公安厅 国土资源厅关于印发＜关于进一步做好小型露天采石场整顿关闭工作的指导意见＞的通知》（桂安监管〔2015〕19号）； </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 xml:space="preserve">（19）《柳州市安全监督局 公安局 国土资源局 环境保护局关于印发＜柳州市2016~2017年露天采石场专项整治工作方案＞》（柳安监管〔2016〕5号）； </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 xml:space="preserve">（20）《柳州市建设项目环境影响评价文件分级审批管理办法（2016年修订）》； </w:t>
      </w:r>
    </w:p>
    <w:p>
      <w:pPr>
        <w:ind w:firstLine="480"/>
        <w:rPr>
          <w:rFonts w:hint="eastAsia"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（21）</w:t>
      </w:r>
      <w:r>
        <w:rPr>
          <w:rFonts w:hint="eastAsia" w:ascii="Times New Roman" w:hAnsi="Times New Roman" w:eastAsia="宋体" w:cs="Times New Roman"/>
          <w:color w:val="auto"/>
          <w:szCs w:val="24"/>
          <w:highlight w:val="none"/>
        </w:rPr>
        <w:t>《广西采石场矿山地质环境恢复治理专项工作方案》（桂国土资发〔2017〕5号）；</w:t>
      </w:r>
    </w:p>
    <w:p>
      <w:pPr>
        <w:ind w:firstLine="480"/>
        <w:rPr>
          <w:rFonts w:hint="eastAsia" w:ascii="Times New Roman" w:hAnsi="Times New Roman" w:eastAsia="宋体" w:cs="Times New Roman"/>
          <w:color w:val="auto"/>
          <w:szCs w:val="24"/>
          <w:highlight w:val="none"/>
          <w:lang w:eastAsia="zh-CN"/>
        </w:rPr>
      </w:pPr>
      <w:r>
        <w:rPr>
          <w:rFonts w:hint="eastAsia" w:ascii="Times New Roman" w:hAnsi="Times New Roman" w:eastAsia="宋体" w:cs="Times New Roman"/>
          <w:color w:val="auto"/>
          <w:szCs w:val="24"/>
          <w:highlight w:val="none"/>
        </w:rPr>
        <w:t>（22）《广西壮族自治区生态功能区划》（桂政办发〔2008〕8号）</w:t>
      </w:r>
      <w:r>
        <w:rPr>
          <w:rFonts w:hint="eastAsia" w:ascii="Times New Roman" w:hAnsi="Times New Roman" w:eastAsia="宋体" w:cs="Times New Roman"/>
          <w:color w:val="auto"/>
          <w:szCs w:val="24"/>
          <w:highlight w:val="none"/>
          <w:lang w:eastAsia="zh-CN"/>
        </w:rPr>
        <w:t>；</w:t>
      </w:r>
    </w:p>
    <w:p>
      <w:pPr>
        <w:ind w:firstLine="480"/>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（23）《广西壮族自治区河道管理规定》（2016年11月30日修正）。</w:t>
      </w:r>
    </w:p>
    <w:p>
      <w:pPr>
        <w:pStyle w:val="5"/>
        <w:rPr>
          <w:rFonts w:ascii="Times New Roman" w:hAnsi="Times New Roman" w:eastAsia="宋体"/>
          <w:color w:val="auto"/>
          <w:highlight w:val="none"/>
        </w:rPr>
      </w:pPr>
      <w:bookmarkStart w:id="41" w:name="_Toc475546371"/>
      <w:r>
        <w:rPr>
          <w:rFonts w:ascii="Times New Roman" w:hAnsi="Times New Roman" w:eastAsia="宋体"/>
          <w:color w:val="auto"/>
          <w:highlight w:val="none"/>
        </w:rPr>
        <w:t>1.1.</w:t>
      </w:r>
      <w:bookmarkEnd w:id="41"/>
      <w:r>
        <w:rPr>
          <w:rFonts w:ascii="Times New Roman" w:hAnsi="Times New Roman" w:eastAsia="宋体"/>
          <w:color w:val="auto"/>
          <w:highlight w:val="none"/>
        </w:rPr>
        <w:t>4 相关标准及技术规范</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（1）《建设项目环境影响评价技术导则 总纲》（HJ 2.1-2016）；</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（2）《环境影响评价技术导则 大气环境》（HJ 2.2-2018）；</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（3）《环境影响评价技术导则 地表水环境》（HJ 2.3-2018）；</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（4）《环境影响评价技术导则 地下水环境》（HJ 610-2016）；</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（5）《环境影响评价技术导则 声环境》（HJ 2.4-2009）；</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（6）《环境影响评价技术导则 生态影响》（HJ 19-2011）；</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（7）《建设项目环境风险评价技术导则》（HJ 169-2018）；</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（8）《地表水和污水监测技术规范》（HJ/T 91-2002）；</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（9）《大气污染物无组织排放监测技术导则》（HJ/T 55-2000）；</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（10）《环境空气质量手工监测技术规范》（HJ 194-2017）；</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（11）《地下水环境监测技术规范》（HJ/T 164-2004）；</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（12）《危险废物鉴别技术规范》（HJ/T 298-2007）；</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（13）《危险废物鉴别标准 通则》（GB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5085.7-2007）；</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（14）《危险废物鉴别标准》（GB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5085.1～6-2007）；</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（15）《排污单位自行监测技术指南 总则》（HJ 819-2017）；</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（16）《生态环境状况评价技术规范（试行）》（HJ 192-2015）；</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（17）《矿山生态环境保护与恢复治理技术规范》（HJ 651-2013）；</w:t>
      </w:r>
    </w:p>
    <w:p>
      <w:pPr>
        <w:ind w:firstLine="480"/>
        <w:rPr>
          <w:rFonts w:hint="eastAsia" w:ascii="Times New Roman" w:hAnsi="Times New Roman" w:eastAsia="宋体" w:cs="Times New Roman"/>
          <w:color w:val="auto"/>
          <w:highlight w:val="none"/>
        </w:rPr>
      </w:pPr>
      <w:r>
        <w:rPr>
          <w:rFonts w:ascii="Times New Roman" w:hAnsi="Times New Roman" w:eastAsia="宋体" w:cs="Times New Roman"/>
          <w:color w:val="auto"/>
          <w:highlight w:val="none"/>
        </w:rPr>
        <w:t>（18）《环境影响评价技术导则 生物多样性影响》（DB45/T 1577-2017）</w:t>
      </w:r>
      <w:r>
        <w:rPr>
          <w:rFonts w:hint="eastAsia" w:ascii="Times New Roman" w:hAnsi="Times New Roman" w:eastAsia="宋体" w:cs="Times New Roman"/>
          <w:color w:val="auto"/>
          <w:highlight w:val="none"/>
        </w:rPr>
        <w:t>；</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（19）《环境影响评价技术导则 土壤环境（试行）》（HJ</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964-2018）；</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（20）《建设项目危险废物环境影响评价指南》（环境保护部公告 2017年 第43号）；</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（21）《排污单位自行监测技术指南 总则》（HJ 819-2017）；</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（22）《排污单位环境管理台账及排污许可证执行报告技术规范 总则（试行）》（HJ</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944-2018）；</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（23）《固体废物鉴别标准 通则》（GB 34330-2017）。</w:t>
      </w:r>
    </w:p>
    <w:p>
      <w:pPr>
        <w:pStyle w:val="5"/>
        <w:rPr>
          <w:rFonts w:ascii="Times New Roman" w:hAnsi="Times New Roman" w:eastAsia="宋体"/>
          <w:color w:val="auto"/>
          <w:highlight w:val="none"/>
        </w:rPr>
      </w:pPr>
      <w:bookmarkStart w:id="42" w:name="_Toc475546373"/>
      <w:r>
        <w:rPr>
          <w:rFonts w:ascii="Times New Roman" w:hAnsi="Times New Roman" w:eastAsia="宋体"/>
          <w:color w:val="auto"/>
          <w:highlight w:val="none"/>
        </w:rPr>
        <w:t>1.1.5 项目</w:t>
      </w:r>
      <w:bookmarkEnd w:id="42"/>
      <w:r>
        <w:rPr>
          <w:rFonts w:ascii="Times New Roman" w:hAnsi="Times New Roman" w:eastAsia="宋体"/>
          <w:color w:val="auto"/>
          <w:highlight w:val="none"/>
        </w:rPr>
        <w:t>依据</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r>
        <w:rPr>
          <w:rFonts w:hint="eastAsia" w:ascii="Times New Roman" w:hAnsi="Times New Roman" w:eastAsia="宋体" w:cs="Times New Roman"/>
          <w:color w:val="auto"/>
          <w:szCs w:val="24"/>
          <w:highlight w:val="none"/>
        </w:rPr>
        <w:t>三江县鑫贝矿业有限公司</w:t>
      </w:r>
      <w:r>
        <w:rPr>
          <w:rFonts w:ascii="Times New Roman" w:hAnsi="Times New Roman" w:eastAsia="宋体" w:cs="Times New Roman"/>
          <w:color w:val="auto"/>
          <w:szCs w:val="24"/>
          <w:highlight w:val="none"/>
        </w:rPr>
        <w:t>《建设项目环境影响评价委托书》</w:t>
      </w:r>
      <w:r>
        <w:rPr>
          <w:rFonts w:hint="eastAsia" w:ascii="Times New Roman" w:hAnsi="Times New Roman" w:eastAsia="宋体" w:cs="Times New Roman"/>
          <w:color w:val="auto"/>
          <w:szCs w:val="24"/>
          <w:highlight w:val="none"/>
        </w:rPr>
        <w:t>（2019年7月8日）</w:t>
      </w:r>
      <w:r>
        <w:rPr>
          <w:rFonts w:ascii="Times New Roman" w:hAnsi="Times New Roman" w:eastAsia="宋体" w:cs="Times New Roman"/>
          <w:color w:val="auto"/>
          <w:highlight w:val="none"/>
        </w:rPr>
        <w:t>；</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（2）项目备案证明；</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（3）《</w:t>
      </w:r>
      <w:r>
        <w:rPr>
          <w:rFonts w:hint="eastAsia" w:ascii="Times New Roman" w:hAnsi="Times New Roman" w:eastAsia="宋体" w:cs="Times New Roman"/>
          <w:color w:val="auto"/>
          <w:szCs w:val="24"/>
          <w:highlight w:val="none"/>
        </w:rPr>
        <w:t>三江县斗江</w:t>
      </w:r>
      <w:r>
        <w:rPr>
          <w:rFonts w:ascii="Times New Roman" w:hAnsi="Times New Roman" w:eastAsia="宋体" w:cs="Times New Roman"/>
          <w:color w:val="auto"/>
          <w:szCs w:val="24"/>
          <w:highlight w:val="none"/>
        </w:rPr>
        <w:t>镇土地利用总体规划（2010-2020年）》；</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（4）《</w:t>
      </w:r>
      <w:r>
        <w:rPr>
          <w:rFonts w:hint="eastAsia" w:ascii="Times New Roman" w:hAnsi="Times New Roman" w:eastAsia="宋体" w:cs="Times New Roman"/>
          <w:color w:val="auto"/>
          <w:szCs w:val="24"/>
          <w:highlight w:val="none"/>
        </w:rPr>
        <w:t>广西</w:t>
      </w:r>
      <w:r>
        <w:rPr>
          <w:rFonts w:ascii="Times New Roman" w:hAnsi="Times New Roman" w:eastAsia="宋体" w:cs="Times New Roman"/>
          <w:color w:val="auto"/>
          <w:szCs w:val="24"/>
          <w:highlight w:val="none"/>
        </w:rPr>
        <w:t>三江县宏源采石场硅质岩矿资源储量</w:t>
      </w:r>
      <w:r>
        <w:rPr>
          <w:rFonts w:hint="eastAsia" w:ascii="Times New Roman" w:hAnsi="Times New Roman" w:eastAsia="宋体" w:cs="Times New Roman"/>
          <w:color w:val="auto"/>
          <w:szCs w:val="24"/>
          <w:highlight w:val="none"/>
        </w:rPr>
        <w:t>简测报告</w:t>
      </w:r>
      <w:r>
        <w:rPr>
          <w:rFonts w:ascii="Times New Roman" w:hAnsi="Times New Roman" w:eastAsia="宋体" w:cs="Times New Roman"/>
          <w:color w:val="auto"/>
          <w:szCs w:val="24"/>
          <w:highlight w:val="none"/>
        </w:rPr>
        <w:t>》及</w:t>
      </w:r>
      <w:r>
        <w:rPr>
          <w:rFonts w:hint="eastAsia" w:ascii="Times New Roman" w:hAnsi="Times New Roman" w:eastAsia="宋体" w:cs="Times New Roman"/>
          <w:color w:val="auto"/>
          <w:szCs w:val="24"/>
          <w:highlight w:val="none"/>
        </w:rPr>
        <w:t>评审</w:t>
      </w:r>
      <w:r>
        <w:rPr>
          <w:rFonts w:ascii="Times New Roman" w:hAnsi="Times New Roman" w:eastAsia="宋体" w:cs="Times New Roman"/>
          <w:color w:val="auto"/>
          <w:szCs w:val="24"/>
          <w:highlight w:val="none"/>
        </w:rPr>
        <w:t>意见；</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szCs w:val="24"/>
          <w:highlight w:val="none"/>
        </w:rPr>
        <w:t>（5）《三江县宏源采石场硅质岩矿矿产资源开发利用方案》及评审意见书；</w:t>
      </w:r>
    </w:p>
    <w:p>
      <w:pPr>
        <w:ind w:firstLine="480"/>
        <w:rPr>
          <w:rFonts w:hint="eastAsia" w:ascii="Times New Roman" w:hAnsi="Times New Roman" w:eastAsia="宋体" w:cs="Times New Roman"/>
          <w:color w:val="auto"/>
          <w:highlight w:val="none"/>
        </w:rPr>
      </w:pPr>
      <w:r>
        <w:rPr>
          <w:rFonts w:ascii="Times New Roman" w:hAnsi="Times New Roman" w:eastAsia="宋体" w:cs="Times New Roman"/>
          <w:color w:val="auto"/>
          <w:highlight w:val="none"/>
        </w:rPr>
        <w:t>（6）《</w:t>
      </w:r>
      <w:r>
        <w:rPr>
          <w:rFonts w:ascii="Times New Roman" w:hAnsi="Times New Roman" w:eastAsia="宋体" w:cs="Times New Roman"/>
          <w:color w:val="auto"/>
          <w:szCs w:val="24"/>
          <w:highlight w:val="none"/>
        </w:rPr>
        <w:t>三江县宏源采石场硅质岩矿</w:t>
      </w:r>
      <w:r>
        <w:rPr>
          <w:rFonts w:ascii="Times New Roman" w:hAnsi="Times New Roman" w:eastAsia="宋体" w:cs="Times New Roman"/>
          <w:color w:val="auto"/>
          <w:highlight w:val="none"/>
        </w:rPr>
        <w:t>矿山地质环境保护与土地复垦方案》及</w:t>
      </w:r>
      <w:r>
        <w:rPr>
          <w:rFonts w:hint="eastAsia" w:ascii="Times New Roman" w:hAnsi="Times New Roman" w:eastAsia="宋体" w:cs="Times New Roman"/>
          <w:color w:val="auto"/>
          <w:highlight w:val="none"/>
        </w:rPr>
        <w:t>审查意见；</w:t>
      </w:r>
    </w:p>
    <w:p>
      <w:pPr>
        <w:ind w:firstLine="480"/>
        <w:rPr>
          <w:rFonts w:hint="eastAsia" w:ascii="Times New Roman" w:hAnsi="Times New Roman" w:eastAsia="宋体" w:cs="Times New Roman"/>
          <w:color w:val="auto"/>
          <w:kern w:val="0"/>
          <w:highlight w:val="none"/>
        </w:rPr>
      </w:pPr>
      <w:r>
        <w:rPr>
          <w:rFonts w:hint="eastAsia" w:ascii="Times New Roman" w:hAnsi="Times New Roman" w:eastAsia="宋体" w:cs="Times New Roman"/>
          <w:color w:val="auto"/>
          <w:highlight w:val="none"/>
        </w:rPr>
        <w:t>（7）</w:t>
      </w:r>
      <w:r>
        <w:rPr>
          <w:rFonts w:ascii="Times New Roman" w:hAnsi="Times New Roman" w:eastAsia="宋体" w:cs="Times New Roman"/>
          <w:color w:val="auto"/>
          <w:kern w:val="0"/>
          <w:highlight w:val="none"/>
        </w:rPr>
        <w:t>《三江侗族自治县</w:t>
      </w:r>
      <w:r>
        <w:rPr>
          <w:rFonts w:hint="eastAsia" w:ascii="Times New Roman" w:hAnsi="Times New Roman" w:eastAsia="宋体" w:cs="Times New Roman"/>
          <w:color w:val="auto"/>
          <w:kern w:val="0"/>
          <w:highlight w:val="none"/>
        </w:rPr>
        <w:t>矿产资源总体</w:t>
      </w:r>
      <w:r>
        <w:rPr>
          <w:rFonts w:ascii="Times New Roman" w:hAnsi="Times New Roman" w:eastAsia="宋体" w:cs="Times New Roman"/>
          <w:color w:val="auto"/>
          <w:kern w:val="0"/>
          <w:highlight w:val="none"/>
        </w:rPr>
        <w:t>规划（2016-2020年）》</w:t>
      </w:r>
      <w:r>
        <w:rPr>
          <w:rFonts w:hint="eastAsia" w:ascii="Times New Roman" w:hAnsi="Times New Roman" w:eastAsia="宋体" w:cs="Times New Roman"/>
          <w:color w:val="auto"/>
          <w:kern w:val="0"/>
          <w:highlight w:val="none"/>
        </w:rPr>
        <w:t>；</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kern w:val="0"/>
          <w:highlight w:val="none"/>
        </w:rPr>
        <w:t>（8）</w:t>
      </w:r>
      <w:r>
        <w:rPr>
          <w:rFonts w:ascii="Times New Roman" w:hAnsi="Times New Roman" w:eastAsia="宋体" w:cs="Times New Roman"/>
          <w:color w:val="auto"/>
          <w:kern w:val="0"/>
          <w:highlight w:val="none"/>
        </w:rPr>
        <w:t>《三江侗族自治县砂石资源开发专项规划（2016-2020年）》</w:t>
      </w:r>
      <w:r>
        <w:rPr>
          <w:rFonts w:ascii="Times New Roman" w:hAnsi="Times New Roman" w:eastAsia="宋体" w:cs="Times New Roman"/>
          <w:color w:val="auto"/>
          <w:highlight w:val="none"/>
        </w:rPr>
        <w:t>。</w:t>
      </w:r>
    </w:p>
    <w:p>
      <w:pPr>
        <w:pStyle w:val="4"/>
        <w:rPr>
          <w:rFonts w:ascii="Times New Roman" w:hAnsi="Times New Roman" w:eastAsia="宋体"/>
          <w:color w:val="auto"/>
          <w:highlight w:val="none"/>
        </w:rPr>
      </w:pPr>
      <w:bookmarkStart w:id="43" w:name="_Toc25624"/>
      <w:r>
        <w:rPr>
          <w:rFonts w:ascii="Times New Roman" w:hAnsi="Times New Roman" w:eastAsia="宋体"/>
          <w:color w:val="auto"/>
          <w:highlight w:val="none"/>
        </w:rPr>
        <w:t xml:space="preserve">1.2 </w:t>
      </w:r>
      <w:bookmarkEnd w:id="36"/>
      <w:bookmarkEnd w:id="37"/>
      <w:bookmarkEnd w:id="38"/>
      <w:r>
        <w:rPr>
          <w:rFonts w:ascii="Times New Roman" w:hAnsi="Times New Roman" w:eastAsia="宋体"/>
          <w:color w:val="auto"/>
          <w:highlight w:val="none"/>
        </w:rPr>
        <w:t>相关规划及环境功能区划</w:t>
      </w:r>
      <w:bookmarkEnd w:id="43"/>
    </w:p>
    <w:p>
      <w:pPr>
        <w:pStyle w:val="5"/>
        <w:rPr>
          <w:rFonts w:ascii="Times New Roman" w:hAnsi="Times New Roman" w:eastAsia="宋体"/>
          <w:color w:val="auto"/>
          <w:highlight w:val="none"/>
        </w:rPr>
      </w:pPr>
      <w:r>
        <w:rPr>
          <w:rFonts w:ascii="Times New Roman" w:hAnsi="Times New Roman" w:eastAsia="宋体"/>
          <w:color w:val="auto"/>
          <w:highlight w:val="none"/>
        </w:rPr>
        <w:t>1.2.1 相关规划</w:t>
      </w:r>
      <w:r>
        <w:rPr>
          <w:rFonts w:ascii="Times New Roman" w:hAnsi="Times New Roman" w:eastAsia="宋体"/>
          <w:color w:val="auto"/>
          <w:szCs w:val="28"/>
          <w:highlight w:val="none"/>
        </w:rPr>
        <w:t>及符合性分析</w:t>
      </w:r>
    </w:p>
    <w:p>
      <w:pPr>
        <w:pStyle w:val="6"/>
        <w:rPr>
          <w:rFonts w:hint="eastAsia" w:ascii="Times New Roman" w:hAnsi="Times New Roman" w:eastAsia="宋体"/>
          <w:color w:val="auto"/>
          <w:highlight w:val="none"/>
        </w:rPr>
      </w:pPr>
      <w:r>
        <w:rPr>
          <w:rFonts w:ascii="Times New Roman" w:hAnsi="Times New Roman" w:eastAsia="宋体"/>
          <w:color w:val="auto"/>
          <w:highlight w:val="none"/>
        </w:rPr>
        <w:t xml:space="preserve">1.2.1.1 </w:t>
      </w:r>
      <w:r>
        <w:rPr>
          <w:rFonts w:hint="eastAsia" w:ascii="Times New Roman" w:hAnsi="Times New Roman" w:eastAsia="宋体"/>
          <w:color w:val="auto"/>
          <w:highlight w:val="none"/>
        </w:rPr>
        <w:t>法律法规符合性</w:t>
      </w:r>
    </w:p>
    <w:p>
      <w:pPr>
        <w:ind w:firstLine="482"/>
        <w:rPr>
          <w:rFonts w:hint="eastAsia" w:ascii="Times New Roman" w:hAnsi="Times New Roman" w:eastAsia="宋体" w:cs="Times New Roman"/>
          <w:color w:val="auto"/>
          <w:szCs w:val="24"/>
          <w:highlight w:val="none"/>
        </w:rPr>
      </w:pPr>
      <w:r>
        <w:rPr>
          <w:rFonts w:hint="eastAsia" w:ascii="Times New Roman" w:hAnsi="Times New Roman" w:eastAsia="宋体" w:cs="Times New Roman"/>
          <w:b/>
          <w:bCs/>
          <w:color w:val="auto"/>
          <w:szCs w:val="24"/>
          <w:highlight w:val="none"/>
        </w:rPr>
        <w:t>1、与《中华人民共和国水土保持法》相符性分析</w:t>
      </w:r>
    </w:p>
    <w:p>
      <w:pPr>
        <w:ind w:firstLine="480"/>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根据《中华人民共和国水土保持法》（</w:t>
      </w:r>
      <w:r>
        <w:rPr>
          <w:rFonts w:ascii="Times New Roman" w:hAnsi="Times New Roman" w:eastAsia="宋体" w:cs="Times New Roman"/>
          <w:color w:val="auto"/>
          <w:szCs w:val="24"/>
          <w:highlight w:val="none"/>
        </w:rPr>
        <w:t>201</w:t>
      </w:r>
      <w:r>
        <w:rPr>
          <w:rFonts w:hint="eastAsia" w:ascii="Times New Roman" w:hAnsi="Times New Roman" w:eastAsia="宋体" w:cs="Times New Roman"/>
          <w:color w:val="auto"/>
          <w:szCs w:val="24"/>
          <w:highlight w:val="none"/>
        </w:rPr>
        <w:t>0</w:t>
      </w:r>
      <w:r>
        <w:rPr>
          <w:rFonts w:ascii="Times New Roman" w:hAnsi="Times New Roman" w:eastAsia="宋体" w:cs="Times New Roman"/>
          <w:color w:val="auto"/>
          <w:szCs w:val="24"/>
          <w:highlight w:val="none"/>
        </w:rPr>
        <w:t>年</w:t>
      </w:r>
      <w:r>
        <w:rPr>
          <w:rFonts w:hint="eastAsia" w:ascii="Times New Roman" w:hAnsi="Times New Roman" w:eastAsia="宋体" w:cs="Times New Roman"/>
          <w:color w:val="auto"/>
          <w:szCs w:val="24"/>
          <w:highlight w:val="none"/>
        </w:rPr>
        <w:t>12</w:t>
      </w:r>
      <w:r>
        <w:rPr>
          <w:rFonts w:ascii="Times New Roman" w:hAnsi="Times New Roman" w:eastAsia="宋体" w:cs="Times New Roman"/>
          <w:color w:val="auto"/>
          <w:szCs w:val="24"/>
          <w:highlight w:val="none"/>
        </w:rPr>
        <w:t>月</w:t>
      </w:r>
      <w:r>
        <w:rPr>
          <w:rFonts w:hint="eastAsia" w:ascii="Times New Roman" w:hAnsi="Times New Roman" w:eastAsia="宋体" w:cs="Times New Roman"/>
          <w:color w:val="auto"/>
          <w:szCs w:val="24"/>
          <w:highlight w:val="none"/>
        </w:rPr>
        <w:t>25</w:t>
      </w:r>
      <w:r>
        <w:rPr>
          <w:rFonts w:ascii="Times New Roman" w:hAnsi="Times New Roman" w:eastAsia="宋体" w:cs="Times New Roman"/>
          <w:color w:val="auto"/>
          <w:szCs w:val="24"/>
          <w:highlight w:val="none"/>
        </w:rPr>
        <w:t>日修订</w:t>
      </w:r>
      <w:r>
        <w:rPr>
          <w:rFonts w:hint="eastAsia" w:ascii="Times New Roman" w:hAnsi="Times New Roman" w:eastAsia="宋体" w:cs="Times New Roman"/>
          <w:color w:val="auto"/>
          <w:szCs w:val="24"/>
          <w:highlight w:val="none"/>
        </w:rPr>
        <w:t>）第二十四条的规定“生产建设项目选址、选线应当避让水土流失重点预防区和重点治理区；无法避让的，应当提高防治标准，优化施工工艺，减少地表扰动和植被范围，有效控制可能造成的水土流失。”项目所属区域</w:t>
      </w:r>
      <w:r>
        <w:rPr>
          <w:rFonts w:ascii="Times New Roman" w:hAnsi="Times New Roman" w:eastAsia="宋体" w:cs="Times New Roman"/>
          <w:color w:val="auto"/>
          <w:szCs w:val="24"/>
          <w:highlight w:val="none"/>
        </w:rPr>
        <w:t>划分为自治区级水土流失重点</w:t>
      </w:r>
      <w:r>
        <w:rPr>
          <w:rFonts w:hint="eastAsia" w:ascii="Times New Roman" w:hAnsi="Times New Roman" w:eastAsia="宋体" w:cs="Times New Roman"/>
          <w:color w:val="auto"/>
          <w:szCs w:val="24"/>
          <w:highlight w:val="none"/>
        </w:rPr>
        <w:t>预防</w:t>
      </w:r>
      <w:r>
        <w:rPr>
          <w:rFonts w:ascii="Times New Roman" w:hAnsi="Times New Roman" w:eastAsia="宋体" w:cs="Times New Roman"/>
          <w:color w:val="auto"/>
          <w:szCs w:val="24"/>
          <w:highlight w:val="none"/>
        </w:rPr>
        <w:t>区</w:t>
      </w:r>
      <w:r>
        <w:rPr>
          <w:rFonts w:hint="eastAsia" w:ascii="Times New Roman" w:hAnsi="Times New Roman" w:eastAsia="宋体" w:cs="Times New Roman"/>
          <w:color w:val="auto"/>
          <w:szCs w:val="24"/>
          <w:highlight w:val="none"/>
        </w:rPr>
        <w:t>，项目通过优化施工工艺、提高防治标准，项目矿山已委托相关单位编制《</w:t>
      </w:r>
      <w:r>
        <w:rPr>
          <w:rFonts w:ascii="Times New Roman" w:hAnsi="Times New Roman" w:eastAsia="宋体" w:cs="Times New Roman"/>
          <w:color w:val="auto"/>
          <w:szCs w:val="24"/>
          <w:highlight w:val="none"/>
        </w:rPr>
        <w:t>三江县宏源采石场硅质岩矿</w:t>
      </w:r>
      <w:r>
        <w:rPr>
          <w:rFonts w:hint="eastAsia" w:ascii="Times New Roman" w:hAnsi="Times New Roman" w:eastAsia="宋体" w:cs="Times New Roman"/>
          <w:color w:val="auto"/>
          <w:szCs w:val="24"/>
          <w:highlight w:val="none"/>
        </w:rPr>
        <w:t>水土保持方案》，且开采过程严格按照方案要求做好水土保持措施，可有效控制可能造成的水土流失。</w:t>
      </w:r>
      <w:r>
        <w:rPr>
          <w:rFonts w:ascii="Times New Roman" w:hAnsi="Times New Roman" w:eastAsia="宋体" w:cs="Times New Roman"/>
          <w:color w:val="auto"/>
          <w:kern w:val="0"/>
          <w:highlight w:val="none"/>
        </w:rPr>
        <w:t>项目</w:t>
      </w:r>
      <w:r>
        <w:rPr>
          <w:rFonts w:hint="eastAsia" w:ascii="Times New Roman" w:hAnsi="Times New Roman" w:eastAsia="宋体" w:cs="Times New Roman"/>
          <w:color w:val="auto"/>
          <w:kern w:val="0"/>
          <w:highlight w:val="none"/>
        </w:rPr>
        <w:t>已取得三江侗族自治县自然资源和规划局下发采矿许可证</w:t>
      </w:r>
      <w:r>
        <w:rPr>
          <w:rFonts w:hint="eastAsia" w:ascii="Times New Roman" w:hAnsi="Times New Roman" w:eastAsia="宋体" w:cs="Times New Roman"/>
          <w:color w:val="auto"/>
          <w:szCs w:val="24"/>
          <w:highlight w:val="none"/>
        </w:rPr>
        <w:t>。因此，通过采取相应措施后，项目建设符合《中华人民共和国水土保持法》中的相关规定。</w:t>
      </w:r>
    </w:p>
    <w:p>
      <w:pPr>
        <w:ind w:firstLine="482"/>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2、与《矿山生态环境保护与污染防治技术政策》相符性分析</w:t>
      </w:r>
    </w:p>
    <w:p>
      <w:pPr>
        <w:ind w:firstLine="480"/>
        <w:rPr>
          <w:rFonts w:ascii="Times New Roman" w:hAnsi="Times New Roman" w:eastAsia="宋体"/>
          <w:color w:val="auto"/>
          <w:highlight w:val="none"/>
        </w:rPr>
      </w:pPr>
      <w:r>
        <w:rPr>
          <w:rFonts w:ascii="Times New Roman" w:hAnsi="Times New Roman" w:eastAsia="宋体"/>
          <w:color w:val="auto"/>
          <w:highlight w:val="none"/>
        </w:rPr>
        <w:t>根据《矿山生态环境保护与污染防治技术政策》（环发〔2005〕109号）</w:t>
      </w:r>
      <w:r>
        <w:rPr>
          <w:rFonts w:hint="eastAsia" w:ascii="Times New Roman" w:hAnsi="Times New Roman" w:eastAsia="宋体"/>
          <w:color w:val="auto"/>
          <w:highlight w:val="none"/>
        </w:rPr>
        <w:t>，</w:t>
      </w:r>
      <w:r>
        <w:rPr>
          <w:rFonts w:ascii="Times New Roman" w:hAnsi="Times New Roman" w:eastAsia="宋体"/>
          <w:color w:val="auto"/>
          <w:highlight w:val="none"/>
        </w:rPr>
        <w:t>为了实现矿产资源开发与生态环境保护协调发展，提高矿产资源开发利用效率，避免和减少矿区生态环境破坏和污染，建设单位应参照《矿山生态环境保护与污染防治技术政策》相关措施执行环保措施，本项目与《矿山生态环境保护与污染防治技术政策》相符性分析详见下表</w:t>
      </w:r>
      <w:r>
        <w:rPr>
          <w:rFonts w:hint="eastAsia" w:ascii="Times New Roman" w:hAnsi="Times New Roman" w:eastAsia="宋体"/>
          <w:color w:val="auto"/>
          <w:highlight w:val="none"/>
        </w:rPr>
        <w:t>1.2-1</w:t>
      </w:r>
      <w:r>
        <w:rPr>
          <w:rFonts w:ascii="Times New Roman" w:hAnsi="Times New Roman" w:eastAsia="宋体"/>
          <w:color w:val="auto"/>
          <w:highlight w:val="none"/>
        </w:rPr>
        <w:t>。</w:t>
      </w:r>
    </w:p>
    <w:p>
      <w:pPr>
        <w:pStyle w:val="13"/>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表</w:t>
      </w:r>
      <w:r>
        <w:rPr>
          <w:rFonts w:hint="eastAsia" w:ascii="Times New Roman" w:hAnsi="Times New Roman" w:eastAsia="宋体"/>
          <w:color w:val="auto"/>
          <w:sz w:val="24"/>
          <w:szCs w:val="24"/>
          <w:highlight w:val="none"/>
        </w:rPr>
        <w:t>1.2-</w:t>
      </w:r>
      <w:r>
        <w:rPr>
          <w:rFonts w:ascii="Times New Roman" w:hAnsi="Times New Roman" w:eastAsia="宋体"/>
          <w:color w:val="auto"/>
          <w:sz w:val="24"/>
          <w:szCs w:val="24"/>
          <w:highlight w:val="none"/>
        </w:rPr>
        <w:t>1本项目与《矿山生态环境保护与污染防治技术政策》相符分析表</w:t>
      </w:r>
    </w:p>
    <w:p>
      <w:pPr>
        <w:spacing w:before="4" w:line="10" w:lineRule="exact"/>
        <w:ind w:firstLine="80"/>
        <w:rPr>
          <w:rFonts w:ascii="Times New Roman" w:hAnsi="Times New Roman" w:eastAsia="宋体"/>
          <w:color w:val="auto"/>
          <w:sz w:val="4"/>
          <w:szCs w:val="4"/>
          <w:highlight w:val="none"/>
        </w:rPr>
      </w:pPr>
    </w:p>
    <w:tbl>
      <w:tblPr>
        <w:tblStyle w:val="48"/>
        <w:tblW w:w="9241" w:type="dxa"/>
        <w:jc w:val="center"/>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500"/>
        <w:gridCol w:w="3283"/>
        <w:gridCol w:w="45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center"/>
              <w:rPr>
                <w:rFonts w:ascii="Times New Roman" w:hAnsi="Times New Roman" w:eastAsia="宋体"/>
                <w:b/>
                <w:bCs/>
                <w:color w:val="auto"/>
                <w:sz w:val="21"/>
                <w:highlight w:val="none"/>
              </w:rPr>
            </w:pPr>
            <w:r>
              <w:rPr>
                <w:rFonts w:ascii="Times New Roman" w:hAnsi="Times New Roman" w:eastAsia="宋体"/>
                <w:b/>
                <w:bCs/>
                <w:color w:val="auto"/>
                <w:sz w:val="21"/>
                <w:highlight w:val="none"/>
              </w:rPr>
              <w:t>《矿山生态环境保护与污染防治技术政策》</w:t>
            </w:r>
          </w:p>
        </w:tc>
        <w:tc>
          <w:tcPr>
            <w:tcW w:w="3283" w:type="dxa"/>
            <w:noWrap w:val="0"/>
            <w:tcMar>
              <w:top w:w="0" w:type="dxa"/>
              <w:left w:w="0" w:type="dxa"/>
              <w:bottom w:w="0" w:type="dxa"/>
              <w:right w:w="0" w:type="dxa"/>
            </w:tcMar>
            <w:vAlign w:val="center"/>
          </w:tcPr>
          <w:p>
            <w:pPr>
              <w:spacing w:line="240" w:lineRule="auto"/>
              <w:ind w:firstLine="0" w:firstLineChars="0"/>
              <w:jc w:val="center"/>
              <w:rPr>
                <w:rFonts w:ascii="Times New Roman" w:hAnsi="Times New Roman" w:eastAsia="宋体"/>
                <w:b/>
                <w:bCs/>
                <w:color w:val="auto"/>
                <w:sz w:val="21"/>
                <w:highlight w:val="none"/>
              </w:rPr>
            </w:pPr>
            <w:r>
              <w:rPr>
                <w:rFonts w:ascii="Times New Roman" w:hAnsi="Times New Roman" w:eastAsia="宋体"/>
                <w:b/>
                <w:bCs/>
                <w:color w:val="auto"/>
                <w:sz w:val="21"/>
                <w:highlight w:val="none"/>
              </w:rPr>
              <w:t>本项目情况</w:t>
            </w:r>
          </w:p>
        </w:tc>
        <w:tc>
          <w:tcPr>
            <w:tcW w:w="458" w:type="dxa"/>
            <w:noWrap w:val="0"/>
            <w:tcMar>
              <w:top w:w="0" w:type="dxa"/>
              <w:left w:w="0" w:type="dxa"/>
              <w:bottom w:w="0" w:type="dxa"/>
              <w:right w:w="0" w:type="dxa"/>
            </w:tcMar>
            <w:vAlign w:val="center"/>
          </w:tcPr>
          <w:p>
            <w:pPr>
              <w:spacing w:line="240" w:lineRule="auto"/>
              <w:ind w:firstLine="0" w:firstLineChars="0"/>
              <w:jc w:val="center"/>
              <w:rPr>
                <w:rFonts w:ascii="Times New Roman" w:hAnsi="Times New Roman" w:eastAsia="宋体"/>
                <w:b/>
                <w:bCs/>
                <w:color w:val="auto"/>
                <w:sz w:val="21"/>
                <w:highlight w:val="none"/>
              </w:rPr>
            </w:pPr>
            <w:r>
              <w:rPr>
                <w:rFonts w:ascii="Times New Roman" w:hAnsi="Times New Roman" w:eastAsia="宋体"/>
                <w:b/>
                <w:bCs/>
                <w:color w:val="auto"/>
                <w:sz w:val="21"/>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center"/>
              <w:rPr>
                <w:rFonts w:ascii="Times New Roman" w:hAnsi="Times New Roman" w:eastAsia="宋体"/>
                <w:b/>
                <w:bCs/>
                <w:color w:val="auto"/>
                <w:sz w:val="21"/>
                <w:highlight w:val="none"/>
              </w:rPr>
            </w:pPr>
            <w:r>
              <w:rPr>
                <w:rFonts w:ascii="Times New Roman" w:hAnsi="Times New Roman" w:eastAsia="宋体"/>
                <w:b/>
                <w:bCs/>
                <w:color w:val="auto"/>
                <w:sz w:val="21"/>
                <w:highlight w:val="none"/>
              </w:rPr>
              <w:t>一、矿产资源开发规划与设计</w:t>
            </w:r>
          </w:p>
        </w:tc>
        <w:tc>
          <w:tcPr>
            <w:tcW w:w="3283" w:type="dxa"/>
            <w:noWrap w:val="0"/>
            <w:tcMar>
              <w:top w:w="0" w:type="dxa"/>
              <w:left w:w="0" w:type="dxa"/>
              <w:bottom w:w="0" w:type="dxa"/>
              <w:right w:w="0" w:type="dxa"/>
            </w:tcMar>
            <w:vAlign w:val="center"/>
          </w:tcPr>
          <w:p>
            <w:pPr>
              <w:spacing w:line="240" w:lineRule="auto"/>
              <w:ind w:firstLine="0" w:firstLineChars="0"/>
              <w:jc w:val="center"/>
              <w:rPr>
                <w:rFonts w:ascii="Times New Roman" w:hAnsi="Times New Roman" w:eastAsia="宋体"/>
                <w:b/>
                <w:bCs/>
                <w:color w:val="auto"/>
                <w:sz w:val="21"/>
                <w:highlight w:val="none"/>
              </w:rPr>
            </w:pPr>
            <w:r>
              <w:rPr>
                <w:rFonts w:ascii="Times New Roman" w:hAnsi="Times New Roman" w:eastAsia="宋体"/>
                <w:b/>
                <w:bCs/>
                <w:color w:val="auto"/>
                <w:sz w:val="21"/>
                <w:highlight w:val="none"/>
              </w:rPr>
              <w:t>--</w:t>
            </w:r>
          </w:p>
        </w:tc>
        <w:tc>
          <w:tcPr>
            <w:tcW w:w="458" w:type="dxa"/>
            <w:noWrap w:val="0"/>
            <w:tcMar>
              <w:top w:w="0" w:type="dxa"/>
              <w:left w:w="0" w:type="dxa"/>
              <w:bottom w:w="0" w:type="dxa"/>
              <w:right w:w="0" w:type="dxa"/>
            </w:tcMar>
            <w:vAlign w:val="center"/>
          </w:tcPr>
          <w:p>
            <w:pPr>
              <w:spacing w:line="240" w:lineRule="auto"/>
              <w:ind w:firstLine="0" w:firstLineChars="0"/>
              <w:jc w:val="center"/>
              <w:rPr>
                <w:rFonts w:ascii="Times New Roman" w:hAnsi="Times New Roman" w:eastAsia="宋体"/>
                <w:b/>
                <w:bCs/>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ascii="Times New Roman" w:hAnsi="Times New Roman" w:eastAsia="宋体"/>
                <w:color w:val="auto"/>
                <w:sz w:val="21"/>
                <w:highlight w:val="none"/>
              </w:rPr>
            </w:pPr>
            <w:r>
              <w:rPr>
                <w:rFonts w:ascii="Times New Roman" w:hAnsi="Times New Roman" w:eastAsia="宋体"/>
                <w:color w:val="auto"/>
                <w:sz w:val="21"/>
                <w:highlight w:val="none"/>
              </w:rPr>
              <w:t>1、禁止在依法划定的自然保护区（核心区、缓冲区）、风景名胜区、森林公园、饮用水水源保护区、重要湖泊周边、文物古迹所在地、地质遗迹保护区、基本农田保护区等区域内采矿</w:t>
            </w:r>
          </w:p>
        </w:tc>
        <w:tc>
          <w:tcPr>
            <w:tcW w:w="3283" w:type="dxa"/>
            <w:noWrap w:val="0"/>
            <w:tcMar>
              <w:top w:w="0" w:type="dxa"/>
              <w:left w:w="0" w:type="dxa"/>
              <w:bottom w:w="0" w:type="dxa"/>
              <w:right w:w="0" w:type="dxa"/>
            </w:tcMar>
            <w:vAlign w:val="center"/>
          </w:tcPr>
          <w:p>
            <w:pPr>
              <w:spacing w:line="240" w:lineRule="auto"/>
              <w:ind w:firstLine="0" w:firstLineChars="0"/>
              <w:jc w:val="left"/>
              <w:rPr>
                <w:rFonts w:ascii="Times New Roman" w:hAnsi="Times New Roman" w:eastAsia="宋体"/>
                <w:color w:val="auto"/>
                <w:sz w:val="21"/>
                <w:highlight w:val="none"/>
              </w:rPr>
            </w:pPr>
            <w:r>
              <w:rPr>
                <w:rFonts w:ascii="Times New Roman" w:hAnsi="Times New Roman" w:eastAsia="宋体"/>
                <w:color w:val="auto"/>
                <w:sz w:val="21"/>
                <w:highlight w:val="none"/>
              </w:rPr>
              <w:t>本项目开采范围内没有自然保护区、风景名胜区、森林公园、饮用水水源保护区、地质遗迹保护区分布。项目周边没有重要湖泊、文物古迹，项目不在基本农田保护区范围内</w:t>
            </w:r>
          </w:p>
        </w:tc>
        <w:tc>
          <w:tcPr>
            <w:tcW w:w="458" w:type="dxa"/>
            <w:noWrap w:val="0"/>
            <w:tcMar>
              <w:top w:w="0" w:type="dxa"/>
              <w:left w:w="0" w:type="dxa"/>
              <w:bottom w:w="0" w:type="dxa"/>
              <w:right w:w="0" w:type="dxa"/>
            </w:tcMar>
            <w:vAlign w:val="center"/>
          </w:tcPr>
          <w:p>
            <w:pPr>
              <w:spacing w:line="240" w:lineRule="auto"/>
              <w:ind w:firstLine="0" w:firstLineChars="0"/>
              <w:jc w:val="left"/>
              <w:rPr>
                <w:rFonts w:ascii="Times New Roman" w:hAnsi="Times New Roman" w:eastAsia="宋体"/>
                <w:color w:val="auto"/>
                <w:sz w:val="21"/>
                <w:highlight w:val="none"/>
              </w:rPr>
            </w:pPr>
            <w:r>
              <w:rPr>
                <w:rFonts w:ascii="Times New Roman" w:hAnsi="Times New Roman" w:eastAsia="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ascii="Times New Roman" w:hAnsi="Times New Roman" w:eastAsia="宋体"/>
                <w:color w:val="auto"/>
                <w:sz w:val="21"/>
                <w:highlight w:val="none"/>
              </w:rPr>
            </w:pPr>
            <w:r>
              <w:rPr>
                <w:rFonts w:ascii="Times New Roman" w:hAnsi="Times New Roman" w:eastAsia="宋体"/>
                <w:color w:val="auto"/>
                <w:sz w:val="21"/>
                <w:highlight w:val="none"/>
              </w:rPr>
              <w:t>2、禁止在铁路、国道、省道两侧的直观可视范围内进行露天开采</w:t>
            </w:r>
          </w:p>
        </w:tc>
        <w:tc>
          <w:tcPr>
            <w:tcW w:w="3283" w:type="dxa"/>
            <w:noWrap w:val="0"/>
            <w:tcMar>
              <w:top w:w="0" w:type="dxa"/>
              <w:left w:w="0" w:type="dxa"/>
              <w:bottom w:w="0" w:type="dxa"/>
              <w:right w:w="0" w:type="dxa"/>
            </w:tcMar>
            <w:vAlign w:val="center"/>
          </w:tcPr>
          <w:p>
            <w:pPr>
              <w:spacing w:line="240" w:lineRule="auto"/>
              <w:ind w:firstLine="0" w:firstLineChars="0"/>
              <w:jc w:val="left"/>
              <w:rPr>
                <w:rFonts w:ascii="Times New Roman" w:hAnsi="Times New Roman" w:eastAsia="宋体"/>
                <w:color w:val="auto"/>
                <w:sz w:val="21"/>
                <w:highlight w:val="none"/>
              </w:rPr>
            </w:pPr>
            <w:r>
              <w:rPr>
                <w:rFonts w:ascii="Times New Roman" w:hAnsi="Times New Roman" w:eastAsia="宋体"/>
                <w:color w:val="auto"/>
                <w:sz w:val="21"/>
                <w:highlight w:val="none"/>
              </w:rPr>
              <w:t>本项目露天开采不在铁路、国道、省道两侧可视范围内</w:t>
            </w:r>
          </w:p>
        </w:tc>
        <w:tc>
          <w:tcPr>
            <w:tcW w:w="458" w:type="dxa"/>
            <w:noWrap w:val="0"/>
            <w:tcMar>
              <w:top w:w="0" w:type="dxa"/>
              <w:left w:w="0" w:type="dxa"/>
              <w:bottom w:w="0" w:type="dxa"/>
              <w:right w:w="0" w:type="dxa"/>
            </w:tcMar>
            <w:vAlign w:val="center"/>
          </w:tcPr>
          <w:p>
            <w:pPr>
              <w:spacing w:line="240" w:lineRule="auto"/>
              <w:ind w:firstLine="0" w:firstLineChars="0"/>
              <w:jc w:val="left"/>
              <w:rPr>
                <w:rFonts w:ascii="Times New Roman" w:hAnsi="Times New Roman" w:eastAsia="宋体"/>
                <w:color w:val="auto"/>
                <w:sz w:val="21"/>
                <w:highlight w:val="none"/>
              </w:rPr>
            </w:pPr>
            <w:r>
              <w:rPr>
                <w:rFonts w:ascii="Times New Roman" w:hAnsi="Times New Roman" w:eastAsia="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ascii="Times New Roman" w:hAnsi="Times New Roman" w:eastAsia="宋体"/>
                <w:color w:val="auto"/>
                <w:sz w:val="21"/>
                <w:highlight w:val="none"/>
              </w:rPr>
            </w:pPr>
            <w:r>
              <w:rPr>
                <w:rFonts w:ascii="Times New Roman" w:hAnsi="Times New Roman" w:eastAsia="宋体"/>
                <w:color w:val="auto"/>
                <w:sz w:val="21"/>
                <w:highlight w:val="none"/>
              </w:rPr>
              <w:t>3、禁止在地质灾害危险区开采矿产资源</w:t>
            </w:r>
          </w:p>
        </w:tc>
        <w:tc>
          <w:tcPr>
            <w:tcW w:w="3283" w:type="dxa"/>
            <w:noWrap w:val="0"/>
            <w:tcMar>
              <w:top w:w="0" w:type="dxa"/>
              <w:left w:w="0" w:type="dxa"/>
              <w:bottom w:w="0" w:type="dxa"/>
              <w:right w:w="0" w:type="dxa"/>
            </w:tcMar>
            <w:vAlign w:val="center"/>
          </w:tcPr>
          <w:p>
            <w:pPr>
              <w:spacing w:line="240" w:lineRule="auto"/>
              <w:ind w:firstLine="0" w:firstLineChars="0"/>
              <w:jc w:val="left"/>
              <w:rPr>
                <w:rFonts w:ascii="Times New Roman" w:hAnsi="Times New Roman" w:eastAsia="宋体"/>
                <w:color w:val="auto"/>
                <w:sz w:val="21"/>
                <w:highlight w:val="none"/>
              </w:rPr>
            </w:pPr>
            <w:r>
              <w:rPr>
                <w:rFonts w:ascii="Times New Roman" w:hAnsi="Times New Roman" w:eastAsia="宋体"/>
                <w:color w:val="auto"/>
                <w:sz w:val="21"/>
                <w:highlight w:val="none"/>
              </w:rPr>
              <w:t>本项目所在地不属于地质灾害危险区，地质条件较好</w:t>
            </w:r>
          </w:p>
        </w:tc>
        <w:tc>
          <w:tcPr>
            <w:tcW w:w="458" w:type="dxa"/>
            <w:noWrap w:val="0"/>
            <w:tcMar>
              <w:top w:w="0" w:type="dxa"/>
              <w:left w:w="0" w:type="dxa"/>
              <w:bottom w:w="0" w:type="dxa"/>
              <w:right w:w="0" w:type="dxa"/>
            </w:tcMar>
            <w:vAlign w:val="center"/>
          </w:tcPr>
          <w:p>
            <w:pPr>
              <w:spacing w:line="240" w:lineRule="auto"/>
              <w:ind w:firstLine="0" w:firstLineChars="0"/>
              <w:jc w:val="left"/>
              <w:rPr>
                <w:rFonts w:ascii="Times New Roman" w:hAnsi="Times New Roman" w:eastAsia="宋体"/>
                <w:color w:val="auto"/>
                <w:sz w:val="21"/>
                <w:highlight w:val="none"/>
              </w:rPr>
            </w:pPr>
            <w:r>
              <w:rPr>
                <w:rFonts w:ascii="Times New Roman" w:hAnsi="Times New Roman" w:eastAsia="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ascii="Times New Roman" w:hAnsi="Times New Roman" w:eastAsia="宋体"/>
                <w:color w:val="auto"/>
                <w:sz w:val="21"/>
                <w:highlight w:val="none"/>
                <w:lang w:eastAsia="zh-CN"/>
              </w:rPr>
            </w:pPr>
            <w:r>
              <w:rPr>
                <w:rFonts w:ascii="Times New Roman" w:hAnsi="Times New Roman" w:eastAsia="宋体"/>
                <w:color w:val="auto"/>
                <w:sz w:val="21"/>
                <w:highlight w:val="none"/>
                <w:lang w:eastAsia="zh-CN"/>
              </w:rPr>
              <w:t>4、禁止土法采、选冶金矿和土法冶炼汞、砷、铅、锌、焦、硫、钒等矿产资源开发活动</w:t>
            </w:r>
          </w:p>
        </w:tc>
        <w:tc>
          <w:tcPr>
            <w:tcW w:w="3283" w:type="dxa"/>
            <w:noWrap w:val="0"/>
            <w:tcMar>
              <w:top w:w="0" w:type="dxa"/>
              <w:left w:w="0" w:type="dxa"/>
              <w:bottom w:w="0" w:type="dxa"/>
              <w:right w:w="0" w:type="dxa"/>
            </w:tcMar>
            <w:vAlign w:val="center"/>
          </w:tcPr>
          <w:p>
            <w:pPr>
              <w:spacing w:line="240" w:lineRule="auto"/>
              <w:ind w:firstLine="0" w:firstLineChars="0"/>
              <w:jc w:val="left"/>
              <w:rPr>
                <w:rFonts w:ascii="Times New Roman" w:hAnsi="Times New Roman" w:eastAsia="宋体"/>
                <w:color w:val="auto"/>
                <w:sz w:val="21"/>
                <w:highlight w:val="none"/>
                <w:lang w:eastAsia="zh-CN"/>
              </w:rPr>
            </w:pPr>
            <w:r>
              <w:rPr>
                <w:rFonts w:ascii="Times New Roman" w:hAnsi="Times New Roman" w:eastAsia="宋体"/>
                <w:color w:val="auto"/>
                <w:sz w:val="21"/>
                <w:highlight w:val="none"/>
                <w:lang w:eastAsia="zh-CN"/>
              </w:rPr>
              <w:t>本项目采矿矿种为</w:t>
            </w:r>
            <w:r>
              <w:rPr>
                <w:rFonts w:hint="eastAsia" w:ascii="Times New Roman" w:hAnsi="Times New Roman" w:eastAsia="宋体"/>
                <w:color w:val="auto"/>
                <w:sz w:val="21"/>
                <w:highlight w:val="none"/>
                <w:lang w:eastAsia="zh-CN"/>
              </w:rPr>
              <w:t>硅质岩</w:t>
            </w:r>
            <w:r>
              <w:rPr>
                <w:rFonts w:ascii="Times New Roman" w:hAnsi="Times New Roman" w:eastAsia="宋体"/>
                <w:color w:val="auto"/>
                <w:sz w:val="21"/>
                <w:highlight w:val="none"/>
                <w:lang w:eastAsia="zh-CN"/>
              </w:rPr>
              <w:t>，不属于汞、砷、铅、锌、焦、硫、钒等矿产资源开发</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ascii="Times New Roman" w:hAnsi="Times New Roman" w:eastAsia="宋体"/>
                <w:color w:val="auto"/>
                <w:sz w:val="21"/>
                <w:highlight w:val="none"/>
                <w:lang w:eastAsia="zh-CN"/>
              </w:rPr>
            </w:pPr>
            <w:r>
              <w:rPr>
                <w:rFonts w:ascii="Times New Roman" w:hAnsi="Times New Roman" w:eastAsia="宋体"/>
                <w:color w:val="auto"/>
                <w:sz w:val="21"/>
                <w:highlight w:val="none"/>
                <w:lang w:eastAsia="zh-CN"/>
              </w:rPr>
              <w:t>5、禁止新建对生态环境产生不可恢复利用的、产生破坏性影响的矿产资源开发项目</w:t>
            </w:r>
          </w:p>
        </w:tc>
        <w:tc>
          <w:tcPr>
            <w:tcW w:w="3283" w:type="dxa"/>
            <w:noWrap w:val="0"/>
            <w:tcMar>
              <w:top w:w="0" w:type="dxa"/>
              <w:left w:w="0" w:type="dxa"/>
              <w:bottom w:w="0" w:type="dxa"/>
              <w:right w:w="0" w:type="dxa"/>
            </w:tcMar>
            <w:vAlign w:val="center"/>
          </w:tcPr>
          <w:p>
            <w:pPr>
              <w:spacing w:line="240" w:lineRule="auto"/>
              <w:ind w:firstLine="0" w:firstLineChars="0"/>
              <w:jc w:val="left"/>
              <w:rPr>
                <w:rFonts w:ascii="Times New Roman" w:hAnsi="Times New Roman" w:eastAsia="宋体"/>
                <w:color w:val="auto"/>
                <w:sz w:val="21"/>
                <w:highlight w:val="none"/>
                <w:lang w:eastAsia="zh-CN"/>
              </w:rPr>
            </w:pPr>
            <w:r>
              <w:rPr>
                <w:rFonts w:ascii="Times New Roman" w:hAnsi="Times New Roman" w:eastAsia="宋体"/>
                <w:color w:val="auto"/>
                <w:sz w:val="21"/>
                <w:highlight w:val="none"/>
                <w:lang w:eastAsia="zh-CN"/>
              </w:rPr>
              <w:t>本项目原来</w:t>
            </w:r>
            <w:r>
              <w:rPr>
                <w:rFonts w:hint="eastAsia" w:ascii="Times New Roman" w:hAnsi="Times New Roman" w:eastAsia="宋体"/>
                <w:color w:val="auto"/>
                <w:sz w:val="21"/>
                <w:highlight w:val="none"/>
                <w:lang w:eastAsia="zh-CN"/>
              </w:rPr>
              <w:t>采石场</w:t>
            </w:r>
            <w:r>
              <w:rPr>
                <w:rFonts w:ascii="Times New Roman" w:hAnsi="Times New Roman" w:eastAsia="宋体"/>
                <w:color w:val="auto"/>
                <w:sz w:val="21"/>
                <w:highlight w:val="none"/>
                <w:lang w:eastAsia="zh-CN"/>
              </w:rPr>
              <w:t>已经办理过采矿证，</w:t>
            </w:r>
            <w:r>
              <w:rPr>
                <w:rFonts w:hint="eastAsia" w:ascii="Times New Roman" w:hAnsi="Times New Roman" w:eastAsia="宋体"/>
                <w:color w:val="auto"/>
                <w:sz w:val="21"/>
                <w:highlight w:val="none"/>
                <w:lang w:eastAsia="zh-CN"/>
              </w:rPr>
              <w:t>属于矿山整合</w:t>
            </w:r>
            <w:r>
              <w:rPr>
                <w:rFonts w:ascii="Times New Roman" w:hAnsi="Times New Roman" w:eastAsia="宋体"/>
                <w:color w:val="auto"/>
                <w:sz w:val="21"/>
                <w:highlight w:val="none"/>
                <w:lang w:eastAsia="zh-CN"/>
              </w:rPr>
              <w:t>项目，不属于新建，且在原有的开采范围内开采</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pStyle w:val="96"/>
              <w:spacing w:line="240" w:lineRule="auto"/>
              <w:ind w:firstLine="0" w:firstLineChars="0"/>
              <w:rPr>
                <w:rFonts w:ascii="Times New Roman" w:hAnsi="Times New Roman" w:eastAsia="宋体" w:cs="宋体"/>
                <w:b/>
                <w:bCs/>
                <w:color w:val="auto"/>
                <w:sz w:val="21"/>
                <w:highlight w:val="none"/>
                <w:lang w:eastAsia="zh-CN"/>
              </w:rPr>
            </w:pPr>
            <w:r>
              <w:rPr>
                <w:rFonts w:ascii="Times New Roman" w:hAnsi="Times New Roman" w:eastAsia="宋体" w:cs="宋体"/>
                <w:b/>
                <w:bCs/>
                <w:color w:val="auto"/>
                <w:sz w:val="21"/>
                <w:highlight w:val="none"/>
                <w:lang w:eastAsia="zh-CN"/>
              </w:rPr>
              <w:t>二、</w:t>
            </w:r>
            <w:r>
              <w:rPr>
                <w:rFonts w:ascii="Times New Roman" w:hAnsi="Times New Roman" w:eastAsia="宋体" w:cs="宋体"/>
                <w:b/>
                <w:bCs/>
                <w:color w:val="auto"/>
                <w:spacing w:val="-3"/>
                <w:sz w:val="21"/>
                <w:highlight w:val="none"/>
                <w:lang w:eastAsia="zh-CN"/>
              </w:rPr>
              <w:t>限</w:t>
            </w:r>
            <w:r>
              <w:rPr>
                <w:rFonts w:ascii="Times New Roman" w:hAnsi="Times New Roman" w:eastAsia="宋体" w:cs="宋体"/>
                <w:b/>
                <w:bCs/>
                <w:color w:val="auto"/>
                <w:sz w:val="21"/>
                <w:highlight w:val="none"/>
                <w:lang w:eastAsia="zh-CN"/>
              </w:rPr>
              <w:t>制</w:t>
            </w:r>
            <w:r>
              <w:rPr>
                <w:rFonts w:ascii="Times New Roman" w:hAnsi="Times New Roman" w:eastAsia="宋体" w:cs="宋体"/>
                <w:b/>
                <w:bCs/>
                <w:color w:val="auto"/>
                <w:spacing w:val="-3"/>
                <w:sz w:val="21"/>
                <w:highlight w:val="none"/>
                <w:lang w:eastAsia="zh-CN"/>
              </w:rPr>
              <w:t>的</w:t>
            </w:r>
            <w:r>
              <w:rPr>
                <w:rFonts w:ascii="Times New Roman" w:hAnsi="Times New Roman" w:eastAsia="宋体" w:cs="宋体"/>
                <w:b/>
                <w:bCs/>
                <w:color w:val="auto"/>
                <w:sz w:val="21"/>
                <w:highlight w:val="none"/>
                <w:lang w:eastAsia="zh-CN"/>
              </w:rPr>
              <w:t>矿</w:t>
            </w:r>
            <w:r>
              <w:rPr>
                <w:rFonts w:ascii="Times New Roman" w:hAnsi="Times New Roman" w:eastAsia="宋体" w:cs="宋体"/>
                <w:b/>
                <w:bCs/>
                <w:color w:val="auto"/>
                <w:spacing w:val="-3"/>
                <w:sz w:val="21"/>
                <w:highlight w:val="none"/>
                <w:lang w:eastAsia="zh-CN"/>
              </w:rPr>
              <w:t>产</w:t>
            </w:r>
            <w:r>
              <w:rPr>
                <w:rFonts w:ascii="Times New Roman" w:hAnsi="Times New Roman" w:eastAsia="宋体" w:cs="宋体"/>
                <w:b/>
                <w:bCs/>
                <w:color w:val="auto"/>
                <w:sz w:val="21"/>
                <w:highlight w:val="none"/>
                <w:lang w:eastAsia="zh-CN"/>
              </w:rPr>
              <w:t>资</w:t>
            </w:r>
            <w:r>
              <w:rPr>
                <w:rFonts w:ascii="Times New Roman" w:hAnsi="Times New Roman" w:eastAsia="宋体" w:cs="宋体"/>
                <w:b/>
                <w:bCs/>
                <w:color w:val="auto"/>
                <w:spacing w:val="-3"/>
                <w:sz w:val="21"/>
                <w:highlight w:val="none"/>
                <w:lang w:eastAsia="zh-CN"/>
              </w:rPr>
              <w:t>源</w:t>
            </w:r>
            <w:r>
              <w:rPr>
                <w:rFonts w:ascii="Times New Roman" w:hAnsi="Times New Roman" w:eastAsia="宋体" w:cs="宋体"/>
                <w:b/>
                <w:bCs/>
                <w:color w:val="auto"/>
                <w:sz w:val="21"/>
                <w:highlight w:val="none"/>
                <w:lang w:eastAsia="zh-CN"/>
              </w:rPr>
              <w:t>开</w:t>
            </w:r>
            <w:r>
              <w:rPr>
                <w:rFonts w:ascii="Times New Roman" w:hAnsi="Times New Roman" w:eastAsia="宋体" w:cs="宋体"/>
                <w:b/>
                <w:bCs/>
                <w:color w:val="auto"/>
                <w:spacing w:val="-3"/>
                <w:sz w:val="21"/>
                <w:highlight w:val="none"/>
                <w:lang w:eastAsia="zh-CN"/>
              </w:rPr>
              <w:t>发</w:t>
            </w:r>
            <w:r>
              <w:rPr>
                <w:rFonts w:ascii="Times New Roman" w:hAnsi="Times New Roman" w:eastAsia="宋体" w:cs="宋体"/>
                <w:b/>
                <w:bCs/>
                <w:color w:val="auto"/>
                <w:sz w:val="21"/>
                <w:highlight w:val="none"/>
                <w:lang w:eastAsia="zh-CN"/>
              </w:rPr>
              <w:t>活动</w:t>
            </w:r>
          </w:p>
        </w:tc>
        <w:tc>
          <w:tcPr>
            <w:tcW w:w="3283" w:type="dxa"/>
            <w:noWrap w:val="0"/>
            <w:tcMar>
              <w:top w:w="0" w:type="dxa"/>
              <w:left w:w="0" w:type="dxa"/>
              <w:bottom w:w="0" w:type="dxa"/>
              <w:right w:w="0" w:type="dxa"/>
            </w:tcMar>
            <w:vAlign w:val="center"/>
          </w:tcPr>
          <w:p>
            <w:pPr>
              <w:spacing w:line="240" w:lineRule="auto"/>
              <w:ind w:firstLine="0" w:firstLineChars="0"/>
              <w:jc w:val="center"/>
              <w:rPr>
                <w:rFonts w:ascii="Times New Roman" w:hAnsi="Times New Roman" w:eastAsia="宋体"/>
                <w:color w:val="auto"/>
                <w:sz w:val="21"/>
                <w:highlight w:val="none"/>
                <w:lang w:eastAsia="zh-CN"/>
              </w:rPr>
            </w:pPr>
            <w:r>
              <w:rPr>
                <w:rFonts w:ascii="Times New Roman" w:hAnsi="Times New Roman" w:eastAsia="宋体"/>
                <w:color w:val="auto"/>
                <w:sz w:val="21"/>
                <w:highlight w:val="none"/>
                <w:lang w:eastAsia="zh-CN"/>
              </w:rPr>
              <w:t>--</w:t>
            </w:r>
          </w:p>
        </w:tc>
        <w:tc>
          <w:tcPr>
            <w:tcW w:w="458" w:type="dxa"/>
            <w:noWrap w:val="0"/>
            <w:tcMar>
              <w:top w:w="0" w:type="dxa"/>
              <w:left w:w="0" w:type="dxa"/>
              <w:bottom w:w="0" w:type="dxa"/>
              <w:right w:w="0" w:type="dxa"/>
            </w:tcMar>
            <w:vAlign w:val="center"/>
          </w:tcPr>
          <w:p>
            <w:pPr>
              <w:spacing w:line="240" w:lineRule="auto"/>
              <w:ind w:firstLine="0" w:firstLineChars="0"/>
              <w:jc w:val="center"/>
              <w:rPr>
                <w:rFonts w:ascii="Times New Roman" w:hAnsi="Times New Roman" w:eastAsia="宋体"/>
                <w:b/>
                <w:bCs/>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1、限制在生态功能保护区和自然保护区（过渡区）内开采矿产资源</w:t>
            </w:r>
          </w:p>
        </w:tc>
        <w:tc>
          <w:tcPr>
            <w:tcW w:w="3283" w:type="dxa"/>
            <w:noWrap w:val="0"/>
            <w:tcMar>
              <w:top w:w="0" w:type="dxa"/>
              <w:left w:w="0" w:type="dxa"/>
              <w:bottom w:w="0" w:type="dxa"/>
              <w:right w:w="0" w:type="dxa"/>
            </w:tcMar>
            <w:vAlign w:val="center"/>
          </w:tcPr>
          <w:p>
            <w:pPr>
              <w:spacing w:line="240" w:lineRule="auto"/>
              <w:ind w:firstLine="0" w:firstLineChars="0"/>
              <w:jc w:val="left"/>
              <w:rPr>
                <w:rFonts w:ascii="Times New Roman" w:hAnsi="Times New Roman" w:eastAsia="宋体"/>
                <w:color w:val="auto"/>
                <w:sz w:val="21"/>
                <w:highlight w:val="none"/>
                <w:lang w:eastAsia="zh-CN"/>
              </w:rPr>
            </w:pPr>
            <w:r>
              <w:rPr>
                <w:rFonts w:ascii="Times New Roman" w:hAnsi="Times New Roman" w:eastAsia="宋体"/>
                <w:color w:val="auto"/>
                <w:sz w:val="21"/>
                <w:highlight w:val="none"/>
                <w:lang w:eastAsia="zh-CN"/>
              </w:rPr>
              <w:t>本项目</w:t>
            </w:r>
            <w:r>
              <w:rPr>
                <w:rFonts w:hint="eastAsia" w:ascii="Times New Roman" w:hAnsi="Times New Roman" w:eastAsia="宋体"/>
                <w:color w:val="auto"/>
                <w:sz w:val="21"/>
                <w:highlight w:val="none"/>
                <w:lang w:eastAsia="zh-CN"/>
              </w:rPr>
              <w:t>用地不属于</w:t>
            </w:r>
            <w:r>
              <w:rPr>
                <w:rFonts w:ascii="Times New Roman" w:hAnsi="Times New Roman" w:eastAsia="宋体"/>
                <w:color w:val="auto"/>
                <w:sz w:val="21"/>
                <w:highlight w:val="none"/>
                <w:lang w:eastAsia="zh-CN"/>
              </w:rPr>
              <w:t>生态功能保护区、自然保护区</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2、限制在地质灾害易发区、水土流失严重区域等生态脆弱区内开采矿产资源</w:t>
            </w:r>
          </w:p>
        </w:tc>
        <w:tc>
          <w:tcPr>
            <w:tcW w:w="3283"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本项目已委托相关单位编制水土保持方案，且开采过程严格按照方案要求做好水土保持措施，可有效控制可能造成的水土流失</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pStyle w:val="96"/>
              <w:spacing w:line="240" w:lineRule="auto"/>
              <w:ind w:firstLine="0" w:firstLineChars="0"/>
              <w:rPr>
                <w:rFonts w:ascii="Times New Roman" w:hAnsi="Times New Roman" w:eastAsia="宋体" w:cs="宋体"/>
                <w:b/>
                <w:bCs/>
                <w:color w:val="auto"/>
                <w:sz w:val="21"/>
                <w:highlight w:val="none"/>
                <w:lang w:eastAsia="zh-CN"/>
              </w:rPr>
            </w:pPr>
            <w:r>
              <w:rPr>
                <w:rFonts w:ascii="Times New Roman" w:hAnsi="Times New Roman" w:eastAsia="宋体" w:cs="宋体"/>
                <w:b/>
                <w:bCs/>
                <w:color w:val="auto"/>
                <w:sz w:val="21"/>
                <w:highlight w:val="none"/>
                <w:lang w:eastAsia="zh-CN"/>
              </w:rPr>
              <w:t>三、</w:t>
            </w:r>
            <w:r>
              <w:rPr>
                <w:rFonts w:ascii="Times New Roman" w:hAnsi="Times New Roman" w:eastAsia="宋体" w:cs="宋体"/>
                <w:b/>
                <w:bCs/>
                <w:color w:val="auto"/>
                <w:spacing w:val="-3"/>
                <w:sz w:val="21"/>
                <w:highlight w:val="none"/>
                <w:lang w:eastAsia="zh-CN"/>
              </w:rPr>
              <w:t>矿</w:t>
            </w:r>
            <w:r>
              <w:rPr>
                <w:rFonts w:ascii="Times New Roman" w:hAnsi="Times New Roman" w:eastAsia="宋体" w:cs="宋体"/>
                <w:b/>
                <w:bCs/>
                <w:color w:val="auto"/>
                <w:sz w:val="21"/>
                <w:highlight w:val="none"/>
                <w:lang w:eastAsia="zh-CN"/>
              </w:rPr>
              <w:t>产</w:t>
            </w:r>
            <w:r>
              <w:rPr>
                <w:rFonts w:ascii="Times New Roman" w:hAnsi="Times New Roman" w:eastAsia="宋体" w:cs="宋体"/>
                <w:b/>
                <w:bCs/>
                <w:color w:val="auto"/>
                <w:spacing w:val="-3"/>
                <w:sz w:val="21"/>
                <w:highlight w:val="none"/>
                <w:lang w:eastAsia="zh-CN"/>
              </w:rPr>
              <w:t>资</w:t>
            </w:r>
            <w:r>
              <w:rPr>
                <w:rFonts w:ascii="Times New Roman" w:hAnsi="Times New Roman" w:eastAsia="宋体" w:cs="宋体"/>
                <w:b/>
                <w:bCs/>
                <w:color w:val="auto"/>
                <w:sz w:val="21"/>
                <w:highlight w:val="none"/>
                <w:lang w:eastAsia="zh-CN"/>
              </w:rPr>
              <w:t>源</w:t>
            </w:r>
            <w:r>
              <w:rPr>
                <w:rFonts w:ascii="Times New Roman" w:hAnsi="Times New Roman" w:eastAsia="宋体" w:cs="宋体"/>
                <w:b/>
                <w:bCs/>
                <w:color w:val="auto"/>
                <w:spacing w:val="-3"/>
                <w:sz w:val="21"/>
                <w:highlight w:val="none"/>
                <w:lang w:eastAsia="zh-CN"/>
              </w:rPr>
              <w:t>开</w:t>
            </w:r>
            <w:r>
              <w:rPr>
                <w:rFonts w:ascii="Times New Roman" w:hAnsi="Times New Roman" w:eastAsia="宋体" w:cs="宋体"/>
                <w:b/>
                <w:bCs/>
                <w:color w:val="auto"/>
                <w:sz w:val="21"/>
                <w:highlight w:val="none"/>
                <w:lang w:eastAsia="zh-CN"/>
              </w:rPr>
              <w:t>发</w:t>
            </w:r>
            <w:r>
              <w:rPr>
                <w:rFonts w:ascii="Times New Roman" w:hAnsi="Times New Roman" w:eastAsia="宋体" w:cs="宋体"/>
                <w:b/>
                <w:bCs/>
                <w:color w:val="auto"/>
                <w:spacing w:val="-3"/>
                <w:sz w:val="21"/>
                <w:highlight w:val="none"/>
                <w:lang w:eastAsia="zh-CN"/>
              </w:rPr>
              <w:t>规</w:t>
            </w:r>
            <w:r>
              <w:rPr>
                <w:rFonts w:ascii="Times New Roman" w:hAnsi="Times New Roman" w:eastAsia="宋体" w:cs="宋体"/>
                <w:b/>
                <w:bCs/>
                <w:color w:val="auto"/>
                <w:sz w:val="21"/>
                <w:highlight w:val="none"/>
                <w:lang w:eastAsia="zh-CN"/>
              </w:rPr>
              <w:t>划</w:t>
            </w:r>
          </w:p>
        </w:tc>
        <w:tc>
          <w:tcPr>
            <w:tcW w:w="3283" w:type="dxa"/>
            <w:noWrap w:val="0"/>
            <w:tcMar>
              <w:top w:w="0" w:type="dxa"/>
              <w:left w:w="0" w:type="dxa"/>
              <w:bottom w:w="0" w:type="dxa"/>
              <w:right w:w="0" w:type="dxa"/>
            </w:tcMar>
            <w:vAlign w:val="center"/>
          </w:tcPr>
          <w:p>
            <w:pPr>
              <w:spacing w:line="240" w:lineRule="auto"/>
              <w:ind w:firstLine="0" w:firstLineChars="0"/>
              <w:jc w:val="center"/>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w:t>
            </w:r>
          </w:p>
        </w:tc>
        <w:tc>
          <w:tcPr>
            <w:tcW w:w="458" w:type="dxa"/>
            <w:noWrap w:val="0"/>
            <w:tcMar>
              <w:top w:w="0" w:type="dxa"/>
              <w:left w:w="0" w:type="dxa"/>
              <w:bottom w:w="0" w:type="dxa"/>
              <w:right w:w="0" w:type="dxa"/>
            </w:tcMar>
            <w:vAlign w:val="center"/>
          </w:tcPr>
          <w:p>
            <w:pPr>
              <w:spacing w:line="240" w:lineRule="auto"/>
              <w:ind w:firstLine="0" w:firstLineChars="0"/>
              <w:jc w:val="center"/>
              <w:rPr>
                <w:rFonts w:ascii="Times New Roman" w:hAnsi="Times New Roman" w:eastAsia="宋体"/>
                <w:b/>
                <w:bCs/>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1、矿产资源开发应符合国家产业政策要求，选址、布局应符合所在地的区域发展规划</w:t>
            </w:r>
          </w:p>
        </w:tc>
        <w:tc>
          <w:tcPr>
            <w:tcW w:w="3283"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本项目属于硅质岩矿整合项目，属于《产业结构调整指导目录（2011 年本）》（2013 年修正）中鼓励类，符合国家产业政策要求。本项目选址符合矿产资源规划要求</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2、矿产资源开发企业应制定矿产资源综合开发规划，并应 进行环境影响评价，规划内容包括资源开发利用、生态环境保护、地质灾害防治、水土保持、废弃地复垦等</w:t>
            </w:r>
          </w:p>
        </w:tc>
        <w:tc>
          <w:tcPr>
            <w:tcW w:w="3283"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建设单位已经编制本项目矿产资源开发利用方案，规划内容包括资源开发利用、生态环境保护、地质 灾害防治、水土保持、废弃地复垦等，并进行环境影响评价</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3、在矿产资源的开发规划阶段，应对矿区内的生态环境进 行充分调查，建立矿区的水文、地质、土壤和动植物等生态环境和人文环境基础状况数据库。同时，应对矿床开采可能产生的区域地质环境问题进行预测和评价</w:t>
            </w:r>
          </w:p>
        </w:tc>
        <w:tc>
          <w:tcPr>
            <w:tcW w:w="3283"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本项目矿产资源开发利用编制阶段，对矿区内的生态环境进行充分调查。矿山已编制了土地复垦方案，并预测、评价矿区区域地质环境</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4、矿产资源开发规划阶段还应注重对矿山所在区域生态环 境的保护</w:t>
            </w:r>
          </w:p>
        </w:tc>
        <w:tc>
          <w:tcPr>
            <w:tcW w:w="3283"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本环评要求，项目矿产资源开发规划阶段应采取以新带老措施，按照国土部门审批的矿山地质环境恢复治理规定，严格落实相关生态保护工作</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pStyle w:val="96"/>
              <w:spacing w:line="240" w:lineRule="auto"/>
              <w:ind w:firstLine="0" w:firstLineChars="0"/>
              <w:rPr>
                <w:rFonts w:ascii="Times New Roman" w:hAnsi="Times New Roman" w:eastAsia="宋体" w:cs="宋体"/>
                <w:b/>
                <w:bCs/>
                <w:color w:val="auto"/>
                <w:sz w:val="21"/>
                <w:highlight w:val="none"/>
                <w:lang w:eastAsia="zh-CN"/>
              </w:rPr>
            </w:pPr>
            <w:r>
              <w:rPr>
                <w:rFonts w:ascii="Times New Roman" w:hAnsi="Times New Roman" w:eastAsia="宋体" w:cs="宋体"/>
                <w:b/>
                <w:bCs/>
                <w:color w:val="auto"/>
                <w:sz w:val="21"/>
                <w:highlight w:val="none"/>
                <w:lang w:eastAsia="zh-CN"/>
              </w:rPr>
              <w:t>四、</w:t>
            </w:r>
            <w:r>
              <w:rPr>
                <w:rFonts w:ascii="Times New Roman" w:hAnsi="Times New Roman" w:eastAsia="宋体" w:cs="宋体"/>
                <w:b/>
                <w:bCs/>
                <w:color w:val="auto"/>
                <w:spacing w:val="-3"/>
                <w:sz w:val="21"/>
                <w:highlight w:val="none"/>
                <w:lang w:eastAsia="zh-CN"/>
              </w:rPr>
              <w:t>矿</w:t>
            </w:r>
            <w:r>
              <w:rPr>
                <w:rFonts w:ascii="Times New Roman" w:hAnsi="Times New Roman" w:eastAsia="宋体" w:cs="宋体"/>
                <w:b/>
                <w:bCs/>
                <w:color w:val="auto"/>
                <w:sz w:val="21"/>
                <w:highlight w:val="none"/>
                <w:lang w:eastAsia="zh-CN"/>
              </w:rPr>
              <w:t>产</w:t>
            </w:r>
            <w:r>
              <w:rPr>
                <w:rFonts w:ascii="Times New Roman" w:hAnsi="Times New Roman" w:eastAsia="宋体" w:cs="宋体"/>
                <w:b/>
                <w:bCs/>
                <w:color w:val="auto"/>
                <w:spacing w:val="-3"/>
                <w:sz w:val="21"/>
                <w:highlight w:val="none"/>
                <w:lang w:eastAsia="zh-CN"/>
              </w:rPr>
              <w:t>资</w:t>
            </w:r>
            <w:r>
              <w:rPr>
                <w:rFonts w:ascii="Times New Roman" w:hAnsi="Times New Roman" w:eastAsia="宋体" w:cs="宋体"/>
                <w:b/>
                <w:bCs/>
                <w:color w:val="auto"/>
                <w:sz w:val="21"/>
                <w:highlight w:val="none"/>
                <w:lang w:eastAsia="zh-CN"/>
              </w:rPr>
              <w:t>源</w:t>
            </w:r>
            <w:r>
              <w:rPr>
                <w:rFonts w:ascii="Times New Roman" w:hAnsi="Times New Roman" w:eastAsia="宋体" w:cs="宋体"/>
                <w:b/>
                <w:bCs/>
                <w:color w:val="auto"/>
                <w:spacing w:val="-3"/>
                <w:sz w:val="21"/>
                <w:highlight w:val="none"/>
                <w:lang w:eastAsia="zh-CN"/>
              </w:rPr>
              <w:t>开</w:t>
            </w:r>
            <w:r>
              <w:rPr>
                <w:rFonts w:ascii="Times New Roman" w:hAnsi="Times New Roman" w:eastAsia="宋体" w:cs="宋体"/>
                <w:b/>
                <w:bCs/>
                <w:color w:val="auto"/>
                <w:sz w:val="21"/>
                <w:highlight w:val="none"/>
                <w:lang w:eastAsia="zh-CN"/>
              </w:rPr>
              <w:t>发</w:t>
            </w:r>
            <w:r>
              <w:rPr>
                <w:rFonts w:ascii="Times New Roman" w:hAnsi="Times New Roman" w:eastAsia="宋体" w:cs="宋体"/>
                <w:b/>
                <w:bCs/>
                <w:color w:val="auto"/>
                <w:spacing w:val="-3"/>
                <w:sz w:val="21"/>
                <w:highlight w:val="none"/>
                <w:lang w:eastAsia="zh-CN"/>
              </w:rPr>
              <w:t>设</w:t>
            </w:r>
            <w:r>
              <w:rPr>
                <w:rFonts w:ascii="Times New Roman" w:hAnsi="Times New Roman" w:eastAsia="宋体" w:cs="宋体"/>
                <w:b/>
                <w:bCs/>
                <w:color w:val="auto"/>
                <w:sz w:val="21"/>
                <w:highlight w:val="none"/>
                <w:lang w:eastAsia="zh-CN"/>
              </w:rPr>
              <w:t>计</w:t>
            </w:r>
          </w:p>
        </w:tc>
        <w:tc>
          <w:tcPr>
            <w:tcW w:w="3283" w:type="dxa"/>
            <w:noWrap w:val="0"/>
            <w:tcMar>
              <w:top w:w="0" w:type="dxa"/>
              <w:left w:w="0" w:type="dxa"/>
              <w:bottom w:w="0" w:type="dxa"/>
              <w:right w:w="0" w:type="dxa"/>
            </w:tcMar>
            <w:vAlign w:val="center"/>
          </w:tcPr>
          <w:p>
            <w:pPr>
              <w:spacing w:line="240" w:lineRule="auto"/>
              <w:ind w:firstLine="0" w:firstLineChars="0"/>
              <w:jc w:val="center"/>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w:t>
            </w:r>
          </w:p>
        </w:tc>
        <w:tc>
          <w:tcPr>
            <w:tcW w:w="458" w:type="dxa"/>
            <w:noWrap w:val="0"/>
            <w:tcMar>
              <w:top w:w="0" w:type="dxa"/>
              <w:left w:w="0" w:type="dxa"/>
              <w:bottom w:w="0" w:type="dxa"/>
              <w:right w:w="0" w:type="dxa"/>
            </w:tcMar>
            <w:vAlign w:val="center"/>
          </w:tcPr>
          <w:p>
            <w:pPr>
              <w:spacing w:line="240" w:lineRule="auto"/>
              <w:ind w:firstLine="0" w:firstLineChars="0"/>
              <w:jc w:val="center"/>
              <w:rPr>
                <w:rFonts w:ascii="Times New Roman" w:hAnsi="Times New Roman" w:eastAsia="宋体"/>
                <w:b/>
                <w:bCs/>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1、应优先选择废物产生量少、水重复利用率高，对矿区生态环境影响小的采、选矿生产工艺与技术</w:t>
            </w:r>
          </w:p>
        </w:tc>
        <w:tc>
          <w:tcPr>
            <w:tcW w:w="3283"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本项目采用露天开采，中深孔爆破直接崩落矿石，挖掘机采装，自卸汽车运输的台阶式采矿工艺，废物产生量少，对矿区生态环境影响小</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2、矿井水、选矿水和矿山其它外排水应统筹规划、分类管理、综合利用</w:t>
            </w:r>
          </w:p>
        </w:tc>
        <w:tc>
          <w:tcPr>
            <w:tcW w:w="3283"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本项目不产生矿井水、选矿废水，只产生</w:t>
            </w:r>
            <w:r>
              <w:rPr>
                <w:rFonts w:hint="eastAsia" w:ascii="Times New Roman" w:hAnsi="Times New Roman" w:eastAsia="宋体"/>
                <w:color w:val="auto"/>
                <w:sz w:val="21"/>
                <w:highlight w:val="none"/>
                <w:lang w:val="en-US" w:eastAsia="zh-CN"/>
              </w:rPr>
              <w:t>初期</w:t>
            </w:r>
            <w:r>
              <w:rPr>
                <w:rFonts w:hint="eastAsia" w:ascii="Times New Roman" w:hAnsi="Times New Roman" w:eastAsia="宋体"/>
                <w:color w:val="auto"/>
                <w:sz w:val="21"/>
                <w:highlight w:val="none"/>
                <w:lang w:eastAsia="zh-CN"/>
              </w:rPr>
              <w:t>雨水，</w:t>
            </w:r>
            <w:r>
              <w:rPr>
                <w:rFonts w:hint="eastAsia" w:ascii="Times New Roman" w:hAnsi="Times New Roman" w:eastAsia="宋体"/>
                <w:color w:val="auto"/>
                <w:sz w:val="21"/>
                <w:highlight w:val="none"/>
                <w:lang w:val="en-US" w:eastAsia="zh-CN"/>
              </w:rPr>
              <w:t>初期</w:t>
            </w:r>
            <w:r>
              <w:rPr>
                <w:rFonts w:hint="eastAsia" w:ascii="Times New Roman" w:hAnsi="Times New Roman" w:eastAsia="宋体"/>
                <w:color w:val="auto"/>
                <w:sz w:val="21"/>
                <w:highlight w:val="none"/>
                <w:lang w:eastAsia="zh-CN"/>
              </w:rPr>
              <w:t>雨水沉淀处理后</w:t>
            </w:r>
            <w:r>
              <w:rPr>
                <w:rFonts w:hint="eastAsia" w:ascii="Times New Roman" w:hAnsi="Times New Roman" w:eastAsia="宋体"/>
                <w:color w:val="auto"/>
                <w:sz w:val="21"/>
                <w:highlight w:val="none"/>
                <w:lang w:val="en-US" w:eastAsia="zh-CN"/>
              </w:rPr>
              <w:t>回用</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3、地面运输系统设计时，宜考虑采用封闭运输通道运输矿物和固体废物</w:t>
            </w:r>
          </w:p>
        </w:tc>
        <w:tc>
          <w:tcPr>
            <w:tcW w:w="3283"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val="en-US" w:eastAsia="zh-CN"/>
              </w:rPr>
              <w:t>矿石</w:t>
            </w:r>
            <w:r>
              <w:rPr>
                <w:rFonts w:hint="eastAsia" w:ascii="Times New Roman" w:hAnsi="Times New Roman" w:eastAsia="宋体"/>
                <w:color w:val="auto"/>
                <w:sz w:val="21"/>
                <w:highlight w:val="none"/>
                <w:lang w:eastAsia="zh-CN"/>
              </w:rPr>
              <w:t>输送过程密闭处理并在输送带两端设置喷淋和帘布</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pStyle w:val="96"/>
              <w:spacing w:line="240" w:lineRule="auto"/>
              <w:ind w:firstLine="0" w:firstLineChars="0"/>
              <w:rPr>
                <w:rFonts w:ascii="Times New Roman" w:hAnsi="Times New Roman" w:eastAsia="宋体" w:cs="宋体"/>
                <w:b/>
                <w:bCs/>
                <w:color w:val="auto"/>
                <w:sz w:val="21"/>
                <w:highlight w:val="none"/>
              </w:rPr>
            </w:pPr>
            <w:r>
              <w:rPr>
                <w:rFonts w:ascii="Times New Roman" w:hAnsi="Times New Roman" w:eastAsia="宋体" w:cs="宋体"/>
                <w:b/>
                <w:bCs/>
                <w:color w:val="auto"/>
                <w:sz w:val="21"/>
                <w:highlight w:val="none"/>
              </w:rPr>
              <w:t>五、</w:t>
            </w:r>
            <w:r>
              <w:rPr>
                <w:rFonts w:ascii="Times New Roman" w:hAnsi="Times New Roman" w:eastAsia="宋体" w:cs="宋体"/>
                <w:b/>
                <w:bCs/>
                <w:color w:val="auto"/>
                <w:spacing w:val="-3"/>
                <w:sz w:val="21"/>
                <w:highlight w:val="none"/>
              </w:rPr>
              <w:t>矿</w:t>
            </w:r>
            <w:r>
              <w:rPr>
                <w:rFonts w:ascii="Times New Roman" w:hAnsi="Times New Roman" w:eastAsia="宋体" w:cs="宋体"/>
                <w:b/>
                <w:bCs/>
                <w:color w:val="auto"/>
                <w:sz w:val="21"/>
                <w:highlight w:val="none"/>
              </w:rPr>
              <w:t>山</w:t>
            </w:r>
            <w:r>
              <w:rPr>
                <w:rFonts w:ascii="Times New Roman" w:hAnsi="Times New Roman" w:eastAsia="宋体" w:cs="宋体"/>
                <w:b/>
                <w:bCs/>
                <w:color w:val="auto"/>
                <w:spacing w:val="-3"/>
                <w:sz w:val="21"/>
                <w:highlight w:val="none"/>
              </w:rPr>
              <w:t>基</w:t>
            </w:r>
            <w:r>
              <w:rPr>
                <w:rFonts w:ascii="Times New Roman" w:hAnsi="Times New Roman" w:eastAsia="宋体" w:cs="宋体"/>
                <w:b/>
                <w:bCs/>
                <w:color w:val="auto"/>
                <w:sz w:val="21"/>
                <w:highlight w:val="none"/>
              </w:rPr>
              <w:t>建</w:t>
            </w:r>
          </w:p>
        </w:tc>
        <w:tc>
          <w:tcPr>
            <w:tcW w:w="3283" w:type="dxa"/>
            <w:noWrap w:val="0"/>
            <w:tcMar>
              <w:top w:w="0" w:type="dxa"/>
              <w:left w:w="0" w:type="dxa"/>
              <w:bottom w:w="0" w:type="dxa"/>
              <w:right w:w="0" w:type="dxa"/>
            </w:tcMar>
            <w:vAlign w:val="center"/>
          </w:tcPr>
          <w:p>
            <w:pPr>
              <w:pStyle w:val="96"/>
              <w:spacing w:line="240" w:lineRule="auto"/>
              <w:ind w:firstLine="0" w:firstLineChars="0"/>
              <w:rPr>
                <w:rFonts w:ascii="Times New Roman" w:hAnsi="Times New Roman" w:eastAsia="宋体"/>
                <w:b/>
                <w:bCs/>
                <w:color w:val="auto"/>
                <w:sz w:val="21"/>
                <w:highlight w:val="none"/>
              </w:rPr>
            </w:pPr>
            <w:r>
              <w:rPr>
                <w:rFonts w:ascii="Times New Roman" w:hAnsi="Times New Roman" w:eastAsia="宋体"/>
                <w:b/>
                <w:bCs/>
                <w:color w:val="auto"/>
                <w:spacing w:val="-1"/>
                <w:sz w:val="21"/>
                <w:highlight w:val="none"/>
              </w:rPr>
              <w:t>--</w:t>
            </w:r>
          </w:p>
        </w:tc>
        <w:tc>
          <w:tcPr>
            <w:tcW w:w="458" w:type="dxa"/>
            <w:noWrap w:val="0"/>
            <w:tcMar>
              <w:top w:w="0" w:type="dxa"/>
              <w:left w:w="0" w:type="dxa"/>
              <w:bottom w:w="0" w:type="dxa"/>
              <w:right w:w="0" w:type="dxa"/>
            </w:tcMar>
            <w:vAlign w:val="center"/>
          </w:tcPr>
          <w:p>
            <w:pPr>
              <w:spacing w:line="240" w:lineRule="auto"/>
              <w:ind w:firstLine="0" w:firstLineChars="0"/>
              <w:jc w:val="center"/>
              <w:rPr>
                <w:rFonts w:ascii="Times New Roman" w:hAnsi="Times New Roman" w:eastAsia="宋体"/>
                <w:b/>
                <w:bCs/>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1、对矿山勘探性钻孔应采取封闭等措施进行处理，以确保生产安全</w:t>
            </w:r>
          </w:p>
        </w:tc>
        <w:tc>
          <w:tcPr>
            <w:tcW w:w="3283"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lang w:eastAsia="zh-CN"/>
              </w:rPr>
            </w:pPr>
            <w:r>
              <w:rPr>
                <w:rFonts w:ascii="Times New Roman" w:hAnsi="Times New Roman" w:eastAsia="宋体" w:cs="宋体"/>
                <w:color w:val="auto"/>
                <w:spacing w:val="9"/>
                <w:sz w:val="21"/>
                <w:highlight w:val="none"/>
                <w:lang w:eastAsia="zh-CN"/>
              </w:rPr>
              <w:t>本</w:t>
            </w:r>
            <w:r>
              <w:rPr>
                <w:rFonts w:hint="eastAsia" w:ascii="Times New Roman" w:hAnsi="Times New Roman" w:eastAsia="宋体" w:cs="宋体"/>
                <w:color w:val="auto"/>
                <w:spacing w:val="9"/>
                <w:sz w:val="21"/>
                <w:highlight w:val="none"/>
                <w:lang w:eastAsia="zh-CN"/>
              </w:rPr>
              <w:t>项目</w:t>
            </w:r>
            <w:r>
              <w:rPr>
                <w:rFonts w:ascii="Times New Roman" w:hAnsi="Times New Roman" w:eastAsia="宋体" w:cs="宋体"/>
                <w:color w:val="auto"/>
                <w:spacing w:val="9"/>
                <w:sz w:val="21"/>
                <w:highlight w:val="none"/>
                <w:lang w:eastAsia="zh-CN"/>
              </w:rPr>
              <w:t>矿山</w:t>
            </w:r>
            <w:r>
              <w:rPr>
                <w:rFonts w:ascii="Times New Roman" w:hAnsi="Times New Roman" w:eastAsia="宋体" w:cs="宋体"/>
                <w:color w:val="auto"/>
                <w:sz w:val="21"/>
                <w:highlight w:val="none"/>
                <w:lang w:eastAsia="zh-CN"/>
              </w:rPr>
              <w:t>钻孔</w:t>
            </w:r>
            <w:r>
              <w:rPr>
                <w:rFonts w:hint="eastAsia" w:ascii="Times New Roman" w:hAnsi="Times New Roman" w:eastAsia="宋体" w:cs="宋体"/>
                <w:color w:val="auto"/>
                <w:sz w:val="21"/>
                <w:highlight w:val="none"/>
                <w:lang w:eastAsia="zh-CN"/>
              </w:rPr>
              <w:t>过程</w:t>
            </w:r>
            <w:r>
              <w:rPr>
                <w:rFonts w:ascii="Times New Roman" w:hAnsi="Times New Roman" w:eastAsia="宋体" w:cs="宋体"/>
                <w:color w:val="auto"/>
                <w:spacing w:val="-3"/>
                <w:sz w:val="21"/>
                <w:highlight w:val="none"/>
                <w:lang w:eastAsia="zh-CN"/>
              </w:rPr>
              <w:t>采</w:t>
            </w:r>
            <w:r>
              <w:rPr>
                <w:rFonts w:ascii="Times New Roman" w:hAnsi="Times New Roman" w:eastAsia="宋体" w:cs="宋体"/>
                <w:color w:val="auto"/>
                <w:sz w:val="21"/>
                <w:highlight w:val="none"/>
                <w:lang w:eastAsia="zh-CN"/>
              </w:rPr>
              <w:t>取</w:t>
            </w:r>
            <w:r>
              <w:rPr>
                <w:rFonts w:ascii="Times New Roman" w:hAnsi="Times New Roman" w:eastAsia="宋体" w:cs="宋体"/>
                <w:color w:val="auto"/>
                <w:spacing w:val="-3"/>
                <w:sz w:val="21"/>
                <w:highlight w:val="none"/>
                <w:lang w:eastAsia="zh-CN"/>
              </w:rPr>
              <w:t>封</w:t>
            </w:r>
            <w:r>
              <w:rPr>
                <w:rFonts w:ascii="Times New Roman" w:hAnsi="Times New Roman" w:eastAsia="宋体" w:cs="宋体"/>
                <w:color w:val="auto"/>
                <w:sz w:val="21"/>
                <w:highlight w:val="none"/>
                <w:lang w:eastAsia="zh-CN"/>
              </w:rPr>
              <w:t>堵</w:t>
            </w:r>
            <w:r>
              <w:rPr>
                <w:rFonts w:ascii="Times New Roman" w:hAnsi="Times New Roman" w:eastAsia="宋体" w:cs="宋体"/>
                <w:color w:val="auto"/>
                <w:spacing w:val="-3"/>
                <w:sz w:val="21"/>
                <w:highlight w:val="none"/>
                <w:lang w:eastAsia="zh-CN"/>
              </w:rPr>
              <w:t>处</w:t>
            </w:r>
            <w:r>
              <w:rPr>
                <w:rFonts w:ascii="Times New Roman" w:hAnsi="Times New Roman" w:eastAsia="宋体" w:cs="宋体"/>
                <w:color w:val="auto"/>
                <w:sz w:val="21"/>
                <w:highlight w:val="none"/>
                <w:lang w:eastAsia="zh-CN"/>
              </w:rPr>
              <w:t>理</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2、对矿山基建可能影响的具有保护价值的动、植物资源，应优先采取就地、就近保护措施</w:t>
            </w:r>
          </w:p>
        </w:tc>
        <w:tc>
          <w:tcPr>
            <w:tcW w:w="3283"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根据现场调查，本项目周边无具有保护价值的动、植物资源。而且基建期施工场地均在原有剥离的范围内，不产生新破坏场地</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3、对矿山基建产生的表土、底土和岩石等应分类堆放、分类管理和充分利用</w:t>
            </w:r>
          </w:p>
        </w:tc>
        <w:tc>
          <w:tcPr>
            <w:tcW w:w="3283"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本项目基建产生的表土、石方分类处置，表土用于复垦，石方用于回填</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4、矿山基建应尽量少占用农田和耕地，矿山基建临时性占地应及时恢复</w:t>
            </w:r>
          </w:p>
        </w:tc>
        <w:tc>
          <w:tcPr>
            <w:tcW w:w="3283"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本项目基建不占用农田和耕地，基建临时性占地为矿山日常生产临时占地</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pStyle w:val="96"/>
              <w:spacing w:line="240" w:lineRule="auto"/>
              <w:ind w:firstLine="0" w:firstLineChars="0"/>
              <w:rPr>
                <w:rFonts w:ascii="Times New Roman" w:hAnsi="Times New Roman" w:eastAsia="宋体" w:cs="宋体"/>
                <w:b/>
                <w:bCs/>
                <w:color w:val="auto"/>
                <w:sz w:val="21"/>
                <w:highlight w:val="none"/>
              </w:rPr>
            </w:pPr>
            <w:r>
              <w:rPr>
                <w:rFonts w:hint="eastAsia" w:ascii="Times New Roman" w:hAnsi="Times New Roman" w:eastAsia="宋体" w:cs="宋体"/>
                <w:b/>
                <w:bCs/>
                <w:color w:val="auto"/>
                <w:sz w:val="21"/>
                <w:highlight w:val="none"/>
                <w:lang w:eastAsia="zh-CN"/>
              </w:rPr>
              <w:t>六</w:t>
            </w:r>
            <w:r>
              <w:rPr>
                <w:rFonts w:ascii="Times New Roman" w:hAnsi="Times New Roman" w:eastAsia="宋体" w:cs="宋体"/>
                <w:b/>
                <w:bCs/>
                <w:color w:val="auto"/>
                <w:sz w:val="21"/>
                <w:highlight w:val="none"/>
              </w:rPr>
              <w:t>、</w:t>
            </w:r>
            <w:r>
              <w:rPr>
                <w:rFonts w:ascii="Times New Roman" w:hAnsi="Times New Roman" w:eastAsia="宋体" w:cs="宋体"/>
                <w:b/>
                <w:bCs/>
                <w:color w:val="auto"/>
                <w:spacing w:val="-3"/>
                <w:sz w:val="21"/>
                <w:highlight w:val="none"/>
              </w:rPr>
              <w:t>采</w:t>
            </w:r>
            <w:r>
              <w:rPr>
                <w:rFonts w:ascii="Times New Roman" w:hAnsi="Times New Roman" w:eastAsia="宋体" w:cs="宋体"/>
                <w:b/>
                <w:bCs/>
                <w:color w:val="auto"/>
                <w:sz w:val="21"/>
                <w:highlight w:val="none"/>
              </w:rPr>
              <w:t>矿</w:t>
            </w:r>
          </w:p>
        </w:tc>
        <w:tc>
          <w:tcPr>
            <w:tcW w:w="3283" w:type="dxa"/>
            <w:noWrap w:val="0"/>
            <w:tcMar>
              <w:top w:w="0" w:type="dxa"/>
              <w:left w:w="0" w:type="dxa"/>
              <w:bottom w:w="0" w:type="dxa"/>
              <w:right w:w="0" w:type="dxa"/>
            </w:tcMar>
            <w:vAlign w:val="center"/>
          </w:tcPr>
          <w:p>
            <w:pPr>
              <w:pStyle w:val="96"/>
              <w:spacing w:line="240" w:lineRule="auto"/>
              <w:ind w:firstLine="0" w:firstLineChars="0"/>
              <w:rPr>
                <w:rFonts w:ascii="Times New Roman" w:hAnsi="Times New Roman" w:eastAsia="宋体"/>
                <w:b/>
                <w:bCs/>
                <w:color w:val="auto"/>
                <w:sz w:val="21"/>
                <w:highlight w:val="none"/>
              </w:rPr>
            </w:pPr>
            <w:r>
              <w:rPr>
                <w:rFonts w:ascii="Times New Roman" w:hAnsi="Times New Roman" w:eastAsia="宋体"/>
                <w:b/>
                <w:bCs/>
                <w:color w:val="auto"/>
                <w:spacing w:val="-1"/>
                <w:sz w:val="21"/>
                <w:highlight w:val="none"/>
              </w:rPr>
              <w:t>--</w:t>
            </w:r>
          </w:p>
        </w:tc>
        <w:tc>
          <w:tcPr>
            <w:tcW w:w="458" w:type="dxa"/>
            <w:noWrap w:val="0"/>
            <w:tcMar>
              <w:top w:w="0" w:type="dxa"/>
              <w:left w:w="0" w:type="dxa"/>
              <w:bottom w:w="0" w:type="dxa"/>
              <w:right w:w="0" w:type="dxa"/>
            </w:tcMar>
            <w:vAlign w:val="center"/>
          </w:tcPr>
          <w:p>
            <w:pPr>
              <w:spacing w:line="240" w:lineRule="auto"/>
              <w:ind w:firstLine="0" w:firstLineChars="0"/>
              <w:jc w:val="center"/>
              <w:rPr>
                <w:rFonts w:ascii="Times New Roman" w:hAnsi="Times New Roman" w:eastAsia="宋体"/>
                <w:b/>
                <w:bCs/>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1、对于露天开采的矿山，宜推广剥离—排土—造地—复垦一体化技术</w:t>
            </w:r>
          </w:p>
        </w:tc>
        <w:tc>
          <w:tcPr>
            <w:tcW w:w="3283"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本项目开采范围均在原有项目开采范围内，采矿方式为剥离—排土—造地—复垦一体化技术</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2、对于水力开采的矿山，宜推广水重复利用率高的开采技术</w:t>
            </w:r>
          </w:p>
        </w:tc>
        <w:tc>
          <w:tcPr>
            <w:tcW w:w="3283"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本项目采用露天开采，中深孔爆破直接崩落矿石，挖掘机采装，自卸汽车运输的台阶式采矿工艺，生产过程仅采用洒水降尘，不属于水力开采的矿山</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3、推广应用充填采矿工艺技术，提倡废石不出井，利用尾砂、废石充填采空区</w:t>
            </w:r>
          </w:p>
        </w:tc>
        <w:tc>
          <w:tcPr>
            <w:tcW w:w="3283"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本项目为露天开采，不属于地下开采，不产生废石</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4、推广减轻地表沉陷的开采技术，如条带开采、分层间隙开采等技术</w:t>
            </w:r>
          </w:p>
        </w:tc>
        <w:tc>
          <w:tcPr>
            <w:tcW w:w="3283"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本项目为露天开采，采用分台阶开采，矿区地质条件较好，不会产生地表沉陷</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5、宜采取修筑排水沟、引流渠，预先截堵水，防渗漏处理等措施，防止或减少各种水源进入露天采场和地下井巷</w:t>
            </w:r>
          </w:p>
        </w:tc>
        <w:tc>
          <w:tcPr>
            <w:tcW w:w="3283"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本项目采场设导流沟和沉砂池，采区雨水可收集沉淀后回用于矿区洒水降尘</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6、宜采用安装除尘装置，湿式作业，个体防护等措施，防治凿岩、铲装、运输等采矿作业中的粉尘污染</w:t>
            </w:r>
          </w:p>
        </w:tc>
        <w:tc>
          <w:tcPr>
            <w:tcW w:w="3283"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本项目拟购置雾炮机、洒水车洒水降尘，破碎筛分过程安装除尘设备</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7、对采矿活动所产生的固体废物，应使用专用场所堆放，并采取有效措施防止二次环境污染及诱发次生地质灾害</w:t>
            </w:r>
          </w:p>
        </w:tc>
        <w:tc>
          <w:tcPr>
            <w:tcW w:w="3283"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本项目表土堆放在临时排土场内，并采取保护措施</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8、应根据采矿固体废物的性质、贮存场所的工程地质情况，采用完善的防渗、集排水措施，防止淋溶水污染地表水和地下水</w:t>
            </w:r>
          </w:p>
        </w:tc>
        <w:tc>
          <w:tcPr>
            <w:tcW w:w="3283"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本项目固体废物均得到合理处置</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9、矿山生产过程中应采取种植植物和覆盖等复垦措施，对 露天坑、废石场、尾矿库、矸石山等永久性坡面进行稳定化处理，防止水土流失和滑坡</w:t>
            </w:r>
          </w:p>
        </w:tc>
        <w:tc>
          <w:tcPr>
            <w:tcW w:w="3283"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本项目生产过程中采取种植植物和覆盖等复垦措施，对露天采区等永久性坡面进行稳定化处理，防止水土流失和滑坡</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10、矿山开采企业应将废弃地复垦纳入矿山日常生产与管理，提倡采用采（选）矿—排土（尾）—造地—复垦一体化技术</w:t>
            </w:r>
          </w:p>
        </w:tc>
        <w:tc>
          <w:tcPr>
            <w:tcW w:w="3283"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矿山已编制土地复垦方案，闭矿后将对采区、表土场等场地按照方案进行管理、造地、复垦</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00"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11、采用生物工程进行废弃地复垦时，宜对土壤重构、地形、景观进行优化设计，对物种选择、配置及种植方式进行优化</w:t>
            </w:r>
          </w:p>
        </w:tc>
        <w:tc>
          <w:tcPr>
            <w:tcW w:w="3283" w:type="dxa"/>
            <w:noWrap w:val="0"/>
            <w:tcMar>
              <w:top w:w="0" w:type="dxa"/>
              <w:left w:w="0" w:type="dxa"/>
              <w:bottom w:w="0" w:type="dxa"/>
              <w:right w:w="0" w:type="dxa"/>
            </w:tcMar>
            <w:vAlign w:val="center"/>
          </w:tcPr>
          <w:p>
            <w:pPr>
              <w:spacing w:line="240" w:lineRule="auto"/>
              <w:ind w:firstLine="0" w:firstLineChars="0"/>
              <w:jc w:val="left"/>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本项目闭矿后将全面复垦，种植当地常见的树种、植被，匹配当地的环境</w:t>
            </w:r>
          </w:p>
        </w:tc>
        <w:tc>
          <w:tcPr>
            <w:tcW w:w="458" w:type="dxa"/>
            <w:noWrap w:val="0"/>
            <w:tcMar>
              <w:top w:w="0" w:type="dxa"/>
              <w:left w:w="0" w:type="dxa"/>
              <w:bottom w:w="0" w:type="dxa"/>
              <w:right w:w="0" w:type="dxa"/>
            </w:tcMar>
            <w:vAlign w:val="center"/>
          </w:tcPr>
          <w:p>
            <w:pPr>
              <w:pStyle w:val="96"/>
              <w:spacing w:line="240" w:lineRule="auto"/>
              <w:ind w:firstLine="0" w:firstLineChars="0"/>
              <w:jc w:val="left"/>
              <w:rPr>
                <w:rFonts w:ascii="Times New Roman" w:hAnsi="Times New Roman" w:eastAsia="宋体" w:cs="宋体"/>
                <w:color w:val="auto"/>
                <w:sz w:val="21"/>
                <w:highlight w:val="none"/>
              </w:rPr>
            </w:pPr>
            <w:r>
              <w:rPr>
                <w:rFonts w:ascii="Times New Roman" w:hAnsi="Times New Roman" w:eastAsia="宋体" w:cs="宋体"/>
                <w:color w:val="auto"/>
                <w:sz w:val="21"/>
                <w:highlight w:val="none"/>
              </w:rPr>
              <w:t>符合</w:t>
            </w:r>
          </w:p>
        </w:tc>
      </w:tr>
    </w:tbl>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根据以上分析，本项目符合《矿山生态环境保护与污染防治技术政策》（环发〔2005〕109 号）相关要求。</w:t>
      </w:r>
    </w:p>
    <w:p>
      <w:pPr>
        <w:ind w:firstLine="482"/>
        <w:rPr>
          <w:rFonts w:hint="eastAsia" w:ascii="Times New Roman" w:hAnsi="Times New Roman" w:eastAsia="宋体" w:cs="Times New Roman"/>
          <w:b/>
          <w:bCs/>
          <w:color w:val="auto"/>
          <w:szCs w:val="24"/>
          <w:highlight w:val="none"/>
          <w:lang w:bidi="ar"/>
        </w:rPr>
      </w:pPr>
      <w:r>
        <w:rPr>
          <w:rFonts w:hint="eastAsia" w:ascii="Times New Roman" w:hAnsi="Times New Roman" w:eastAsia="宋体" w:cs="Times New Roman"/>
          <w:b/>
          <w:bCs/>
          <w:color w:val="auto"/>
          <w:szCs w:val="24"/>
          <w:highlight w:val="none"/>
        </w:rPr>
        <w:t>3、与</w:t>
      </w:r>
      <w:r>
        <w:rPr>
          <w:rFonts w:hint="eastAsia" w:ascii="Times New Roman" w:hAnsi="Times New Roman" w:eastAsia="宋体" w:cs="Times New Roman"/>
          <w:b/>
          <w:bCs/>
          <w:color w:val="auto"/>
          <w:szCs w:val="24"/>
          <w:highlight w:val="none"/>
          <w:lang w:bidi="ar"/>
        </w:rPr>
        <w:t>《砂石行业绿色矿山建设规范》（</w:t>
      </w:r>
      <w:r>
        <w:rPr>
          <w:rFonts w:ascii="Times New Roman" w:hAnsi="Times New Roman" w:eastAsia="宋体" w:cs="Times New Roman"/>
          <w:b/>
          <w:bCs/>
          <w:color w:val="auto"/>
          <w:szCs w:val="24"/>
          <w:highlight w:val="none"/>
          <w:lang w:bidi="ar"/>
        </w:rPr>
        <w:t>DZ/T</w:t>
      </w:r>
      <w:r>
        <w:rPr>
          <w:rFonts w:hint="eastAsia" w:ascii="Times New Roman" w:hAnsi="Times New Roman" w:eastAsia="宋体" w:cs="Times New Roman"/>
          <w:b/>
          <w:bCs/>
          <w:color w:val="auto"/>
          <w:szCs w:val="24"/>
          <w:highlight w:val="none"/>
          <w:lang w:val="en-US" w:eastAsia="zh-CN" w:bidi="ar"/>
        </w:rPr>
        <w:t xml:space="preserve"> </w:t>
      </w:r>
      <w:r>
        <w:rPr>
          <w:rFonts w:ascii="Times New Roman" w:hAnsi="Times New Roman" w:eastAsia="宋体" w:cs="Times New Roman"/>
          <w:b/>
          <w:bCs/>
          <w:color w:val="auto"/>
          <w:szCs w:val="24"/>
          <w:highlight w:val="none"/>
          <w:lang w:bidi="ar"/>
        </w:rPr>
        <w:t>0316-2018</w:t>
      </w:r>
      <w:r>
        <w:rPr>
          <w:rFonts w:hint="eastAsia" w:ascii="Times New Roman" w:hAnsi="Times New Roman" w:eastAsia="宋体" w:cs="Times New Roman"/>
          <w:b/>
          <w:bCs/>
          <w:color w:val="auto"/>
          <w:szCs w:val="24"/>
          <w:highlight w:val="none"/>
          <w:lang w:bidi="ar"/>
        </w:rPr>
        <w:t>）</w:t>
      </w:r>
      <w:r>
        <w:rPr>
          <w:rFonts w:hint="eastAsia" w:ascii="Times New Roman" w:hAnsi="Times New Roman" w:eastAsia="宋体"/>
          <w:b/>
          <w:bCs/>
          <w:color w:val="auto"/>
          <w:highlight w:val="none"/>
        </w:rPr>
        <w:t>相符性分析</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项目建设需与《砂石行业绿色矿山建设规范》（</w:t>
      </w:r>
      <w:r>
        <w:rPr>
          <w:rFonts w:ascii="Times New Roman" w:hAnsi="Times New Roman" w:eastAsia="宋体"/>
          <w:color w:val="auto"/>
          <w:highlight w:val="none"/>
        </w:rPr>
        <w:t>DZ/T</w:t>
      </w:r>
      <w:r>
        <w:rPr>
          <w:rFonts w:hint="eastAsia" w:ascii="Times New Roman" w:hAnsi="Times New Roman" w:eastAsia="宋体"/>
          <w:color w:val="auto"/>
          <w:highlight w:val="none"/>
          <w:lang w:val="en-US" w:eastAsia="zh-CN"/>
        </w:rPr>
        <w:t xml:space="preserve"> </w:t>
      </w:r>
      <w:r>
        <w:rPr>
          <w:rFonts w:ascii="Times New Roman" w:hAnsi="Times New Roman" w:eastAsia="宋体"/>
          <w:color w:val="auto"/>
          <w:highlight w:val="none"/>
        </w:rPr>
        <w:t>0316-2018</w:t>
      </w:r>
      <w:r>
        <w:rPr>
          <w:rFonts w:hint="eastAsia" w:ascii="Times New Roman" w:hAnsi="Times New Roman" w:eastAsia="宋体"/>
          <w:color w:val="auto"/>
          <w:highlight w:val="none"/>
        </w:rPr>
        <w:t>）各项要求相协调，协调性分析情况见下表1.2-2。</w:t>
      </w:r>
    </w:p>
    <w:p>
      <w:pPr>
        <w:ind w:firstLine="0" w:firstLineChars="0"/>
        <w:rPr>
          <w:rFonts w:hint="eastAsia" w:ascii="Times New Roman" w:hAnsi="Times New Roman" w:eastAsia="宋体" w:cs="Times New Roman"/>
          <w:color w:val="auto"/>
          <w:szCs w:val="24"/>
          <w:highlight w:val="none"/>
          <w:lang w:bidi="ar"/>
        </w:rPr>
      </w:pPr>
      <w:r>
        <w:rPr>
          <w:rFonts w:ascii="Times New Roman" w:hAnsi="Times New Roman" w:eastAsia="宋体" w:cs="Times New Roman"/>
          <w:b/>
          <w:color w:val="auto"/>
          <w:highlight w:val="none"/>
        </w:rPr>
        <w:t>表1.2-</w:t>
      </w:r>
      <w:r>
        <w:rPr>
          <w:rFonts w:hint="eastAsia" w:ascii="Times New Roman" w:hAnsi="Times New Roman" w:eastAsia="宋体" w:cs="Times New Roman"/>
          <w:b/>
          <w:color w:val="auto"/>
          <w:highlight w:val="none"/>
        </w:rPr>
        <w:t>2</w:t>
      </w:r>
      <w:r>
        <w:rPr>
          <w:rFonts w:ascii="Times New Roman" w:hAnsi="Times New Roman" w:eastAsia="宋体" w:cs="Times New Roman"/>
          <w:b/>
          <w:color w:val="auto"/>
          <w:highlight w:val="none"/>
        </w:rPr>
        <w:t xml:space="preserve"> 项目</w:t>
      </w:r>
      <w:r>
        <w:rPr>
          <w:rFonts w:hint="eastAsia" w:ascii="Times New Roman" w:hAnsi="Times New Roman" w:eastAsia="宋体" w:cs="Times New Roman"/>
          <w:b/>
          <w:color w:val="auto"/>
          <w:highlight w:val="none"/>
        </w:rPr>
        <w:t>与《砂石行业绿色矿山建设规范》（DZ/T</w:t>
      </w:r>
      <w:r>
        <w:rPr>
          <w:rFonts w:hint="eastAsia" w:ascii="Times New Roman" w:hAnsi="Times New Roman" w:eastAsia="宋体" w:cs="Times New Roman"/>
          <w:b/>
          <w:color w:val="auto"/>
          <w:highlight w:val="none"/>
          <w:lang w:val="en-US" w:eastAsia="zh-CN"/>
        </w:rPr>
        <w:t xml:space="preserve"> </w:t>
      </w:r>
      <w:r>
        <w:rPr>
          <w:rFonts w:hint="eastAsia" w:ascii="Times New Roman" w:hAnsi="Times New Roman" w:eastAsia="宋体" w:cs="Times New Roman"/>
          <w:b/>
          <w:color w:val="auto"/>
          <w:highlight w:val="none"/>
        </w:rPr>
        <w:t>0316-2018）相符性分析</w:t>
      </w:r>
    </w:p>
    <w:tbl>
      <w:tblPr>
        <w:tblStyle w:val="48"/>
        <w:tblW w:w="91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3"/>
        <w:gridCol w:w="481"/>
        <w:gridCol w:w="5316"/>
        <w:gridCol w:w="2340"/>
        <w:gridCol w:w="6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4" w:type="dxa"/>
            <w:gridSpan w:val="2"/>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项目</w:t>
            </w:r>
          </w:p>
        </w:tc>
        <w:tc>
          <w:tcPr>
            <w:tcW w:w="5316"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《砂石行业绿色矿山建设规范》（DZ/T</w:t>
            </w:r>
            <w:r>
              <w:rPr>
                <w:rFonts w:hint="eastAsia" w:ascii="Times New Roman" w:hAnsi="Times New Roman" w:eastAsia="宋体" w:cs="Times New Roman"/>
                <w:b/>
                <w:color w:val="auto"/>
                <w:sz w:val="21"/>
                <w:highlight w:val="none"/>
                <w:lang w:val="en-US" w:eastAsia="zh-CN"/>
              </w:rPr>
              <w:t xml:space="preserve"> </w:t>
            </w:r>
            <w:r>
              <w:rPr>
                <w:rFonts w:hint="eastAsia" w:ascii="Times New Roman" w:hAnsi="Times New Roman" w:eastAsia="宋体" w:cs="Times New Roman"/>
                <w:b/>
                <w:color w:val="auto"/>
                <w:sz w:val="21"/>
                <w:highlight w:val="none"/>
              </w:rPr>
              <w:t>0316-2018）要求</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本项目建设情况</w:t>
            </w:r>
          </w:p>
        </w:tc>
        <w:tc>
          <w:tcPr>
            <w:tcW w:w="610"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b/>
                <w:color w:val="auto"/>
                <w:sz w:val="21"/>
                <w:highlight w:val="none"/>
                <w:u w:val="single"/>
                <w:lang w:val="en-US" w:eastAsia="zh-CN"/>
              </w:rPr>
            </w:pPr>
            <w:r>
              <w:rPr>
                <w:rFonts w:hint="eastAsia" w:ascii="Times New Roman" w:hAnsi="Times New Roman" w:eastAsia="宋体" w:cs="Times New Roman"/>
                <w:b/>
                <w:color w:val="auto"/>
                <w:sz w:val="21"/>
                <w:highlight w:val="none"/>
                <w:u w:val="singl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4" w:type="dxa"/>
            <w:gridSpan w:val="2"/>
            <w:vMerge w:val="restart"/>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总则</w:t>
            </w:r>
          </w:p>
        </w:tc>
        <w:tc>
          <w:tcPr>
            <w:tcW w:w="5316" w:type="dxa"/>
            <w:noWrap w:val="0"/>
            <w:tcMar>
              <w:top w:w="0" w:type="dxa"/>
              <w:left w:w="28" w:type="dxa"/>
              <w:bottom w:w="0" w:type="dxa"/>
              <w:right w:w="28" w:type="dxa"/>
            </w:tcMar>
            <w:vAlign w:val="center"/>
          </w:tcPr>
          <w:p>
            <w:pPr>
              <w:adjustRightInd w:val="0"/>
              <w:snapToGrid w:val="0"/>
              <w:spacing w:line="240" w:lineRule="auto"/>
              <w:ind w:firstLine="0" w:firstLineChars="0"/>
              <w:jc w:val="left"/>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1、矿山应遵守国家法律法规和相关产业政策，依法办矿。</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jc w:val="left"/>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本项目</w:t>
            </w:r>
            <w:r>
              <w:rPr>
                <w:rFonts w:hint="eastAsia" w:ascii="Times New Roman" w:hAnsi="Times New Roman" w:eastAsia="宋体" w:cs="Times New Roman"/>
                <w:color w:val="auto"/>
                <w:sz w:val="21"/>
                <w:highlight w:val="none"/>
                <w:u w:val="single"/>
                <w:lang w:val="en-US" w:eastAsia="zh-CN"/>
              </w:rPr>
              <w:t>矿山</w:t>
            </w:r>
            <w:r>
              <w:rPr>
                <w:rFonts w:hint="eastAsia" w:ascii="Times New Roman" w:hAnsi="Times New Roman" w:eastAsia="宋体" w:cs="Times New Roman"/>
                <w:color w:val="auto"/>
                <w:sz w:val="21"/>
                <w:highlight w:val="none"/>
                <w:u w:val="single"/>
              </w:rPr>
              <w:t>符合</w:t>
            </w:r>
            <w:r>
              <w:rPr>
                <w:rFonts w:hint="eastAsia" w:ascii="Times New Roman" w:hAnsi="Times New Roman" w:eastAsia="宋体" w:cs="Times New Roman"/>
                <w:color w:val="auto"/>
                <w:sz w:val="21"/>
                <w:highlight w:val="none"/>
                <w:u w:val="single"/>
                <w:lang w:val="en-US" w:eastAsia="zh-CN"/>
              </w:rPr>
              <w:t>国家法律法规和</w:t>
            </w:r>
            <w:r>
              <w:rPr>
                <w:rFonts w:hint="eastAsia" w:ascii="Times New Roman" w:hAnsi="Times New Roman" w:eastAsia="宋体" w:cs="Times New Roman"/>
                <w:color w:val="auto"/>
                <w:sz w:val="21"/>
                <w:highlight w:val="none"/>
                <w:u w:val="single"/>
              </w:rPr>
              <w:t>相关产业政策</w:t>
            </w:r>
            <w:r>
              <w:rPr>
                <w:rFonts w:hint="eastAsia" w:ascii="Times New Roman" w:hAnsi="Times New Roman" w:eastAsia="宋体" w:cs="Times New Roman"/>
                <w:color w:val="auto"/>
                <w:sz w:val="21"/>
                <w:highlight w:val="none"/>
                <w:u w:val="single"/>
                <w:lang w:eastAsia="zh-CN"/>
              </w:rPr>
              <w:t>，</w:t>
            </w:r>
            <w:r>
              <w:rPr>
                <w:rFonts w:hint="eastAsia" w:ascii="Times New Roman" w:hAnsi="Times New Roman" w:eastAsia="宋体" w:cs="Times New Roman"/>
                <w:color w:val="auto"/>
                <w:sz w:val="21"/>
                <w:highlight w:val="none"/>
                <w:u w:val="single"/>
              </w:rPr>
              <w:t>依法取得采矿许可证。</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hint="eastAsia" w:ascii="Times New Roman" w:hAnsi="Times New Roman" w:eastAsia="宋体" w:cs="Times New Roman"/>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4" w:type="dxa"/>
            <w:gridSpan w:val="2"/>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5316" w:type="dxa"/>
            <w:noWrap w:val="0"/>
            <w:tcMar>
              <w:top w:w="0" w:type="dxa"/>
              <w:left w:w="28" w:type="dxa"/>
              <w:bottom w:w="0" w:type="dxa"/>
              <w:right w:w="28" w:type="dxa"/>
            </w:tcMar>
            <w:vAlign w:val="center"/>
          </w:tcPr>
          <w:p>
            <w:pPr>
              <w:adjustRightInd w:val="0"/>
              <w:snapToGrid w:val="0"/>
              <w:spacing w:line="240" w:lineRule="auto"/>
              <w:ind w:firstLine="0" w:firstLineChars="0"/>
              <w:jc w:val="left"/>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2、矿山应贯彻创新、协调、绿色、开放、共享的发展理念。遵循因矿制宜的原则，实现矿产资源开发全过程的资源利用、节能减排、环境保护、土地复垦、企业文化和企地和谐等统筹兼顾和全面发展。</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jc w:val="left"/>
              <w:rPr>
                <w:rFonts w:hint="eastAsia"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lang w:val="en-US" w:eastAsia="zh-CN"/>
              </w:rPr>
              <w:t>本项目矿山开采过程严格实行节能减排、环境保护等、土地复垦等各项要求。</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4" w:type="dxa"/>
            <w:gridSpan w:val="2"/>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5316" w:type="dxa"/>
            <w:noWrap w:val="0"/>
            <w:tcMar>
              <w:top w:w="0" w:type="dxa"/>
              <w:left w:w="28" w:type="dxa"/>
              <w:bottom w:w="0" w:type="dxa"/>
              <w:right w:w="28" w:type="dxa"/>
            </w:tcMar>
            <w:vAlign w:val="center"/>
          </w:tcPr>
          <w:p>
            <w:pPr>
              <w:adjustRightInd w:val="0"/>
              <w:snapToGrid w:val="0"/>
              <w:spacing w:line="240" w:lineRule="auto"/>
              <w:ind w:firstLine="0" w:firstLineChars="0"/>
              <w:jc w:val="left"/>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3、矿山应以人为本，保护职工身体健康，预防、控制和消除职业危害。</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jc w:val="left"/>
              <w:rPr>
                <w:rFonts w:hint="default" w:ascii="Times New Roman" w:hAnsi="Times New Roman" w:eastAsia="宋体" w:cs="Times New Roman"/>
                <w:color w:val="auto"/>
                <w:sz w:val="21"/>
                <w:highlight w:val="none"/>
                <w:u w:val="single"/>
                <w:lang w:val="en-US" w:eastAsia="zh-CN"/>
              </w:rPr>
            </w:pPr>
            <w:r>
              <w:rPr>
                <w:rFonts w:hint="eastAsia" w:ascii="Times New Roman" w:hAnsi="Times New Roman" w:eastAsia="宋体" w:cs="Times New Roman"/>
                <w:color w:val="auto"/>
                <w:sz w:val="21"/>
                <w:highlight w:val="none"/>
                <w:u w:val="single"/>
                <w:lang w:val="en-US" w:eastAsia="zh-CN"/>
              </w:rPr>
              <w:t>本项目生产过程保护职工的身体健康等各项权益。</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4" w:type="dxa"/>
            <w:gridSpan w:val="2"/>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5316" w:type="dxa"/>
            <w:noWrap w:val="0"/>
            <w:tcMar>
              <w:top w:w="0" w:type="dxa"/>
              <w:left w:w="28" w:type="dxa"/>
              <w:bottom w:w="0" w:type="dxa"/>
              <w:right w:w="28" w:type="dxa"/>
            </w:tcMar>
            <w:vAlign w:val="center"/>
          </w:tcPr>
          <w:p>
            <w:pPr>
              <w:adjustRightInd w:val="0"/>
              <w:snapToGrid w:val="0"/>
              <w:spacing w:line="240" w:lineRule="auto"/>
              <w:ind w:firstLine="0" w:firstLineChars="0"/>
              <w:jc w:val="left"/>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4、新建、改建矿山应根据本标准建设；生产矿山应根据本标准进行升级改造。绿色矿山建设应贯穿设计、建设、生产、闭坑全过程。</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jc w:val="left"/>
              <w:rPr>
                <w:rFonts w:hint="default" w:ascii="Times New Roman" w:hAnsi="Times New Roman" w:eastAsia="宋体" w:cs="Times New Roman"/>
                <w:color w:val="auto"/>
                <w:sz w:val="21"/>
                <w:highlight w:val="none"/>
                <w:u w:val="single"/>
                <w:lang w:val="en-US" w:eastAsia="zh-CN"/>
              </w:rPr>
            </w:pPr>
            <w:r>
              <w:rPr>
                <w:rFonts w:hint="eastAsia" w:ascii="Times New Roman" w:hAnsi="Times New Roman" w:eastAsia="宋体" w:cs="Times New Roman"/>
                <w:color w:val="auto"/>
                <w:sz w:val="21"/>
                <w:highlight w:val="none"/>
                <w:u w:val="single"/>
                <w:lang w:val="en-US" w:eastAsia="zh-CN"/>
              </w:rPr>
              <w:t>本项目矿山为整合工程，按绿色矿山理念建设。</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restart"/>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矿区环境</w:t>
            </w:r>
          </w:p>
        </w:tc>
        <w:tc>
          <w:tcPr>
            <w:tcW w:w="481" w:type="dxa"/>
            <w:vMerge w:val="restart"/>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基本</w:t>
            </w:r>
          </w:p>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要求</w:t>
            </w:r>
          </w:p>
        </w:tc>
        <w:tc>
          <w:tcPr>
            <w:tcW w:w="5316" w:type="dxa"/>
            <w:noWrap w:val="0"/>
            <w:tcMar>
              <w:top w:w="0" w:type="dxa"/>
              <w:left w:w="28" w:type="dxa"/>
              <w:bottom w:w="0" w:type="dxa"/>
              <w:right w:w="28" w:type="dxa"/>
            </w:tcMar>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1、矿区功能分区布局合理，矿区应绿化、美化，整体环境整洁美观。</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jc w:val="left"/>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本项目矿区按流水生产线布置，布局合理。</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hint="eastAsia" w:ascii="Times New Roman" w:hAnsi="Times New Roman" w:eastAsia="宋体" w:cs="Times New Roman"/>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5316" w:type="dxa"/>
            <w:noWrap w:val="0"/>
            <w:tcMar>
              <w:top w:w="0" w:type="dxa"/>
              <w:left w:w="28" w:type="dxa"/>
              <w:bottom w:w="0" w:type="dxa"/>
              <w:right w:w="28" w:type="dxa"/>
            </w:tcMar>
            <w:vAlign w:val="center"/>
          </w:tcPr>
          <w:p>
            <w:pPr>
              <w:adjustRightInd w:val="0"/>
              <w:snapToGrid w:val="0"/>
              <w:spacing w:line="240" w:lineRule="auto"/>
              <w:ind w:firstLine="0" w:firstLineChars="0"/>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2、砂石原料开采、生产、运输、贮存等管理规范有序。</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jc w:val="left"/>
              <w:rPr>
                <w:rFonts w:hint="eastAsia"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lang w:val="en-US" w:eastAsia="zh-CN"/>
              </w:rPr>
              <w:t>本项目</w:t>
            </w:r>
            <w:r>
              <w:rPr>
                <w:rFonts w:hint="eastAsia" w:ascii="Times New Roman" w:hAnsi="Times New Roman" w:eastAsia="宋体" w:cs="Times New Roman"/>
                <w:color w:val="auto"/>
                <w:sz w:val="21"/>
                <w:highlight w:val="none"/>
                <w:u w:val="single"/>
              </w:rPr>
              <w:t>矿山开采、生产、运输、贮存等</w:t>
            </w:r>
            <w:r>
              <w:rPr>
                <w:rFonts w:hint="eastAsia" w:ascii="Times New Roman" w:hAnsi="Times New Roman" w:eastAsia="宋体" w:cs="Times New Roman"/>
                <w:color w:val="auto"/>
                <w:sz w:val="21"/>
                <w:highlight w:val="none"/>
                <w:u w:val="single"/>
                <w:lang w:val="en-US" w:eastAsia="zh-CN"/>
              </w:rPr>
              <w:t>过程</w:t>
            </w:r>
            <w:r>
              <w:rPr>
                <w:rFonts w:hint="eastAsia" w:ascii="Times New Roman" w:hAnsi="Times New Roman" w:eastAsia="宋体" w:cs="Times New Roman"/>
                <w:color w:val="auto"/>
                <w:sz w:val="21"/>
                <w:highlight w:val="none"/>
                <w:u w:val="single"/>
              </w:rPr>
              <w:t>管理规范有序。</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restart"/>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矿容</w:t>
            </w:r>
          </w:p>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矿貌</w:t>
            </w: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highlight w:val="none"/>
              </w:rPr>
              <w:t>1、矿区按生产区、办公区、生活区和生态区等功能分区，各功能区应符合GB 50187的规定，生产、生活、办公等功能区应有相应的管理机构和管理制度，运行有序、管理规范。</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本项目矿山按照生产区、办公区、生活区进行分区</w:t>
            </w:r>
            <w:r>
              <w:rPr>
                <w:rFonts w:hint="eastAsia" w:ascii="Times New Roman" w:hAnsi="Times New Roman" w:eastAsia="宋体" w:cs="Times New Roman"/>
                <w:color w:val="auto"/>
                <w:sz w:val="21"/>
                <w:highlight w:val="none"/>
                <w:u w:val="single"/>
                <w:lang w:eastAsia="zh-CN"/>
              </w:rPr>
              <w:t>，</w:t>
            </w:r>
            <w:r>
              <w:rPr>
                <w:rFonts w:hint="eastAsia" w:ascii="Times New Roman" w:hAnsi="Times New Roman" w:eastAsia="宋体" w:cs="Times New Roman"/>
                <w:color w:val="auto"/>
                <w:sz w:val="21"/>
                <w:highlight w:val="none"/>
                <w:u w:val="single"/>
                <w:lang w:val="en-US" w:eastAsia="zh-CN"/>
              </w:rPr>
              <w:t>矿区制定管理制定，管理比较规范。</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2、矿区道路、供水、供电、卫生、环保等配套设施齐全；在生产区应设置线路示意牌、简介牌、岗位技术操作规程等标牌，标牌符合GB/T 13306的规定；在需警示安全的区域应设置安全标志，安全标志符合GB 14161的规定。</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eastAsia"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lang w:val="en-US" w:eastAsia="zh-CN"/>
              </w:rPr>
              <w:t>本项目</w:t>
            </w:r>
            <w:r>
              <w:rPr>
                <w:rFonts w:hint="eastAsia" w:ascii="Times New Roman" w:hAnsi="Times New Roman" w:eastAsia="宋体" w:cs="Times New Roman"/>
                <w:color w:val="auto"/>
                <w:sz w:val="21"/>
                <w:highlight w:val="none"/>
                <w:u w:val="single"/>
              </w:rPr>
              <w:t>道路、供水、供电等设施齐全；</w:t>
            </w:r>
            <w:r>
              <w:rPr>
                <w:rFonts w:hint="eastAsia" w:ascii="Times New Roman" w:hAnsi="Times New Roman" w:eastAsia="宋体" w:cs="Times New Roman"/>
                <w:color w:val="auto"/>
                <w:sz w:val="21"/>
                <w:highlight w:val="none"/>
                <w:u w:val="single"/>
                <w:lang w:val="en-US" w:eastAsia="zh-CN"/>
              </w:rPr>
              <w:t>矿山整合后配套环保设施，并在生产区设置安全标志。</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3、矿山生产过程中应采取喷雾、喷洒水或生物纳膜、加装除尘设备等措施处置粉尘，工作场所粉尘浓度应符合GBZ 2.1-2007的规定。应对输送系统、生产线、料库等采取有效措施进行抑尘；做好车辆保洁，车辆驶离矿区必须冲洗，严禁运料遗撒和带泥上路，保持矿区及周边环境卫生。</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eastAsia"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lang w:val="en-US" w:eastAsia="zh-CN"/>
              </w:rPr>
              <w:t>本项目</w:t>
            </w:r>
            <w:r>
              <w:rPr>
                <w:rFonts w:hint="eastAsia" w:ascii="Times New Roman" w:hAnsi="Times New Roman" w:eastAsia="宋体" w:cs="Times New Roman"/>
                <w:color w:val="auto"/>
                <w:sz w:val="21"/>
                <w:highlight w:val="none"/>
                <w:u w:val="single"/>
              </w:rPr>
              <w:t>矿山开采采用湿式作业，破碎筛分配套除尘设施，进出厂车辆进行清洗。</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4、应采用合理有效的技术措施对高噪音设备进行降噪处理，工作场所噪声限值应符合GBZ</w:t>
            </w:r>
            <w:r>
              <w:rPr>
                <w:rFonts w:hint="eastAsia" w:ascii="Times New Roman" w:hAnsi="Times New Roman" w:eastAsia="宋体" w:cs="Times New Roman"/>
                <w:color w:val="auto"/>
                <w:sz w:val="21"/>
                <w:highlight w:val="none"/>
                <w:lang w:val="en-US" w:eastAsia="zh-CN"/>
              </w:rPr>
              <w:t xml:space="preserve"> </w:t>
            </w:r>
            <w:r>
              <w:rPr>
                <w:rFonts w:hint="eastAsia" w:ascii="Times New Roman" w:hAnsi="Times New Roman" w:eastAsia="宋体" w:cs="Times New Roman"/>
                <w:color w:val="auto"/>
                <w:sz w:val="21"/>
                <w:highlight w:val="none"/>
              </w:rPr>
              <w:t>2.2-2007的要求，工业企业厂界噪声排放限值应符合GB 12348的要求。</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eastAsia" w:ascii="Times New Roman" w:hAnsi="Times New Roman" w:eastAsia="宋体" w:cs="Times New Roman"/>
                <w:color w:val="auto"/>
                <w:sz w:val="21"/>
                <w:highlight w:val="none"/>
                <w:u w:val="single"/>
                <w:lang w:eastAsia="zh-CN"/>
              </w:rPr>
            </w:pPr>
            <w:r>
              <w:rPr>
                <w:rFonts w:hint="eastAsia" w:ascii="Times New Roman" w:hAnsi="Times New Roman" w:eastAsia="宋体" w:cs="Times New Roman"/>
                <w:color w:val="auto"/>
                <w:sz w:val="21"/>
                <w:highlight w:val="none"/>
                <w:u w:val="single"/>
                <w:lang w:val="en-US" w:eastAsia="zh-CN"/>
              </w:rPr>
              <w:t>本项目设备采取隔声、减振等措施降低设备噪声，</w:t>
            </w:r>
            <w:r>
              <w:rPr>
                <w:rFonts w:hint="eastAsia" w:ascii="Times New Roman" w:hAnsi="Times New Roman" w:eastAsia="宋体" w:cs="Times New Roman"/>
                <w:color w:val="auto"/>
                <w:sz w:val="21"/>
                <w:highlight w:val="none"/>
                <w:u w:val="single"/>
              </w:rPr>
              <w:t>厂界噪声符合要求</w:t>
            </w:r>
            <w:r>
              <w:rPr>
                <w:rFonts w:hint="eastAsia" w:ascii="Times New Roman" w:hAnsi="Times New Roman" w:eastAsia="宋体" w:cs="Times New Roman"/>
                <w:color w:val="auto"/>
                <w:sz w:val="21"/>
                <w:highlight w:val="none"/>
                <w:u w:val="single"/>
                <w:lang w:eastAsia="zh-CN"/>
              </w:rPr>
              <w:t>。</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5、矿山开采面、作业平台应干净整洁</w:t>
            </w:r>
            <w:r>
              <w:rPr>
                <w:rFonts w:hint="eastAsia" w:ascii="Times New Roman" w:hAnsi="Times New Roman" w:eastAsia="宋体" w:cs="Times New Roman"/>
                <w:color w:val="auto"/>
                <w:sz w:val="21"/>
                <w:highlight w:val="none"/>
                <w:lang w:eastAsia="zh-CN"/>
              </w:rPr>
              <w:t>，</w:t>
            </w:r>
            <w:r>
              <w:rPr>
                <w:rFonts w:hint="eastAsia" w:ascii="Times New Roman" w:hAnsi="Times New Roman" w:eastAsia="宋体" w:cs="Times New Roman"/>
                <w:color w:val="auto"/>
                <w:sz w:val="21"/>
                <w:highlight w:val="none"/>
              </w:rPr>
              <w:t xml:space="preserve"> 规范美观。</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eastAsia" w:ascii="Times New Roman" w:hAnsi="Times New Roman" w:eastAsia="宋体" w:cs="Times New Roman"/>
                <w:color w:val="auto"/>
                <w:sz w:val="21"/>
                <w:highlight w:val="none"/>
                <w:u w:val="single"/>
                <w:lang w:eastAsia="zh-CN"/>
              </w:rPr>
            </w:pPr>
            <w:r>
              <w:rPr>
                <w:rFonts w:hint="eastAsia" w:ascii="Times New Roman" w:hAnsi="Times New Roman" w:eastAsia="宋体" w:cs="Times New Roman"/>
                <w:color w:val="auto"/>
                <w:sz w:val="21"/>
                <w:highlight w:val="none"/>
                <w:u w:val="single"/>
                <w:lang w:val="en-US" w:eastAsia="zh-CN"/>
              </w:rPr>
              <w:t>本项目矿山开采</w:t>
            </w:r>
            <w:r>
              <w:rPr>
                <w:rFonts w:hint="eastAsia" w:cs="Times New Roman"/>
                <w:color w:val="auto"/>
                <w:sz w:val="21"/>
                <w:highlight w:val="none"/>
                <w:u w:val="single"/>
                <w:lang w:val="en-US" w:eastAsia="zh-CN"/>
              </w:rPr>
              <w:t>平台</w:t>
            </w:r>
            <w:r>
              <w:rPr>
                <w:rFonts w:hint="eastAsia" w:ascii="Times New Roman" w:hAnsi="Times New Roman" w:eastAsia="宋体" w:cs="Times New Roman"/>
                <w:color w:val="auto"/>
                <w:sz w:val="21"/>
                <w:highlight w:val="none"/>
                <w:u w:val="single"/>
                <w:lang w:val="en-US" w:eastAsia="zh-CN"/>
              </w:rPr>
              <w:t>定期清理，</w:t>
            </w:r>
            <w:r>
              <w:rPr>
                <w:rFonts w:hint="eastAsia" w:ascii="Times New Roman" w:hAnsi="Times New Roman" w:eastAsia="宋体" w:cs="Times New Roman"/>
                <w:color w:val="auto"/>
                <w:sz w:val="21"/>
                <w:highlight w:val="none"/>
                <w:u w:val="single"/>
              </w:rPr>
              <w:t>开采作业面规范合理</w:t>
            </w:r>
            <w:r>
              <w:rPr>
                <w:rFonts w:hint="eastAsia" w:ascii="Times New Roman" w:hAnsi="Times New Roman" w:eastAsia="宋体" w:cs="Times New Roman"/>
                <w:color w:val="auto"/>
                <w:sz w:val="21"/>
                <w:highlight w:val="none"/>
                <w:u w:val="single"/>
                <w:lang w:eastAsia="zh-CN"/>
              </w:rPr>
              <w:t>。</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restart"/>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矿区</w:t>
            </w:r>
          </w:p>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绿化</w:t>
            </w:r>
          </w:p>
        </w:tc>
        <w:tc>
          <w:tcPr>
            <w:tcW w:w="5316" w:type="dxa"/>
            <w:noWrap w:val="0"/>
            <w:tcMar>
              <w:top w:w="0" w:type="dxa"/>
              <w:left w:w="28" w:type="dxa"/>
              <w:bottom w:w="0" w:type="dxa"/>
              <w:right w:w="28" w:type="dxa"/>
            </w:tcMar>
            <w:vAlign w:val="center"/>
          </w:tcPr>
          <w:p>
            <w:pPr>
              <w:adjustRightInd w:val="0"/>
              <w:snapToGrid w:val="0"/>
              <w:spacing w:line="240" w:lineRule="auto"/>
              <w:ind w:firstLine="0" w:firstLineChars="0"/>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1、矿区绿化， 矿区绿化应与周边自然环境和景观相协调，绿化植物搭配合理，矿区绿化覆盖率应达到100%。</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default" w:ascii="Times New Roman" w:hAnsi="Times New Roman" w:eastAsia="宋体" w:cs="Times New Roman"/>
                <w:color w:val="auto"/>
                <w:sz w:val="21"/>
                <w:highlight w:val="none"/>
                <w:u w:val="single"/>
                <w:lang w:val="en-US" w:eastAsia="zh-CN"/>
              </w:rPr>
            </w:pPr>
            <w:r>
              <w:rPr>
                <w:rFonts w:hint="eastAsia" w:ascii="Times New Roman" w:hAnsi="Times New Roman" w:eastAsia="宋体" w:cs="Times New Roman"/>
                <w:color w:val="auto"/>
                <w:sz w:val="21"/>
                <w:highlight w:val="none"/>
                <w:u w:val="single"/>
                <w:lang w:val="en-US" w:eastAsia="zh-CN"/>
              </w:rPr>
              <w:t>本项目矿山未设置绿化区，矿区周边植被分布较好，闭矿后矿山将进行全面复垦，使绿化合理。</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481"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316" w:type="dxa"/>
            <w:noWrap w:val="0"/>
            <w:tcMar>
              <w:top w:w="0" w:type="dxa"/>
              <w:left w:w="28" w:type="dxa"/>
              <w:bottom w:w="0" w:type="dxa"/>
              <w:right w:w="28" w:type="dxa"/>
            </w:tcMar>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2、应对已闭库的矿山及排土场进行复垦及绿化，矿区专用道路两侧因地制宜设置隔离绿化带。</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本项目</w:t>
            </w:r>
            <w:r>
              <w:rPr>
                <w:rFonts w:hint="eastAsia" w:ascii="Times New Roman" w:hAnsi="Times New Roman" w:eastAsia="宋体" w:cs="Times New Roman"/>
                <w:color w:val="auto"/>
                <w:sz w:val="21"/>
                <w:highlight w:val="none"/>
                <w:u w:val="single"/>
                <w:lang w:val="en-US" w:eastAsia="zh-CN"/>
              </w:rPr>
              <w:t>未闭矿，矿山</w:t>
            </w:r>
            <w:r>
              <w:rPr>
                <w:rFonts w:hint="eastAsia" w:ascii="Times New Roman" w:hAnsi="Times New Roman" w:eastAsia="宋体" w:cs="Times New Roman"/>
                <w:color w:val="auto"/>
                <w:sz w:val="21"/>
                <w:highlight w:val="none"/>
                <w:u w:val="single"/>
              </w:rPr>
              <w:t>已</w:t>
            </w:r>
            <w:r>
              <w:rPr>
                <w:rFonts w:hint="eastAsia" w:ascii="Times New Roman" w:hAnsi="Times New Roman" w:eastAsia="宋体" w:cs="Times New Roman"/>
                <w:color w:val="auto"/>
                <w:sz w:val="21"/>
                <w:highlight w:val="none"/>
                <w:u w:val="single"/>
                <w:lang w:val="en-US" w:eastAsia="zh-CN"/>
              </w:rPr>
              <w:t>制定</w:t>
            </w:r>
            <w:r>
              <w:rPr>
                <w:rFonts w:hint="eastAsia" w:ascii="Times New Roman" w:hAnsi="Times New Roman" w:eastAsia="宋体" w:cs="Times New Roman"/>
                <w:color w:val="auto"/>
                <w:sz w:val="21"/>
                <w:highlight w:val="none"/>
                <w:u w:val="single"/>
              </w:rPr>
              <w:t>矿山地质环境保护与土地复垦方案，闭矿后严格按照复垦方案对矿区及工业场地进行复垦。</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restart"/>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资源开发方式</w:t>
            </w:r>
          </w:p>
        </w:tc>
        <w:tc>
          <w:tcPr>
            <w:tcW w:w="481" w:type="dxa"/>
            <w:vMerge w:val="restart"/>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基本要求</w:t>
            </w: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1、资源开发应与环境保护、资源保护和城乡建设相协调，最大限度减少对自然环境的扰动和破坏，选择资源节约型、环境友好型开发方式。</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本项目</w:t>
            </w:r>
            <w:r>
              <w:rPr>
                <w:rFonts w:hint="eastAsia" w:ascii="Times New Roman" w:hAnsi="Times New Roman" w:eastAsia="宋体" w:cs="Times New Roman"/>
                <w:color w:val="auto"/>
                <w:sz w:val="21"/>
                <w:highlight w:val="none"/>
                <w:u w:val="single"/>
                <w:lang w:val="en-US" w:eastAsia="zh-CN"/>
              </w:rPr>
              <w:t>矿山开采过程严格做好各项环境保护措施，并与三江县城乡建设发展相协调</w:t>
            </w:r>
            <w:r>
              <w:rPr>
                <w:rFonts w:hint="eastAsia" w:ascii="Times New Roman" w:hAnsi="Times New Roman" w:eastAsia="宋体" w:cs="Times New Roman"/>
                <w:color w:val="auto"/>
                <w:sz w:val="21"/>
                <w:highlight w:val="none"/>
                <w:u w:val="single"/>
              </w:rPr>
              <w:t>。</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2、采用先进的工艺技术与装备，做到绿色开采、绿色生产、绿色存贮、绿色运输。</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eastAsia"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本项目采用</w:t>
            </w:r>
            <w:r>
              <w:rPr>
                <w:rFonts w:hint="eastAsia" w:ascii="Times New Roman" w:hAnsi="Times New Roman" w:eastAsia="宋体" w:cs="Times New Roman"/>
                <w:color w:val="auto"/>
                <w:sz w:val="21"/>
                <w:highlight w:val="none"/>
                <w:u w:val="single"/>
                <w:lang w:val="en-US" w:eastAsia="zh-CN"/>
              </w:rPr>
              <w:t>机械化方式进行</w:t>
            </w:r>
            <w:r>
              <w:rPr>
                <w:rFonts w:hint="eastAsia" w:ascii="Times New Roman" w:hAnsi="Times New Roman" w:eastAsia="宋体" w:cs="Times New Roman"/>
                <w:color w:val="auto"/>
                <w:sz w:val="21"/>
                <w:highlight w:val="none"/>
                <w:u w:val="single"/>
              </w:rPr>
              <w:t>开采，</w:t>
            </w:r>
            <w:r>
              <w:rPr>
                <w:rFonts w:hint="eastAsia" w:ascii="Times New Roman" w:hAnsi="Times New Roman" w:eastAsia="宋体" w:cs="Times New Roman"/>
                <w:color w:val="auto"/>
                <w:sz w:val="21"/>
                <w:highlight w:val="none"/>
                <w:u w:val="single"/>
                <w:lang w:val="en-US" w:eastAsia="zh-CN"/>
              </w:rPr>
              <w:t>工艺较为先进，开采过程严格做好各项环境保护措施，做到绿色发展</w:t>
            </w:r>
            <w:r>
              <w:rPr>
                <w:rFonts w:hint="eastAsia" w:ascii="Times New Roman" w:hAnsi="Times New Roman" w:eastAsia="宋体" w:cs="Times New Roman"/>
                <w:color w:val="auto"/>
                <w:sz w:val="21"/>
                <w:highlight w:val="none"/>
                <w:u w:val="single"/>
              </w:rPr>
              <w:t>。</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3、应贯彻'边开采、边恢复'的原则，及时治理恢复矿山地质环境，复垦矿山占用土地和损毁土地。治理率和复垦率应达到矿山地质环境保护与土地复垦方案的要求。</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eastAsia" w:ascii="Times New Roman" w:hAnsi="Times New Roman" w:eastAsia="宋体" w:cs="Times New Roman"/>
                <w:color w:val="auto"/>
                <w:sz w:val="21"/>
                <w:highlight w:val="none"/>
                <w:u w:val="single"/>
                <w:lang w:eastAsia="zh-CN"/>
              </w:rPr>
            </w:pPr>
            <w:r>
              <w:rPr>
                <w:rFonts w:hint="eastAsia" w:ascii="Times New Roman" w:hAnsi="Times New Roman" w:eastAsia="宋体" w:cs="Times New Roman"/>
                <w:color w:val="auto"/>
                <w:sz w:val="21"/>
                <w:highlight w:val="none"/>
                <w:u w:val="single"/>
                <w:lang w:val="en-US" w:eastAsia="zh-CN"/>
              </w:rPr>
              <w:t>本项目设置临时排土场，剥离出来的表土用于矿山复垦，</w:t>
            </w:r>
            <w:r>
              <w:rPr>
                <w:rFonts w:hint="eastAsia" w:ascii="Times New Roman" w:hAnsi="Times New Roman" w:eastAsia="宋体" w:cs="Times New Roman"/>
                <w:color w:val="auto"/>
                <w:sz w:val="21"/>
                <w:highlight w:val="none"/>
                <w:u w:val="single"/>
              </w:rPr>
              <w:t>矿区</w:t>
            </w:r>
            <w:r>
              <w:rPr>
                <w:rFonts w:hint="eastAsia" w:ascii="Times New Roman" w:hAnsi="Times New Roman" w:eastAsia="宋体" w:cs="Times New Roman"/>
                <w:color w:val="auto"/>
                <w:sz w:val="21"/>
                <w:highlight w:val="none"/>
                <w:u w:val="single"/>
                <w:lang w:val="en-US" w:eastAsia="zh-CN"/>
              </w:rPr>
              <w:t>开采过程对</w:t>
            </w:r>
            <w:r>
              <w:rPr>
                <w:rFonts w:hint="eastAsia" w:ascii="Times New Roman" w:hAnsi="Times New Roman" w:eastAsia="宋体" w:cs="Times New Roman"/>
                <w:color w:val="auto"/>
                <w:sz w:val="21"/>
                <w:highlight w:val="none"/>
                <w:u w:val="single"/>
              </w:rPr>
              <w:t>采空区进行边开采边恢复治理</w:t>
            </w:r>
            <w:r>
              <w:rPr>
                <w:rFonts w:hint="eastAsia" w:ascii="Times New Roman" w:hAnsi="Times New Roman" w:eastAsia="宋体" w:cs="Times New Roman"/>
                <w:color w:val="auto"/>
                <w:sz w:val="21"/>
                <w:highlight w:val="none"/>
                <w:u w:val="single"/>
                <w:lang w:eastAsia="zh-CN"/>
              </w:rPr>
              <w:t>。</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restart"/>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szCs w:val="21"/>
                <w:highlight w:val="none"/>
              </w:rPr>
              <w:t>绿色开采</w:t>
            </w: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1、应按照地方矿产资源开发利用专项规划，做好矿山中长期开采规划和短期开采计划的编制，采场工作面推进均衡有序。</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本项目编制完成矿产资源开发利用方案。</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hint="eastAsia" w:ascii="Times New Roman" w:hAnsi="Times New Roman" w:eastAsia="宋体" w:cs="Times New Roman"/>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continue"/>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2、采场准备应遵循采剥并举、剥离先行的原则，最大限度保留原生自然环境，减少对矿区植被破坏引起的视觉污染和环境扰动。</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default" w:ascii="Times New Roman" w:hAnsi="Times New Roman" w:eastAsia="宋体" w:cs="Times New Roman"/>
                <w:color w:val="auto"/>
                <w:sz w:val="21"/>
                <w:highlight w:val="none"/>
                <w:u w:val="single"/>
                <w:lang w:val="en-US" w:eastAsia="zh-CN"/>
              </w:rPr>
            </w:pPr>
            <w:r>
              <w:rPr>
                <w:rFonts w:hint="eastAsia" w:ascii="Times New Roman" w:hAnsi="Times New Roman" w:eastAsia="宋体" w:cs="Times New Roman"/>
                <w:color w:val="auto"/>
                <w:sz w:val="21"/>
                <w:highlight w:val="none"/>
                <w:u w:val="single"/>
                <w:lang w:val="en-US" w:eastAsia="zh-CN"/>
              </w:rPr>
              <w:t>本项目矿山开采过程先进行表土剥离。</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continue"/>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3、排土场应通过勘测选择地质条件稳定的场所，做好防护措施，保证堆放安全，避免占压可采矿量，并方便未来矿区进行环境恢复治理和土地复垦时取用。</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default" w:ascii="Times New Roman" w:hAnsi="Times New Roman" w:eastAsia="宋体" w:cs="Times New Roman"/>
                <w:color w:val="auto"/>
                <w:sz w:val="21"/>
                <w:highlight w:val="none"/>
                <w:u w:val="single"/>
                <w:lang w:val="en-US" w:eastAsia="zh-CN"/>
              </w:rPr>
            </w:pPr>
            <w:r>
              <w:rPr>
                <w:rFonts w:hint="eastAsia" w:ascii="Times New Roman" w:hAnsi="Times New Roman" w:eastAsia="宋体" w:cs="Times New Roman"/>
                <w:color w:val="auto"/>
                <w:sz w:val="21"/>
                <w:highlight w:val="none"/>
                <w:u w:val="single"/>
                <w:lang w:val="en-US" w:eastAsia="zh-CN"/>
              </w:rPr>
              <w:t>本项目临时排土场设置合理，周边设置围挡，方便后期复垦回填。</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continue"/>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4、应执行矿山开采施工设计和资源开发利用方案，露天开采应实行自上而下台阶式开采，阶段坡面角、平台宽度及终了坡面角等主要参数应符合施工设计要求。开采台阶高度不宜大于15m。</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default" w:ascii="Times New Roman" w:hAnsi="Times New Roman" w:eastAsia="宋体" w:cs="Times New Roman"/>
                <w:color w:val="auto"/>
                <w:sz w:val="21"/>
                <w:highlight w:val="none"/>
                <w:u w:val="single"/>
                <w:lang w:val="en-US" w:eastAsia="zh-CN"/>
              </w:rPr>
            </w:pPr>
            <w:r>
              <w:rPr>
                <w:rFonts w:hint="eastAsia" w:ascii="Times New Roman" w:hAnsi="Times New Roman" w:eastAsia="宋体" w:cs="Times New Roman"/>
                <w:color w:val="auto"/>
                <w:sz w:val="21"/>
                <w:highlight w:val="none"/>
                <w:u w:val="single"/>
                <w:lang w:val="en-US" w:eastAsia="zh-CN"/>
              </w:rPr>
              <w:t>本项目矿山已制定开发利用方案，自上而下台阶开采，台阶高度15m。</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continue"/>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5、爆破前应编制爆破方案，确定合理的爆破参数，减少大块率及爆破过粉碎，采用新工艺、新设备、新技术、新材料，实现安全、高效、经济、环保等目的，推广应用先进的现场混装爆破技术。</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default" w:ascii="Times New Roman" w:hAnsi="Times New Roman" w:eastAsia="宋体" w:cs="Times New Roman"/>
                <w:color w:val="auto"/>
                <w:sz w:val="21"/>
                <w:highlight w:val="none"/>
                <w:u w:val="single"/>
                <w:lang w:val="en-US" w:eastAsia="zh-CN"/>
              </w:rPr>
            </w:pPr>
            <w:r>
              <w:rPr>
                <w:rFonts w:hint="eastAsia" w:ascii="Times New Roman" w:hAnsi="Times New Roman" w:eastAsia="宋体" w:cs="Times New Roman"/>
                <w:color w:val="auto"/>
                <w:sz w:val="21"/>
                <w:highlight w:val="none"/>
                <w:u w:val="single"/>
                <w:lang w:val="en-US" w:eastAsia="zh-CN"/>
              </w:rPr>
              <w:t>本项目矿山爆破委托有资质单位进行。采用中深孔爆破技术。</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continue"/>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6、矿石原料破碎前一般应进行除泥（土）工序。矿石粗破系统应靠近采区布置，有条件的，也可在采区内进行粗破，破碎后矿石宜采用连续输送机输送到砂石生产厂区。</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default" w:ascii="Times New Roman" w:hAnsi="Times New Roman" w:eastAsia="宋体" w:cs="Times New Roman"/>
                <w:color w:val="auto"/>
                <w:sz w:val="21"/>
                <w:highlight w:val="none"/>
                <w:u w:val="single"/>
                <w:lang w:val="en-US" w:eastAsia="zh-CN"/>
              </w:rPr>
            </w:pPr>
            <w:r>
              <w:rPr>
                <w:rFonts w:hint="eastAsia" w:ascii="Times New Roman" w:hAnsi="Times New Roman" w:eastAsia="宋体" w:cs="Times New Roman"/>
                <w:color w:val="auto"/>
                <w:sz w:val="21"/>
                <w:highlight w:val="none"/>
                <w:u w:val="single"/>
                <w:lang w:val="en-US" w:eastAsia="zh-CN"/>
              </w:rPr>
              <w:t>本项目破碎前设置筛选除泥工序，破碎区离采区较近，矿石采用转送带连续输送。</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restart"/>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szCs w:val="21"/>
                <w:highlight w:val="none"/>
              </w:rPr>
              <w:t>绿色生产</w:t>
            </w: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1、应根据地方国土资源主管部门核发的采矿许可证规定的生产规模，以及目标市场容量确定生产线规模。正常生产时，人均工效不低于100t/d或2.5万t/a。</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本项目</w:t>
            </w:r>
            <w:r>
              <w:rPr>
                <w:rFonts w:hint="eastAsia" w:ascii="Times New Roman" w:hAnsi="Times New Roman" w:eastAsia="宋体" w:cs="Times New Roman"/>
                <w:color w:val="auto"/>
                <w:sz w:val="21"/>
                <w:highlight w:val="none"/>
                <w:u w:val="single"/>
                <w:lang w:val="en-US" w:eastAsia="zh-CN"/>
              </w:rPr>
              <w:t>矿山依法取得采矿许可证</w:t>
            </w:r>
            <w:r>
              <w:rPr>
                <w:rFonts w:hint="eastAsia" w:ascii="Times New Roman" w:hAnsi="Times New Roman" w:eastAsia="宋体" w:cs="Times New Roman"/>
                <w:color w:val="auto"/>
                <w:sz w:val="21"/>
                <w:highlight w:val="none"/>
                <w:u w:val="single"/>
              </w:rPr>
              <w:t>。</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hint="eastAsia" w:ascii="Times New Roman" w:hAnsi="Times New Roman" w:eastAsia="宋体" w:cs="Times New Roman"/>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continue"/>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2、生产线设计应符合GB 51186的要求，设计中要体现节能、环保、安全、高效的理念，应根据地形条件合理布置生产设备。</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eastAsia"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本项目</w:t>
            </w:r>
            <w:r>
              <w:rPr>
                <w:rFonts w:hint="eastAsia" w:ascii="Times New Roman" w:hAnsi="Times New Roman" w:eastAsia="宋体" w:cs="Times New Roman"/>
                <w:color w:val="auto"/>
                <w:sz w:val="21"/>
                <w:highlight w:val="none"/>
                <w:u w:val="single"/>
                <w:lang w:val="en-US" w:eastAsia="zh-CN"/>
              </w:rPr>
              <w:t>根据地形，</w:t>
            </w:r>
            <w:r>
              <w:rPr>
                <w:rFonts w:hint="eastAsia" w:ascii="Times New Roman" w:hAnsi="Times New Roman" w:eastAsia="宋体" w:cs="Times New Roman"/>
                <w:color w:val="auto"/>
                <w:sz w:val="21"/>
                <w:highlight w:val="none"/>
                <w:u w:val="single"/>
              </w:rPr>
              <w:t>生产</w:t>
            </w:r>
            <w:r>
              <w:rPr>
                <w:rFonts w:hint="eastAsia" w:cs="Times New Roman"/>
                <w:color w:val="auto"/>
                <w:sz w:val="21"/>
                <w:highlight w:val="none"/>
                <w:u w:val="single"/>
                <w:lang w:val="en-US" w:eastAsia="zh-CN"/>
              </w:rPr>
              <w:t>线按地势高低</w:t>
            </w:r>
            <w:r>
              <w:rPr>
                <w:rFonts w:hint="eastAsia" w:ascii="Times New Roman" w:hAnsi="Times New Roman" w:eastAsia="宋体" w:cs="Times New Roman"/>
                <w:color w:val="auto"/>
                <w:sz w:val="21"/>
                <w:highlight w:val="none"/>
                <w:u w:val="single"/>
                <w:lang w:val="en-US" w:eastAsia="zh-CN"/>
              </w:rPr>
              <w:t>流水线布置</w:t>
            </w:r>
            <w:r>
              <w:rPr>
                <w:rFonts w:hint="eastAsia" w:ascii="Times New Roman" w:hAnsi="Times New Roman" w:eastAsia="宋体" w:cs="Times New Roman"/>
                <w:color w:val="auto"/>
                <w:sz w:val="21"/>
                <w:highlight w:val="none"/>
                <w:u w:val="single"/>
              </w:rPr>
              <w:t>。</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continue"/>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3、应根据母岩材质性能、产品结构、产能要求等因素选择先进工艺和设备，配置与生产规模和工艺相符的辅助设施，合理规划堆料、装卸以及设备检修维护场地。</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default" w:ascii="Times New Roman" w:hAnsi="Times New Roman" w:eastAsia="宋体" w:cs="Times New Roman"/>
                <w:color w:val="auto"/>
                <w:sz w:val="21"/>
                <w:highlight w:val="none"/>
                <w:u w:val="single"/>
                <w:lang w:val="en-US" w:eastAsia="zh-CN"/>
              </w:rPr>
            </w:pPr>
            <w:r>
              <w:rPr>
                <w:rFonts w:hint="eastAsia" w:ascii="Times New Roman" w:hAnsi="Times New Roman" w:eastAsia="宋体" w:cs="Times New Roman"/>
                <w:color w:val="auto"/>
                <w:sz w:val="21"/>
                <w:highlight w:val="none"/>
                <w:u w:val="single"/>
                <w:lang w:val="en-US" w:eastAsia="zh-CN"/>
              </w:rPr>
              <w:t>本项目</w:t>
            </w:r>
            <w:r>
              <w:rPr>
                <w:rFonts w:hint="eastAsia" w:cs="Times New Roman"/>
                <w:color w:val="auto"/>
                <w:sz w:val="21"/>
                <w:highlight w:val="none"/>
                <w:u w:val="single"/>
                <w:lang w:val="en-US" w:eastAsia="zh-CN"/>
              </w:rPr>
              <w:t>采用机械化开采工艺，开采设备和辅助设施与开采规模和开采工艺相配套，堆场及设备检修场地</w:t>
            </w:r>
            <w:r>
              <w:rPr>
                <w:rFonts w:hint="eastAsia" w:ascii="Times New Roman" w:hAnsi="Times New Roman" w:eastAsia="宋体" w:cs="Times New Roman"/>
                <w:color w:val="auto"/>
                <w:sz w:val="21"/>
                <w:highlight w:val="none"/>
                <w:u w:val="single"/>
                <w:lang w:val="en-US" w:eastAsia="zh-CN"/>
              </w:rPr>
              <w:t>布置合理。</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continue"/>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4、根据原料品质分级利用砂石资源，做到优质优用，提高砂石产品的成品率。</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default" w:ascii="Times New Roman" w:hAnsi="Times New Roman" w:eastAsia="宋体" w:cs="Times New Roman"/>
                <w:color w:val="auto"/>
                <w:sz w:val="21"/>
                <w:highlight w:val="none"/>
                <w:u w:val="single"/>
                <w:lang w:val="en-US" w:eastAsia="zh-CN"/>
              </w:rPr>
            </w:pPr>
            <w:r>
              <w:rPr>
                <w:rFonts w:hint="eastAsia" w:ascii="Times New Roman" w:hAnsi="Times New Roman" w:eastAsia="宋体" w:cs="Times New Roman"/>
                <w:color w:val="auto"/>
                <w:sz w:val="21"/>
                <w:highlight w:val="none"/>
                <w:u w:val="single"/>
                <w:lang w:val="en-US" w:eastAsia="zh-CN"/>
              </w:rPr>
              <w:t>本项目根据市场不同需要设置不同级别产品及类别。</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continue"/>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5、产品质量应符合GB/T 14684、GB/T 14685等标准的要求，粒形和级配要求高时应设置整形和级配调整工序进行深加工。</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eastAsia" w:ascii="Times New Roman" w:hAnsi="Times New Roman" w:eastAsia="宋体" w:cs="Times New Roman"/>
                <w:color w:val="auto"/>
                <w:sz w:val="21"/>
                <w:highlight w:val="none"/>
                <w:u w:val="single"/>
                <w:lang w:val="en-US" w:eastAsia="zh-CN"/>
              </w:rPr>
            </w:pPr>
            <w:r>
              <w:rPr>
                <w:rFonts w:hint="eastAsia" w:ascii="Times New Roman" w:hAnsi="Times New Roman" w:eastAsia="宋体" w:cs="Times New Roman"/>
                <w:color w:val="auto"/>
                <w:sz w:val="21"/>
                <w:highlight w:val="none"/>
                <w:u w:val="single"/>
                <w:lang w:val="en-US" w:eastAsia="zh-CN"/>
              </w:rPr>
              <w:t>本项目产品符合</w:t>
            </w:r>
            <w:r>
              <w:rPr>
                <w:rFonts w:hint="eastAsia" w:ascii="Times New Roman" w:hAnsi="Times New Roman" w:eastAsia="宋体" w:cs="Times New Roman"/>
                <w:color w:val="auto"/>
                <w:sz w:val="21"/>
                <w:szCs w:val="21"/>
                <w:highlight w:val="none"/>
                <w:u w:val="single"/>
              </w:rPr>
              <w:t>GB/T 14684</w:t>
            </w:r>
            <w:r>
              <w:rPr>
                <w:rFonts w:hint="eastAsia" w:ascii="Times New Roman" w:hAnsi="Times New Roman" w:eastAsia="宋体" w:cs="Times New Roman"/>
                <w:color w:val="auto"/>
                <w:sz w:val="21"/>
                <w:szCs w:val="21"/>
                <w:highlight w:val="none"/>
                <w:u w:val="single"/>
                <w:lang w:val="en-US" w:eastAsia="zh-CN"/>
              </w:rPr>
              <w:t>标准。</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continue"/>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6、干法生产应配备高效除尘设备，并保持与生产设备同步运行。湿法生产应配置泥粉和水分离、废水处理和循环使用系统。</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default" w:ascii="Times New Roman" w:hAnsi="Times New Roman" w:eastAsia="宋体" w:cs="Times New Roman"/>
                <w:color w:val="auto"/>
                <w:sz w:val="21"/>
                <w:highlight w:val="none"/>
                <w:u w:val="single"/>
                <w:lang w:val="en-US" w:eastAsia="zh-CN"/>
              </w:rPr>
            </w:pPr>
            <w:r>
              <w:rPr>
                <w:rFonts w:hint="eastAsia" w:ascii="Times New Roman" w:hAnsi="Times New Roman" w:eastAsia="宋体" w:cs="Times New Roman"/>
                <w:color w:val="auto"/>
                <w:sz w:val="21"/>
                <w:highlight w:val="none"/>
                <w:u w:val="single"/>
                <w:lang w:val="en-US" w:eastAsia="zh-CN"/>
              </w:rPr>
              <w:t>本项目洗砂废水循环使用，泥渣合理处置。</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continue"/>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7、生产加工车间的产尘点要封闭，有利于形成负压除尘；皮带运输系统廊道应选用封闭方式，防止粉尘逸撒。</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eastAsia"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lang w:val="en-US" w:eastAsia="zh-CN"/>
              </w:rPr>
              <w:t>本项目</w:t>
            </w:r>
            <w:r>
              <w:rPr>
                <w:rFonts w:hint="eastAsia" w:ascii="Times New Roman" w:hAnsi="Times New Roman" w:eastAsia="宋体" w:cs="Times New Roman"/>
                <w:color w:val="auto"/>
                <w:sz w:val="21"/>
                <w:highlight w:val="none"/>
                <w:u w:val="single"/>
              </w:rPr>
              <w:t>破碎筛分</w:t>
            </w:r>
            <w:r>
              <w:rPr>
                <w:rFonts w:hint="eastAsia" w:ascii="Times New Roman" w:hAnsi="Times New Roman" w:eastAsia="宋体" w:cs="Times New Roman"/>
                <w:color w:val="auto"/>
                <w:sz w:val="21"/>
                <w:highlight w:val="none"/>
                <w:u w:val="single"/>
                <w:lang w:val="en-US" w:eastAsia="zh-CN"/>
              </w:rPr>
              <w:t>工序</w:t>
            </w:r>
            <w:r>
              <w:rPr>
                <w:rFonts w:hint="eastAsia" w:ascii="Times New Roman" w:hAnsi="Times New Roman" w:eastAsia="宋体" w:cs="Times New Roman"/>
                <w:color w:val="auto"/>
                <w:sz w:val="21"/>
                <w:highlight w:val="none"/>
                <w:u w:val="single"/>
              </w:rPr>
              <w:t>均分别设置</w:t>
            </w:r>
            <w:r>
              <w:rPr>
                <w:rFonts w:hint="eastAsia" w:ascii="Times New Roman" w:hAnsi="Times New Roman" w:eastAsia="宋体" w:cs="Times New Roman"/>
                <w:color w:val="auto"/>
                <w:sz w:val="21"/>
                <w:highlight w:val="none"/>
                <w:u w:val="single"/>
                <w:lang w:val="en-US" w:eastAsia="zh-CN"/>
              </w:rPr>
              <w:t>喷淋</w:t>
            </w:r>
            <w:r>
              <w:rPr>
                <w:rFonts w:hint="eastAsia" w:ascii="Times New Roman" w:hAnsi="Times New Roman" w:eastAsia="宋体" w:cs="Times New Roman"/>
                <w:color w:val="auto"/>
                <w:sz w:val="21"/>
                <w:highlight w:val="none"/>
                <w:u w:val="single"/>
              </w:rPr>
              <w:t>+封闭+负压收集+袋式除尘器除尘设施，废气收集处理后经15m排气筒排放；</w:t>
            </w:r>
            <w:r>
              <w:rPr>
                <w:rFonts w:hint="eastAsia" w:ascii="Times New Roman" w:hAnsi="Times New Roman" w:eastAsia="宋体" w:cs="Times New Roman"/>
                <w:color w:val="auto"/>
                <w:sz w:val="21"/>
                <w:highlight w:val="none"/>
                <w:u w:val="single"/>
                <w:lang w:val="en-US" w:eastAsia="zh-CN"/>
              </w:rPr>
              <w:t>物料输送过程封闭，两端设置帘布</w:t>
            </w:r>
            <w:r>
              <w:rPr>
                <w:rFonts w:hint="eastAsia" w:ascii="Times New Roman" w:hAnsi="Times New Roman" w:eastAsia="宋体" w:cs="Times New Roman"/>
                <w:color w:val="auto"/>
                <w:sz w:val="21"/>
                <w:highlight w:val="none"/>
                <w:u w:val="single"/>
              </w:rPr>
              <w:t>。</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continue"/>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8、应选用低噪声生产设备；对高噪强振的设备，应采取消声、减振措施；合理设计工艺布置，控制噪声传播。</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default" w:ascii="Times New Roman" w:hAnsi="Times New Roman" w:eastAsia="宋体" w:cs="Times New Roman"/>
                <w:color w:val="auto"/>
                <w:sz w:val="21"/>
                <w:highlight w:val="none"/>
                <w:u w:val="single"/>
                <w:lang w:val="en-US" w:eastAsia="zh-CN"/>
              </w:rPr>
            </w:pPr>
            <w:r>
              <w:rPr>
                <w:rFonts w:hint="eastAsia" w:ascii="Times New Roman" w:hAnsi="Times New Roman" w:eastAsia="宋体" w:cs="Times New Roman"/>
                <w:color w:val="auto"/>
                <w:sz w:val="21"/>
                <w:highlight w:val="none"/>
                <w:u w:val="single"/>
                <w:lang w:val="en-US" w:eastAsia="zh-CN"/>
              </w:rPr>
              <w:t>本项目选择低噪声设备，生产线按流水线布置，高噪声设备采取隔声、减振措施。</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continue"/>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9、砂石骨料成品堆场（库）应地面硬化，分类或分仓储存。</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default" w:ascii="Times New Roman" w:hAnsi="Times New Roman" w:eastAsia="宋体" w:cs="Times New Roman"/>
                <w:color w:val="auto"/>
                <w:sz w:val="21"/>
                <w:highlight w:val="none"/>
                <w:u w:val="single"/>
                <w:lang w:val="en-US" w:eastAsia="zh-CN"/>
              </w:rPr>
            </w:pPr>
            <w:r>
              <w:rPr>
                <w:rFonts w:hint="eastAsia" w:ascii="Times New Roman" w:hAnsi="Times New Roman" w:eastAsia="宋体" w:cs="Times New Roman"/>
                <w:color w:val="auto"/>
                <w:sz w:val="21"/>
                <w:highlight w:val="none"/>
                <w:u w:val="single"/>
                <w:lang w:val="en-US" w:eastAsia="zh-CN"/>
              </w:rPr>
              <w:t>本项目成品堆场地面均进行硬化处理，石粉料仓设置厂棚。</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restart"/>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szCs w:val="21"/>
                <w:highlight w:val="none"/>
              </w:rPr>
              <w:t>绿色运输</w:t>
            </w: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1、矿石的运输方式应结合矿山地形地质条件、岩石特性、开采方案、运输强度等因素，按JC/T 2299选择运输方案。</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eastAsia" w:ascii="Times New Roman" w:hAnsi="Times New Roman" w:eastAsia="宋体" w:cs="Times New Roman"/>
                <w:color w:val="auto"/>
                <w:sz w:val="21"/>
                <w:highlight w:val="none"/>
                <w:u w:val="single"/>
                <w:lang w:eastAsia="zh-CN"/>
              </w:rPr>
            </w:pPr>
            <w:r>
              <w:rPr>
                <w:rFonts w:hint="eastAsia" w:ascii="Times New Roman" w:hAnsi="Times New Roman" w:eastAsia="宋体" w:cs="Times New Roman"/>
                <w:color w:val="auto"/>
                <w:sz w:val="21"/>
                <w:highlight w:val="none"/>
                <w:u w:val="single"/>
                <w:lang w:val="en-US" w:eastAsia="zh-CN"/>
              </w:rPr>
              <w:t>本</w:t>
            </w:r>
            <w:r>
              <w:rPr>
                <w:rFonts w:hint="eastAsia" w:ascii="Times New Roman" w:hAnsi="Times New Roman" w:eastAsia="宋体" w:cs="Times New Roman"/>
                <w:color w:val="auto"/>
                <w:sz w:val="21"/>
                <w:highlight w:val="none"/>
                <w:u w:val="single"/>
              </w:rPr>
              <w:t>项目采用汽车运输</w:t>
            </w:r>
            <w:r>
              <w:rPr>
                <w:rFonts w:hint="eastAsia" w:ascii="Times New Roman" w:hAnsi="Times New Roman" w:eastAsia="宋体" w:cs="Times New Roman"/>
                <w:color w:val="auto"/>
                <w:sz w:val="21"/>
                <w:highlight w:val="none"/>
                <w:u w:val="single"/>
                <w:lang w:eastAsia="zh-CN"/>
              </w:rPr>
              <w:t>。</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hint="eastAsia" w:ascii="Times New Roman" w:hAnsi="Times New Roman" w:eastAsia="宋体" w:cs="Times New Roman"/>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continue"/>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2、砂石骨料产品短途汽车运输应符合相关环保、交通等法律规定。中长途转运时，应配置规模适宜、环保、安全措施完善的中转料场。</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eastAsia"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lang w:val="en-US" w:eastAsia="zh-CN"/>
              </w:rPr>
              <w:t>本项目砂石料为短途运输，</w:t>
            </w:r>
            <w:r>
              <w:rPr>
                <w:rFonts w:hint="eastAsia" w:ascii="Times New Roman" w:hAnsi="Times New Roman" w:eastAsia="宋体" w:cs="Times New Roman"/>
                <w:color w:val="auto"/>
                <w:sz w:val="21"/>
                <w:highlight w:val="none"/>
                <w:u w:val="single"/>
              </w:rPr>
              <w:t>运输过程符合环保和交通法律规定。</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restart"/>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szCs w:val="21"/>
                <w:highlight w:val="none"/>
              </w:rPr>
              <w:t>矿区生态环境保护</w:t>
            </w: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1、应按照矿山地质环境保护与土地复垦方案进行环境治理和土地复垦。具体要求如下：</w:t>
            </w:r>
          </w:p>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a）露天采场、矿区专用道路、矿山工业场地、排土场、矿山扰动区域等生态环境保护与恢复治理，应符合HJ 651的相关规定。</w:t>
            </w:r>
          </w:p>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b）土地复垦质量应符合TD/T 1036的规定。</w:t>
            </w:r>
          </w:p>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c）恢复治理后的各类场地应实现安全稳定，对人和动植物不造成威胁；对周边环境不产生污染；与周边自然环境和景观相协调；恢复土地基本功能，因地制宜实现土地可持续利用；区域整体生态功能得到保护和恢复。</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本项目已</w:t>
            </w:r>
            <w:r>
              <w:rPr>
                <w:rFonts w:hint="eastAsia" w:ascii="Times New Roman" w:hAnsi="Times New Roman" w:eastAsia="宋体" w:cs="Times New Roman"/>
                <w:color w:val="auto"/>
                <w:sz w:val="21"/>
                <w:highlight w:val="none"/>
                <w:u w:val="single"/>
                <w:lang w:val="en-US" w:eastAsia="zh-CN"/>
              </w:rPr>
              <w:t>制定</w:t>
            </w:r>
            <w:r>
              <w:rPr>
                <w:rFonts w:hint="eastAsia" w:ascii="Times New Roman" w:hAnsi="Times New Roman" w:eastAsia="宋体" w:cs="Times New Roman"/>
                <w:color w:val="auto"/>
                <w:sz w:val="21"/>
                <w:highlight w:val="none"/>
                <w:u w:val="single"/>
              </w:rPr>
              <w:t>矿山地质环境保护与土地复垦方案并完成备案，闭矿后严格按照复垦方案对矿区及工业场地进行复垦。</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hint="eastAsia" w:ascii="Times New Roman" w:hAnsi="Times New Roman" w:eastAsia="宋体" w:cs="Times New Roman"/>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481" w:type="dxa"/>
            <w:vMerge w:val="continue"/>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2、应建立环境监测机制，设置专门机构，配备专职管理人员和监测人员。具体要求如下：</w:t>
            </w:r>
          </w:p>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a）对粉尘、废水、噪音等污染源和污染物实行动态监测，并向社会公开数据，接受社会公众监督。</w:t>
            </w:r>
          </w:p>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b）开采中和开采后应建立、健全长效监测机制，对土地复垦区稳定性与环境质量进行动态监测。</w:t>
            </w:r>
          </w:p>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3、矿山开采结束闭坑时，应完成矿区的地质灾害治理，土地复垦率、终了边坡治理率达到100%。</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eastAsia"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本项目</w:t>
            </w:r>
            <w:r>
              <w:rPr>
                <w:rFonts w:hint="eastAsia" w:ascii="Times New Roman" w:hAnsi="Times New Roman" w:eastAsia="宋体" w:cs="Times New Roman"/>
                <w:color w:val="auto"/>
                <w:sz w:val="21"/>
                <w:highlight w:val="none"/>
                <w:u w:val="single"/>
                <w:lang w:val="en-US" w:eastAsia="zh-CN"/>
              </w:rPr>
              <w:t>环评要求制定环境监测计划，矿山</w:t>
            </w:r>
            <w:r>
              <w:rPr>
                <w:rFonts w:hint="eastAsia" w:ascii="Times New Roman" w:hAnsi="Times New Roman" w:eastAsia="宋体" w:cs="Times New Roman"/>
                <w:color w:val="auto"/>
                <w:sz w:val="21"/>
                <w:highlight w:val="none"/>
                <w:u w:val="single"/>
              </w:rPr>
              <w:t>已</w:t>
            </w:r>
            <w:r>
              <w:rPr>
                <w:rFonts w:hint="eastAsia" w:ascii="Times New Roman" w:hAnsi="Times New Roman" w:eastAsia="宋体" w:cs="Times New Roman"/>
                <w:color w:val="auto"/>
                <w:sz w:val="21"/>
                <w:highlight w:val="none"/>
                <w:u w:val="single"/>
                <w:lang w:val="en-US" w:eastAsia="zh-CN"/>
              </w:rPr>
              <w:t>制定</w:t>
            </w:r>
            <w:r>
              <w:rPr>
                <w:rFonts w:hint="eastAsia" w:ascii="Times New Roman" w:hAnsi="Times New Roman" w:eastAsia="宋体" w:cs="Times New Roman"/>
                <w:color w:val="auto"/>
                <w:sz w:val="21"/>
                <w:highlight w:val="none"/>
                <w:u w:val="single"/>
              </w:rPr>
              <w:t>矿山地质环境保护与土地复垦方案并完成备案，闭矿后严格按照复垦方案对矿区及工业场地进行复垦。</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restart"/>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szCs w:val="21"/>
                <w:highlight w:val="none"/>
              </w:rPr>
              <w:t>资源综合利用</w:t>
            </w:r>
          </w:p>
        </w:tc>
        <w:tc>
          <w:tcPr>
            <w:tcW w:w="481" w:type="dxa"/>
            <w:vMerge w:val="restart"/>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szCs w:val="21"/>
                <w:highlight w:val="none"/>
              </w:rPr>
              <w:t>基本要求</w:t>
            </w: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1、应按照减量化、资源化、再利用的原则，对砂石生产工艺合理优化设计，提高成品率；充分利用石粉、泥粉等加工副产品，提高资源综合利用水平。</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default" w:ascii="Times New Roman" w:hAnsi="Times New Roman" w:eastAsia="宋体" w:cs="Times New Roman"/>
                <w:color w:val="auto"/>
                <w:sz w:val="21"/>
                <w:highlight w:val="none"/>
                <w:u w:val="single"/>
                <w:lang w:val="en-US" w:eastAsia="zh-CN"/>
              </w:rPr>
            </w:pPr>
            <w:r>
              <w:rPr>
                <w:rFonts w:hint="eastAsia" w:ascii="Times New Roman" w:hAnsi="Times New Roman" w:eastAsia="宋体" w:cs="Times New Roman"/>
                <w:color w:val="auto"/>
                <w:sz w:val="21"/>
                <w:highlight w:val="none"/>
                <w:u w:val="single"/>
                <w:lang w:val="en-US" w:eastAsia="zh-CN"/>
              </w:rPr>
              <w:t>本项目生产过程产生的石粉和泥粉均得到合理利用。</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481" w:type="dxa"/>
            <w:vMerge w:val="continue"/>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2、生产工艺技术和设备应符合国土资源部《矿产资源节约与综合利用鼓励、限制和淘汰技术目录》要求。剥离表土后，砂石矿山资源综合利用率不低于95%。</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hint="eastAsia"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本项目编制完成矿产资源开发利用方案，资源利用率不低于95%。</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ascii="Times New Roman" w:hAnsi="Times New Roman" w:eastAsia="宋体" w:cs="宋体"/>
                <w:color w:val="auto"/>
                <w:sz w:val="21"/>
                <w:highlight w:val="none"/>
                <w:u w:val="singl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481"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石粉利用</w:t>
            </w: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石粉收集后应充分合理利用。钙质石粉和吸附性较低的硅质石粉可用于生产水泥、混凝土和砂浆，或进行产品深加工，提高产品附加值；吸附性较高的硅质石粉可用于生产砂浆、环保透水砖、新型墙体材料、陶瓷、水泥用硅质原料等。</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本项目石粉收集后外卖。</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481"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泥粉利用</w:t>
            </w: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湿法生产中的沉淀泥浆经脱水干化后形成的泥粉或泥饼，可用于新型墙体材料、土地复垦和土壤改良等。</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本项目泥饼外卖砖厂。</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481"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表土和渣土利用</w:t>
            </w: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对排土场堆放的剥离表土或筛分后的渣土，用于环境治理、土地复垦和复绿等。</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本项目表土用于矿区复垦。</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vMerge w:val="continue"/>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481"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废水利用</w:t>
            </w: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应配备完善的生产废水处理系统，经过固液分离处理后的清水应100%循环利用。</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本项目日常生产不产生生产废水。</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宋体"/>
                <w:color w:val="auto"/>
                <w:sz w:val="21"/>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3"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节能减排</w:t>
            </w:r>
          </w:p>
        </w:tc>
        <w:tc>
          <w:tcPr>
            <w:tcW w:w="481"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基本要求</w:t>
            </w:r>
          </w:p>
        </w:tc>
        <w:tc>
          <w:tcPr>
            <w:tcW w:w="5316" w:type="dxa"/>
            <w:noWrap w:val="0"/>
            <w:tcMar>
              <w:top w:w="0" w:type="dxa"/>
              <w:left w:w="28" w:type="dxa"/>
              <w:bottom w:w="0" w:type="dxa"/>
              <w:right w:w="28" w:type="dxa"/>
            </w:tcMar>
            <w:vAlign w:val="center"/>
          </w:tcPr>
          <w:p>
            <w:pPr>
              <w:pStyle w:val="42"/>
              <w:widowControl/>
              <w:adjustRightInd w:val="0"/>
              <w:snapToGrid w:val="0"/>
              <w:spacing w:line="240" w:lineRule="auto"/>
              <w:ind w:firstLine="0" w:firstLineChars="0"/>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建立能耗核算体系，采取节能减排措施，降低砂石生产能耗和设备损耗，使三废和噪音排放达到环保标准。</w:t>
            </w:r>
          </w:p>
        </w:tc>
        <w:tc>
          <w:tcPr>
            <w:tcW w:w="2340" w:type="dxa"/>
            <w:noWrap w:val="0"/>
            <w:tcMar>
              <w:top w:w="0" w:type="dxa"/>
              <w:left w:w="28" w:type="dxa"/>
              <w:bottom w:w="0" w:type="dxa"/>
              <w:right w:w="28" w:type="dxa"/>
            </w:tcMar>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本项目生产线布置合理，采矿工艺先进，选用先进生产设备，有利于节能降耗。</w:t>
            </w:r>
          </w:p>
        </w:tc>
        <w:tc>
          <w:tcPr>
            <w:tcW w:w="610" w:type="dxa"/>
            <w:noWrap w:val="0"/>
            <w:tcMar>
              <w:top w:w="0" w:type="dxa"/>
              <w:left w:w="28" w:type="dxa"/>
              <w:bottom w:w="0" w:type="dxa"/>
              <w:right w:w="28" w:type="dxa"/>
            </w:tcMar>
            <w:vAlign w:val="center"/>
          </w:tcPr>
          <w:p>
            <w:pPr>
              <w:pStyle w:val="96"/>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宋体"/>
                <w:color w:val="auto"/>
                <w:sz w:val="21"/>
                <w:highlight w:val="none"/>
                <w:u w:val="single"/>
              </w:rPr>
              <w:t>符合</w:t>
            </w:r>
          </w:p>
        </w:tc>
      </w:tr>
    </w:tbl>
    <w:p>
      <w:pPr>
        <w:ind w:firstLine="480"/>
        <w:rPr>
          <w:rFonts w:hint="eastAsia" w:ascii="Times New Roman" w:hAnsi="Times New Roman" w:eastAsia="宋体" w:cs="Times New Roman"/>
          <w:color w:val="auto"/>
          <w:szCs w:val="24"/>
          <w:highlight w:val="none"/>
          <w:lang w:bidi="ar"/>
        </w:rPr>
      </w:pPr>
      <w:r>
        <w:rPr>
          <w:rFonts w:hint="eastAsia" w:ascii="Times New Roman" w:hAnsi="Times New Roman" w:eastAsia="宋体" w:cs="Times New Roman"/>
          <w:color w:val="auto"/>
          <w:szCs w:val="24"/>
          <w:highlight w:val="none"/>
        </w:rPr>
        <w:t>根据上表分析，本项目建设与</w:t>
      </w:r>
      <w:r>
        <w:rPr>
          <w:rFonts w:hint="eastAsia" w:ascii="Times New Roman" w:hAnsi="Times New Roman" w:eastAsia="宋体" w:cs="Times New Roman"/>
          <w:color w:val="auto"/>
          <w:szCs w:val="24"/>
          <w:highlight w:val="none"/>
          <w:lang w:bidi="ar"/>
        </w:rPr>
        <w:t>《砂石行业绿色矿山建设规范》（</w:t>
      </w:r>
      <w:r>
        <w:rPr>
          <w:rFonts w:ascii="Times New Roman" w:hAnsi="Times New Roman" w:eastAsia="宋体" w:cs="Times New Roman"/>
          <w:color w:val="auto"/>
          <w:szCs w:val="24"/>
          <w:highlight w:val="none"/>
          <w:lang w:bidi="ar"/>
        </w:rPr>
        <w:t>DZ/T</w:t>
      </w:r>
      <w:r>
        <w:rPr>
          <w:rFonts w:hint="eastAsia" w:ascii="Times New Roman" w:hAnsi="Times New Roman" w:eastAsia="宋体" w:cs="Times New Roman"/>
          <w:color w:val="auto"/>
          <w:szCs w:val="24"/>
          <w:highlight w:val="none"/>
          <w:lang w:val="en-US" w:eastAsia="zh-CN" w:bidi="ar"/>
        </w:rPr>
        <w:t xml:space="preserve"> </w:t>
      </w:r>
      <w:r>
        <w:rPr>
          <w:rFonts w:ascii="Times New Roman" w:hAnsi="Times New Roman" w:eastAsia="宋体" w:cs="Times New Roman"/>
          <w:color w:val="auto"/>
          <w:szCs w:val="24"/>
          <w:highlight w:val="none"/>
          <w:lang w:bidi="ar"/>
        </w:rPr>
        <w:t>0316-2018</w:t>
      </w:r>
      <w:r>
        <w:rPr>
          <w:rFonts w:hint="eastAsia" w:ascii="Times New Roman" w:hAnsi="Times New Roman" w:eastAsia="宋体" w:cs="Times New Roman"/>
          <w:color w:val="auto"/>
          <w:szCs w:val="24"/>
          <w:highlight w:val="none"/>
          <w:lang w:bidi="ar"/>
        </w:rPr>
        <w:t>）相协调。</w:t>
      </w:r>
    </w:p>
    <w:p>
      <w:pPr>
        <w:ind w:firstLine="482"/>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szCs w:val="24"/>
          <w:highlight w:val="none"/>
          <w:lang w:bidi="ar"/>
        </w:rPr>
        <w:t>4、</w:t>
      </w:r>
      <w:r>
        <w:rPr>
          <w:rFonts w:hint="default" w:ascii="Times New Roman" w:hAnsi="Times New Roman" w:eastAsia="宋体" w:cs="Times New Roman"/>
          <w:b/>
          <w:bCs/>
          <w:color w:val="auto"/>
          <w:highlight w:val="none"/>
        </w:rPr>
        <w:t>与《关于加快推进露天矿山综合整治实施意见的函》相符性分析</w:t>
      </w:r>
    </w:p>
    <w:p>
      <w:pPr>
        <w:ind w:firstLine="480"/>
        <w:rPr>
          <w:rFonts w:hint="eastAsia" w:ascii="Times New Roman" w:hAnsi="Times New Roman" w:eastAsia="宋体"/>
          <w:color w:val="auto"/>
          <w:highlight w:val="none"/>
        </w:rPr>
      </w:pPr>
      <w:r>
        <w:rPr>
          <w:rFonts w:hint="default" w:ascii="Times New Roman" w:hAnsi="Times New Roman" w:eastAsia="宋体" w:cs="Times New Roman"/>
          <w:color w:val="auto"/>
          <w:highlight w:val="none"/>
        </w:rPr>
        <w:t>根据自然资源部办公厅、生态环境部办公厅发布的《关于加快推进露天矿山综合整治实施意见的函》（自然资办函〔2019〕819号）</w:t>
      </w:r>
      <w:r>
        <w:rPr>
          <w:rFonts w:hint="eastAsia" w:ascii="Times New Roman" w:hAnsi="Times New Roman" w:eastAsia="宋体"/>
          <w:color w:val="auto"/>
          <w:highlight w:val="none"/>
        </w:rPr>
        <w:t>的相关内容，为协同做好露天矿山综合整治工作，将</w:t>
      </w:r>
      <w:r>
        <w:rPr>
          <w:rFonts w:hint="eastAsia" w:ascii="Times New Roman" w:hAnsi="Times New Roman" w:eastAsia="宋体"/>
          <w:color w:val="auto"/>
          <w:highlight w:val="none"/>
          <w:lang w:val="en-US" w:eastAsia="zh-CN"/>
        </w:rPr>
        <w:t>本项目与该函相符性分析</w:t>
      </w:r>
      <w:r>
        <w:rPr>
          <w:rFonts w:hint="eastAsia" w:ascii="Times New Roman" w:hAnsi="Times New Roman" w:eastAsia="宋体"/>
          <w:color w:val="auto"/>
          <w:highlight w:val="none"/>
        </w:rPr>
        <w:t>如下。</w:t>
      </w:r>
    </w:p>
    <w:p>
      <w:pPr>
        <w:pStyle w:val="13"/>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表1.2-</w:t>
      </w:r>
      <w:r>
        <w:rPr>
          <w:rFonts w:ascii="Times New Roman" w:hAnsi="Times New Roman" w:eastAsia="宋体"/>
          <w:color w:val="auto"/>
          <w:sz w:val="24"/>
          <w:szCs w:val="24"/>
          <w:highlight w:val="none"/>
        </w:rPr>
        <w:t xml:space="preserve">3 </w:t>
      </w:r>
      <w:r>
        <w:rPr>
          <w:rFonts w:hint="eastAsia" w:ascii="Times New Roman" w:hAnsi="Times New Roman" w:eastAsia="宋体"/>
          <w:color w:val="auto"/>
          <w:sz w:val="24"/>
          <w:szCs w:val="24"/>
          <w:highlight w:val="none"/>
        </w:rPr>
        <w:t>本项目与《关于加快推进露天矿山综合整治工作实施意见的函》相符分析表</w:t>
      </w:r>
    </w:p>
    <w:tbl>
      <w:tblPr>
        <w:tblStyle w:val="48"/>
        <w:tblW w:w="9071" w:type="dxa"/>
        <w:jc w:val="center"/>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574"/>
        <w:gridCol w:w="3047"/>
        <w:gridCol w:w="45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74" w:type="dxa"/>
            <w:noWrap w:val="0"/>
            <w:vAlign w:val="center"/>
          </w:tcPr>
          <w:p>
            <w:pPr>
              <w:spacing w:line="240" w:lineRule="auto"/>
              <w:ind w:firstLine="0" w:firstLineChars="0"/>
              <w:jc w:val="center"/>
              <w:rPr>
                <w:rFonts w:ascii="Times New Roman" w:hAnsi="Times New Roman" w:eastAsia="宋体"/>
                <w:color w:val="auto"/>
                <w:sz w:val="21"/>
                <w:highlight w:val="none"/>
              </w:rPr>
            </w:pPr>
            <w:r>
              <w:rPr>
                <w:rFonts w:ascii="Times New Roman" w:hAnsi="Times New Roman" w:eastAsia="宋体"/>
                <w:color w:val="auto"/>
                <w:sz w:val="21"/>
                <w:highlight w:val="none"/>
              </w:rPr>
              <w:t>关于加快推进露天矿山综合整治工作实施意见</w:t>
            </w:r>
          </w:p>
        </w:tc>
        <w:tc>
          <w:tcPr>
            <w:tcW w:w="3047" w:type="dxa"/>
            <w:noWrap w:val="0"/>
            <w:vAlign w:val="center"/>
          </w:tcPr>
          <w:p>
            <w:pPr>
              <w:spacing w:line="240" w:lineRule="auto"/>
              <w:ind w:firstLine="0" w:firstLineChars="0"/>
              <w:jc w:val="center"/>
              <w:rPr>
                <w:rFonts w:ascii="Times New Roman" w:hAnsi="Times New Roman" w:eastAsia="宋体"/>
                <w:color w:val="auto"/>
                <w:sz w:val="21"/>
                <w:highlight w:val="none"/>
              </w:rPr>
            </w:pPr>
            <w:r>
              <w:rPr>
                <w:rFonts w:ascii="Times New Roman" w:hAnsi="Times New Roman" w:eastAsia="宋体"/>
                <w:color w:val="auto"/>
                <w:sz w:val="21"/>
                <w:highlight w:val="none"/>
              </w:rPr>
              <w:t>本项目情况</w:t>
            </w:r>
          </w:p>
        </w:tc>
        <w:tc>
          <w:tcPr>
            <w:tcW w:w="450" w:type="dxa"/>
            <w:noWrap w:val="0"/>
            <w:vAlign w:val="center"/>
          </w:tcPr>
          <w:p>
            <w:pPr>
              <w:spacing w:line="240" w:lineRule="auto"/>
              <w:ind w:firstLine="0" w:firstLineChars="0"/>
              <w:jc w:val="center"/>
              <w:rPr>
                <w:rFonts w:ascii="Times New Roman" w:hAnsi="Times New Roman" w:eastAsia="宋体"/>
                <w:color w:val="auto"/>
                <w:sz w:val="21"/>
                <w:highlight w:val="none"/>
              </w:rPr>
            </w:pPr>
            <w:r>
              <w:rPr>
                <w:rFonts w:ascii="Times New Roman" w:hAnsi="Times New Roman" w:eastAsia="宋体"/>
                <w:color w:val="auto"/>
                <w:sz w:val="21"/>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74" w:type="dxa"/>
            <w:noWrap w:val="0"/>
            <w:vAlign w:val="center"/>
          </w:tcPr>
          <w:p>
            <w:pPr>
              <w:spacing w:line="240" w:lineRule="auto"/>
              <w:ind w:firstLine="0" w:firstLineChars="0"/>
              <w:jc w:val="left"/>
              <w:rPr>
                <w:rFonts w:hint="eastAsia" w:ascii="Times New Roman" w:hAnsi="Times New Roman" w:eastAsia="宋体"/>
                <w:color w:val="auto"/>
                <w:sz w:val="21"/>
                <w:highlight w:val="none"/>
              </w:rPr>
            </w:pPr>
            <w:r>
              <w:rPr>
                <w:rFonts w:ascii="Times New Roman" w:hAnsi="Times New Roman" w:eastAsia="宋体"/>
                <w:color w:val="auto"/>
                <w:sz w:val="21"/>
                <w:highlight w:val="none"/>
              </w:rPr>
              <w:t>1、依法开展露天矿山综合整治。依法关闭违反资源环境法律法规、规划，污染环境、破坏生态、乱采滥挖的露天矿山；对污染治理不规范的露天矿山，依法责令停产整治，经相关部门组织验收合格后方可恢复生产，对拒不停产或 擅自恢复生产的依法强制关闭；对责任主体灭失的露天矿山，因地制宜加强修复绿化，减少和抑制大气扬尘。全面加强矸石山综合治理，消除自燃和冒烟现象</w:t>
            </w:r>
            <w:r>
              <w:rPr>
                <w:rFonts w:hint="eastAsia" w:ascii="Times New Roman" w:hAnsi="Times New Roman" w:eastAsia="宋体"/>
                <w:color w:val="auto"/>
                <w:sz w:val="21"/>
                <w:highlight w:val="none"/>
              </w:rPr>
              <w:t>。</w:t>
            </w:r>
          </w:p>
        </w:tc>
        <w:tc>
          <w:tcPr>
            <w:tcW w:w="3047" w:type="dxa"/>
            <w:noWrap w:val="0"/>
            <w:vAlign w:val="center"/>
          </w:tcPr>
          <w:p>
            <w:pPr>
              <w:spacing w:line="240" w:lineRule="auto"/>
              <w:ind w:firstLine="0" w:firstLineChars="0"/>
              <w:jc w:val="left"/>
              <w:rPr>
                <w:rFonts w:hint="eastAsia" w:ascii="Times New Roman" w:hAnsi="Times New Roman" w:eastAsia="宋体"/>
                <w:color w:val="auto"/>
                <w:sz w:val="21"/>
                <w:highlight w:val="none"/>
              </w:rPr>
            </w:pPr>
            <w:r>
              <w:rPr>
                <w:rFonts w:ascii="Times New Roman" w:hAnsi="Times New Roman" w:eastAsia="宋体"/>
                <w:color w:val="auto"/>
                <w:sz w:val="21"/>
                <w:highlight w:val="none"/>
              </w:rPr>
              <w:t>本项目不属于违反资源环境法律法规、规划，污染环境、破坏生态、乱采滥挖的露天矿山，</w:t>
            </w:r>
            <w:r>
              <w:rPr>
                <w:rFonts w:hint="eastAsia" w:ascii="Times New Roman" w:hAnsi="Times New Roman" w:eastAsia="宋体"/>
                <w:color w:val="auto"/>
                <w:sz w:val="21"/>
                <w:highlight w:val="none"/>
                <w:lang w:val="en-US" w:eastAsia="zh-CN"/>
              </w:rPr>
              <w:t>整合</w:t>
            </w:r>
            <w:r>
              <w:rPr>
                <w:rFonts w:ascii="Times New Roman" w:hAnsi="Times New Roman" w:eastAsia="宋体"/>
                <w:color w:val="auto"/>
                <w:sz w:val="21"/>
                <w:highlight w:val="none"/>
              </w:rPr>
              <w:t>后将实施以新带老措施整改，减少和抑制大气扬尘</w:t>
            </w:r>
            <w:r>
              <w:rPr>
                <w:rFonts w:hint="eastAsia" w:ascii="Times New Roman" w:hAnsi="Times New Roman" w:eastAsia="宋体"/>
                <w:color w:val="auto"/>
                <w:sz w:val="21"/>
                <w:highlight w:val="none"/>
              </w:rPr>
              <w:t>。</w:t>
            </w:r>
          </w:p>
        </w:tc>
        <w:tc>
          <w:tcPr>
            <w:tcW w:w="450" w:type="dxa"/>
            <w:noWrap w:val="0"/>
            <w:vAlign w:val="center"/>
          </w:tcPr>
          <w:p>
            <w:pPr>
              <w:spacing w:line="240" w:lineRule="auto"/>
              <w:ind w:firstLine="0" w:firstLineChars="0"/>
              <w:jc w:val="center"/>
              <w:rPr>
                <w:rFonts w:ascii="Times New Roman" w:hAnsi="Times New Roman" w:eastAsia="宋体"/>
                <w:color w:val="auto"/>
                <w:sz w:val="21"/>
                <w:highlight w:val="none"/>
              </w:rPr>
            </w:pPr>
            <w:r>
              <w:rPr>
                <w:rFonts w:ascii="Times New Roman" w:hAnsi="Times New Roman" w:eastAsia="宋体"/>
                <w:color w:val="auto"/>
                <w:sz w:val="21"/>
                <w:highlight w:val="none"/>
              </w:rPr>
              <w:t>符 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74" w:type="dxa"/>
            <w:noWrap w:val="0"/>
            <w:vAlign w:val="center"/>
          </w:tcPr>
          <w:p>
            <w:pPr>
              <w:spacing w:line="240" w:lineRule="auto"/>
              <w:ind w:firstLine="0" w:firstLineChars="0"/>
              <w:jc w:val="left"/>
              <w:rPr>
                <w:rFonts w:ascii="Times New Roman" w:hAnsi="Times New Roman" w:eastAsia="宋体"/>
                <w:color w:val="auto"/>
                <w:sz w:val="21"/>
                <w:highlight w:val="none"/>
              </w:rPr>
            </w:pPr>
            <w:r>
              <w:rPr>
                <w:rFonts w:ascii="Times New Roman" w:hAnsi="Times New Roman" w:eastAsia="宋体"/>
                <w:color w:val="auto"/>
                <w:sz w:val="21"/>
                <w:highlight w:val="none"/>
              </w:rPr>
              <w:t>2、加强露天矿山生态修复。按照“谁开采、谁治理，边开采、边治理”原则，引导矿山按照绿色矿山建设行业标准，以环境影响报告书及批复、矿山地质环境保护与土地复垦方案等要求，开展生态修复。对责任主体灭失的露天矿山，按照“谁治理、谁受益”的原则，充分发挥财政资金的引导带动作用，大力探索构建“政府主导、政策扶持、社会参与、开发式治理、市场化运作”的矿山地质环境恢复和综合治理新模式，加快生态修复进度。</w:t>
            </w:r>
          </w:p>
        </w:tc>
        <w:tc>
          <w:tcPr>
            <w:tcW w:w="3047" w:type="dxa"/>
            <w:noWrap w:val="0"/>
            <w:vAlign w:val="center"/>
          </w:tcPr>
          <w:p>
            <w:pPr>
              <w:spacing w:line="240" w:lineRule="auto"/>
              <w:ind w:firstLine="0" w:firstLineChars="0"/>
              <w:jc w:val="left"/>
              <w:rPr>
                <w:rFonts w:hint="eastAsia" w:ascii="Times New Roman" w:hAnsi="Times New Roman" w:eastAsia="宋体"/>
                <w:color w:val="auto"/>
                <w:sz w:val="21"/>
                <w:highlight w:val="none"/>
              </w:rPr>
            </w:pPr>
            <w:r>
              <w:rPr>
                <w:rFonts w:ascii="Times New Roman" w:hAnsi="Times New Roman" w:eastAsia="宋体"/>
                <w:color w:val="auto"/>
                <w:sz w:val="21"/>
                <w:highlight w:val="none"/>
              </w:rPr>
              <w:t>本矿山将按照绿色矿山建设行业标准，以环境影响报告书及批复、矿山地质环境保护与土地复垦方案等要求，开展生态修复</w:t>
            </w:r>
            <w:r>
              <w:rPr>
                <w:rFonts w:hint="eastAsia" w:ascii="Times New Roman" w:hAnsi="Times New Roman" w:eastAsia="宋体"/>
                <w:color w:val="auto"/>
                <w:sz w:val="21"/>
                <w:highlight w:val="none"/>
              </w:rPr>
              <w:t>。</w:t>
            </w:r>
          </w:p>
        </w:tc>
        <w:tc>
          <w:tcPr>
            <w:tcW w:w="450" w:type="dxa"/>
            <w:noWrap w:val="0"/>
            <w:vAlign w:val="center"/>
          </w:tcPr>
          <w:p>
            <w:pPr>
              <w:spacing w:line="240" w:lineRule="auto"/>
              <w:ind w:firstLine="0" w:firstLineChars="0"/>
              <w:jc w:val="center"/>
              <w:rPr>
                <w:rFonts w:ascii="Times New Roman" w:hAnsi="Times New Roman" w:eastAsia="宋体"/>
                <w:color w:val="auto"/>
                <w:sz w:val="21"/>
                <w:highlight w:val="none"/>
              </w:rPr>
            </w:pPr>
            <w:r>
              <w:rPr>
                <w:rFonts w:ascii="Times New Roman" w:hAnsi="Times New Roman" w:eastAsia="宋体"/>
                <w:color w:val="auto"/>
                <w:sz w:val="21"/>
                <w:highlight w:val="none"/>
              </w:rPr>
              <w:t>符 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jc w:val="center"/>
        </w:trPr>
        <w:tc>
          <w:tcPr>
            <w:tcW w:w="5574" w:type="dxa"/>
            <w:noWrap w:val="0"/>
            <w:vAlign w:val="center"/>
          </w:tcPr>
          <w:p>
            <w:pPr>
              <w:spacing w:line="240" w:lineRule="auto"/>
              <w:ind w:firstLine="0" w:firstLineChars="0"/>
              <w:jc w:val="left"/>
              <w:rPr>
                <w:rFonts w:ascii="Times New Roman" w:hAnsi="Times New Roman" w:eastAsia="宋体"/>
                <w:color w:val="auto"/>
                <w:sz w:val="21"/>
                <w:highlight w:val="none"/>
              </w:rPr>
            </w:pPr>
            <w:r>
              <w:rPr>
                <w:rFonts w:ascii="Times New Roman" w:hAnsi="Times New Roman" w:eastAsia="宋体"/>
                <w:color w:val="auto"/>
                <w:sz w:val="21"/>
                <w:highlight w:val="none"/>
              </w:rPr>
              <w:t>3、严格控制新建露天矿山建设项目。严格贯彻国发〔2018〕</w:t>
            </w:r>
          </w:p>
          <w:p>
            <w:pPr>
              <w:spacing w:line="240" w:lineRule="auto"/>
              <w:ind w:firstLine="0" w:firstLineChars="0"/>
              <w:jc w:val="left"/>
              <w:rPr>
                <w:rFonts w:ascii="Times New Roman" w:hAnsi="Times New Roman" w:eastAsia="宋体"/>
                <w:color w:val="auto"/>
                <w:sz w:val="21"/>
                <w:highlight w:val="none"/>
              </w:rPr>
            </w:pPr>
            <w:r>
              <w:rPr>
                <w:rFonts w:ascii="Times New Roman" w:hAnsi="Times New Roman" w:eastAsia="宋体"/>
                <w:color w:val="auto"/>
                <w:sz w:val="21"/>
                <w:highlight w:val="none"/>
              </w:rPr>
              <w:t>22 号文件有关要求，重点区域原则上禁止新建露天矿山建设项目，国发〔2018〕22 号文件下发前环境影响评价文件已经批复的重点区域露天矿山，确需建设的，在严格落实生态环境保护、矿产资源规划和绿色矿山建设行业标准等要求前提下可继续批准建设。其他区域新建露天矿山建设项目，也应严格执行生态环境保护、矿产资源规划和绿色矿山建设行业标准等要求。</w:t>
            </w:r>
          </w:p>
        </w:tc>
        <w:tc>
          <w:tcPr>
            <w:tcW w:w="3047" w:type="dxa"/>
            <w:noWrap w:val="0"/>
            <w:vAlign w:val="center"/>
          </w:tcPr>
          <w:p>
            <w:pPr>
              <w:spacing w:line="240" w:lineRule="auto"/>
              <w:ind w:firstLine="0" w:firstLineChars="0"/>
              <w:jc w:val="left"/>
              <w:rPr>
                <w:rFonts w:hint="eastAsia" w:ascii="Times New Roman" w:hAnsi="Times New Roman" w:eastAsia="宋体"/>
                <w:color w:val="auto"/>
                <w:sz w:val="21"/>
                <w:highlight w:val="none"/>
              </w:rPr>
            </w:pPr>
            <w:r>
              <w:rPr>
                <w:rFonts w:ascii="Times New Roman" w:hAnsi="Times New Roman" w:eastAsia="宋体"/>
                <w:color w:val="auto"/>
                <w:sz w:val="21"/>
                <w:highlight w:val="none"/>
              </w:rPr>
              <w:t>本项目原来已经办有采矿证，且已经开采多年，不属于新建，为</w:t>
            </w:r>
            <w:r>
              <w:rPr>
                <w:rFonts w:hint="eastAsia" w:ascii="Times New Roman" w:hAnsi="Times New Roman" w:eastAsia="宋体"/>
                <w:color w:val="auto"/>
                <w:sz w:val="21"/>
                <w:highlight w:val="none"/>
              </w:rPr>
              <w:t>矿山整合</w:t>
            </w:r>
            <w:r>
              <w:rPr>
                <w:rFonts w:ascii="Times New Roman" w:hAnsi="Times New Roman" w:eastAsia="宋体"/>
                <w:color w:val="auto"/>
                <w:sz w:val="21"/>
                <w:highlight w:val="none"/>
              </w:rPr>
              <w:t>项目，</w:t>
            </w:r>
            <w:r>
              <w:rPr>
                <w:rFonts w:hint="eastAsia" w:ascii="Times New Roman" w:hAnsi="Times New Roman" w:eastAsia="宋体"/>
                <w:color w:val="auto"/>
                <w:sz w:val="21"/>
                <w:highlight w:val="none"/>
              </w:rPr>
              <w:t>整合</w:t>
            </w:r>
            <w:r>
              <w:rPr>
                <w:rFonts w:ascii="Times New Roman" w:hAnsi="Times New Roman" w:eastAsia="宋体"/>
                <w:color w:val="auto"/>
                <w:sz w:val="21"/>
                <w:highlight w:val="none"/>
              </w:rPr>
              <w:t>后将严格执行生态环境保护、矿产资源规划和绿色矿山建设行业标准等要求进行生产</w:t>
            </w:r>
            <w:r>
              <w:rPr>
                <w:rFonts w:hint="eastAsia" w:ascii="Times New Roman" w:hAnsi="Times New Roman" w:eastAsia="宋体"/>
                <w:color w:val="auto"/>
                <w:sz w:val="21"/>
                <w:highlight w:val="none"/>
              </w:rPr>
              <w:t>。</w:t>
            </w:r>
          </w:p>
        </w:tc>
        <w:tc>
          <w:tcPr>
            <w:tcW w:w="450" w:type="dxa"/>
            <w:noWrap w:val="0"/>
            <w:vAlign w:val="center"/>
          </w:tcPr>
          <w:p>
            <w:pPr>
              <w:spacing w:line="240" w:lineRule="auto"/>
              <w:ind w:firstLine="0" w:firstLineChars="0"/>
              <w:jc w:val="center"/>
              <w:rPr>
                <w:rFonts w:ascii="Times New Roman" w:hAnsi="Times New Roman" w:eastAsia="宋体"/>
                <w:color w:val="auto"/>
                <w:sz w:val="21"/>
                <w:highlight w:val="none"/>
              </w:rPr>
            </w:pPr>
            <w:r>
              <w:rPr>
                <w:rFonts w:ascii="Times New Roman" w:hAnsi="Times New Roman" w:eastAsia="宋体"/>
                <w:color w:val="auto"/>
                <w:sz w:val="21"/>
                <w:highlight w:val="none"/>
              </w:rPr>
              <w:t>符 合</w:t>
            </w:r>
          </w:p>
        </w:tc>
      </w:tr>
    </w:tbl>
    <w:p>
      <w:pPr>
        <w:ind w:firstLine="480"/>
        <w:rPr>
          <w:rFonts w:hint="eastAsia" w:ascii="Times New Roman" w:hAnsi="Times New Roman" w:eastAsia="宋体"/>
          <w:color w:val="auto"/>
          <w:highlight w:val="none"/>
        </w:rPr>
      </w:pPr>
      <w:r>
        <w:rPr>
          <w:rFonts w:ascii="Times New Roman" w:hAnsi="Times New Roman" w:eastAsia="宋体"/>
          <w:color w:val="auto"/>
          <w:highlight w:val="none"/>
        </w:rPr>
        <w:t>本项目为</w:t>
      </w:r>
      <w:r>
        <w:rPr>
          <w:rFonts w:hint="eastAsia" w:ascii="Times New Roman" w:hAnsi="Times New Roman" w:eastAsia="宋体"/>
          <w:color w:val="auto"/>
          <w:highlight w:val="none"/>
        </w:rPr>
        <w:t>矿山整合</w:t>
      </w:r>
      <w:r>
        <w:rPr>
          <w:rFonts w:ascii="Times New Roman" w:hAnsi="Times New Roman" w:eastAsia="宋体"/>
          <w:color w:val="auto"/>
          <w:highlight w:val="none"/>
        </w:rPr>
        <w:t>项目，不属于新建项目，项目符合环保相关法律法规。</w:t>
      </w:r>
      <w:r>
        <w:rPr>
          <w:rFonts w:hint="eastAsia" w:ascii="Times New Roman" w:hAnsi="Times New Roman" w:eastAsia="宋体"/>
          <w:color w:val="auto"/>
          <w:highlight w:val="none"/>
        </w:rPr>
        <w:t>原2个采石场已经</w:t>
      </w:r>
      <w:r>
        <w:rPr>
          <w:rFonts w:ascii="Times New Roman" w:hAnsi="Times New Roman" w:eastAsia="宋体"/>
          <w:color w:val="auto"/>
          <w:highlight w:val="none"/>
        </w:rPr>
        <w:t>停产，恢复生产后严格按照开发利用方案进行开采，同时进行边开采变复垦，减轻对环境的影响。综上，本项目符合《关于加快推进露天矿山综合整治实施意见的函》的相关要</w:t>
      </w:r>
      <w:r>
        <w:rPr>
          <w:rFonts w:hint="eastAsia" w:ascii="Times New Roman" w:hAnsi="Times New Roman" w:eastAsia="宋体"/>
          <w:color w:val="auto"/>
          <w:highlight w:val="none"/>
        </w:rPr>
        <w:t>求。</w:t>
      </w:r>
    </w:p>
    <w:p>
      <w:pPr>
        <w:pStyle w:val="6"/>
        <w:bidi w:val="0"/>
        <w:rPr>
          <w:rFonts w:hint="default"/>
          <w:color w:val="auto"/>
          <w:highlight w:val="none"/>
          <w:lang w:val="en-US" w:eastAsia="zh-CN"/>
        </w:rPr>
      </w:pPr>
      <w:r>
        <w:rPr>
          <w:rFonts w:hint="eastAsia"/>
          <w:color w:val="auto"/>
          <w:highlight w:val="none"/>
        </w:rPr>
        <w:t xml:space="preserve">1.2.1.2 </w:t>
      </w:r>
      <w:r>
        <w:rPr>
          <w:color w:val="auto"/>
          <w:highlight w:val="none"/>
        </w:rPr>
        <w:t>生态功能区划</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根据《广西壮族自治区人民政府关于划分我区水土流失重点预防区和重点治理区的通告》（桂政发〔2017〕5号），</w:t>
      </w:r>
      <w:r>
        <w:rPr>
          <w:rFonts w:hint="eastAsia" w:ascii="Times New Roman" w:hAnsi="Times New Roman" w:eastAsia="宋体" w:cs="Times New Roman"/>
          <w:color w:val="auto"/>
          <w:szCs w:val="24"/>
          <w:highlight w:val="none"/>
        </w:rPr>
        <w:t>三江县</w:t>
      </w:r>
      <w:r>
        <w:rPr>
          <w:rFonts w:ascii="Times New Roman" w:hAnsi="Times New Roman" w:eastAsia="宋体" w:cs="Times New Roman"/>
          <w:color w:val="auto"/>
          <w:szCs w:val="24"/>
          <w:highlight w:val="none"/>
        </w:rPr>
        <w:t>划分为自治区级水土流失重点</w:t>
      </w:r>
      <w:r>
        <w:rPr>
          <w:rFonts w:hint="eastAsia" w:ascii="Times New Roman" w:hAnsi="Times New Roman" w:eastAsia="宋体" w:cs="Times New Roman"/>
          <w:color w:val="auto"/>
          <w:szCs w:val="24"/>
          <w:highlight w:val="none"/>
        </w:rPr>
        <w:t>预防区</w:t>
      </w:r>
      <w:r>
        <w:rPr>
          <w:rFonts w:ascii="Times New Roman" w:hAnsi="Times New Roman" w:eastAsia="宋体" w:cs="Times New Roman"/>
          <w:color w:val="auto"/>
          <w:szCs w:val="24"/>
          <w:highlight w:val="none"/>
        </w:rPr>
        <w:t>。</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根据《广西壮族自治区生态功能区划》（桂政办发〔2008〕8号），项目所属区域为</w:t>
      </w:r>
      <w:r>
        <w:rPr>
          <w:rFonts w:hint="eastAsia" w:ascii="Times New Roman" w:hAnsi="Times New Roman" w:eastAsia="宋体" w:cs="Times New Roman"/>
          <w:color w:val="auto"/>
          <w:szCs w:val="24"/>
          <w:highlight w:val="none"/>
        </w:rPr>
        <w:t>桂北山地水源涵养与生物多样性保护</w:t>
      </w:r>
      <w:r>
        <w:rPr>
          <w:rFonts w:ascii="Times New Roman" w:hAnsi="Times New Roman" w:eastAsia="宋体" w:cs="Times New Roman"/>
          <w:color w:val="auto"/>
          <w:szCs w:val="24"/>
          <w:highlight w:val="none"/>
        </w:rPr>
        <w:t>功能区（附图8）。该区域的生态服务功能主要是生态调节功能保护。</w:t>
      </w:r>
    </w:p>
    <w:p>
      <w:pPr>
        <w:ind w:firstLine="480"/>
        <w:rPr>
          <w:rFonts w:hint="eastAsia"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该区域生态保护主要方向与措施：</w:t>
      </w:r>
      <w:r>
        <w:rPr>
          <w:rFonts w:hint="eastAsia" w:ascii="Times New Roman" w:hAnsi="Times New Roman" w:eastAsia="宋体" w:cs="Times New Roman"/>
          <w:color w:val="auto"/>
          <w:szCs w:val="24"/>
          <w:highlight w:val="none"/>
        </w:rPr>
        <w:t>规划建立重要生态功能保护区，重点强化水源涵养和生物多样性保护生态功能。加强生态公益林建设，恢复与重建自然生态系统，加强自然保护区建设和管理，保持生物多样性，适度发展商品林；合理利用生态景观优势和生物资源优势，积极发展生态农业、有机农业和生态旅游等生态产业；控制森林资源开发利用强度；严格限制发展导致水体污染的产业；积极防治地质灾害。</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项目所属区域与生态规划协调性分析详见表1.2-</w:t>
      </w:r>
      <w:r>
        <w:rPr>
          <w:rFonts w:hint="eastAsia" w:ascii="Times New Roman" w:hAnsi="Times New Roman" w:eastAsia="宋体" w:cs="Times New Roman"/>
          <w:color w:val="auto"/>
          <w:szCs w:val="24"/>
          <w:highlight w:val="none"/>
        </w:rPr>
        <w:t>4</w:t>
      </w:r>
      <w:r>
        <w:rPr>
          <w:rFonts w:ascii="Times New Roman" w:hAnsi="Times New Roman" w:eastAsia="宋体" w:cs="Times New Roman"/>
          <w:color w:val="auto"/>
          <w:szCs w:val="24"/>
          <w:highlight w:val="none"/>
        </w:rPr>
        <w:t>。</w:t>
      </w:r>
    </w:p>
    <w:p>
      <w:pPr>
        <w:pStyle w:val="13"/>
        <w:rPr>
          <w:rFonts w:ascii="Times New Roman" w:hAnsi="Times New Roman" w:eastAsia="宋体"/>
          <w:color w:val="auto"/>
          <w:highlight w:val="none"/>
        </w:rPr>
      </w:pPr>
      <w:r>
        <w:rPr>
          <w:rFonts w:ascii="Times New Roman" w:hAnsi="Times New Roman" w:eastAsia="宋体"/>
          <w:color w:val="auto"/>
          <w:highlight w:val="none"/>
        </w:rPr>
        <w:t>表1.2-</w:t>
      </w:r>
      <w:r>
        <w:rPr>
          <w:rFonts w:hint="eastAsia" w:ascii="Times New Roman" w:hAnsi="Times New Roman" w:eastAsia="宋体"/>
          <w:color w:val="auto"/>
          <w:highlight w:val="none"/>
        </w:rPr>
        <w:t>4</w:t>
      </w:r>
      <w:r>
        <w:rPr>
          <w:rFonts w:ascii="Times New Roman" w:hAnsi="Times New Roman" w:eastAsia="宋体"/>
          <w:color w:val="auto"/>
          <w:highlight w:val="none"/>
        </w:rPr>
        <w:t xml:space="preserve"> 项目所在区域与生态规划的协调性分析一览表</w:t>
      </w:r>
    </w:p>
    <w:tbl>
      <w:tblPr>
        <w:tblStyle w:val="48"/>
        <w:tblW w:w="907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6201"/>
        <w:gridCol w:w="15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89"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名称</w:t>
            </w:r>
          </w:p>
        </w:tc>
        <w:tc>
          <w:tcPr>
            <w:tcW w:w="6201"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相关规定及内容</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协调性分析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89" w:type="dxa"/>
            <w:noWrap w:val="0"/>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《广西壮族自治区生态功能区划》</w:t>
            </w:r>
          </w:p>
        </w:tc>
        <w:tc>
          <w:tcPr>
            <w:tcW w:w="6201" w:type="dxa"/>
            <w:noWrap w:val="0"/>
            <w:vAlign w:val="center"/>
          </w:tcPr>
          <w:p>
            <w:pPr>
              <w:adjustRightInd w:val="0"/>
              <w:snapToGrid w:val="0"/>
              <w:spacing w:line="240" w:lineRule="auto"/>
              <w:ind w:firstLine="42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一</w:t>
            </w: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桂北山地水源涵养与生物多样性保护重要区</w:t>
            </w:r>
          </w:p>
          <w:p>
            <w:pPr>
              <w:adjustRightInd w:val="0"/>
              <w:snapToGrid w:val="0"/>
              <w:spacing w:line="240" w:lineRule="auto"/>
              <w:ind w:firstLine="420"/>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该区总面积 1.90 万平方公里，范围包括桂林市的资源县、龙胜县、全州县西北部、兴安县西北部、灵川县北部、临桂县北部和西部、永福县北部，柳州市的三江县、融水县北部和中部、融安县北部，河池市的罗城县北部、环江县东北部。区内分布有越城岭、猫儿山、大南山、天平山、摩天岭、大苗山、九万山等山地。</w:t>
            </w:r>
          </w:p>
          <w:p>
            <w:pPr>
              <w:adjustRightInd w:val="0"/>
              <w:snapToGrid w:val="0"/>
              <w:spacing w:line="240" w:lineRule="auto"/>
              <w:ind w:firstLine="420"/>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本区主导生态功能为水源涵养和生物多样性保护。该区域是漓江、资江、寻江、湘江、洛清江、都柳河、融江、龙江的源头区和水源涵养区，对保护这些流域的生态安全具有重要作用。该区域是中亚热带典型常绿阔叶林分布区域，珍稀物种资源丰富，是我国中亚热带地区的重要物种贮存库。有猫儿山、花坪、九万山等 3 个国家级自然保护区，有银竹老山、五福宝顶、建新、青狮潭、寿城、元宝山、泗涧山大鲵等7 个自治区级自然保护区。该区域是具有国际意义的生物多样性分布中心，对全球生物多样性的保护具有重要意义。</w:t>
            </w:r>
          </w:p>
          <w:p>
            <w:pPr>
              <w:adjustRightInd w:val="0"/>
              <w:snapToGrid w:val="0"/>
              <w:spacing w:line="240" w:lineRule="auto"/>
              <w:ind w:firstLine="42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主要生态</w:t>
            </w:r>
            <w:r>
              <w:rPr>
                <w:rFonts w:hint="eastAsia" w:ascii="Times New Roman" w:hAnsi="Times New Roman" w:eastAsia="宋体" w:cs="Times New Roman"/>
                <w:color w:val="auto"/>
                <w:sz w:val="21"/>
                <w:highlight w:val="none"/>
              </w:rPr>
              <w:t>环境</w:t>
            </w:r>
            <w:r>
              <w:rPr>
                <w:rFonts w:ascii="Times New Roman" w:hAnsi="Times New Roman" w:eastAsia="宋体" w:cs="Times New Roman"/>
                <w:color w:val="auto"/>
                <w:sz w:val="21"/>
                <w:highlight w:val="none"/>
              </w:rPr>
              <w:t>问题：</w:t>
            </w:r>
            <w:r>
              <w:rPr>
                <w:rFonts w:hint="eastAsia" w:ascii="Times New Roman" w:hAnsi="Times New Roman" w:eastAsia="宋体" w:cs="Times New Roman"/>
                <w:color w:val="auto"/>
                <w:sz w:val="21"/>
                <w:highlight w:val="none"/>
              </w:rPr>
              <w:t>天然阔叶林面积减少，人工纯林、经济果木林增多，森林质量降低，水源涵养功能减弱，旱季江河水量锐减；雨季局部区域山洪、泥石流、滑坡等灾害多发；坡耕地水土流失较严重；生物多样性受损严重；城镇生活污染物排放对江河水质影响较大</w:t>
            </w:r>
            <w:r>
              <w:rPr>
                <w:rFonts w:ascii="Times New Roman" w:hAnsi="Times New Roman" w:eastAsia="宋体" w:cs="Times New Roman"/>
                <w:color w:val="auto"/>
                <w:sz w:val="21"/>
                <w:highlight w:val="none"/>
              </w:rPr>
              <w:t>。</w:t>
            </w:r>
          </w:p>
          <w:p>
            <w:pPr>
              <w:adjustRightInd w:val="0"/>
              <w:snapToGrid w:val="0"/>
              <w:spacing w:line="240" w:lineRule="auto"/>
              <w:ind w:firstLine="42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生态保护</w:t>
            </w:r>
            <w:r>
              <w:rPr>
                <w:rFonts w:hint="eastAsia" w:ascii="Times New Roman" w:hAnsi="Times New Roman" w:eastAsia="宋体" w:cs="Times New Roman"/>
                <w:color w:val="auto"/>
                <w:sz w:val="21"/>
                <w:highlight w:val="none"/>
              </w:rPr>
              <w:t>和建设的重点</w:t>
            </w: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加强自然植被特别是水源涵养林的保护和恢复，保护生态系统的完整性，提高水源涵养生态服务功能；继续开展退耕还林、封山育林和水土流失治理；加强自然保护区建设和管理，加大建设基金的投入，保护生物多样性；积极防治地质灾害；加大城镇生活污染治理力度；控制森林资源开发利用强度；调整产业结构与生产布局，发展生态旅游、绿色食品、有机食品等生态产业，严格限制导致水体污染的产业</w:t>
            </w:r>
            <w:r>
              <w:rPr>
                <w:rFonts w:ascii="Times New Roman" w:hAnsi="Times New Roman" w:eastAsia="宋体" w:cs="Times New Roman"/>
                <w:color w:val="auto"/>
                <w:sz w:val="21"/>
                <w:highlight w:val="none"/>
              </w:rPr>
              <w:t>。</w:t>
            </w:r>
          </w:p>
        </w:tc>
        <w:tc>
          <w:tcPr>
            <w:tcW w:w="1581" w:type="dxa"/>
            <w:noWrap w:val="0"/>
            <w:vAlign w:val="center"/>
          </w:tcPr>
          <w:p>
            <w:pPr>
              <w:adjustRightInd w:val="0"/>
              <w:snapToGrid w:val="0"/>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u w:val="single"/>
              </w:rPr>
              <w:t>项目</w:t>
            </w:r>
            <w:r>
              <w:rPr>
                <w:rFonts w:hint="eastAsia" w:ascii="Times New Roman" w:hAnsi="Times New Roman" w:eastAsia="宋体" w:cs="Times New Roman"/>
                <w:color w:val="auto"/>
                <w:sz w:val="21"/>
                <w:highlight w:val="none"/>
                <w:u w:val="single"/>
                <w:lang w:val="en-US" w:eastAsia="zh-CN"/>
              </w:rPr>
              <w:t>矿山红线及临时用地范围内不属于禁止和限制开发区，</w:t>
            </w:r>
            <w:r>
              <w:rPr>
                <w:rFonts w:ascii="Times New Roman" w:hAnsi="Times New Roman" w:eastAsia="宋体" w:cs="Times New Roman"/>
                <w:color w:val="auto"/>
                <w:sz w:val="21"/>
                <w:highlight w:val="none"/>
                <w:u w:val="single"/>
              </w:rPr>
              <w:t>矿山已</w:t>
            </w:r>
            <w:r>
              <w:rPr>
                <w:rFonts w:hint="eastAsia" w:ascii="Times New Roman" w:hAnsi="Times New Roman" w:eastAsia="宋体" w:cs="Times New Roman"/>
                <w:color w:val="auto"/>
                <w:sz w:val="21"/>
                <w:highlight w:val="none"/>
                <w:u w:val="single"/>
              </w:rPr>
              <w:t>委托相关单位编制</w:t>
            </w:r>
            <w:r>
              <w:rPr>
                <w:rFonts w:hint="eastAsia" w:ascii="Times New Roman" w:hAnsi="Times New Roman" w:eastAsia="宋体" w:cs="Times New Roman"/>
                <w:color w:val="auto"/>
                <w:sz w:val="21"/>
                <w:highlight w:val="none"/>
                <w:u w:val="single"/>
                <w:lang w:val="en-US" w:eastAsia="zh-CN"/>
              </w:rPr>
              <w:t>矿山</w:t>
            </w:r>
            <w:r>
              <w:rPr>
                <w:rFonts w:ascii="Times New Roman" w:hAnsi="Times New Roman" w:eastAsia="宋体" w:cs="Times New Roman"/>
                <w:color w:val="auto"/>
                <w:sz w:val="21"/>
                <w:highlight w:val="none"/>
                <w:u w:val="single"/>
              </w:rPr>
              <w:t>水土保持方案</w:t>
            </w:r>
            <w:r>
              <w:rPr>
                <w:rFonts w:hint="eastAsia" w:ascii="Times New Roman" w:hAnsi="Times New Roman" w:eastAsia="宋体" w:cs="Times New Roman"/>
                <w:color w:val="auto"/>
                <w:sz w:val="21"/>
                <w:highlight w:val="none"/>
                <w:u w:val="single"/>
                <w:lang w:val="en-US" w:eastAsia="zh-CN"/>
              </w:rPr>
              <w:t>并制定土地复垦方案</w:t>
            </w:r>
            <w:r>
              <w:rPr>
                <w:rFonts w:ascii="Times New Roman" w:hAnsi="Times New Roman" w:eastAsia="宋体" w:cs="Times New Roman"/>
                <w:color w:val="auto"/>
                <w:sz w:val="21"/>
                <w:highlight w:val="none"/>
                <w:u w:val="single"/>
              </w:rPr>
              <w:t>，开采过程严格按照方案要求做好水土保持措施</w:t>
            </w:r>
            <w:r>
              <w:rPr>
                <w:rFonts w:hint="eastAsia" w:ascii="Times New Roman" w:hAnsi="Times New Roman" w:eastAsia="宋体" w:cs="Times New Roman"/>
                <w:color w:val="auto"/>
                <w:sz w:val="21"/>
                <w:highlight w:val="none"/>
                <w:u w:val="single"/>
                <w:lang w:eastAsia="zh-CN"/>
              </w:rPr>
              <w:t>，</w:t>
            </w:r>
            <w:r>
              <w:rPr>
                <w:rFonts w:hint="eastAsia" w:ascii="Times New Roman" w:hAnsi="Times New Roman" w:eastAsia="宋体" w:cs="Times New Roman"/>
                <w:color w:val="auto"/>
                <w:sz w:val="21"/>
                <w:highlight w:val="none"/>
                <w:u w:val="single"/>
                <w:lang w:val="en-US" w:eastAsia="zh-CN"/>
              </w:rPr>
              <w:t>闭矿后及时复垦，</w:t>
            </w:r>
            <w:r>
              <w:rPr>
                <w:rFonts w:ascii="Times New Roman" w:hAnsi="Times New Roman" w:eastAsia="宋体" w:cs="Times New Roman"/>
                <w:color w:val="auto"/>
                <w:sz w:val="21"/>
                <w:highlight w:val="none"/>
                <w:u w:val="single"/>
              </w:rPr>
              <w:t>可将</w:t>
            </w:r>
            <w:r>
              <w:rPr>
                <w:rFonts w:hint="eastAsia" w:ascii="Times New Roman" w:hAnsi="Times New Roman" w:eastAsia="宋体" w:cs="Times New Roman"/>
                <w:color w:val="auto"/>
                <w:sz w:val="21"/>
                <w:highlight w:val="none"/>
                <w:u w:val="single"/>
                <w:lang w:val="en-US" w:eastAsia="zh-CN"/>
              </w:rPr>
              <w:t>开采过程造成的</w:t>
            </w:r>
            <w:r>
              <w:rPr>
                <w:rFonts w:ascii="Times New Roman" w:hAnsi="Times New Roman" w:eastAsia="宋体" w:cs="Times New Roman"/>
                <w:color w:val="auto"/>
                <w:sz w:val="21"/>
                <w:highlight w:val="none"/>
                <w:u w:val="single"/>
              </w:rPr>
              <w:t>水土流失影响降至最低</w:t>
            </w:r>
            <w:r>
              <w:rPr>
                <w:rFonts w:hint="eastAsia" w:ascii="Times New Roman" w:hAnsi="Times New Roman" w:eastAsia="宋体" w:cs="Times New Roman"/>
                <w:color w:val="auto"/>
                <w:sz w:val="21"/>
                <w:highlight w:val="none"/>
                <w:u w:val="single"/>
                <w:lang w:eastAsia="zh-CN"/>
              </w:rPr>
              <w:t>，</w:t>
            </w:r>
            <w:r>
              <w:rPr>
                <w:rFonts w:hint="eastAsia" w:ascii="Times New Roman" w:hAnsi="Times New Roman" w:eastAsia="宋体" w:cs="Times New Roman"/>
                <w:color w:val="auto"/>
                <w:sz w:val="21"/>
                <w:highlight w:val="none"/>
                <w:u w:val="single"/>
                <w:lang w:val="en-US" w:eastAsia="zh-CN"/>
              </w:rPr>
              <w:t>闭矿后及时复垦，可与</w:t>
            </w:r>
            <w:r>
              <w:rPr>
                <w:rFonts w:ascii="Times New Roman" w:hAnsi="Times New Roman" w:eastAsia="宋体" w:cs="Times New Roman"/>
                <w:color w:val="auto"/>
                <w:sz w:val="21"/>
                <w:highlight w:val="none"/>
                <w:u w:val="single"/>
              </w:rPr>
              <w:t>《广西壮族自治区生态功能区划》</w:t>
            </w:r>
            <w:r>
              <w:rPr>
                <w:rFonts w:hint="eastAsia" w:ascii="Times New Roman" w:hAnsi="Times New Roman" w:eastAsia="宋体" w:cs="Times New Roman"/>
                <w:color w:val="auto"/>
                <w:sz w:val="21"/>
                <w:highlight w:val="none"/>
                <w:u w:val="single"/>
                <w:lang w:val="en-US" w:eastAsia="zh-CN"/>
              </w:rPr>
              <w:t>中</w:t>
            </w:r>
            <w:r>
              <w:rPr>
                <w:rFonts w:ascii="Times New Roman" w:hAnsi="Times New Roman" w:eastAsia="宋体" w:cs="Times New Roman"/>
                <w:color w:val="auto"/>
                <w:sz w:val="21"/>
                <w:highlight w:val="none"/>
                <w:u w:val="single"/>
              </w:rPr>
              <w:t>生态保护</w:t>
            </w:r>
            <w:r>
              <w:rPr>
                <w:rFonts w:hint="eastAsia" w:ascii="Times New Roman" w:hAnsi="Times New Roman" w:eastAsia="宋体" w:cs="Times New Roman"/>
                <w:color w:val="auto"/>
                <w:sz w:val="21"/>
                <w:highlight w:val="none"/>
                <w:u w:val="single"/>
              </w:rPr>
              <w:t>和建设的重点</w:t>
            </w:r>
            <w:r>
              <w:rPr>
                <w:rFonts w:hint="eastAsia" w:ascii="Times New Roman" w:hAnsi="Times New Roman" w:eastAsia="宋体" w:cs="Times New Roman"/>
                <w:color w:val="auto"/>
                <w:sz w:val="21"/>
                <w:highlight w:val="none"/>
                <w:u w:val="single"/>
                <w:lang w:val="en-US" w:eastAsia="zh-CN"/>
              </w:rPr>
              <w:t>方向相协调</w:t>
            </w:r>
            <w:r>
              <w:rPr>
                <w:rFonts w:ascii="Times New Roman" w:hAnsi="Times New Roman" w:eastAsia="宋体" w:cs="Times New Roman"/>
                <w:color w:val="auto"/>
                <w:sz w:val="21"/>
                <w:highlight w:val="none"/>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89" w:type="dxa"/>
            <w:noWrap w:val="0"/>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《生态广西建设规划纲要（2006-2025年）》</w:t>
            </w:r>
          </w:p>
        </w:tc>
        <w:tc>
          <w:tcPr>
            <w:tcW w:w="6201" w:type="dxa"/>
            <w:noWrap w:val="0"/>
            <w:vAlign w:val="center"/>
          </w:tcPr>
          <w:p>
            <w:pPr>
              <w:adjustRightInd w:val="0"/>
              <w:snapToGrid w:val="0"/>
              <w:spacing w:line="240" w:lineRule="auto"/>
              <w:ind w:firstLine="42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以全区生态功能区划研究成果为依据，将全区划分为8个生态区。根据各生态区的区位特征、自然生态特点、主导生态功能及主要生态问题、资源环境承载力、开发现状及发展潜力等，明确其产业发展方向和生态保护与建设重点。</w:t>
            </w:r>
          </w:p>
          <w:p>
            <w:pPr>
              <w:adjustRightInd w:val="0"/>
              <w:snapToGrid w:val="0"/>
              <w:spacing w:line="240" w:lineRule="auto"/>
              <w:ind w:firstLine="420"/>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（一）桂东北山地丘陵生态区</w:t>
            </w:r>
          </w:p>
          <w:p>
            <w:pPr>
              <w:adjustRightInd w:val="0"/>
              <w:snapToGrid w:val="0"/>
              <w:spacing w:line="240" w:lineRule="auto"/>
              <w:ind w:firstLine="42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 主要特征</w:t>
            </w:r>
          </w:p>
          <w:p>
            <w:pPr>
              <w:adjustRightInd w:val="0"/>
              <w:snapToGrid w:val="0"/>
              <w:spacing w:line="240" w:lineRule="auto"/>
              <w:ind w:firstLine="420"/>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本区包括桂林市、贺州市所辖区县，梧州市的蒙山县，来宾市的金秀县和柳州市的</w:t>
            </w:r>
            <w:r>
              <w:rPr>
                <w:rFonts w:hint="eastAsia" w:ascii="Times New Roman" w:hAnsi="Times New Roman" w:eastAsia="宋体" w:cs="Times New Roman"/>
                <w:b/>
                <w:bCs/>
                <w:color w:val="auto"/>
                <w:sz w:val="21"/>
                <w:highlight w:val="none"/>
              </w:rPr>
              <w:t>三江</w:t>
            </w:r>
            <w:r>
              <w:rPr>
                <w:rFonts w:hint="eastAsia" w:ascii="Times New Roman" w:hAnsi="Times New Roman" w:eastAsia="宋体" w:cs="Times New Roman"/>
                <w:color w:val="auto"/>
                <w:sz w:val="21"/>
                <w:highlight w:val="none"/>
              </w:rPr>
              <w:t>、融水、融安等县，总面积53155.69平方公里，占全区陆地总面积的22.36%.区内山地面积大，高海拔的山地多，山地间交错分布有较大面积的谷地；雨量丰富，四季分明。自然生态系统相对保持较好，是全区森林覆盖率最高、森林质量最好的区域，是桂江、柳江、湘江、资江等重要江河的源头区，生物多样性丰富，已建有23个自然保护区，生态功能地位十分重要。旅游资源和农林资源优势突出，特色鲜明，具有著名的漓江风景名胜区等多处景区（点），是我区重要的粮、果、林基地，发展生态旅游业和特色农林业极具潜力。该区的主导生态功能是：保持和提高江河源头水涵养能力，增强水调蓄功能，保持水土，维护生物多样性。面临的主要生态环境问题是：天然林面积减少，森林质量降低，水源涵养功能减弱，特别是旱季漓江等江河水量锐减；雨季局部区域山洪、泥石流、滑坡等灾害多发；城镇生活污染物排放对江河水质影响较大</w:t>
            </w:r>
            <w:r>
              <w:rPr>
                <w:rFonts w:ascii="Times New Roman" w:hAnsi="Times New Roman" w:eastAsia="宋体" w:cs="Times New Roman"/>
                <w:color w:val="auto"/>
                <w:sz w:val="21"/>
                <w:highlight w:val="none"/>
              </w:rPr>
              <w:t>。</w:t>
            </w:r>
          </w:p>
          <w:p>
            <w:pPr>
              <w:adjustRightInd w:val="0"/>
              <w:snapToGrid w:val="0"/>
              <w:spacing w:line="240" w:lineRule="auto"/>
              <w:ind w:firstLine="42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 发展方向与保护建设重点</w:t>
            </w:r>
          </w:p>
          <w:p>
            <w:pPr>
              <w:adjustRightInd w:val="0"/>
              <w:snapToGrid w:val="0"/>
              <w:spacing w:line="240" w:lineRule="auto"/>
              <w:ind w:firstLine="420"/>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本生态区重点发展以高新技术产业为主体的现代工业，以旅游为主导的第三产业，以高效农业、生态农业、观光农业为特点的现代农业。控制森林资源开发利用强度，严格限制发展污染物排放强度大的产业。生态保护和建设的重点是：加强自然植被特别是水源涵养林的保护和恢复，建立重要生态功能保护区，维护生态系统的完整性，提高水源涵养生态服务功能；继续开展退耕还林还草、封山育林和水土流失治理；加强自然保护区建设和管理，保持生物多样性；积极防治地质灾害；积极调整、优化工业结构和布局，加大火电、造纸、建材等行业污染、农业面源污染和城镇生活污染治理力度，重点加强漓江综合整治及水生态修复</w:t>
            </w:r>
            <w:r>
              <w:rPr>
                <w:rFonts w:ascii="Times New Roman" w:hAnsi="Times New Roman" w:eastAsia="宋体" w:cs="Times New Roman"/>
                <w:color w:val="auto"/>
                <w:sz w:val="21"/>
                <w:highlight w:val="none"/>
              </w:rPr>
              <w:t>。</w:t>
            </w:r>
          </w:p>
        </w:tc>
        <w:tc>
          <w:tcPr>
            <w:tcW w:w="1581" w:type="dxa"/>
            <w:noWrap w:val="0"/>
            <w:vAlign w:val="center"/>
          </w:tcPr>
          <w:p>
            <w:pPr>
              <w:adjustRightInd w:val="0"/>
              <w:snapToGrid w:val="0"/>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u w:val="single"/>
              </w:rPr>
              <w:t>项目位于</w:t>
            </w:r>
            <w:r>
              <w:rPr>
                <w:rFonts w:hint="eastAsia" w:ascii="Times New Roman" w:hAnsi="Times New Roman" w:eastAsia="宋体" w:cs="Times New Roman"/>
                <w:color w:val="auto"/>
                <w:sz w:val="21"/>
                <w:highlight w:val="none"/>
                <w:u w:val="single"/>
              </w:rPr>
              <w:t>三江县</w:t>
            </w:r>
            <w:r>
              <w:rPr>
                <w:rFonts w:ascii="Times New Roman" w:hAnsi="Times New Roman" w:eastAsia="宋体" w:cs="Times New Roman"/>
                <w:color w:val="auto"/>
                <w:sz w:val="21"/>
                <w:highlight w:val="none"/>
                <w:u w:val="single"/>
              </w:rPr>
              <w:t>，</w:t>
            </w:r>
            <w:r>
              <w:rPr>
                <w:rFonts w:hint="eastAsia" w:ascii="Times New Roman" w:hAnsi="Times New Roman" w:eastAsia="宋体" w:cs="Times New Roman"/>
                <w:color w:val="auto"/>
                <w:sz w:val="21"/>
                <w:highlight w:val="none"/>
                <w:u w:val="single"/>
              </w:rPr>
              <w:t>自然生态系统相对保持较好</w:t>
            </w:r>
            <w:r>
              <w:rPr>
                <w:rFonts w:ascii="Times New Roman" w:hAnsi="Times New Roman" w:eastAsia="宋体" w:cs="Times New Roman"/>
                <w:color w:val="auto"/>
                <w:sz w:val="21"/>
                <w:highlight w:val="none"/>
                <w:u w:val="single"/>
              </w:rPr>
              <w:t>。矿山已</w:t>
            </w:r>
            <w:r>
              <w:rPr>
                <w:rFonts w:hint="eastAsia" w:ascii="Times New Roman" w:hAnsi="Times New Roman" w:eastAsia="宋体" w:cs="Times New Roman"/>
                <w:color w:val="auto"/>
                <w:sz w:val="21"/>
                <w:highlight w:val="none"/>
                <w:u w:val="single"/>
              </w:rPr>
              <w:t>委托相关单位编制</w:t>
            </w:r>
            <w:r>
              <w:rPr>
                <w:rFonts w:hint="eastAsia" w:ascii="Times New Roman" w:hAnsi="Times New Roman" w:eastAsia="宋体" w:cs="Times New Roman"/>
                <w:color w:val="auto"/>
                <w:sz w:val="21"/>
                <w:highlight w:val="none"/>
                <w:u w:val="single"/>
                <w:lang w:val="en-US" w:eastAsia="zh-CN"/>
              </w:rPr>
              <w:t>矿山</w:t>
            </w:r>
            <w:r>
              <w:rPr>
                <w:rFonts w:ascii="Times New Roman" w:hAnsi="Times New Roman" w:eastAsia="宋体" w:cs="Times New Roman"/>
                <w:color w:val="auto"/>
                <w:sz w:val="21"/>
                <w:highlight w:val="none"/>
                <w:u w:val="single"/>
              </w:rPr>
              <w:t>水土保持方案</w:t>
            </w:r>
            <w:r>
              <w:rPr>
                <w:rFonts w:hint="eastAsia" w:ascii="Times New Roman" w:hAnsi="Times New Roman" w:eastAsia="宋体" w:cs="Times New Roman"/>
                <w:color w:val="auto"/>
                <w:sz w:val="21"/>
                <w:highlight w:val="none"/>
                <w:u w:val="single"/>
                <w:lang w:val="en-US" w:eastAsia="zh-CN"/>
              </w:rPr>
              <w:t>并制定土地复垦方案</w:t>
            </w:r>
            <w:r>
              <w:rPr>
                <w:rFonts w:ascii="Times New Roman" w:hAnsi="Times New Roman" w:eastAsia="宋体" w:cs="Times New Roman"/>
                <w:color w:val="auto"/>
                <w:sz w:val="21"/>
                <w:highlight w:val="none"/>
                <w:u w:val="single"/>
              </w:rPr>
              <w:t>，开采过程严格按照方案要求做好水土保持措施</w:t>
            </w:r>
            <w:r>
              <w:rPr>
                <w:rFonts w:hint="eastAsia" w:ascii="Times New Roman" w:hAnsi="Times New Roman" w:eastAsia="宋体" w:cs="Times New Roman"/>
                <w:color w:val="auto"/>
                <w:sz w:val="21"/>
                <w:highlight w:val="none"/>
                <w:u w:val="single"/>
                <w:lang w:eastAsia="zh-CN"/>
              </w:rPr>
              <w:t>，</w:t>
            </w:r>
            <w:r>
              <w:rPr>
                <w:rFonts w:hint="eastAsia" w:ascii="Times New Roman" w:hAnsi="Times New Roman" w:eastAsia="宋体" w:cs="Times New Roman"/>
                <w:color w:val="auto"/>
                <w:sz w:val="21"/>
                <w:highlight w:val="none"/>
                <w:u w:val="single"/>
                <w:lang w:val="en-US" w:eastAsia="zh-CN"/>
              </w:rPr>
              <w:t>闭矿后及时复垦，</w:t>
            </w:r>
            <w:r>
              <w:rPr>
                <w:rFonts w:ascii="Times New Roman" w:hAnsi="Times New Roman" w:eastAsia="宋体" w:cs="Times New Roman"/>
                <w:bCs/>
                <w:color w:val="auto"/>
                <w:sz w:val="21"/>
                <w:highlight w:val="none"/>
                <w:u w:val="single"/>
              </w:rPr>
              <w:t>可与</w:t>
            </w:r>
            <w:r>
              <w:rPr>
                <w:rFonts w:ascii="Times New Roman" w:hAnsi="Times New Roman" w:eastAsia="宋体" w:cs="Times New Roman"/>
                <w:color w:val="auto"/>
                <w:sz w:val="21"/>
                <w:highlight w:val="none"/>
                <w:u w:val="single"/>
              </w:rPr>
              <w:t>《生态广西建设规划纲要（2006-2025年）》相协调。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89" w:type="dxa"/>
            <w:noWrap w:val="0"/>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《广西环境保护和生态建设“十三五”规划》</w:t>
            </w:r>
          </w:p>
        </w:tc>
        <w:tc>
          <w:tcPr>
            <w:tcW w:w="6201" w:type="dxa"/>
            <w:noWrap w:val="0"/>
            <w:vAlign w:val="center"/>
          </w:tcPr>
          <w:p>
            <w:pPr>
              <w:numPr>
                <w:ilvl w:val="0"/>
                <w:numId w:val="3"/>
              </w:numPr>
              <w:adjustRightInd w:val="0"/>
              <w:snapToGrid w:val="0"/>
              <w:spacing w:line="240" w:lineRule="auto"/>
              <w:ind w:firstLine="42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强化空间管控，优化分区管理</w:t>
            </w:r>
          </w:p>
          <w:p>
            <w:pPr>
              <w:adjustRightInd w:val="0"/>
              <w:snapToGrid w:val="0"/>
              <w:spacing w:line="240" w:lineRule="auto"/>
              <w:ind w:firstLine="420"/>
              <w:rPr>
                <w:rFonts w:ascii="Times New Roman" w:hAnsi="Times New Roman" w:eastAsia="宋体" w:cs="Times New Roman"/>
                <w:b/>
                <w:bCs/>
                <w:color w:val="auto"/>
                <w:sz w:val="21"/>
                <w:highlight w:val="none"/>
              </w:rPr>
            </w:pPr>
            <w:r>
              <w:rPr>
                <w:rFonts w:ascii="Times New Roman" w:hAnsi="Times New Roman" w:eastAsia="宋体" w:cs="Times New Roman"/>
                <w:color w:val="auto"/>
                <w:sz w:val="21"/>
                <w:highlight w:val="none"/>
              </w:rPr>
              <w:t>第二节 基于生态承载力，优化区域产业布局</w:t>
            </w:r>
          </w:p>
          <w:p>
            <w:pPr>
              <w:adjustRightInd w:val="0"/>
              <w:snapToGrid w:val="0"/>
              <w:spacing w:line="240" w:lineRule="auto"/>
              <w:ind w:firstLine="42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二、优化区域产业布局</w:t>
            </w:r>
          </w:p>
          <w:p>
            <w:pPr>
              <w:adjustRightInd w:val="0"/>
              <w:snapToGrid w:val="0"/>
              <w:spacing w:line="240" w:lineRule="auto"/>
              <w:ind w:firstLine="42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依据资源环境承载力，制定实施区域差别化产业政策和环境准入政策，实行区域产业负面清单管理模式，优化调整产业结构和布局。</w:t>
            </w:r>
          </w:p>
          <w:p>
            <w:pPr>
              <w:adjustRightInd w:val="0"/>
              <w:snapToGrid w:val="0"/>
              <w:spacing w:line="240" w:lineRule="auto"/>
              <w:ind w:firstLine="42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重点生态功能区。制定出台重点生态功能区限制和禁止类产业目录、鼓励发展产业清单、产业准入和环境标准要求，加强产业政策和环境准入的引导与约束作用，严格限制“两高一资”产业在重点生态功能区的布局，鼓励发展生态保护型旅游业，在水源涵养区禁止钢铁、造纸等高耗水产业的布局，在生态敏感、生态脆弱区域和重要水土保持生态功能区限制煤炭、矿山开采等土地消耗和易造成生态破坏产业的发展，在重要生物多样性维护区禁止大规模水电开发和林浆纸一体化产业发展，严格限制破坏生态的项目布局。</w:t>
            </w:r>
          </w:p>
          <w:p>
            <w:pPr>
              <w:numPr>
                <w:ilvl w:val="0"/>
                <w:numId w:val="4"/>
              </w:numPr>
              <w:adjustRightInd w:val="0"/>
              <w:snapToGrid w:val="0"/>
              <w:spacing w:line="240" w:lineRule="auto"/>
              <w:ind w:firstLine="42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 xml:space="preserve">加强保护修复，构建生态安全格局 </w:t>
            </w:r>
          </w:p>
          <w:p>
            <w:pPr>
              <w:numPr>
                <w:ilvl w:val="0"/>
                <w:numId w:val="5"/>
              </w:numPr>
              <w:adjustRightInd w:val="0"/>
              <w:snapToGrid w:val="0"/>
              <w:spacing w:line="240" w:lineRule="auto"/>
              <w:ind w:firstLine="42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强化重点区域生态保护，构建生态安全屏障</w:t>
            </w:r>
          </w:p>
          <w:p>
            <w:pPr>
              <w:pStyle w:val="42"/>
              <w:widowControl/>
              <w:spacing w:line="240" w:lineRule="auto"/>
              <w:ind w:firstLine="42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三、加强重点生态功能区生态环境保护</w:t>
            </w:r>
          </w:p>
          <w:p>
            <w:pPr>
              <w:pStyle w:val="42"/>
              <w:widowControl/>
              <w:spacing w:line="240" w:lineRule="auto"/>
              <w:ind w:firstLine="42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严守生态保护红线，合理控制开发强度，加强产业发展引导，建立重点生态功能区产业发展负面清单，提高生态环境准入门槛，探索重点生态功能区生态环境保护和管理的新模式，形成节约资源和保护环境的产业结构、生产方式和生活方式。加快桂林国际旅游胜地、北部湾国际旅游度假区、巴马长寿养生国际旅游区、南北旅游发展带、西江(东西)旅游发展带以及边关风情旅游带建设，加强各重点生态功能区生态保护和建设，实施石漠化综合治理和植被恢复，控制水土流失，增强涵养水源，保护生物多样性，提高生态产品供应能力。加强对重点生态功能区生态功能调查、评估与监测，完善生态监测网络。到2020年，重点生态功能区所属县域生态环境综合指数保持65.28以上。</w:t>
            </w:r>
          </w:p>
        </w:tc>
        <w:tc>
          <w:tcPr>
            <w:tcW w:w="1581" w:type="dxa"/>
            <w:noWrap w:val="0"/>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项目不属于《广西16个国家重点生态功能区县产业准入负面清单（试行）》和《广西第二批重点生态功能区产业准入负面清单（试行）》所列产业，符合《广西环境保护和生态建设“十三五”规划》发展要求。</w:t>
            </w:r>
          </w:p>
        </w:tc>
      </w:tr>
    </w:tbl>
    <w:p>
      <w:pPr>
        <w:pStyle w:val="6"/>
        <w:rPr>
          <w:rFonts w:hint="eastAsia" w:ascii="Times New Roman" w:hAnsi="Times New Roman" w:eastAsia="宋体"/>
          <w:color w:val="auto"/>
          <w:highlight w:val="none"/>
          <w:u w:val="single"/>
          <w:lang w:val="en-US" w:eastAsia="zh-CN"/>
        </w:rPr>
      </w:pPr>
      <w:r>
        <w:rPr>
          <w:rFonts w:ascii="Times New Roman" w:hAnsi="Times New Roman" w:eastAsia="宋体"/>
          <w:color w:val="auto"/>
          <w:highlight w:val="none"/>
          <w:u w:val="single"/>
        </w:rPr>
        <w:t>1.2.1.</w:t>
      </w:r>
      <w:r>
        <w:rPr>
          <w:rFonts w:hint="eastAsia" w:ascii="Times New Roman" w:hAnsi="Times New Roman" w:eastAsia="宋体"/>
          <w:color w:val="auto"/>
          <w:highlight w:val="none"/>
          <w:u w:val="single"/>
        </w:rPr>
        <w:t>3</w:t>
      </w:r>
      <w:r>
        <w:rPr>
          <w:rFonts w:ascii="Times New Roman" w:hAnsi="Times New Roman" w:eastAsia="宋体"/>
          <w:color w:val="auto"/>
          <w:highlight w:val="none"/>
          <w:u w:val="single"/>
        </w:rPr>
        <w:t xml:space="preserve"> </w:t>
      </w:r>
      <w:r>
        <w:rPr>
          <w:rFonts w:hint="eastAsia"/>
          <w:color w:val="auto"/>
          <w:highlight w:val="none"/>
          <w:u w:val="single"/>
          <w:lang w:val="en-US" w:eastAsia="zh-CN"/>
        </w:rPr>
        <w:t>林业规划</w:t>
      </w:r>
    </w:p>
    <w:p>
      <w:pPr>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根据《三江侗族自治县“十三五”林业发展规划（2016-2020年）》，三江县“十三五”期间</w:t>
      </w:r>
      <w:r>
        <w:rPr>
          <w:color w:val="auto"/>
          <w:highlight w:val="none"/>
          <w:u w:val="single"/>
          <w:lang w:eastAsia="zh-CN"/>
        </w:rPr>
        <w:t>大力发展“两茶一竹”为主</w:t>
      </w:r>
      <w:r>
        <w:rPr>
          <w:rFonts w:hint="eastAsia"/>
          <w:color w:val="auto"/>
          <w:highlight w:val="none"/>
          <w:u w:val="single"/>
          <w:lang w:eastAsia="zh-CN"/>
        </w:rPr>
        <w:t>的</w:t>
      </w:r>
      <w:r>
        <w:rPr>
          <w:color w:val="auto"/>
          <w:highlight w:val="none"/>
          <w:u w:val="single"/>
          <w:lang w:eastAsia="zh-CN"/>
        </w:rPr>
        <w:t>特色</w:t>
      </w:r>
      <w:r>
        <w:rPr>
          <w:rFonts w:hint="eastAsia"/>
          <w:color w:val="auto"/>
          <w:highlight w:val="none"/>
          <w:u w:val="single"/>
          <w:lang w:eastAsia="zh-CN"/>
        </w:rPr>
        <w:t>林</w:t>
      </w:r>
      <w:r>
        <w:rPr>
          <w:color w:val="auto"/>
          <w:highlight w:val="none"/>
          <w:u w:val="single"/>
          <w:lang w:eastAsia="zh-CN"/>
        </w:rPr>
        <w:t>业</w:t>
      </w:r>
      <w:r>
        <w:rPr>
          <w:rFonts w:hint="eastAsia"/>
          <w:color w:val="auto"/>
          <w:highlight w:val="none"/>
          <w:u w:val="single"/>
          <w:lang w:val="en-US" w:eastAsia="zh-CN"/>
        </w:rPr>
        <w:t>和</w:t>
      </w:r>
      <w:r>
        <w:rPr>
          <w:color w:val="auto"/>
          <w:highlight w:val="none"/>
          <w:u w:val="single"/>
          <w:lang w:eastAsia="zh-CN"/>
        </w:rPr>
        <w:t>新型特色工业</w:t>
      </w:r>
      <w:r>
        <w:rPr>
          <w:rFonts w:hint="eastAsia"/>
          <w:color w:val="auto"/>
          <w:highlight w:val="none"/>
          <w:u w:val="single"/>
          <w:lang w:eastAsia="zh-CN"/>
        </w:rPr>
        <w:t>，</w:t>
      </w:r>
      <w:r>
        <w:rPr>
          <w:rFonts w:hint="eastAsia"/>
          <w:color w:val="auto"/>
          <w:highlight w:val="none"/>
          <w:u w:val="single"/>
          <w:lang w:val="en-US" w:eastAsia="zh-CN"/>
        </w:rPr>
        <w:t>其中</w:t>
      </w:r>
      <w:r>
        <w:rPr>
          <w:color w:val="auto"/>
          <w:highlight w:val="none"/>
          <w:u w:val="single"/>
          <w:lang w:eastAsia="zh-CN"/>
        </w:rPr>
        <w:t>大力发展“两茶一竹”为主</w:t>
      </w:r>
      <w:r>
        <w:rPr>
          <w:rFonts w:hint="eastAsia"/>
          <w:color w:val="auto"/>
          <w:highlight w:val="none"/>
          <w:u w:val="single"/>
          <w:lang w:eastAsia="zh-CN"/>
        </w:rPr>
        <w:t>的</w:t>
      </w:r>
      <w:r>
        <w:rPr>
          <w:color w:val="auto"/>
          <w:highlight w:val="none"/>
          <w:u w:val="single"/>
          <w:lang w:eastAsia="zh-CN"/>
        </w:rPr>
        <w:t>特色</w:t>
      </w:r>
      <w:r>
        <w:rPr>
          <w:rFonts w:hint="eastAsia"/>
          <w:color w:val="auto"/>
          <w:highlight w:val="none"/>
          <w:u w:val="single"/>
          <w:lang w:eastAsia="zh-CN"/>
        </w:rPr>
        <w:t>林</w:t>
      </w:r>
      <w:r>
        <w:rPr>
          <w:color w:val="auto"/>
          <w:highlight w:val="none"/>
          <w:u w:val="single"/>
          <w:lang w:eastAsia="zh-CN"/>
        </w:rPr>
        <w:t>业</w:t>
      </w:r>
      <w:r>
        <w:rPr>
          <w:rFonts w:hint="eastAsia"/>
          <w:color w:val="auto"/>
          <w:highlight w:val="none"/>
          <w:u w:val="single"/>
          <w:lang w:val="en-US" w:eastAsia="zh-CN"/>
        </w:rPr>
        <w:t>包括</w:t>
      </w:r>
      <w:r>
        <w:rPr>
          <w:color w:val="auto"/>
          <w:highlight w:val="none"/>
          <w:u w:val="single"/>
          <w:lang w:eastAsia="zh-CN"/>
        </w:rPr>
        <w:t>建设广西重要茶叶种植基地</w:t>
      </w:r>
      <w:r>
        <w:rPr>
          <w:rFonts w:hint="eastAsia"/>
          <w:color w:val="auto"/>
          <w:highlight w:val="none"/>
          <w:u w:val="single"/>
          <w:lang w:eastAsia="zh-CN"/>
        </w:rPr>
        <w:t>、</w:t>
      </w:r>
      <w:r>
        <w:rPr>
          <w:color w:val="auto"/>
          <w:highlight w:val="none"/>
          <w:u w:val="single"/>
          <w:lang w:eastAsia="zh-CN"/>
        </w:rPr>
        <w:t>建设全国重要油茶</w:t>
      </w:r>
      <w:r>
        <w:rPr>
          <w:rFonts w:hint="eastAsia"/>
          <w:color w:val="auto"/>
          <w:highlight w:val="none"/>
          <w:u w:val="single"/>
          <w:lang w:eastAsia="zh-CN"/>
        </w:rPr>
        <w:t>产业</w:t>
      </w:r>
      <w:r>
        <w:rPr>
          <w:color w:val="auto"/>
          <w:highlight w:val="none"/>
          <w:u w:val="single"/>
          <w:lang w:eastAsia="zh-CN"/>
        </w:rPr>
        <w:t>基地</w:t>
      </w:r>
      <w:r>
        <w:rPr>
          <w:rFonts w:hint="eastAsia"/>
          <w:color w:val="auto"/>
          <w:highlight w:val="none"/>
          <w:u w:val="single"/>
          <w:lang w:eastAsia="zh-CN"/>
        </w:rPr>
        <w:t>、</w:t>
      </w:r>
      <w:r>
        <w:rPr>
          <w:color w:val="auto"/>
          <w:highlight w:val="none"/>
          <w:u w:val="single"/>
          <w:lang w:eastAsia="zh-CN"/>
        </w:rPr>
        <w:t>建设广西重要</w:t>
      </w:r>
      <w:r>
        <w:rPr>
          <w:rFonts w:hint="eastAsia"/>
          <w:color w:val="auto"/>
          <w:highlight w:val="none"/>
          <w:u w:val="single"/>
          <w:lang w:eastAsia="zh-CN"/>
        </w:rPr>
        <w:t>毛</w:t>
      </w:r>
      <w:r>
        <w:rPr>
          <w:color w:val="auto"/>
          <w:highlight w:val="none"/>
          <w:u w:val="single"/>
          <w:lang w:eastAsia="zh-CN"/>
        </w:rPr>
        <w:t>竹生产基地</w:t>
      </w:r>
      <w:r>
        <w:rPr>
          <w:rFonts w:hint="eastAsia"/>
          <w:color w:val="auto"/>
          <w:highlight w:val="none"/>
          <w:u w:val="single"/>
          <w:lang w:eastAsia="zh-CN"/>
        </w:rPr>
        <w:t>、建设</w:t>
      </w:r>
      <w:r>
        <w:rPr>
          <w:color w:val="auto"/>
          <w:highlight w:val="none"/>
          <w:u w:val="single"/>
          <w:lang w:eastAsia="zh-CN"/>
        </w:rPr>
        <w:t>广西林业强县</w:t>
      </w:r>
      <w:r>
        <w:rPr>
          <w:rFonts w:hint="eastAsia"/>
          <w:color w:val="auto"/>
          <w:highlight w:val="none"/>
          <w:u w:val="single"/>
          <w:lang w:eastAsia="zh-CN"/>
        </w:rPr>
        <w:t>，</w:t>
      </w:r>
      <w:r>
        <w:rPr>
          <w:color w:val="auto"/>
          <w:highlight w:val="none"/>
          <w:u w:val="single"/>
          <w:lang w:eastAsia="zh-CN"/>
        </w:rPr>
        <w:t>大力发展新型特色工业</w:t>
      </w:r>
      <w:r>
        <w:rPr>
          <w:rFonts w:hint="eastAsia"/>
          <w:color w:val="auto"/>
          <w:highlight w:val="none"/>
          <w:u w:val="single"/>
          <w:lang w:val="en-US" w:eastAsia="zh-CN"/>
        </w:rPr>
        <w:t>包括</w:t>
      </w:r>
      <w:r>
        <w:rPr>
          <w:color w:val="auto"/>
          <w:highlight w:val="none"/>
          <w:u w:val="single"/>
          <w:lang w:eastAsia="zh-CN"/>
        </w:rPr>
        <w:t>大力发展茶叶精深加工</w:t>
      </w:r>
      <w:r>
        <w:rPr>
          <w:rFonts w:hint="eastAsia"/>
          <w:color w:val="auto"/>
          <w:highlight w:val="none"/>
          <w:u w:val="single"/>
          <w:lang w:eastAsia="zh-CN"/>
        </w:rPr>
        <w:t>、</w:t>
      </w:r>
      <w:r>
        <w:rPr>
          <w:color w:val="auto"/>
          <w:highlight w:val="none"/>
          <w:u w:val="single"/>
          <w:lang w:eastAsia="zh-CN"/>
        </w:rPr>
        <w:t>大力发展油茶系列加工</w:t>
      </w:r>
      <w:r>
        <w:rPr>
          <w:rFonts w:hint="eastAsia"/>
          <w:color w:val="auto"/>
          <w:highlight w:val="none"/>
          <w:u w:val="single"/>
          <w:lang w:eastAsia="zh-CN"/>
        </w:rPr>
        <w:t>、</w:t>
      </w:r>
      <w:r>
        <w:rPr>
          <w:color w:val="auto"/>
          <w:highlight w:val="none"/>
          <w:u w:val="single"/>
          <w:lang w:eastAsia="zh-CN"/>
        </w:rPr>
        <w:t>大力发展竹子系列加工</w:t>
      </w:r>
      <w:r>
        <w:rPr>
          <w:rFonts w:hint="eastAsia"/>
          <w:color w:val="auto"/>
          <w:highlight w:val="none"/>
          <w:u w:val="single"/>
          <w:lang w:eastAsia="zh-CN"/>
        </w:rPr>
        <w:t>、</w:t>
      </w:r>
      <w:r>
        <w:rPr>
          <w:color w:val="auto"/>
          <w:highlight w:val="none"/>
          <w:u w:val="single"/>
          <w:lang w:eastAsia="zh-CN"/>
        </w:rPr>
        <w:t>适度发展木材加工</w:t>
      </w:r>
      <w:r>
        <w:rPr>
          <w:rFonts w:hint="eastAsia"/>
          <w:color w:val="auto"/>
          <w:highlight w:val="none"/>
          <w:u w:val="single"/>
          <w:lang w:eastAsia="zh-CN"/>
        </w:rPr>
        <w:t>。</w:t>
      </w:r>
      <w:r>
        <w:rPr>
          <w:rFonts w:hint="eastAsia"/>
          <w:color w:val="auto"/>
          <w:highlight w:val="none"/>
          <w:u w:val="single"/>
          <w:lang w:val="en-US" w:eastAsia="zh-CN"/>
        </w:rPr>
        <w:t>本项目矿区红线和临时用地范围不属于</w:t>
      </w:r>
      <w:r>
        <w:rPr>
          <w:rFonts w:hint="eastAsia" w:cs="Times New Roman"/>
          <w:color w:val="auto"/>
          <w:highlight w:val="none"/>
          <w:u w:val="single"/>
          <w:lang w:val="en-US" w:eastAsia="zh-CN"/>
        </w:rPr>
        <w:t>《三江侗族自治县“十三五”林业发展规划（2016-2020年）》）特色林业和特色工业用地，与林业规划相符。</w:t>
      </w:r>
    </w:p>
    <w:p>
      <w:pPr>
        <w:rPr>
          <w:rFonts w:hint="default" w:ascii="Times New Roman" w:hAnsi="Times New Roman" w:eastAsia="宋体" w:cs="Times New Roman"/>
          <w:color w:val="auto"/>
          <w:kern w:val="0"/>
          <w:highlight w:val="none"/>
          <w:u w:val="single"/>
          <w:lang w:val="en-US" w:eastAsia="zh-CN"/>
        </w:rPr>
      </w:pPr>
      <w:r>
        <w:rPr>
          <w:rFonts w:hint="default" w:ascii="Times New Roman" w:hAnsi="Times New Roman" w:cs="Times New Roman"/>
          <w:color w:val="auto"/>
          <w:highlight w:val="none"/>
          <w:u w:val="single"/>
          <w:lang w:val="en-US" w:eastAsia="zh-CN"/>
        </w:rPr>
        <w:t>本项目整合前原宏保兴采石场</w:t>
      </w:r>
      <w:r>
        <w:rPr>
          <w:rFonts w:hint="eastAsia" w:cs="Times New Roman"/>
          <w:color w:val="auto"/>
          <w:highlight w:val="none"/>
          <w:u w:val="single"/>
          <w:lang w:val="en-US" w:eastAsia="zh-CN"/>
        </w:rPr>
        <w:t>开采矿石过程</w:t>
      </w:r>
      <w:r>
        <w:rPr>
          <w:rFonts w:hint="default" w:ascii="Times New Roman" w:hAnsi="Times New Roman" w:cs="Times New Roman"/>
          <w:color w:val="auto"/>
          <w:highlight w:val="none"/>
          <w:u w:val="single"/>
          <w:lang w:val="en-US" w:eastAsia="zh-CN"/>
        </w:rPr>
        <w:t>占用国家</w:t>
      </w:r>
      <w:r>
        <w:rPr>
          <w:rFonts w:hint="default" w:ascii="Times New Roman" w:hAnsi="Times New Roman" w:eastAsia="宋体" w:cs="Times New Roman"/>
          <w:color w:val="auto"/>
          <w:highlight w:val="none"/>
          <w:u w:val="single"/>
          <w:lang w:val="en-US" w:eastAsia="zh-CN"/>
        </w:rPr>
        <w:t>Ⅱ</w:t>
      </w:r>
      <w:r>
        <w:rPr>
          <w:rFonts w:hint="default" w:ascii="Times New Roman" w:hAnsi="Times New Roman" w:cs="Times New Roman"/>
          <w:color w:val="auto"/>
          <w:highlight w:val="none"/>
          <w:u w:val="single"/>
          <w:lang w:val="en-US" w:eastAsia="zh-CN"/>
        </w:rPr>
        <w:t>级重点公益林</w:t>
      </w:r>
      <w:r>
        <w:rPr>
          <w:rFonts w:hint="eastAsia" w:ascii="Times New Roman" w:hAnsi="Times New Roman" w:cs="Times New Roman"/>
          <w:color w:val="auto"/>
          <w:highlight w:val="none"/>
          <w:u w:val="single"/>
          <w:lang w:val="en-US" w:eastAsia="zh-CN"/>
        </w:rPr>
        <w:t>2.7584hm</w:t>
      </w:r>
      <w:r>
        <w:rPr>
          <w:rFonts w:hint="eastAsia" w:ascii="Times New Roman" w:hAnsi="Times New Roman" w:cs="Times New Roman"/>
          <w:color w:val="auto"/>
          <w:highlight w:val="none"/>
          <w:u w:val="single"/>
          <w:vertAlign w:val="superscript"/>
          <w:lang w:val="en-US" w:eastAsia="zh-CN"/>
        </w:rPr>
        <w:t>2</w:t>
      </w:r>
      <w:r>
        <w:rPr>
          <w:rFonts w:hint="eastAsia" w:ascii="Times New Roman" w:hAnsi="Times New Roman" w:cs="Times New Roman"/>
          <w:color w:val="auto"/>
          <w:highlight w:val="none"/>
          <w:u w:val="single"/>
          <w:lang w:val="en-US" w:eastAsia="zh-CN"/>
        </w:rPr>
        <w:t>，该案</w:t>
      </w:r>
      <w:r>
        <w:rPr>
          <w:rFonts w:hint="default" w:ascii="Times New Roman" w:hAnsi="Times New Roman" w:cs="Times New Roman"/>
          <w:color w:val="auto"/>
          <w:highlight w:val="none"/>
          <w:u w:val="single"/>
          <w:lang w:val="en-US" w:eastAsia="zh-CN"/>
        </w:rPr>
        <w:t>已</w:t>
      </w:r>
      <w:r>
        <w:rPr>
          <w:rFonts w:hint="eastAsia" w:ascii="Times New Roman" w:hAnsi="Times New Roman" w:cs="Times New Roman"/>
          <w:color w:val="auto"/>
          <w:highlight w:val="none"/>
          <w:u w:val="single"/>
          <w:lang w:val="en-US" w:eastAsia="zh-CN"/>
        </w:rPr>
        <w:t>由三江侗族自治县人民法院判决，被告人已缴纳罚款，案件已</w:t>
      </w:r>
      <w:r>
        <w:rPr>
          <w:rFonts w:hint="default" w:ascii="Times New Roman" w:hAnsi="Times New Roman" w:cs="Times New Roman"/>
          <w:color w:val="auto"/>
          <w:highlight w:val="none"/>
          <w:u w:val="single"/>
          <w:lang w:val="en-US" w:eastAsia="zh-CN"/>
        </w:rPr>
        <w:t>处理</w:t>
      </w:r>
      <w:r>
        <w:rPr>
          <w:rFonts w:hint="eastAsia" w:ascii="Times New Roman" w:hAnsi="Times New Roman" w:cs="Times New Roman"/>
          <w:color w:val="auto"/>
          <w:highlight w:val="none"/>
          <w:u w:val="single"/>
          <w:lang w:val="en-US" w:eastAsia="zh-CN"/>
        </w:rPr>
        <w:t>完结</w:t>
      </w:r>
      <w:r>
        <w:rPr>
          <w:rFonts w:hint="default" w:ascii="Times New Roman" w:hAnsi="Times New Roman" w:cs="Times New Roman"/>
          <w:color w:val="auto"/>
          <w:highlight w:val="none"/>
          <w:u w:val="single"/>
          <w:lang w:val="en-US" w:eastAsia="zh-CN"/>
        </w:rPr>
        <w:t>（附件1</w:t>
      </w:r>
      <w:r>
        <w:rPr>
          <w:rFonts w:hint="eastAsia" w:cs="Times New Roman"/>
          <w:color w:val="auto"/>
          <w:highlight w:val="none"/>
          <w:u w:val="single"/>
          <w:lang w:val="en-US" w:eastAsia="zh-CN"/>
        </w:rPr>
        <w:t>3</w:t>
      </w:r>
      <w:r>
        <w:rPr>
          <w:rFonts w:hint="default" w:ascii="Times New Roman" w:hAnsi="Times New Roman" w:cs="Times New Roman"/>
          <w:color w:val="auto"/>
          <w:highlight w:val="none"/>
          <w:u w:val="single"/>
          <w:lang w:val="en-US" w:eastAsia="zh-CN"/>
        </w:rPr>
        <w:t>）。</w:t>
      </w:r>
      <w:r>
        <w:rPr>
          <w:rFonts w:hint="eastAsia" w:ascii="Times New Roman" w:hAnsi="Times New Roman" w:eastAsia="宋体" w:cs="Times New Roman"/>
          <w:color w:val="auto"/>
          <w:highlight w:val="none"/>
          <w:u w:val="single"/>
        </w:rPr>
        <w:t>整合后矿</w:t>
      </w:r>
      <w:r>
        <w:rPr>
          <w:rFonts w:hint="eastAsia" w:cs="Times New Roman"/>
          <w:color w:val="auto"/>
          <w:highlight w:val="none"/>
          <w:u w:val="single"/>
          <w:lang w:val="en-US" w:eastAsia="zh-CN"/>
        </w:rPr>
        <w:t>区红线范围面积0.1598km</w:t>
      </w:r>
      <w:r>
        <w:rPr>
          <w:rFonts w:hint="eastAsia" w:cs="Times New Roman"/>
          <w:color w:val="auto"/>
          <w:highlight w:val="none"/>
          <w:u w:val="single"/>
          <w:vertAlign w:val="superscript"/>
          <w:lang w:val="en-US" w:eastAsia="zh-CN"/>
        </w:rPr>
        <w:t>2</w:t>
      </w:r>
      <w:r>
        <w:rPr>
          <w:rFonts w:hint="eastAsia" w:cs="Times New Roman"/>
          <w:color w:val="auto"/>
          <w:highlight w:val="none"/>
          <w:u w:val="single"/>
          <w:lang w:val="en-US" w:eastAsia="zh-CN"/>
        </w:rPr>
        <w:t>，破碎场</w:t>
      </w:r>
      <w:r>
        <w:rPr>
          <w:rFonts w:hint="eastAsia" w:cs="Times New Roman"/>
          <w:color w:val="auto"/>
          <w:highlight w:val="none"/>
          <w:u w:val="single"/>
          <w:lang w:eastAsia="zh-CN"/>
        </w:rPr>
        <w:t>①</w:t>
      </w:r>
      <w:r>
        <w:rPr>
          <w:rFonts w:hint="eastAsia" w:cs="Times New Roman"/>
          <w:color w:val="auto"/>
          <w:highlight w:val="none"/>
          <w:u w:val="single"/>
          <w:lang w:val="en-US" w:eastAsia="zh-CN"/>
        </w:rPr>
        <w:t>占用临时用地1面积11481.4m</w:t>
      </w:r>
      <w:r>
        <w:rPr>
          <w:rFonts w:hint="eastAsia" w:cs="Times New Roman"/>
          <w:color w:val="auto"/>
          <w:highlight w:val="none"/>
          <w:u w:val="single"/>
          <w:vertAlign w:val="superscript"/>
          <w:lang w:val="en-US" w:eastAsia="zh-CN"/>
        </w:rPr>
        <w:t>2</w:t>
      </w:r>
      <w:r>
        <w:rPr>
          <w:rFonts w:hint="eastAsia" w:cs="Times New Roman"/>
          <w:color w:val="auto"/>
          <w:highlight w:val="none"/>
          <w:u w:val="single"/>
          <w:vertAlign w:val="baseline"/>
          <w:lang w:val="en-US" w:eastAsia="zh-CN"/>
        </w:rPr>
        <w:t>（附图3-2）</w:t>
      </w:r>
      <w:r>
        <w:rPr>
          <w:rFonts w:hint="eastAsia" w:cs="Times New Roman"/>
          <w:color w:val="auto"/>
          <w:highlight w:val="none"/>
          <w:u w:val="single"/>
          <w:lang w:val="en-US" w:eastAsia="zh-CN"/>
        </w:rPr>
        <w:t>，破碎场</w:t>
      </w:r>
      <w:r>
        <w:rPr>
          <w:rFonts w:hint="eastAsia" w:cs="Times New Roman"/>
          <w:color w:val="auto"/>
          <w:highlight w:val="none"/>
          <w:u w:val="single"/>
          <w:lang w:eastAsia="zh-CN"/>
        </w:rPr>
        <w:t>①</w:t>
      </w:r>
      <w:r>
        <w:rPr>
          <w:rFonts w:hint="eastAsia" w:cs="Times New Roman"/>
          <w:color w:val="auto"/>
          <w:highlight w:val="none"/>
          <w:u w:val="single"/>
          <w:lang w:val="en-US" w:eastAsia="zh-CN"/>
        </w:rPr>
        <w:t>占用临时用地2面积5803.79m</w:t>
      </w:r>
      <w:r>
        <w:rPr>
          <w:rFonts w:hint="eastAsia" w:cs="Times New Roman"/>
          <w:color w:val="auto"/>
          <w:highlight w:val="none"/>
          <w:u w:val="single"/>
          <w:vertAlign w:val="superscript"/>
          <w:lang w:val="en-US" w:eastAsia="zh-CN"/>
        </w:rPr>
        <w:t>2</w:t>
      </w:r>
      <w:r>
        <w:rPr>
          <w:rFonts w:hint="eastAsia" w:cs="Times New Roman"/>
          <w:color w:val="auto"/>
          <w:highlight w:val="none"/>
          <w:u w:val="single"/>
          <w:vertAlign w:val="baseline"/>
          <w:lang w:val="en-US" w:eastAsia="zh-CN"/>
        </w:rPr>
        <w:t>（附图3-3）</w:t>
      </w:r>
      <w:r>
        <w:rPr>
          <w:rFonts w:hint="eastAsia" w:cs="Times New Roman"/>
          <w:color w:val="auto"/>
          <w:highlight w:val="none"/>
          <w:u w:val="single"/>
          <w:lang w:val="en-US" w:eastAsia="zh-CN"/>
        </w:rPr>
        <w:t>，</w:t>
      </w:r>
      <w:r>
        <w:rPr>
          <w:rFonts w:hint="eastAsia" w:cs="Times New Roman"/>
          <w:color w:val="auto"/>
          <w:highlight w:val="none"/>
          <w:u w:val="single"/>
          <w:lang w:eastAsia="zh-CN"/>
        </w:rPr>
        <w:t>破碎场②</w:t>
      </w:r>
      <w:r>
        <w:rPr>
          <w:rFonts w:hint="eastAsia" w:cs="Times New Roman"/>
          <w:color w:val="auto"/>
          <w:highlight w:val="none"/>
          <w:u w:val="single"/>
          <w:lang w:val="en-US" w:eastAsia="zh-CN"/>
        </w:rPr>
        <w:t>占用临时用地面积14378.7m</w:t>
      </w:r>
      <w:r>
        <w:rPr>
          <w:rFonts w:hint="eastAsia" w:cs="Times New Roman"/>
          <w:color w:val="auto"/>
          <w:highlight w:val="none"/>
          <w:u w:val="single"/>
          <w:vertAlign w:val="superscript"/>
          <w:lang w:val="en-US" w:eastAsia="zh-CN"/>
        </w:rPr>
        <w:t>2</w:t>
      </w:r>
      <w:r>
        <w:rPr>
          <w:rFonts w:hint="eastAsia" w:cs="Times New Roman"/>
          <w:color w:val="auto"/>
          <w:highlight w:val="none"/>
          <w:u w:val="single"/>
          <w:vertAlign w:val="baseline"/>
          <w:lang w:val="en-US" w:eastAsia="zh-CN"/>
        </w:rPr>
        <w:t>（附图3-4）</w:t>
      </w:r>
      <w:r>
        <w:rPr>
          <w:rFonts w:hint="eastAsia" w:cs="Times New Roman"/>
          <w:color w:val="auto"/>
          <w:highlight w:val="none"/>
          <w:u w:val="single"/>
          <w:lang w:val="en-US" w:eastAsia="zh-CN"/>
        </w:rPr>
        <w:t>，矿区占用临时用地面积合计31663.89m</w:t>
      </w:r>
      <w:r>
        <w:rPr>
          <w:rFonts w:hint="eastAsia" w:cs="Times New Roman"/>
          <w:color w:val="auto"/>
          <w:highlight w:val="none"/>
          <w:u w:val="single"/>
          <w:vertAlign w:val="superscript"/>
          <w:lang w:val="en-US" w:eastAsia="zh-CN"/>
        </w:rPr>
        <w:t>2</w:t>
      </w:r>
      <w:r>
        <w:rPr>
          <w:rFonts w:hint="eastAsia" w:cs="Times New Roman"/>
          <w:color w:val="auto"/>
          <w:highlight w:val="none"/>
          <w:u w:val="single"/>
          <w:lang w:val="en-US" w:eastAsia="zh-CN"/>
        </w:rPr>
        <w:t>。</w:t>
      </w:r>
      <w:r>
        <w:rPr>
          <w:rFonts w:hint="eastAsia" w:cs="Times New Roman"/>
          <w:color w:val="auto"/>
          <w:highlight w:val="none"/>
          <w:u w:val="single"/>
          <w:lang w:val="en-US" w:eastAsia="zh-CN"/>
        </w:rPr>
        <w:t>本项目采矿权为三江县鑫贝矿业有限公司通过竞标获得，三江侗族自治县林业局关于调整三江侗族自治县林业规划的相关材料已报送至广西壮族自治区林业厅，</w:t>
      </w:r>
      <w:r>
        <w:rPr>
          <w:rFonts w:hint="default" w:ascii="Times New Roman" w:hAnsi="Times New Roman" w:cs="Times New Roman"/>
          <w:color w:val="auto"/>
          <w:highlight w:val="none"/>
          <w:u w:val="single"/>
          <w:lang w:val="en-US" w:eastAsia="zh-CN"/>
        </w:rPr>
        <w:t>项目整合后矿区红线及临时用地范围</w:t>
      </w:r>
      <w:r>
        <w:rPr>
          <w:rFonts w:hint="eastAsia" w:ascii="Times New Roman" w:hAnsi="Times New Roman" w:cs="Times New Roman"/>
          <w:color w:val="auto"/>
          <w:highlight w:val="none"/>
          <w:u w:val="single"/>
          <w:lang w:val="en-US" w:eastAsia="zh-CN"/>
        </w:rPr>
        <w:t>均</w:t>
      </w:r>
      <w:r>
        <w:rPr>
          <w:rFonts w:hint="default" w:ascii="Times New Roman" w:hAnsi="Times New Roman" w:cs="Times New Roman"/>
          <w:color w:val="auto"/>
          <w:highlight w:val="none"/>
          <w:u w:val="single"/>
          <w:lang w:val="en-US" w:eastAsia="zh-CN"/>
        </w:rPr>
        <w:t>未占用</w:t>
      </w:r>
      <w:r>
        <w:rPr>
          <w:rFonts w:hint="eastAsia" w:ascii="Times New Roman" w:hAnsi="Times New Roman" w:cs="Times New Roman"/>
          <w:color w:val="auto"/>
          <w:highlight w:val="none"/>
          <w:u w:val="single"/>
          <w:lang w:val="en-US" w:eastAsia="zh-CN"/>
        </w:rPr>
        <w:t>公益林</w:t>
      </w:r>
      <w:r>
        <w:rPr>
          <w:rFonts w:hint="default" w:ascii="Times New Roman" w:hAnsi="Times New Roman" w:cs="Times New Roman"/>
          <w:color w:val="auto"/>
          <w:highlight w:val="none"/>
          <w:u w:val="single"/>
          <w:lang w:val="en-US" w:eastAsia="zh-CN"/>
        </w:rPr>
        <w:t>，项目矿区红线范围已依法取得</w:t>
      </w:r>
      <w:r>
        <w:rPr>
          <w:rFonts w:hint="default" w:ascii="Times New Roman" w:hAnsi="Times New Roman" w:eastAsia="宋体" w:cs="Times New Roman"/>
          <w:color w:val="auto"/>
          <w:kern w:val="0"/>
          <w:highlight w:val="none"/>
          <w:u w:val="single"/>
        </w:rPr>
        <w:t>三江侗族自治县自然资源和规划局下发采矿许可证</w:t>
      </w:r>
      <w:r>
        <w:rPr>
          <w:rFonts w:hint="default" w:ascii="Times New Roman" w:hAnsi="Times New Roman" w:eastAsia="宋体" w:cs="Times New Roman"/>
          <w:color w:val="auto"/>
          <w:kern w:val="0"/>
          <w:highlight w:val="none"/>
          <w:u w:val="single"/>
          <w:lang w:eastAsia="zh-CN"/>
        </w:rPr>
        <w:t>，</w:t>
      </w:r>
      <w:r>
        <w:rPr>
          <w:rFonts w:hint="default" w:ascii="Times New Roman" w:hAnsi="Times New Roman" w:eastAsia="宋体" w:cs="Times New Roman"/>
          <w:color w:val="auto"/>
          <w:kern w:val="0"/>
          <w:highlight w:val="none"/>
          <w:u w:val="single"/>
          <w:lang w:val="en-US" w:eastAsia="zh-CN"/>
        </w:rPr>
        <w:t>临时用地正在办理临时用地许可相关手续。</w:t>
      </w:r>
    </w:p>
    <w:p>
      <w:pPr>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olor w:val="auto"/>
          <w:highlight w:val="none"/>
          <w:u w:val="single"/>
        </w:rPr>
        <w:t>项目矿区红线范围内占用林地</w:t>
      </w:r>
      <w:r>
        <w:rPr>
          <w:rFonts w:hint="eastAsia" w:ascii="Times New Roman" w:hAnsi="Times New Roman" w:eastAsia="宋体"/>
          <w:color w:val="auto"/>
          <w:highlight w:val="none"/>
          <w:u w:val="single"/>
          <w:lang w:val="en-US" w:eastAsia="zh-CN"/>
        </w:rPr>
        <w:t>15.3469</w:t>
      </w:r>
      <w:r>
        <w:rPr>
          <w:rFonts w:hint="eastAsia" w:ascii="Times New Roman" w:hAnsi="Times New Roman" w:cs="Times New Roman"/>
          <w:color w:val="auto"/>
          <w:highlight w:val="none"/>
          <w:u w:val="single"/>
          <w:lang w:val="en-US" w:eastAsia="zh-CN"/>
        </w:rPr>
        <w:t>hm</w:t>
      </w:r>
      <w:r>
        <w:rPr>
          <w:rFonts w:hint="eastAsia" w:ascii="Times New Roman" w:hAnsi="Times New Roman" w:cs="Times New Roman"/>
          <w:color w:val="auto"/>
          <w:highlight w:val="none"/>
          <w:u w:val="single"/>
          <w:vertAlign w:val="superscript"/>
          <w:lang w:val="en-US" w:eastAsia="zh-CN"/>
        </w:rPr>
        <w:t>2</w:t>
      </w:r>
      <w:r>
        <w:rPr>
          <w:rFonts w:hint="eastAsia" w:ascii="Times New Roman" w:hAnsi="Times New Roman" w:eastAsia="宋体"/>
          <w:color w:val="auto"/>
          <w:highlight w:val="none"/>
          <w:u w:val="single"/>
        </w:rPr>
        <w:t>，建设单位需办理林业</w:t>
      </w:r>
      <w:r>
        <w:rPr>
          <w:rFonts w:hint="eastAsia" w:ascii="Times New Roman" w:hAnsi="Times New Roman" w:eastAsia="宋体"/>
          <w:color w:val="auto"/>
          <w:highlight w:val="none"/>
          <w:u w:val="single"/>
          <w:lang w:val="en-US" w:eastAsia="zh-CN"/>
        </w:rPr>
        <w:t>占地行政许可并获得批复后</w:t>
      </w:r>
      <w:r>
        <w:rPr>
          <w:rFonts w:hint="eastAsia" w:ascii="Times New Roman" w:hAnsi="Times New Roman" w:eastAsia="宋体"/>
          <w:color w:val="auto"/>
          <w:highlight w:val="none"/>
          <w:u w:val="single"/>
        </w:rPr>
        <w:t>方可开工建设。本项目环评阶段建设单位正在办理林业</w:t>
      </w:r>
      <w:r>
        <w:rPr>
          <w:rFonts w:hint="eastAsia" w:ascii="Times New Roman" w:hAnsi="Times New Roman" w:eastAsia="宋体"/>
          <w:color w:val="auto"/>
          <w:highlight w:val="none"/>
          <w:u w:val="single"/>
          <w:lang w:val="en-US" w:eastAsia="zh-CN"/>
        </w:rPr>
        <w:t>占</w:t>
      </w:r>
      <w:r>
        <w:rPr>
          <w:rFonts w:hint="eastAsia" w:ascii="Times New Roman" w:hAnsi="Times New Roman" w:eastAsia="宋体"/>
          <w:color w:val="auto"/>
          <w:highlight w:val="none"/>
          <w:u w:val="single"/>
        </w:rPr>
        <w:t>地</w:t>
      </w:r>
      <w:r>
        <w:rPr>
          <w:rFonts w:hint="eastAsia" w:ascii="Times New Roman" w:hAnsi="Times New Roman" w:eastAsia="宋体"/>
          <w:color w:val="auto"/>
          <w:highlight w:val="none"/>
          <w:u w:val="single"/>
          <w:lang w:val="en-US" w:eastAsia="zh-CN"/>
        </w:rPr>
        <w:t>行政</w:t>
      </w:r>
      <w:r>
        <w:rPr>
          <w:rFonts w:hint="eastAsia" w:ascii="Times New Roman" w:hAnsi="Times New Roman" w:eastAsia="宋体"/>
          <w:color w:val="auto"/>
          <w:highlight w:val="none"/>
          <w:u w:val="single"/>
        </w:rPr>
        <w:t>许可。</w:t>
      </w:r>
    </w:p>
    <w:p>
      <w:pPr>
        <w:pStyle w:val="6"/>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 xml:space="preserve">1.2.1.4 </w:t>
      </w:r>
      <w:r>
        <w:rPr>
          <w:rFonts w:ascii="Times New Roman" w:hAnsi="Times New Roman" w:eastAsia="宋体"/>
          <w:color w:val="auto"/>
          <w:highlight w:val="none"/>
        </w:rPr>
        <w:t>矿产资源规划</w:t>
      </w:r>
    </w:p>
    <w:p>
      <w:pPr>
        <w:snapToGrid w:val="0"/>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kern w:val="0"/>
          <w:szCs w:val="24"/>
          <w:highlight w:val="none"/>
        </w:rPr>
        <w:t xml:space="preserve">根据《三江侗族自治县矿产资源总体规划 </w:t>
      </w:r>
      <w:r>
        <w:rPr>
          <w:rFonts w:hint="eastAsia" w:ascii="Times New Roman" w:hAnsi="Times New Roman" w:eastAsia="宋体" w:cs="Times New Roman"/>
          <w:color w:val="auto"/>
          <w:kern w:val="0"/>
          <w:szCs w:val="24"/>
          <w:highlight w:val="none"/>
          <w:lang w:eastAsia="zh-CN"/>
        </w:rPr>
        <w:t>（</w:t>
      </w:r>
      <w:r>
        <w:rPr>
          <w:rFonts w:ascii="Times New Roman" w:hAnsi="Times New Roman" w:eastAsia="宋体" w:cs="Times New Roman"/>
          <w:color w:val="auto"/>
          <w:kern w:val="0"/>
          <w:szCs w:val="24"/>
          <w:highlight w:val="none"/>
        </w:rPr>
        <w:t>2016-2020年</w:t>
      </w:r>
      <w:r>
        <w:rPr>
          <w:rFonts w:hint="eastAsia" w:ascii="Times New Roman" w:hAnsi="Times New Roman" w:eastAsia="宋体" w:cs="Times New Roman"/>
          <w:color w:val="auto"/>
          <w:kern w:val="0"/>
          <w:szCs w:val="24"/>
          <w:highlight w:val="none"/>
          <w:lang w:eastAsia="zh-CN"/>
        </w:rPr>
        <w:t>）</w:t>
      </w:r>
      <w:r>
        <w:rPr>
          <w:rFonts w:ascii="Times New Roman" w:hAnsi="Times New Roman" w:eastAsia="宋体" w:cs="Times New Roman"/>
          <w:color w:val="auto"/>
          <w:kern w:val="0"/>
          <w:szCs w:val="24"/>
          <w:highlight w:val="none"/>
        </w:rPr>
        <w:t>》，</w:t>
      </w:r>
      <w:r>
        <w:rPr>
          <w:rFonts w:hint="eastAsia" w:ascii="Times New Roman" w:hAnsi="Times New Roman" w:eastAsia="宋体" w:cs="Times New Roman"/>
          <w:color w:val="auto"/>
          <w:kern w:val="0"/>
          <w:szCs w:val="24"/>
          <w:highlight w:val="none"/>
        </w:rPr>
        <w:t>原</w:t>
      </w:r>
      <w:r>
        <w:rPr>
          <w:rFonts w:ascii="Times New Roman" w:hAnsi="Times New Roman" w:eastAsia="宋体" w:cs="Times New Roman"/>
          <w:color w:val="auto"/>
          <w:kern w:val="0"/>
          <w:szCs w:val="24"/>
          <w:highlight w:val="none"/>
        </w:rPr>
        <w:t>宏保兴采石场和</w:t>
      </w:r>
      <w:r>
        <w:rPr>
          <w:rFonts w:hint="eastAsia" w:ascii="Times New Roman" w:hAnsi="Times New Roman" w:eastAsia="宋体" w:cs="Times New Roman"/>
          <w:color w:val="auto"/>
          <w:kern w:val="0"/>
          <w:szCs w:val="24"/>
          <w:highlight w:val="none"/>
        </w:rPr>
        <w:t>原</w:t>
      </w:r>
      <w:r>
        <w:rPr>
          <w:rFonts w:ascii="Times New Roman" w:hAnsi="Times New Roman" w:eastAsia="宋体" w:cs="Times New Roman"/>
          <w:color w:val="auto"/>
          <w:kern w:val="0"/>
          <w:szCs w:val="24"/>
          <w:highlight w:val="none"/>
        </w:rPr>
        <w:t>海江采石场均为采矿权保留矿山，</w:t>
      </w:r>
      <w:r>
        <w:rPr>
          <w:rFonts w:hint="eastAsia" w:ascii="Times New Roman" w:hAnsi="Times New Roman" w:eastAsia="宋体" w:cs="Times New Roman"/>
          <w:color w:val="auto"/>
          <w:kern w:val="0"/>
          <w:szCs w:val="24"/>
          <w:highlight w:val="none"/>
        </w:rPr>
        <w:t>原</w:t>
      </w:r>
      <w:r>
        <w:rPr>
          <w:rFonts w:ascii="Times New Roman" w:hAnsi="Times New Roman" w:eastAsia="宋体" w:cs="Times New Roman"/>
          <w:color w:val="auto"/>
          <w:kern w:val="0"/>
          <w:szCs w:val="24"/>
          <w:highlight w:val="none"/>
        </w:rPr>
        <w:t>宏保兴采石场编号CQ01，</w:t>
      </w:r>
      <w:r>
        <w:rPr>
          <w:rFonts w:hint="eastAsia" w:ascii="Times New Roman" w:hAnsi="Times New Roman" w:eastAsia="宋体" w:cs="Times New Roman"/>
          <w:color w:val="auto"/>
          <w:kern w:val="0"/>
          <w:szCs w:val="24"/>
          <w:highlight w:val="none"/>
        </w:rPr>
        <w:t>原</w:t>
      </w:r>
      <w:r>
        <w:rPr>
          <w:rFonts w:ascii="Times New Roman" w:hAnsi="Times New Roman" w:eastAsia="宋体" w:cs="Times New Roman"/>
          <w:color w:val="auto"/>
          <w:kern w:val="0"/>
          <w:szCs w:val="24"/>
          <w:highlight w:val="none"/>
        </w:rPr>
        <w:t>海江采石场编号CQ02，2个采石场原有</w:t>
      </w:r>
      <w:r>
        <w:rPr>
          <w:rFonts w:ascii="Times New Roman" w:hAnsi="Times New Roman" w:eastAsia="宋体" w:cs="Times New Roman"/>
          <w:color w:val="auto"/>
          <w:szCs w:val="24"/>
          <w:highlight w:val="none"/>
        </w:rPr>
        <w:t>2个采矿权合并整合为三江县宏源采石场硅质岩矿1个采矿权。</w:t>
      </w:r>
    </w:p>
    <w:p>
      <w:pPr>
        <w:snapToGrid w:val="0"/>
        <w:ind w:firstLine="480"/>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根据</w:t>
      </w:r>
      <w:r>
        <w:rPr>
          <w:rFonts w:ascii="Times New Roman" w:hAnsi="Times New Roman" w:eastAsia="宋体" w:cs="Times New Roman"/>
          <w:color w:val="auto"/>
          <w:kern w:val="0"/>
          <w:highlight w:val="none"/>
        </w:rPr>
        <w:t>《三江侗族自治县砂石资源开发专项规划（2016-2020年）》</w:t>
      </w:r>
      <w:r>
        <w:rPr>
          <w:rFonts w:hint="eastAsia" w:ascii="Times New Roman" w:hAnsi="Times New Roman" w:eastAsia="宋体" w:cs="Times New Roman"/>
          <w:color w:val="auto"/>
          <w:kern w:val="0"/>
          <w:highlight w:val="none"/>
        </w:rPr>
        <w:t>，</w:t>
      </w:r>
      <w:r>
        <w:rPr>
          <w:rFonts w:hint="eastAsia" w:ascii="Times New Roman" w:hAnsi="Times New Roman" w:eastAsia="宋体" w:cs="Times New Roman"/>
          <w:color w:val="auto"/>
          <w:kern w:val="0"/>
          <w:szCs w:val="24"/>
          <w:highlight w:val="none"/>
        </w:rPr>
        <w:t>原</w:t>
      </w:r>
      <w:r>
        <w:rPr>
          <w:rFonts w:ascii="Times New Roman" w:hAnsi="Times New Roman" w:eastAsia="宋体" w:cs="Times New Roman"/>
          <w:color w:val="auto"/>
          <w:kern w:val="0"/>
          <w:highlight w:val="none"/>
        </w:rPr>
        <w:t>宏保兴采石场</w:t>
      </w:r>
      <w:r>
        <w:rPr>
          <w:rFonts w:hint="eastAsia" w:ascii="Times New Roman" w:hAnsi="Times New Roman" w:eastAsia="宋体" w:cs="Times New Roman"/>
          <w:color w:val="auto"/>
          <w:kern w:val="0"/>
          <w:highlight w:val="none"/>
        </w:rPr>
        <w:t>和</w:t>
      </w:r>
      <w:r>
        <w:rPr>
          <w:rFonts w:hint="eastAsia" w:ascii="Times New Roman" w:hAnsi="Times New Roman" w:eastAsia="宋体" w:cs="Times New Roman"/>
          <w:color w:val="auto"/>
          <w:kern w:val="0"/>
          <w:szCs w:val="24"/>
          <w:highlight w:val="none"/>
        </w:rPr>
        <w:t>原</w:t>
      </w:r>
      <w:r>
        <w:rPr>
          <w:rFonts w:ascii="Times New Roman" w:hAnsi="Times New Roman" w:eastAsia="宋体" w:cs="Times New Roman"/>
          <w:color w:val="auto"/>
          <w:kern w:val="0"/>
          <w:highlight w:val="none"/>
        </w:rPr>
        <w:t>海江采石场</w:t>
      </w:r>
      <w:r>
        <w:rPr>
          <w:rFonts w:hint="eastAsia" w:ascii="Times New Roman" w:hAnsi="Times New Roman" w:eastAsia="宋体" w:cs="Times New Roman"/>
          <w:color w:val="auto"/>
          <w:kern w:val="0"/>
          <w:highlight w:val="none"/>
        </w:rPr>
        <w:t>所属区域为允许开采区，2个</w:t>
      </w:r>
      <w:r>
        <w:rPr>
          <w:rFonts w:ascii="Times New Roman" w:hAnsi="Times New Roman" w:eastAsia="宋体" w:cs="Times New Roman"/>
          <w:color w:val="auto"/>
          <w:kern w:val="0"/>
          <w:highlight w:val="none"/>
        </w:rPr>
        <w:t>采石场</w:t>
      </w:r>
      <w:r>
        <w:rPr>
          <w:rFonts w:hint="eastAsia" w:ascii="Times New Roman" w:hAnsi="Times New Roman" w:eastAsia="宋体" w:cs="Times New Roman"/>
          <w:color w:val="auto"/>
          <w:kern w:val="0"/>
          <w:highlight w:val="none"/>
        </w:rPr>
        <w:t>均列入开采规划区块，规划编号分别为CQ1和CQ1，开采主矿种为建筑石料用灰岩，本项目为</w:t>
      </w:r>
      <w:r>
        <w:rPr>
          <w:rFonts w:hint="eastAsia" w:ascii="Times New Roman" w:hAnsi="Times New Roman" w:eastAsia="宋体" w:cs="Times New Roman"/>
          <w:color w:val="auto"/>
          <w:kern w:val="0"/>
          <w:szCs w:val="24"/>
          <w:highlight w:val="none"/>
        </w:rPr>
        <w:t>原</w:t>
      </w:r>
      <w:r>
        <w:rPr>
          <w:rFonts w:hint="eastAsia" w:ascii="Times New Roman" w:hAnsi="Times New Roman" w:eastAsia="宋体" w:cs="Times New Roman"/>
          <w:color w:val="auto"/>
          <w:kern w:val="0"/>
          <w:highlight w:val="none"/>
        </w:rPr>
        <w:t>宏保兴采石场和</w:t>
      </w:r>
      <w:r>
        <w:rPr>
          <w:rFonts w:hint="eastAsia" w:ascii="Times New Roman" w:hAnsi="Times New Roman" w:eastAsia="宋体" w:cs="Times New Roman"/>
          <w:color w:val="auto"/>
          <w:kern w:val="0"/>
          <w:szCs w:val="24"/>
          <w:highlight w:val="none"/>
        </w:rPr>
        <w:t>原</w:t>
      </w:r>
      <w:r>
        <w:rPr>
          <w:rFonts w:hint="eastAsia" w:ascii="Times New Roman" w:hAnsi="Times New Roman" w:eastAsia="宋体" w:cs="Times New Roman"/>
          <w:color w:val="auto"/>
          <w:kern w:val="0"/>
          <w:highlight w:val="none"/>
        </w:rPr>
        <w:t>海江采石场整合项目，</w:t>
      </w:r>
      <w:r>
        <w:rPr>
          <w:rFonts w:ascii="Times New Roman" w:hAnsi="Times New Roman" w:eastAsia="宋体" w:cs="Times New Roman"/>
          <w:color w:val="auto"/>
          <w:kern w:val="0"/>
          <w:highlight w:val="none"/>
        </w:rPr>
        <w:t>项目</w:t>
      </w:r>
      <w:r>
        <w:rPr>
          <w:rFonts w:hint="eastAsia" w:ascii="Times New Roman" w:hAnsi="Times New Roman" w:eastAsia="宋体" w:cs="Times New Roman"/>
          <w:color w:val="auto"/>
          <w:kern w:val="0"/>
          <w:highlight w:val="none"/>
        </w:rPr>
        <w:t>已取得三江侗族自治县自然资源和规划局下发采矿许可证，因此，项目符合矿产资源规划要求</w:t>
      </w:r>
      <w:r>
        <w:rPr>
          <w:rFonts w:ascii="Times New Roman" w:hAnsi="Times New Roman" w:eastAsia="宋体" w:cs="Times New Roman"/>
          <w:color w:val="auto"/>
          <w:kern w:val="0"/>
          <w:highlight w:val="none"/>
        </w:rPr>
        <w:t>。</w:t>
      </w:r>
      <w:r>
        <w:rPr>
          <w:rFonts w:hint="eastAsia" w:ascii="Times New Roman" w:hAnsi="Times New Roman" w:eastAsia="宋体" w:cs="Times New Roman"/>
          <w:color w:val="auto"/>
          <w:kern w:val="0"/>
          <w:highlight w:val="none"/>
        </w:rPr>
        <w:t>本项目与三江县矿产资源</w:t>
      </w:r>
      <w:r>
        <w:rPr>
          <w:rFonts w:hint="eastAsia" w:ascii="Times New Roman" w:hAnsi="Times New Roman" w:eastAsia="宋体" w:cs="Times New Roman"/>
          <w:color w:val="auto"/>
          <w:kern w:val="0"/>
          <w:highlight w:val="none"/>
          <w:lang w:val="en-US" w:eastAsia="zh-CN"/>
        </w:rPr>
        <w:t>开发利用与保护</w:t>
      </w:r>
      <w:r>
        <w:rPr>
          <w:rFonts w:hint="eastAsia" w:ascii="Times New Roman" w:hAnsi="Times New Roman" w:eastAsia="宋体" w:cs="Times New Roman"/>
          <w:color w:val="auto"/>
          <w:kern w:val="0"/>
          <w:highlight w:val="none"/>
        </w:rPr>
        <w:t>规划</w:t>
      </w:r>
      <w:r>
        <w:rPr>
          <w:rFonts w:hint="eastAsia" w:ascii="Times New Roman" w:hAnsi="Times New Roman" w:eastAsia="宋体" w:cs="Times New Roman"/>
          <w:color w:val="auto"/>
          <w:kern w:val="0"/>
          <w:highlight w:val="none"/>
          <w:lang w:eastAsia="zh-CN"/>
        </w:rPr>
        <w:t>（</w:t>
      </w:r>
      <w:r>
        <w:rPr>
          <w:rFonts w:hint="eastAsia" w:ascii="Times New Roman" w:hAnsi="Times New Roman" w:eastAsia="宋体" w:cs="Times New Roman"/>
          <w:color w:val="auto"/>
          <w:kern w:val="0"/>
          <w:highlight w:val="none"/>
          <w:lang w:val="en-US" w:eastAsia="zh-CN"/>
        </w:rPr>
        <w:t>2016-2020年</w:t>
      </w:r>
      <w:r>
        <w:rPr>
          <w:rFonts w:hint="eastAsia" w:ascii="Times New Roman" w:hAnsi="Times New Roman" w:eastAsia="宋体" w:cs="Times New Roman"/>
          <w:color w:val="auto"/>
          <w:kern w:val="0"/>
          <w:highlight w:val="none"/>
          <w:lang w:eastAsia="zh-CN"/>
        </w:rPr>
        <w:t>）</w:t>
      </w:r>
      <w:r>
        <w:rPr>
          <w:rFonts w:hint="eastAsia" w:ascii="Times New Roman" w:hAnsi="Times New Roman" w:eastAsia="宋体" w:cs="Times New Roman"/>
          <w:color w:val="auto"/>
          <w:kern w:val="0"/>
          <w:highlight w:val="none"/>
        </w:rPr>
        <w:t>关系图、三江县砂石资源开发</w:t>
      </w:r>
      <w:r>
        <w:rPr>
          <w:rFonts w:hint="eastAsia" w:ascii="Times New Roman" w:hAnsi="Times New Roman" w:eastAsia="宋体" w:cs="Times New Roman"/>
          <w:color w:val="auto"/>
          <w:kern w:val="0"/>
          <w:highlight w:val="none"/>
          <w:lang w:val="en-US" w:eastAsia="zh-CN"/>
        </w:rPr>
        <w:t>利用与保护</w:t>
      </w:r>
      <w:r>
        <w:rPr>
          <w:rFonts w:hint="eastAsia" w:ascii="Times New Roman" w:hAnsi="Times New Roman" w:eastAsia="宋体" w:cs="Times New Roman"/>
          <w:color w:val="auto"/>
          <w:kern w:val="0"/>
          <w:highlight w:val="none"/>
        </w:rPr>
        <w:t>规划</w:t>
      </w:r>
      <w:r>
        <w:rPr>
          <w:rFonts w:hint="eastAsia" w:ascii="Times New Roman" w:hAnsi="Times New Roman" w:eastAsia="宋体" w:cs="Times New Roman"/>
          <w:color w:val="auto"/>
          <w:kern w:val="0"/>
          <w:highlight w:val="none"/>
          <w:lang w:eastAsia="zh-CN"/>
        </w:rPr>
        <w:t>（</w:t>
      </w:r>
      <w:r>
        <w:rPr>
          <w:rFonts w:hint="eastAsia" w:ascii="Times New Roman" w:hAnsi="Times New Roman" w:eastAsia="宋体" w:cs="Times New Roman"/>
          <w:color w:val="auto"/>
          <w:kern w:val="0"/>
          <w:highlight w:val="none"/>
          <w:lang w:val="en-US" w:eastAsia="zh-CN"/>
        </w:rPr>
        <w:t>2016-2020年</w:t>
      </w:r>
      <w:r>
        <w:rPr>
          <w:rFonts w:hint="eastAsia" w:ascii="Times New Roman" w:hAnsi="Times New Roman" w:eastAsia="宋体" w:cs="Times New Roman"/>
          <w:color w:val="auto"/>
          <w:kern w:val="0"/>
          <w:highlight w:val="none"/>
          <w:lang w:eastAsia="zh-CN"/>
        </w:rPr>
        <w:t>）</w:t>
      </w:r>
      <w:r>
        <w:rPr>
          <w:rFonts w:hint="eastAsia" w:ascii="Times New Roman" w:hAnsi="Times New Roman" w:eastAsia="宋体" w:cs="Times New Roman"/>
          <w:color w:val="auto"/>
          <w:kern w:val="0"/>
          <w:highlight w:val="none"/>
        </w:rPr>
        <w:t>关系图可见附图18、附图19。</w:t>
      </w:r>
    </w:p>
    <w:p>
      <w:pPr>
        <w:pStyle w:val="6"/>
        <w:rPr>
          <w:rFonts w:ascii="Times New Roman" w:hAnsi="Times New Roman" w:eastAsia="宋体"/>
          <w:color w:val="auto"/>
          <w:highlight w:val="none"/>
        </w:rPr>
      </w:pPr>
      <w:r>
        <w:rPr>
          <w:rFonts w:ascii="Times New Roman" w:hAnsi="Times New Roman" w:eastAsia="宋体"/>
          <w:color w:val="auto"/>
          <w:highlight w:val="none"/>
        </w:rPr>
        <w:t>1.</w:t>
      </w:r>
      <w:r>
        <w:rPr>
          <w:rFonts w:hint="eastAsia" w:ascii="Times New Roman" w:hAnsi="Times New Roman" w:eastAsia="宋体"/>
          <w:color w:val="auto"/>
          <w:highlight w:val="none"/>
        </w:rPr>
        <w:t>2.1.</w:t>
      </w:r>
      <w:r>
        <w:rPr>
          <w:rFonts w:hint="eastAsia" w:ascii="Times New Roman" w:hAnsi="Times New Roman" w:eastAsia="宋体"/>
          <w:color w:val="auto"/>
          <w:highlight w:val="none"/>
          <w:lang w:val="en-US" w:eastAsia="zh-CN"/>
        </w:rPr>
        <w:t>5</w:t>
      </w:r>
      <w:r>
        <w:rPr>
          <w:rFonts w:ascii="Times New Roman" w:hAnsi="Times New Roman" w:eastAsia="宋体"/>
          <w:color w:val="auto"/>
          <w:highlight w:val="none"/>
        </w:rPr>
        <w:t xml:space="preserve">  “三线一单”分析</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“三线一单”指的是生态保护红线、环境质量底线、资源利用上线和环境准入负面清单。</w:t>
      </w:r>
    </w:p>
    <w:p>
      <w:pPr>
        <w:ind w:firstLine="480"/>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① 生态保护红线相符性</w:t>
      </w:r>
    </w:p>
    <w:p>
      <w:pPr>
        <w:spacing w:beforeLines="0" w:afterLines="0"/>
        <w:jc w:val="left"/>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highlight w:val="none"/>
          <w:u w:val="single"/>
        </w:rPr>
        <w:t>根据查阅相关资料，项目</w:t>
      </w:r>
      <w:r>
        <w:rPr>
          <w:rFonts w:hint="default" w:ascii="Times New Roman" w:hAnsi="Times New Roman" w:eastAsia="宋体" w:cs="Times New Roman"/>
          <w:color w:val="auto"/>
          <w:highlight w:val="none"/>
          <w:u w:val="single"/>
          <w:lang w:val="en-US" w:eastAsia="zh-CN"/>
        </w:rPr>
        <w:t>所属</w:t>
      </w:r>
      <w:r>
        <w:rPr>
          <w:rFonts w:hint="default" w:ascii="Times New Roman" w:hAnsi="Times New Roman" w:eastAsia="宋体" w:cs="Times New Roman"/>
          <w:color w:val="auto"/>
          <w:highlight w:val="none"/>
          <w:u w:val="single"/>
        </w:rPr>
        <w:t>区域</w:t>
      </w:r>
      <w:r>
        <w:rPr>
          <w:rFonts w:hint="default" w:ascii="Times New Roman" w:hAnsi="Times New Roman" w:eastAsia="宋体" w:cs="Times New Roman"/>
          <w:color w:val="auto"/>
          <w:highlight w:val="none"/>
          <w:u w:val="single"/>
          <w:lang w:val="en-US" w:eastAsia="zh-CN"/>
        </w:rPr>
        <w:t>三江县</w:t>
      </w:r>
      <w:r>
        <w:rPr>
          <w:rFonts w:hint="default" w:ascii="Times New Roman" w:hAnsi="Times New Roman" w:eastAsia="宋体" w:cs="Times New Roman"/>
          <w:color w:val="auto"/>
          <w:highlight w:val="none"/>
          <w:u w:val="single"/>
        </w:rPr>
        <w:t>尚未划定生态保护红线</w:t>
      </w:r>
      <w:r>
        <w:rPr>
          <w:rFonts w:hint="default" w:ascii="Times New Roman" w:hAnsi="Times New Roman" w:eastAsia="宋体" w:cs="Times New Roman"/>
          <w:color w:val="auto"/>
          <w:highlight w:val="none"/>
          <w:u w:val="single"/>
          <w:lang w:eastAsia="zh-CN"/>
        </w:rPr>
        <w:t>。</w:t>
      </w:r>
      <w:r>
        <w:rPr>
          <w:rFonts w:hint="default" w:ascii="Times New Roman" w:hAnsi="Times New Roman" w:eastAsia="宋体" w:cs="Times New Roman"/>
          <w:color w:val="auto"/>
          <w:sz w:val="24"/>
          <w:highlight w:val="none"/>
          <w:u w:val="single"/>
        </w:rPr>
        <w:t>根据《广西壮族自治区生态功能区划》</w:t>
      </w:r>
      <w:r>
        <w:rPr>
          <w:rFonts w:hint="default" w:ascii="Times New Roman" w:hAnsi="Times New Roman" w:eastAsia="宋体" w:cs="Times New Roman"/>
          <w:color w:val="auto"/>
          <w:sz w:val="24"/>
          <w:highlight w:val="none"/>
          <w:u w:val="single"/>
          <w:lang w:eastAsia="zh-CN"/>
        </w:rPr>
        <w:t>（</w:t>
      </w:r>
      <w:r>
        <w:rPr>
          <w:rFonts w:hint="default" w:ascii="Times New Roman" w:hAnsi="Times New Roman" w:eastAsia="宋体" w:cs="Times New Roman"/>
          <w:color w:val="auto"/>
          <w:sz w:val="24"/>
          <w:highlight w:val="none"/>
          <w:u w:val="single"/>
          <w:lang w:val="en-US" w:eastAsia="zh-CN"/>
        </w:rPr>
        <w:t>附图8</w:t>
      </w:r>
      <w:r>
        <w:rPr>
          <w:rFonts w:hint="default" w:ascii="Times New Roman" w:hAnsi="Times New Roman" w:eastAsia="宋体" w:cs="Times New Roman"/>
          <w:color w:val="auto"/>
          <w:sz w:val="24"/>
          <w:highlight w:val="none"/>
          <w:u w:val="single"/>
          <w:lang w:eastAsia="zh-CN"/>
        </w:rPr>
        <w:t>）</w:t>
      </w:r>
      <w:r>
        <w:rPr>
          <w:rFonts w:hint="default" w:ascii="Times New Roman" w:hAnsi="Times New Roman" w:eastAsia="宋体" w:cs="Times New Roman"/>
          <w:color w:val="auto"/>
          <w:sz w:val="24"/>
          <w:highlight w:val="none"/>
          <w:u w:val="single"/>
        </w:rPr>
        <w:t>，项目所在区域不属于限制和禁止开发区域，不涉及生态保护红线，不涉及国家和地方自然保护区、风景名胜区、森林公园、生态公益林、水源涵养林、水源保护区等生态敏感区。</w:t>
      </w:r>
      <w:r>
        <w:rPr>
          <w:rFonts w:hint="default" w:ascii="Times New Roman" w:hAnsi="Times New Roman" w:eastAsia="宋体" w:cs="Times New Roman"/>
          <w:color w:val="auto"/>
          <w:sz w:val="24"/>
          <w:highlight w:val="none"/>
          <w:u w:val="single"/>
          <w:lang w:val="en-US" w:eastAsia="zh-CN"/>
        </w:rPr>
        <w:t>整合矿山红线范围和临时用地范围内均不涉及公益林，</w:t>
      </w:r>
      <w:r>
        <w:rPr>
          <w:rFonts w:hint="default" w:ascii="Times New Roman" w:hAnsi="Times New Roman" w:eastAsia="宋体" w:cs="Times New Roman"/>
          <w:color w:val="auto"/>
          <w:sz w:val="24"/>
          <w:highlight w:val="none"/>
          <w:u w:val="single"/>
        </w:rPr>
        <w:t>因此，项目建设符合生态保护红线管理办法的</w:t>
      </w:r>
      <w:r>
        <w:rPr>
          <w:rFonts w:hint="default" w:ascii="Times New Roman" w:hAnsi="Times New Roman" w:eastAsia="宋体" w:cs="Times New Roman"/>
          <w:color w:val="auto"/>
          <w:sz w:val="24"/>
          <w:highlight w:val="none"/>
          <w:u w:val="single"/>
          <w:lang w:val="en-US" w:eastAsia="zh-CN"/>
        </w:rPr>
        <w:t>相关</w:t>
      </w:r>
      <w:r>
        <w:rPr>
          <w:rFonts w:hint="default" w:ascii="Times New Roman" w:hAnsi="Times New Roman" w:eastAsia="宋体" w:cs="Times New Roman"/>
          <w:color w:val="auto"/>
          <w:sz w:val="24"/>
          <w:highlight w:val="none"/>
          <w:u w:val="single"/>
        </w:rPr>
        <w:t>规定。</w:t>
      </w:r>
    </w:p>
    <w:p>
      <w:pPr>
        <w:ind w:firstLine="480"/>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② 环境质量底线</w:t>
      </w:r>
    </w:p>
    <w:p>
      <w:pPr>
        <w:ind w:firstLine="480"/>
        <w:rPr>
          <w:rFonts w:ascii="Times New Roman" w:hAnsi="Times New Roman" w:eastAsia="宋体" w:cs="Times New Roman"/>
          <w:color w:val="auto"/>
          <w:highlight w:val="none"/>
        </w:rPr>
      </w:pPr>
      <w:r>
        <w:rPr>
          <w:rFonts w:ascii="Times New Roman" w:hAnsi="Times New Roman" w:eastAsia="宋体"/>
          <w:color w:val="auto"/>
          <w:highlight w:val="none"/>
        </w:rPr>
        <w:t>根据</w:t>
      </w:r>
      <w:r>
        <w:rPr>
          <w:rFonts w:hint="eastAsia" w:ascii="Times New Roman" w:hAnsi="Times New Roman" w:eastAsia="宋体"/>
          <w:color w:val="auto"/>
          <w:highlight w:val="none"/>
        </w:rPr>
        <w:t>三江县</w:t>
      </w:r>
      <w:r>
        <w:rPr>
          <w:rFonts w:ascii="Times New Roman" w:hAnsi="Times New Roman" w:eastAsia="宋体"/>
          <w:color w:val="auto"/>
          <w:highlight w:val="none"/>
        </w:rPr>
        <w:t>2018年环境质量</w:t>
      </w:r>
      <w:r>
        <w:rPr>
          <w:rFonts w:hint="eastAsia" w:ascii="Times New Roman" w:hAnsi="Times New Roman" w:eastAsia="宋体"/>
          <w:color w:val="auto"/>
          <w:highlight w:val="none"/>
        </w:rPr>
        <w:t>公报</w:t>
      </w:r>
      <w:r>
        <w:rPr>
          <w:rFonts w:ascii="Times New Roman" w:hAnsi="Times New Roman" w:eastAsia="宋体"/>
          <w:color w:val="auto"/>
          <w:highlight w:val="none"/>
        </w:rPr>
        <w:t>，</w:t>
      </w:r>
      <w:r>
        <w:rPr>
          <w:rFonts w:hint="eastAsia" w:ascii="Times New Roman" w:hAnsi="Times New Roman" w:eastAsia="宋体"/>
          <w:color w:val="auto"/>
          <w:highlight w:val="none"/>
        </w:rPr>
        <w:t>三江县2018年为达标区，</w:t>
      </w:r>
      <w:r>
        <w:rPr>
          <w:rFonts w:ascii="Times New Roman" w:hAnsi="Times New Roman" w:eastAsia="宋体"/>
          <w:color w:val="auto"/>
          <w:highlight w:val="none"/>
        </w:rPr>
        <w:t>评价区域环境空气污染物基本项目满足《环境空气质量标准》（GB</w:t>
      </w:r>
      <w:r>
        <w:rPr>
          <w:rFonts w:hint="eastAsia" w:ascii="Times New Roman" w:hAnsi="Times New Roman" w:eastAsia="宋体"/>
          <w:color w:val="auto"/>
          <w:highlight w:val="none"/>
          <w:lang w:val="en-US" w:eastAsia="zh-CN"/>
        </w:rPr>
        <w:t xml:space="preserve"> </w:t>
      </w:r>
      <w:r>
        <w:rPr>
          <w:rFonts w:ascii="Times New Roman" w:hAnsi="Times New Roman" w:eastAsia="宋体"/>
          <w:color w:val="auto"/>
          <w:highlight w:val="none"/>
        </w:rPr>
        <w:t>3095-2012）</w:t>
      </w:r>
      <w:r>
        <w:rPr>
          <w:rFonts w:ascii="Times New Roman" w:hAnsi="Times New Roman" w:eastAsia="宋体" w:cs="Times New Roman"/>
          <w:color w:val="auto"/>
          <w:szCs w:val="24"/>
          <w:highlight w:val="none"/>
        </w:rPr>
        <w:t>及其修改单二级标准</w:t>
      </w:r>
      <w:r>
        <w:rPr>
          <w:rFonts w:ascii="Times New Roman" w:hAnsi="Times New Roman" w:eastAsia="宋体"/>
          <w:color w:val="auto"/>
          <w:highlight w:val="none"/>
        </w:rPr>
        <w:t>。根据现状监测，</w:t>
      </w:r>
      <w:r>
        <w:rPr>
          <w:rFonts w:hint="eastAsia" w:ascii="Times New Roman" w:hAnsi="Times New Roman" w:eastAsia="宋体"/>
          <w:color w:val="auto"/>
          <w:highlight w:val="none"/>
        </w:rPr>
        <w:t>项目区域无名小沟</w:t>
      </w:r>
      <w:r>
        <w:rPr>
          <w:rFonts w:ascii="Times New Roman" w:hAnsi="Times New Roman" w:eastAsia="宋体"/>
          <w:color w:val="auto"/>
          <w:highlight w:val="none"/>
        </w:rPr>
        <w:t>各监测因子均符合《地表水环境质量标准》（GB</w:t>
      </w:r>
      <w:r>
        <w:rPr>
          <w:rFonts w:hint="eastAsia" w:ascii="Times New Roman" w:hAnsi="Times New Roman" w:eastAsia="宋体"/>
          <w:color w:val="auto"/>
          <w:highlight w:val="none"/>
          <w:lang w:val="en-US" w:eastAsia="zh-CN"/>
        </w:rPr>
        <w:t xml:space="preserve"> </w:t>
      </w:r>
      <w:r>
        <w:rPr>
          <w:rFonts w:ascii="Times New Roman" w:hAnsi="Times New Roman" w:eastAsia="宋体"/>
          <w:color w:val="auto"/>
          <w:highlight w:val="none"/>
        </w:rPr>
        <w:t>3838-2002）Ⅲ类标准要求。项目实施后无工艺废水</w:t>
      </w:r>
      <w:r>
        <w:rPr>
          <w:rFonts w:hint="eastAsia" w:ascii="Times New Roman" w:hAnsi="Times New Roman" w:eastAsia="宋体"/>
          <w:color w:val="auto"/>
          <w:highlight w:val="none"/>
        </w:rPr>
        <w:t>外排</w:t>
      </w:r>
      <w:r>
        <w:rPr>
          <w:rFonts w:ascii="Times New Roman" w:hAnsi="Times New Roman" w:eastAsia="宋体"/>
          <w:color w:val="auto"/>
          <w:highlight w:val="none"/>
        </w:rPr>
        <w:t>，隔油后的厨房废水与生活污水经化粪池处理后用于周边旱地施肥，初期雨水收集沉淀后回用，</w:t>
      </w:r>
      <w:r>
        <w:rPr>
          <w:rFonts w:hint="eastAsia" w:ascii="Times New Roman" w:hAnsi="Times New Roman" w:eastAsia="宋体" w:cs="Times New Roman"/>
          <w:color w:val="auto"/>
          <w:szCs w:val="24"/>
          <w:highlight w:val="none"/>
        </w:rPr>
        <w:t>车辆清洗废水和洗砂废水循环使用，</w:t>
      </w:r>
      <w:r>
        <w:rPr>
          <w:rFonts w:ascii="Times New Roman" w:hAnsi="Times New Roman" w:eastAsia="宋体"/>
          <w:color w:val="auto"/>
          <w:highlight w:val="none"/>
        </w:rPr>
        <w:t>项目废水对周边地表水环境影响不大；</w:t>
      </w:r>
      <w:r>
        <w:rPr>
          <w:rFonts w:hint="eastAsia" w:ascii="Times New Roman" w:hAnsi="Times New Roman" w:eastAsia="宋体"/>
          <w:color w:val="auto"/>
          <w:highlight w:val="none"/>
        </w:rPr>
        <w:t>厂</w:t>
      </w:r>
      <w:r>
        <w:rPr>
          <w:rFonts w:ascii="Times New Roman" w:hAnsi="Times New Roman" w:eastAsia="宋体"/>
          <w:color w:val="auto"/>
          <w:highlight w:val="none"/>
        </w:rPr>
        <w:t>界声环境质量满足《声环境质量标准》（GB</w:t>
      </w:r>
      <w:r>
        <w:rPr>
          <w:rFonts w:hint="eastAsia" w:ascii="Times New Roman" w:hAnsi="Times New Roman" w:eastAsia="宋体"/>
          <w:color w:val="auto"/>
          <w:highlight w:val="none"/>
          <w:lang w:val="en-US" w:eastAsia="zh-CN"/>
        </w:rPr>
        <w:t xml:space="preserve"> </w:t>
      </w:r>
      <w:r>
        <w:rPr>
          <w:rFonts w:ascii="Times New Roman" w:hAnsi="Times New Roman" w:eastAsia="宋体"/>
          <w:color w:val="auto"/>
          <w:highlight w:val="none"/>
        </w:rPr>
        <w:t>3096-2008）2类标准</w:t>
      </w:r>
      <w:r>
        <w:rPr>
          <w:rFonts w:hint="eastAsia" w:ascii="Times New Roman" w:hAnsi="Times New Roman" w:eastAsia="宋体"/>
          <w:color w:val="auto"/>
          <w:highlight w:val="none"/>
        </w:rPr>
        <w:t>，固体废物均得到合理处置</w:t>
      </w:r>
      <w:r>
        <w:rPr>
          <w:rFonts w:ascii="Times New Roman" w:hAnsi="Times New Roman" w:eastAsia="宋体"/>
          <w:color w:val="auto"/>
          <w:highlight w:val="none"/>
        </w:rPr>
        <w:t>。项目废气、废水、噪声</w:t>
      </w:r>
      <w:r>
        <w:rPr>
          <w:rFonts w:hint="eastAsia" w:ascii="Times New Roman" w:hAnsi="Times New Roman" w:eastAsia="宋体"/>
          <w:color w:val="auto"/>
          <w:highlight w:val="none"/>
        </w:rPr>
        <w:t>、固体废物</w:t>
      </w:r>
      <w:r>
        <w:rPr>
          <w:rFonts w:ascii="Times New Roman" w:hAnsi="Times New Roman" w:eastAsia="宋体"/>
          <w:color w:val="auto"/>
          <w:highlight w:val="none"/>
        </w:rPr>
        <w:t>经有效措施处理后，对周围环境影响可接受，因此项目符合环境质量底线的要求。</w:t>
      </w:r>
    </w:p>
    <w:p>
      <w:pPr>
        <w:ind w:firstLine="480"/>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③ 资源利用上线</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本项目生产过程中所用的资源主要为水和电。项目所在地</w:t>
      </w:r>
      <w:r>
        <w:rPr>
          <w:rFonts w:hint="eastAsia" w:ascii="Times New Roman" w:hAnsi="Times New Roman" w:eastAsia="宋体" w:cs="Times New Roman"/>
          <w:color w:val="auto"/>
          <w:highlight w:val="none"/>
        </w:rPr>
        <w:t>水</w:t>
      </w:r>
      <w:r>
        <w:rPr>
          <w:rFonts w:ascii="Times New Roman" w:hAnsi="Times New Roman" w:eastAsia="宋体" w:cs="Times New Roman"/>
          <w:color w:val="auto"/>
          <w:highlight w:val="none"/>
        </w:rPr>
        <w:t>资源丰富，项目用水由</w:t>
      </w:r>
      <w:r>
        <w:rPr>
          <w:rFonts w:hint="eastAsia" w:ascii="Times New Roman" w:hAnsi="Times New Roman" w:eastAsia="宋体" w:cs="Times New Roman"/>
          <w:color w:val="auto"/>
          <w:highlight w:val="none"/>
        </w:rPr>
        <w:t>山泉水</w:t>
      </w:r>
      <w:r>
        <w:rPr>
          <w:rFonts w:ascii="Times New Roman" w:hAnsi="Times New Roman" w:eastAsia="宋体" w:cs="Times New Roman"/>
          <w:color w:val="auto"/>
          <w:highlight w:val="none"/>
        </w:rPr>
        <w:t>供应；项目周边电力资源供应充足，可满足项目生产所需电力需求。因此，本项目符合资源利用上线标准。</w:t>
      </w:r>
    </w:p>
    <w:p>
      <w:pPr>
        <w:ind w:firstLine="480"/>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④ 环境准入负面清单</w:t>
      </w:r>
    </w:p>
    <w:p>
      <w:pPr>
        <w:ind w:firstLine="480"/>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三江县为</w:t>
      </w:r>
      <w:r>
        <w:rPr>
          <w:rFonts w:ascii="Times New Roman" w:hAnsi="Times New Roman" w:eastAsia="宋体" w:cs="Times New Roman"/>
          <w:color w:val="auto"/>
          <w:highlight w:val="none"/>
          <w:u w:val="single"/>
        </w:rPr>
        <w:t>《广西16个国家重点生态功能区县产业准入负面清单（试行）》</w:t>
      </w:r>
      <w:r>
        <w:rPr>
          <w:rFonts w:hint="eastAsia" w:cs="Times New Roman"/>
          <w:color w:val="auto"/>
          <w:highlight w:val="none"/>
          <w:u w:val="single"/>
          <w:lang w:val="en-US" w:eastAsia="zh-CN"/>
        </w:rPr>
        <w:t>所列国家重点生态功能区</w:t>
      </w:r>
      <w:r>
        <w:rPr>
          <w:rFonts w:hint="eastAsia" w:cs="Times New Roman"/>
          <w:color w:val="auto"/>
          <w:highlight w:val="none"/>
          <w:u w:val="single"/>
          <w:lang w:eastAsia="zh-CN"/>
        </w:rPr>
        <w:t>，</w:t>
      </w:r>
      <w:r>
        <w:rPr>
          <w:rFonts w:hint="eastAsia" w:cs="Times New Roman"/>
          <w:color w:val="auto"/>
          <w:highlight w:val="none"/>
          <w:u w:val="single"/>
          <w:lang w:val="en-US" w:eastAsia="zh-CN"/>
        </w:rPr>
        <w:t>其限制类和禁止类主要包括农林牧渔业、采矿业和制造业，其中采矿业未列入限制类，列入禁止类的采矿业为“09有色金属矿采选业--091常用有色金属矿采选--0911－0917、0919指对铜、铅锌、镍钴、锡、锑、铝、镁、汞、镉、铋等常用有色金属矿的采选”。本项目为非金属矿开采，不属于上述所列禁止类。</w:t>
      </w:r>
      <w:r>
        <w:rPr>
          <w:rFonts w:ascii="Times New Roman" w:hAnsi="Times New Roman" w:eastAsia="宋体" w:cs="Times New Roman"/>
          <w:color w:val="auto"/>
          <w:highlight w:val="none"/>
          <w:u w:val="single"/>
        </w:rPr>
        <w:t>根据《市场准入负面清单（2018年本）》，采矿业属于许可准入类，采矿业禁止或许可事项规定“未获得许可或资质条件等，不得从事矿产资源的勘察开采、生产经营及对外合作”，本项目已经获得采矿许可，符合《市场准入负面清单（2018年本）》要求。</w:t>
      </w:r>
      <w:r>
        <w:rPr>
          <w:rFonts w:hint="eastAsia" w:cs="Times New Roman"/>
          <w:color w:val="auto"/>
          <w:highlight w:val="none"/>
          <w:u w:val="single"/>
          <w:lang w:val="en-US" w:eastAsia="zh-CN"/>
        </w:rPr>
        <w:t>故本项目符合环境准入要求。</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综上，项目符合“三线一单”的要求。</w:t>
      </w:r>
    </w:p>
    <w:p>
      <w:pPr>
        <w:pStyle w:val="5"/>
        <w:rPr>
          <w:rFonts w:ascii="Times New Roman" w:hAnsi="Times New Roman" w:eastAsia="宋体"/>
          <w:color w:val="auto"/>
          <w:highlight w:val="none"/>
        </w:rPr>
      </w:pPr>
      <w:r>
        <w:rPr>
          <w:rFonts w:ascii="Times New Roman" w:hAnsi="Times New Roman" w:eastAsia="宋体"/>
          <w:color w:val="auto"/>
          <w:highlight w:val="none"/>
        </w:rPr>
        <w:t>1.2.2环境功能区划</w:t>
      </w:r>
    </w:p>
    <w:p>
      <w:pPr>
        <w:pStyle w:val="6"/>
        <w:rPr>
          <w:rFonts w:ascii="Times New Roman" w:hAnsi="Times New Roman" w:eastAsia="宋体"/>
          <w:color w:val="auto"/>
          <w:highlight w:val="none"/>
        </w:rPr>
      </w:pPr>
      <w:r>
        <w:rPr>
          <w:rFonts w:ascii="Times New Roman" w:hAnsi="Times New Roman" w:eastAsia="宋体"/>
          <w:color w:val="auto"/>
          <w:highlight w:val="none"/>
        </w:rPr>
        <w:t>1.2.2.1</w:t>
      </w:r>
      <w:r>
        <w:rPr>
          <w:rFonts w:hint="eastAsia" w:ascii="Times New Roman" w:hAnsi="Times New Roman" w:eastAsia="宋体"/>
          <w:color w:val="auto"/>
          <w:highlight w:val="none"/>
        </w:rPr>
        <w:t xml:space="preserve"> </w:t>
      </w:r>
      <w:r>
        <w:rPr>
          <w:rFonts w:ascii="Times New Roman" w:hAnsi="Times New Roman" w:eastAsia="宋体"/>
          <w:color w:val="auto"/>
          <w:highlight w:val="none"/>
        </w:rPr>
        <w:t>环境空气功能区划</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项目所在区域未划定环境空气功能区划，项目不属于自然保护区、风景名胜区和其它需要特殊保护的区域，根据《环境空气质量标准》（GB 3095-2012）及其修改单中关于环境空气质量功能区的分类，项目所在区域属于二类环境空气功能区。</w:t>
      </w:r>
    </w:p>
    <w:p>
      <w:pPr>
        <w:pStyle w:val="6"/>
        <w:rPr>
          <w:rFonts w:ascii="Times New Roman" w:hAnsi="Times New Roman" w:eastAsia="宋体"/>
          <w:color w:val="auto"/>
          <w:highlight w:val="none"/>
        </w:rPr>
      </w:pPr>
      <w:r>
        <w:rPr>
          <w:rFonts w:ascii="Times New Roman" w:hAnsi="Times New Roman" w:eastAsia="宋体"/>
          <w:color w:val="auto"/>
          <w:highlight w:val="none"/>
        </w:rPr>
        <w:t>1.2.2.2</w:t>
      </w:r>
      <w:r>
        <w:rPr>
          <w:rFonts w:hint="eastAsia" w:ascii="Times New Roman" w:hAnsi="Times New Roman" w:eastAsia="宋体"/>
          <w:color w:val="auto"/>
          <w:highlight w:val="none"/>
        </w:rPr>
        <w:t xml:space="preserve"> </w:t>
      </w:r>
      <w:r>
        <w:rPr>
          <w:rFonts w:ascii="Times New Roman" w:hAnsi="Times New Roman" w:eastAsia="宋体"/>
          <w:color w:val="auto"/>
          <w:highlight w:val="none"/>
        </w:rPr>
        <w:t>水环境功能区</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w:t>
      </w:r>
      <w:r>
        <w:rPr>
          <w:rFonts w:hint="eastAsia" w:ascii="Times New Roman" w:hAnsi="Times New Roman" w:eastAsia="宋体" w:cs="Times New Roman"/>
          <w:color w:val="auto"/>
          <w:highlight w:val="none"/>
        </w:rPr>
        <w:t>评价区域涉及的地表水体为矿山南面无名小沟、斗江</w:t>
      </w:r>
      <w:r>
        <w:rPr>
          <w:rFonts w:hint="eastAsia" w:ascii="Times New Roman" w:hAnsi="Times New Roman" w:eastAsia="宋体" w:cs="Times New Roman"/>
          <w:color w:val="auto"/>
          <w:highlight w:val="none"/>
          <w:lang w:val="en-US" w:eastAsia="zh-CN"/>
        </w:rPr>
        <w:t>河</w:t>
      </w:r>
      <w:r>
        <w:rPr>
          <w:rFonts w:hint="eastAsia" w:ascii="Times New Roman" w:hAnsi="Times New Roman" w:eastAsia="宋体" w:cs="Times New Roman"/>
          <w:color w:val="auto"/>
          <w:highlight w:val="none"/>
        </w:rPr>
        <w:t>和古宜河</w:t>
      </w:r>
      <w:r>
        <w:rPr>
          <w:rFonts w:ascii="Times New Roman" w:hAnsi="Times New Roman" w:eastAsia="宋体" w:cs="Times New Roman"/>
          <w:color w:val="auto"/>
          <w:highlight w:val="none"/>
        </w:rPr>
        <w:t>，该</w:t>
      </w:r>
      <w:r>
        <w:rPr>
          <w:rFonts w:hint="eastAsia" w:ascii="Times New Roman" w:hAnsi="Times New Roman" w:eastAsia="宋体" w:cs="Times New Roman"/>
          <w:color w:val="auto"/>
          <w:highlight w:val="none"/>
        </w:rPr>
        <w:t>无名小沟尚</w:t>
      </w:r>
      <w:r>
        <w:rPr>
          <w:rFonts w:ascii="Times New Roman" w:hAnsi="Times New Roman" w:eastAsia="宋体" w:cs="Times New Roman"/>
          <w:color w:val="auto"/>
          <w:highlight w:val="none"/>
        </w:rPr>
        <w:t>未划定水功能区，</w:t>
      </w:r>
      <w:r>
        <w:rPr>
          <w:rFonts w:hint="eastAsia" w:ascii="Times New Roman" w:hAnsi="Times New Roman" w:eastAsia="宋体" w:cs="Times New Roman"/>
          <w:color w:val="auto"/>
          <w:highlight w:val="none"/>
        </w:rPr>
        <w:t>为项目场区雨水纳污水体，经东向西流约4.5km后汇入斗江</w:t>
      </w:r>
      <w:r>
        <w:rPr>
          <w:rFonts w:hint="eastAsia" w:ascii="Times New Roman" w:hAnsi="Times New Roman" w:eastAsia="宋体" w:cs="Times New Roman"/>
          <w:color w:val="auto"/>
          <w:highlight w:val="none"/>
          <w:lang w:val="en-US" w:eastAsia="zh-CN"/>
        </w:rPr>
        <w:t>河</w:t>
      </w:r>
      <w:r>
        <w:rPr>
          <w:rFonts w:hint="eastAsia" w:ascii="Times New Roman" w:hAnsi="Times New Roman" w:eastAsia="宋体" w:cs="Times New Roman"/>
          <w:color w:val="auto"/>
          <w:highlight w:val="none"/>
        </w:rPr>
        <w:t>，斗江</w:t>
      </w:r>
      <w:r>
        <w:rPr>
          <w:rFonts w:hint="eastAsia" w:ascii="Times New Roman" w:hAnsi="Times New Roman" w:eastAsia="宋体" w:cs="Times New Roman"/>
          <w:color w:val="auto"/>
          <w:highlight w:val="none"/>
          <w:lang w:val="en-US" w:eastAsia="zh-CN"/>
        </w:rPr>
        <w:t>河</w:t>
      </w:r>
      <w:r>
        <w:rPr>
          <w:rFonts w:hint="eastAsia" w:ascii="Times New Roman" w:hAnsi="Times New Roman" w:eastAsia="宋体" w:cs="Times New Roman"/>
          <w:color w:val="auto"/>
          <w:highlight w:val="none"/>
        </w:rPr>
        <w:t>与项目边界直线距离1.85km，斗江</w:t>
      </w:r>
      <w:r>
        <w:rPr>
          <w:rFonts w:hint="eastAsia" w:ascii="Times New Roman" w:hAnsi="Times New Roman" w:eastAsia="宋体" w:cs="Times New Roman"/>
          <w:color w:val="auto"/>
          <w:highlight w:val="none"/>
          <w:lang w:val="en-US" w:eastAsia="zh-CN"/>
        </w:rPr>
        <w:t>河</w:t>
      </w:r>
      <w:r>
        <w:rPr>
          <w:rFonts w:hint="eastAsia" w:ascii="Times New Roman" w:hAnsi="Times New Roman" w:eastAsia="宋体" w:cs="Times New Roman"/>
          <w:color w:val="auto"/>
          <w:highlight w:val="none"/>
        </w:rPr>
        <w:t>由南向北流0.5km后最终汇入古宜河。无名小沟汇入斗江</w:t>
      </w:r>
      <w:r>
        <w:rPr>
          <w:rFonts w:hint="eastAsia" w:ascii="Times New Roman" w:hAnsi="Times New Roman" w:eastAsia="宋体" w:cs="Times New Roman"/>
          <w:color w:val="auto"/>
          <w:highlight w:val="none"/>
          <w:lang w:val="en-US" w:eastAsia="zh-CN"/>
        </w:rPr>
        <w:t>河</w:t>
      </w:r>
      <w:r>
        <w:rPr>
          <w:rFonts w:hint="eastAsia" w:ascii="Times New Roman" w:hAnsi="Times New Roman" w:eastAsia="宋体" w:cs="Times New Roman"/>
          <w:color w:val="auto"/>
          <w:highlight w:val="none"/>
        </w:rPr>
        <w:t>过程流经斗江镇饮用水水源二级保护区和</w:t>
      </w:r>
      <w:r>
        <w:rPr>
          <w:rFonts w:hint="eastAsia" w:ascii="Times New Roman" w:hAnsi="Times New Roman" w:eastAsia="宋体"/>
          <w:color w:val="auto"/>
          <w:highlight w:val="none"/>
        </w:rPr>
        <w:t>三江县县城饮用水源准保护区</w:t>
      </w:r>
      <w:r>
        <w:rPr>
          <w:rFonts w:hint="eastAsia" w:ascii="Times New Roman" w:hAnsi="Times New Roman" w:eastAsia="宋体" w:cs="Times New Roman"/>
          <w:color w:val="auto"/>
          <w:highlight w:val="none"/>
        </w:rPr>
        <w:t>，该区域水质保护目标为</w:t>
      </w:r>
      <w:r>
        <w:rPr>
          <w:rFonts w:ascii="Times New Roman" w:hAnsi="Times New Roman" w:eastAsia="宋体" w:cs="Times New Roman"/>
          <w:color w:val="auto"/>
          <w:highlight w:val="none"/>
        </w:rPr>
        <w:t>Ⅲ类</w:t>
      </w:r>
      <w:r>
        <w:rPr>
          <w:rFonts w:hint="eastAsia" w:ascii="Times New Roman" w:hAnsi="Times New Roman" w:eastAsia="宋体" w:cs="Times New Roman"/>
          <w:color w:val="auto"/>
          <w:highlight w:val="none"/>
        </w:rPr>
        <w:t>，项目矿区范围和临时用地不涉及饮用水源保护区，故该无名小沟水质执行</w:t>
      </w:r>
      <w:r>
        <w:rPr>
          <w:rFonts w:ascii="Times New Roman" w:hAnsi="Times New Roman" w:eastAsia="宋体" w:cs="Times New Roman"/>
          <w:color w:val="auto"/>
          <w:highlight w:val="none"/>
        </w:rPr>
        <w:t>《地表水环境质量标准》（GB 3838-2002）Ⅲ类标准。</w:t>
      </w:r>
      <w:r>
        <w:rPr>
          <w:rFonts w:hint="eastAsia" w:ascii="Times New Roman" w:hAnsi="Times New Roman" w:eastAsia="宋体" w:cs="Times New Roman"/>
          <w:color w:val="auto"/>
          <w:highlight w:val="none"/>
        </w:rPr>
        <w:t>具体可见附图10、附图11。</w:t>
      </w:r>
    </w:p>
    <w:p>
      <w:pPr>
        <w:pStyle w:val="6"/>
        <w:rPr>
          <w:rFonts w:ascii="Times New Roman" w:hAnsi="Times New Roman" w:eastAsia="宋体"/>
          <w:color w:val="auto"/>
          <w:highlight w:val="none"/>
        </w:rPr>
      </w:pPr>
      <w:r>
        <w:rPr>
          <w:rFonts w:ascii="Times New Roman" w:hAnsi="Times New Roman" w:eastAsia="宋体"/>
          <w:color w:val="auto"/>
          <w:highlight w:val="none"/>
        </w:rPr>
        <w:t>1.2.2.3 声环境功能区划</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szCs w:val="24"/>
          <w:highlight w:val="none"/>
        </w:rPr>
        <w:t>项目所在区域未划定声环境功能区划，</w:t>
      </w:r>
      <w:r>
        <w:rPr>
          <w:rFonts w:ascii="Times New Roman" w:hAnsi="Times New Roman" w:eastAsia="宋体" w:cs="Times New Roman"/>
          <w:color w:val="auto"/>
          <w:highlight w:val="none"/>
        </w:rPr>
        <w:t>根据《声环境功能区划分技术规范》（GB/T</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15190-2014）分类，项目属于2类</w:t>
      </w:r>
      <w:r>
        <w:rPr>
          <w:rFonts w:ascii="Times New Roman" w:hAnsi="Times New Roman" w:eastAsia="宋体" w:cs="Times New Roman"/>
          <w:color w:val="auto"/>
          <w:szCs w:val="24"/>
          <w:highlight w:val="none"/>
        </w:rPr>
        <w:t>声环境功能</w:t>
      </w:r>
      <w:r>
        <w:rPr>
          <w:rFonts w:ascii="Times New Roman" w:hAnsi="Times New Roman" w:eastAsia="宋体" w:cs="Times New Roman"/>
          <w:color w:val="auto"/>
          <w:highlight w:val="none"/>
        </w:rPr>
        <w:t>区。</w:t>
      </w:r>
    </w:p>
    <w:p>
      <w:pPr>
        <w:pStyle w:val="6"/>
        <w:rPr>
          <w:rFonts w:ascii="Times New Roman" w:hAnsi="Times New Roman" w:eastAsia="宋体"/>
          <w:color w:val="auto"/>
          <w:highlight w:val="none"/>
        </w:rPr>
      </w:pPr>
      <w:r>
        <w:rPr>
          <w:rFonts w:ascii="Times New Roman" w:hAnsi="Times New Roman" w:eastAsia="宋体"/>
          <w:color w:val="auto"/>
          <w:highlight w:val="none"/>
        </w:rPr>
        <w:t>1.2.2.4 生态环境</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项目所在地不属于《环境影响评价技术导则 生态影响》（HJ 19-2011）中的特殊生态敏感区和重要生态敏感区，属于一般区域。</w:t>
      </w:r>
      <w:r>
        <w:rPr>
          <w:rFonts w:ascii="Times New Roman" w:hAnsi="Times New Roman" w:eastAsia="宋体" w:cs="Times New Roman"/>
          <w:color w:val="auto"/>
          <w:kern w:val="0"/>
          <w:highlight w:val="none"/>
        </w:rPr>
        <w:t>根据《广西壮族自治区人民政府关于划分我区水土流失重点预防区和重点治理区的通告》（桂政发〔2017〕5号），</w:t>
      </w:r>
      <w:r>
        <w:rPr>
          <w:rFonts w:hint="eastAsia" w:ascii="Times New Roman" w:hAnsi="Times New Roman" w:eastAsia="宋体" w:cs="Times New Roman"/>
          <w:color w:val="auto"/>
          <w:kern w:val="0"/>
          <w:highlight w:val="none"/>
        </w:rPr>
        <w:t>三江县</w:t>
      </w:r>
      <w:r>
        <w:rPr>
          <w:rFonts w:ascii="Times New Roman" w:hAnsi="Times New Roman" w:eastAsia="宋体" w:cs="Times New Roman"/>
          <w:color w:val="auto"/>
          <w:kern w:val="0"/>
          <w:highlight w:val="none"/>
        </w:rPr>
        <w:t>划分为自治区级水土流失重点</w:t>
      </w:r>
      <w:r>
        <w:rPr>
          <w:rFonts w:hint="eastAsia" w:ascii="Times New Roman" w:hAnsi="Times New Roman" w:eastAsia="宋体" w:cs="Times New Roman"/>
          <w:color w:val="auto"/>
          <w:kern w:val="0"/>
          <w:highlight w:val="none"/>
        </w:rPr>
        <w:t>预防</w:t>
      </w:r>
      <w:r>
        <w:rPr>
          <w:rFonts w:ascii="Times New Roman" w:hAnsi="Times New Roman" w:eastAsia="宋体" w:cs="Times New Roman"/>
          <w:color w:val="auto"/>
          <w:kern w:val="0"/>
          <w:highlight w:val="none"/>
        </w:rPr>
        <w:t>区，故项目需按照相关法律法规要求做好防治水土流失工作</w:t>
      </w:r>
      <w:r>
        <w:rPr>
          <w:rFonts w:ascii="Times New Roman" w:hAnsi="Times New Roman" w:eastAsia="宋体" w:cs="Times New Roman"/>
          <w:color w:val="auto"/>
          <w:highlight w:val="none"/>
        </w:rPr>
        <w:t>。</w:t>
      </w:r>
    </w:p>
    <w:p>
      <w:pPr>
        <w:ind w:firstLine="480"/>
        <w:rPr>
          <w:rFonts w:ascii="Times New Roman" w:hAnsi="Times New Roman" w:eastAsia="宋体" w:cs="Times New Roman"/>
          <w:color w:val="auto"/>
          <w:szCs w:val="22"/>
          <w:highlight w:val="none"/>
        </w:rPr>
      </w:pPr>
      <w:r>
        <w:rPr>
          <w:rFonts w:ascii="Times New Roman" w:hAnsi="Times New Roman" w:eastAsia="宋体" w:cs="Times New Roman"/>
          <w:color w:val="auto"/>
          <w:highlight w:val="none"/>
        </w:rPr>
        <w:t>本项目所在区域环境功能区划情况见表1.2-</w:t>
      </w:r>
      <w:r>
        <w:rPr>
          <w:rFonts w:hint="eastAsia" w:ascii="Times New Roman" w:hAnsi="Times New Roman" w:eastAsia="宋体" w:cs="Times New Roman"/>
          <w:color w:val="auto"/>
          <w:highlight w:val="none"/>
        </w:rPr>
        <w:t>5</w:t>
      </w:r>
      <w:r>
        <w:rPr>
          <w:rFonts w:ascii="Times New Roman" w:hAnsi="Times New Roman" w:eastAsia="宋体" w:cs="Times New Roman"/>
          <w:color w:val="auto"/>
          <w:highlight w:val="none"/>
        </w:rPr>
        <w:t>。</w:t>
      </w:r>
    </w:p>
    <w:p>
      <w:pPr>
        <w:pStyle w:val="87"/>
        <w:rPr>
          <w:rFonts w:ascii="Times New Roman" w:hAnsi="Times New Roman" w:eastAsia="宋体" w:cs="Times New Roman"/>
          <w:color w:val="auto"/>
          <w:highlight w:val="none"/>
        </w:rPr>
      </w:pPr>
      <w:r>
        <w:rPr>
          <w:rFonts w:ascii="Times New Roman" w:hAnsi="Times New Roman" w:eastAsia="宋体" w:cs="Times New Roman"/>
          <w:color w:val="auto"/>
          <w:highlight w:val="none"/>
        </w:rPr>
        <w:t>表1.2-</w:t>
      </w:r>
      <w:r>
        <w:rPr>
          <w:rFonts w:hint="eastAsia" w:ascii="Times New Roman" w:hAnsi="Times New Roman" w:eastAsia="宋体" w:cs="Times New Roman"/>
          <w:color w:val="auto"/>
          <w:highlight w:val="none"/>
        </w:rPr>
        <w:t xml:space="preserve">5 </w:t>
      </w:r>
      <w:r>
        <w:rPr>
          <w:rFonts w:ascii="Times New Roman" w:hAnsi="Times New Roman" w:eastAsia="宋体" w:cs="Times New Roman"/>
          <w:color w:val="auto"/>
          <w:highlight w:val="none"/>
        </w:rPr>
        <w:t xml:space="preserve">项目所在区域环境功能区划及管网规划情况一览表 </w:t>
      </w:r>
    </w:p>
    <w:tbl>
      <w:tblPr>
        <w:tblStyle w:val="48"/>
        <w:tblW w:w="909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78"/>
        <w:gridCol w:w="5296"/>
        <w:gridCol w:w="22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578" w:type="dxa"/>
            <w:noWrap w:val="0"/>
            <w:vAlign w:val="center"/>
          </w:tcPr>
          <w:p>
            <w:pPr>
              <w:pStyle w:val="87"/>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序号</w:t>
            </w:r>
          </w:p>
        </w:tc>
        <w:tc>
          <w:tcPr>
            <w:tcW w:w="5296" w:type="dxa"/>
            <w:noWrap w:val="0"/>
            <w:vAlign w:val="center"/>
          </w:tcPr>
          <w:p>
            <w:pPr>
              <w:pStyle w:val="87"/>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项目</w:t>
            </w:r>
          </w:p>
        </w:tc>
        <w:tc>
          <w:tcPr>
            <w:tcW w:w="2219" w:type="dxa"/>
            <w:noWrap w:val="0"/>
            <w:vAlign w:val="center"/>
          </w:tcPr>
          <w:p>
            <w:pPr>
              <w:pStyle w:val="87"/>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功能属性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578"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1</w:t>
            </w:r>
          </w:p>
        </w:tc>
        <w:tc>
          <w:tcPr>
            <w:tcW w:w="5296"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水环境功能区</w:t>
            </w:r>
          </w:p>
        </w:tc>
        <w:tc>
          <w:tcPr>
            <w:tcW w:w="2219"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地表水Ⅲ类区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578"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w:t>
            </w:r>
          </w:p>
        </w:tc>
        <w:tc>
          <w:tcPr>
            <w:tcW w:w="5296"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环境空气质量功能区</w:t>
            </w:r>
          </w:p>
        </w:tc>
        <w:tc>
          <w:tcPr>
            <w:tcW w:w="2219"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二类区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578"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3</w:t>
            </w:r>
          </w:p>
        </w:tc>
        <w:tc>
          <w:tcPr>
            <w:tcW w:w="5296"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声环境功能区</w:t>
            </w:r>
          </w:p>
        </w:tc>
        <w:tc>
          <w:tcPr>
            <w:tcW w:w="2219"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2类区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578"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4</w:t>
            </w:r>
          </w:p>
        </w:tc>
        <w:tc>
          <w:tcPr>
            <w:tcW w:w="5296"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是否基本农田保护区</w:t>
            </w:r>
          </w:p>
        </w:tc>
        <w:tc>
          <w:tcPr>
            <w:tcW w:w="2219"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578"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5</w:t>
            </w:r>
          </w:p>
        </w:tc>
        <w:tc>
          <w:tcPr>
            <w:tcW w:w="5296"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是否风景保护区</w:t>
            </w:r>
          </w:p>
        </w:tc>
        <w:tc>
          <w:tcPr>
            <w:tcW w:w="2219"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578"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6</w:t>
            </w:r>
          </w:p>
        </w:tc>
        <w:tc>
          <w:tcPr>
            <w:tcW w:w="5296"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是否水库库区</w:t>
            </w:r>
          </w:p>
        </w:tc>
        <w:tc>
          <w:tcPr>
            <w:tcW w:w="2219"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578"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7</w:t>
            </w:r>
          </w:p>
        </w:tc>
        <w:tc>
          <w:tcPr>
            <w:tcW w:w="5296"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是否属于环境敏感区</w:t>
            </w:r>
          </w:p>
        </w:tc>
        <w:tc>
          <w:tcPr>
            <w:tcW w:w="2219"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578"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8</w:t>
            </w:r>
          </w:p>
        </w:tc>
        <w:tc>
          <w:tcPr>
            <w:tcW w:w="5296"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是否处于污水处理厂集污范围</w:t>
            </w:r>
          </w:p>
        </w:tc>
        <w:tc>
          <w:tcPr>
            <w:tcW w:w="2219" w:type="dxa"/>
            <w:noWrap w:val="0"/>
            <w:vAlign w:val="center"/>
          </w:tcPr>
          <w:p>
            <w:pPr>
              <w:pStyle w:val="87"/>
              <w:rPr>
                <w:rFonts w:ascii="Times New Roman" w:hAnsi="Times New Roman" w:eastAsia="宋体" w:cs="Times New Roman"/>
                <w:b w:val="0"/>
                <w:bCs/>
                <w:color w:val="auto"/>
                <w:sz w:val="21"/>
                <w:szCs w:val="21"/>
                <w:highlight w:val="none"/>
              </w:rPr>
            </w:pPr>
            <w:r>
              <w:rPr>
                <w:rFonts w:ascii="Times New Roman" w:hAnsi="Times New Roman" w:eastAsia="宋体" w:cs="Times New Roman"/>
                <w:b w:val="0"/>
                <w:bCs/>
                <w:color w:val="auto"/>
                <w:sz w:val="21"/>
                <w:szCs w:val="21"/>
                <w:highlight w:val="none"/>
              </w:rPr>
              <w:t>否</w:t>
            </w:r>
          </w:p>
        </w:tc>
      </w:tr>
    </w:tbl>
    <w:p>
      <w:pPr>
        <w:pStyle w:val="4"/>
        <w:rPr>
          <w:rFonts w:ascii="Times New Roman" w:hAnsi="Times New Roman" w:eastAsia="宋体"/>
          <w:color w:val="auto"/>
          <w:highlight w:val="none"/>
        </w:rPr>
      </w:pPr>
      <w:bookmarkStart w:id="44" w:name="_Toc24459"/>
      <w:r>
        <w:rPr>
          <w:rFonts w:ascii="Times New Roman" w:hAnsi="Times New Roman" w:eastAsia="宋体"/>
          <w:color w:val="auto"/>
          <w:highlight w:val="none"/>
        </w:rPr>
        <w:t>1.3 环境影响因素识别与评价因子筛选</w:t>
      </w:r>
      <w:bookmarkEnd w:id="44"/>
    </w:p>
    <w:p>
      <w:pPr>
        <w:pStyle w:val="5"/>
        <w:rPr>
          <w:rFonts w:ascii="Times New Roman" w:hAnsi="Times New Roman" w:eastAsia="宋体"/>
          <w:color w:val="auto"/>
          <w:highlight w:val="none"/>
        </w:rPr>
      </w:pPr>
      <w:r>
        <w:rPr>
          <w:rFonts w:ascii="Times New Roman" w:hAnsi="Times New Roman" w:eastAsia="宋体"/>
          <w:color w:val="auto"/>
          <w:highlight w:val="none"/>
        </w:rPr>
        <w:t>1.3.1 环境影响因素识别</w:t>
      </w:r>
    </w:p>
    <w:p>
      <w:pPr>
        <w:pStyle w:val="47"/>
        <w:ind w:firstLine="480"/>
        <w:rPr>
          <w:rFonts w:ascii="Times New Roman" w:hAnsi="Times New Roman" w:eastAsia="宋体"/>
          <w:color w:val="auto"/>
          <w:highlight w:val="none"/>
        </w:rPr>
      </w:pPr>
      <w:r>
        <w:rPr>
          <w:rFonts w:ascii="Times New Roman" w:hAnsi="Times New Roman" w:eastAsia="宋体"/>
          <w:color w:val="auto"/>
          <w:highlight w:val="none"/>
        </w:rPr>
        <w:t>本项目的环境影响主要分为施工期、运营期和闭矿期三个阶段。施工期环境影响较小。运营期主要为矿石的表土剥离、凿岩钻孔、爆破、采装、破碎筛分、堆料、运输等工序产生的颗粒物；爆破过程产生的炮烟；转运过程产生的汽车尾气。闭矿期主要对矿区生态环境进行治理及恢复。根据本项目主要污染源、污染因子及区域环境特征，对本项目运营期和闭矿期的主要环境影响因素进行识别，结果见表1.3-1。</w:t>
      </w:r>
    </w:p>
    <w:p>
      <w:pPr>
        <w:pStyle w:val="87"/>
        <w:rPr>
          <w:rFonts w:ascii="Times New Roman" w:hAnsi="Times New Roman" w:eastAsia="宋体" w:cs="Times New Roman"/>
          <w:color w:val="auto"/>
          <w:highlight w:val="none"/>
        </w:rPr>
      </w:pPr>
    </w:p>
    <w:p>
      <w:pPr>
        <w:pStyle w:val="87"/>
        <w:rPr>
          <w:rFonts w:ascii="Times New Roman" w:hAnsi="Times New Roman" w:eastAsia="宋体" w:cs="Times New Roman"/>
          <w:color w:val="auto"/>
          <w:highlight w:val="none"/>
        </w:rPr>
      </w:pPr>
    </w:p>
    <w:p>
      <w:pPr>
        <w:pStyle w:val="87"/>
        <w:rPr>
          <w:rFonts w:ascii="Times New Roman" w:hAnsi="Times New Roman" w:eastAsia="宋体" w:cs="Times New Roman"/>
          <w:color w:val="auto"/>
          <w:highlight w:val="none"/>
        </w:rPr>
      </w:pPr>
    </w:p>
    <w:p>
      <w:pPr>
        <w:pStyle w:val="87"/>
        <w:rPr>
          <w:rFonts w:ascii="Times New Roman" w:hAnsi="Times New Roman" w:eastAsia="宋体" w:cs="Times New Roman"/>
          <w:color w:val="auto"/>
          <w:highlight w:val="none"/>
        </w:rPr>
      </w:pPr>
    </w:p>
    <w:p>
      <w:pPr>
        <w:pStyle w:val="87"/>
        <w:rPr>
          <w:rFonts w:ascii="Times New Roman" w:hAnsi="Times New Roman" w:eastAsia="宋体" w:cs="Times New Roman"/>
          <w:color w:val="auto"/>
          <w:highlight w:val="none"/>
        </w:rPr>
      </w:pPr>
      <w:r>
        <w:rPr>
          <w:rFonts w:ascii="Times New Roman" w:hAnsi="Times New Roman" w:eastAsia="宋体" w:cs="Times New Roman"/>
          <w:color w:val="auto"/>
          <w:highlight w:val="none"/>
        </w:rPr>
        <w:t>表1.3-1 环境影响因素识别矩阵表</w:t>
      </w:r>
    </w:p>
    <w:tbl>
      <w:tblPr>
        <w:tblStyle w:val="48"/>
        <w:tblW w:w="909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62"/>
        <w:gridCol w:w="1161"/>
        <w:gridCol w:w="1106"/>
        <w:gridCol w:w="1134"/>
        <w:gridCol w:w="1131"/>
        <w:gridCol w:w="1134"/>
        <w:gridCol w:w="11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2296" w:type="dxa"/>
            <w:gridSpan w:val="2"/>
            <w:noWrap w:val="0"/>
            <w:vAlign w:val="center"/>
          </w:tcPr>
          <w:p>
            <w:pPr>
              <w:pStyle w:val="86"/>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环境因素</w:t>
            </w:r>
          </w:p>
        </w:tc>
        <w:tc>
          <w:tcPr>
            <w:tcW w:w="1161" w:type="dxa"/>
            <w:noWrap w:val="0"/>
            <w:vAlign w:val="center"/>
          </w:tcPr>
          <w:p>
            <w:pPr>
              <w:pStyle w:val="86"/>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大气环境</w:t>
            </w:r>
          </w:p>
        </w:tc>
        <w:tc>
          <w:tcPr>
            <w:tcW w:w="1106" w:type="dxa"/>
            <w:noWrap w:val="0"/>
            <w:vAlign w:val="center"/>
          </w:tcPr>
          <w:p>
            <w:pPr>
              <w:pStyle w:val="86"/>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地表水</w:t>
            </w:r>
          </w:p>
        </w:tc>
        <w:tc>
          <w:tcPr>
            <w:tcW w:w="1134" w:type="dxa"/>
            <w:noWrap w:val="0"/>
            <w:vAlign w:val="center"/>
          </w:tcPr>
          <w:p>
            <w:pPr>
              <w:pStyle w:val="86"/>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地下水</w:t>
            </w:r>
          </w:p>
        </w:tc>
        <w:tc>
          <w:tcPr>
            <w:tcW w:w="1131" w:type="dxa"/>
            <w:noWrap w:val="0"/>
            <w:vAlign w:val="center"/>
          </w:tcPr>
          <w:p>
            <w:pPr>
              <w:pStyle w:val="86"/>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声环境</w:t>
            </w:r>
          </w:p>
        </w:tc>
        <w:tc>
          <w:tcPr>
            <w:tcW w:w="1134" w:type="dxa"/>
            <w:noWrap w:val="0"/>
            <w:vAlign w:val="center"/>
          </w:tcPr>
          <w:p>
            <w:pPr>
              <w:pStyle w:val="86"/>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土壤环境</w:t>
            </w:r>
          </w:p>
        </w:tc>
        <w:tc>
          <w:tcPr>
            <w:tcW w:w="1131" w:type="dxa"/>
            <w:noWrap w:val="0"/>
            <w:vAlign w:val="center"/>
          </w:tcPr>
          <w:p>
            <w:pPr>
              <w:pStyle w:val="86"/>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生态环境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134" w:type="dxa"/>
            <w:vMerge w:val="restart"/>
            <w:noWrap w:val="0"/>
            <w:vAlign w:val="center"/>
          </w:tcPr>
          <w:p>
            <w:pPr>
              <w:pStyle w:val="86"/>
              <w:rPr>
                <w:rFonts w:ascii="Times New Roman" w:hAnsi="Times New Roman" w:eastAsia="宋体" w:cs="Times New Roman"/>
                <w:b w:val="0"/>
                <w:color w:val="auto"/>
                <w:szCs w:val="21"/>
                <w:highlight w:val="none"/>
              </w:rPr>
            </w:pPr>
            <w:r>
              <w:rPr>
                <w:rFonts w:ascii="Times New Roman" w:hAnsi="Times New Roman" w:eastAsia="宋体" w:cs="Times New Roman"/>
                <w:b w:val="0"/>
                <w:color w:val="auto"/>
                <w:szCs w:val="21"/>
                <w:highlight w:val="none"/>
              </w:rPr>
              <w:t>运营期</w:t>
            </w:r>
          </w:p>
        </w:tc>
        <w:tc>
          <w:tcPr>
            <w:tcW w:w="1162" w:type="dxa"/>
            <w:noWrap w:val="0"/>
            <w:vAlign w:val="center"/>
          </w:tcPr>
          <w:p>
            <w:pPr>
              <w:pStyle w:val="86"/>
              <w:rPr>
                <w:rFonts w:ascii="Times New Roman" w:hAnsi="Times New Roman" w:eastAsia="宋体" w:cs="Times New Roman"/>
                <w:b w:val="0"/>
                <w:color w:val="auto"/>
                <w:szCs w:val="21"/>
                <w:highlight w:val="none"/>
              </w:rPr>
            </w:pPr>
            <w:r>
              <w:rPr>
                <w:rFonts w:ascii="Times New Roman" w:hAnsi="Times New Roman" w:eastAsia="宋体" w:cs="Times New Roman"/>
                <w:b w:val="0"/>
                <w:color w:val="auto"/>
                <w:szCs w:val="21"/>
                <w:highlight w:val="none"/>
              </w:rPr>
              <w:t>表土剥离</w:t>
            </w:r>
          </w:p>
        </w:tc>
        <w:tc>
          <w:tcPr>
            <w:tcW w:w="116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-1/L</w:t>
            </w:r>
          </w:p>
        </w:tc>
        <w:tc>
          <w:tcPr>
            <w:tcW w:w="110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-1/L</w:t>
            </w:r>
          </w:p>
        </w:tc>
        <w:tc>
          <w:tcPr>
            <w:tcW w:w="113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-1/L</w:t>
            </w:r>
          </w:p>
        </w:tc>
        <w:tc>
          <w:tcPr>
            <w:tcW w:w="113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-1/S</w:t>
            </w:r>
          </w:p>
        </w:tc>
        <w:tc>
          <w:tcPr>
            <w:tcW w:w="113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-2/L</w:t>
            </w:r>
          </w:p>
        </w:tc>
        <w:tc>
          <w:tcPr>
            <w:tcW w:w="113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134" w:type="dxa"/>
            <w:vMerge w:val="continue"/>
            <w:noWrap w:val="0"/>
            <w:vAlign w:val="center"/>
          </w:tcPr>
          <w:p>
            <w:pPr>
              <w:pStyle w:val="86"/>
              <w:rPr>
                <w:rFonts w:ascii="Times New Roman" w:hAnsi="Times New Roman" w:eastAsia="宋体" w:cs="Times New Roman"/>
                <w:b w:val="0"/>
                <w:color w:val="auto"/>
                <w:szCs w:val="21"/>
                <w:highlight w:val="none"/>
              </w:rPr>
            </w:pPr>
          </w:p>
        </w:tc>
        <w:tc>
          <w:tcPr>
            <w:tcW w:w="1162" w:type="dxa"/>
            <w:noWrap w:val="0"/>
            <w:vAlign w:val="center"/>
          </w:tcPr>
          <w:p>
            <w:pPr>
              <w:pStyle w:val="86"/>
              <w:rPr>
                <w:rFonts w:ascii="Times New Roman" w:hAnsi="Times New Roman" w:eastAsia="宋体" w:cs="Times New Roman"/>
                <w:b w:val="0"/>
                <w:color w:val="auto"/>
                <w:szCs w:val="21"/>
                <w:highlight w:val="none"/>
              </w:rPr>
            </w:pPr>
            <w:r>
              <w:rPr>
                <w:rFonts w:ascii="Times New Roman" w:hAnsi="Times New Roman" w:eastAsia="宋体" w:cs="Times New Roman"/>
                <w:b w:val="0"/>
                <w:color w:val="auto"/>
                <w:szCs w:val="21"/>
                <w:highlight w:val="none"/>
              </w:rPr>
              <w:t>凿岩钻孔</w:t>
            </w:r>
          </w:p>
        </w:tc>
        <w:tc>
          <w:tcPr>
            <w:tcW w:w="116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-1/L</w:t>
            </w:r>
          </w:p>
        </w:tc>
        <w:tc>
          <w:tcPr>
            <w:tcW w:w="110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13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13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-2/S</w:t>
            </w:r>
          </w:p>
        </w:tc>
        <w:tc>
          <w:tcPr>
            <w:tcW w:w="113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-1/L</w:t>
            </w:r>
          </w:p>
        </w:tc>
        <w:tc>
          <w:tcPr>
            <w:tcW w:w="113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134" w:type="dxa"/>
            <w:vMerge w:val="continue"/>
            <w:noWrap w:val="0"/>
            <w:vAlign w:val="center"/>
          </w:tcPr>
          <w:p>
            <w:pPr>
              <w:pStyle w:val="86"/>
              <w:rPr>
                <w:rFonts w:ascii="Times New Roman" w:hAnsi="Times New Roman" w:eastAsia="宋体" w:cs="Times New Roman"/>
                <w:b w:val="0"/>
                <w:color w:val="auto"/>
                <w:szCs w:val="21"/>
                <w:highlight w:val="none"/>
              </w:rPr>
            </w:pPr>
          </w:p>
        </w:tc>
        <w:tc>
          <w:tcPr>
            <w:tcW w:w="1162" w:type="dxa"/>
            <w:noWrap w:val="0"/>
            <w:vAlign w:val="center"/>
          </w:tcPr>
          <w:p>
            <w:pPr>
              <w:pStyle w:val="86"/>
              <w:rPr>
                <w:rFonts w:ascii="Times New Roman" w:hAnsi="Times New Roman" w:eastAsia="宋体" w:cs="Times New Roman"/>
                <w:b w:val="0"/>
                <w:color w:val="auto"/>
                <w:szCs w:val="21"/>
                <w:highlight w:val="none"/>
              </w:rPr>
            </w:pPr>
            <w:r>
              <w:rPr>
                <w:rFonts w:ascii="Times New Roman" w:hAnsi="Times New Roman" w:eastAsia="宋体" w:cs="Times New Roman"/>
                <w:b w:val="0"/>
                <w:color w:val="auto"/>
                <w:szCs w:val="21"/>
                <w:highlight w:val="none"/>
              </w:rPr>
              <w:t>爆破</w:t>
            </w:r>
          </w:p>
        </w:tc>
        <w:tc>
          <w:tcPr>
            <w:tcW w:w="116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-2/L</w:t>
            </w:r>
          </w:p>
        </w:tc>
        <w:tc>
          <w:tcPr>
            <w:tcW w:w="110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13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13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-2/S</w:t>
            </w:r>
          </w:p>
        </w:tc>
        <w:tc>
          <w:tcPr>
            <w:tcW w:w="113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-1/L</w:t>
            </w:r>
          </w:p>
        </w:tc>
        <w:tc>
          <w:tcPr>
            <w:tcW w:w="113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134" w:type="dxa"/>
            <w:vMerge w:val="continue"/>
            <w:noWrap w:val="0"/>
            <w:vAlign w:val="center"/>
          </w:tcPr>
          <w:p>
            <w:pPr>
              <w:pStyle w:val="86"/>
              <w:rPr>
                <w:rFonts w:ascii="Times New Roman" w:hAnsi="Times New Roman" w:eastAsia="宋体" w:cs="Times New Roman"/>
                <w:b w:val="0"/>
                <w:color w:val="auto"/>
                <w:szCs w:val="21"/>
                <w:highlight w:val="none"/>
              </w:rPr>
            </w:pPr>
          </w:p>
        </w:tc>
        <w:tc>
          <w:tcPr>
            <w:tcW w:w="1162" w:type="dxa"/>
            <w:noWrap w:val="0"/>
            <w:vAlign w:val="center"/>
          </w:tcPr>
          <w:p>
            <w:pPr>
              <w:pStyle w:val="86"/>
              <w:rPr>
                <w:rFonts w:ascii="Times New Roman" w:hAnsi="Times New Roman" w:eastAsia="宋体" w:cs="Times New Roman"/>
                <w:b w:val="0"/>
                <w:color w:val="auto"/>
                <w:szCs w:val="21"/>
                <w:highlight w:val="none"/>
              </w:rPr>
            </w:pPr>
            <w:r>
              <w:rPr>
                <w:rFonts w:ascii="Times New Roman" w:hAnsi="Times New Roman" w:eastAsia="宋体" w:cs="Times New Roman"/>
                <w:b w:val="0"/>
                <w:color w:val="auto"/>
                <w:szCs w:val="21"/>
                <w:highlight w:val="none"/>
              </w:rPr>
              <w:t>采装</w:t>
            </w:r>
          </w:p>
        </w:tc>
        <w:tc>
          <w:tcPr>
            <w:tcW w:w="116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-1/L</w:t>
            </w:r>
          </w:p>
        </w:tc>
        <w:tc>
          <w:tcPr>
            <w:tcW w:w="110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-1/L</w:t>
            </w:r>
          </w:p>
        </w:tc>
        <w:tc>
          <w:tcPr>
            <w:tcW w:w="113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13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-1/S</w:t>
            </w:r>
          </w:p>
        </w:tc>
        <w:tc>
          <w:tcPr>
            <w:tcW w:w="113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-1/L</w:t>
            </w:r>
          </w:p>
        </w:tc>
        <w:tc>
          <w:tcPr>
            <w:tcW w:w="113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134" w:type="dxa"/>
            <w:vMerge w:val="continue"/>
            <w:noWrap w:val="0"/>
            <w:vAlign w:val="center"/>
          </w:tcPr>
          <w:p>
            <w:pPr>
              <w:pStyle w:val="86"/>
              <w:rPr>
                <w:rFonts w:ascii="Times New Roman" w:hAnsi="Times New Roman" w:eastAsia="宋体" w:cs="Times New Roman"/>
                <w:b w:val="0"/>
                <w:color w:val="auto"/>
                <w:szCs w:val="21"/>
                <w:highlight w:val="none"/>
              </w:rPr>
            </w:pPr>
          </w:p>
        </w:tc>
        <w:tc>
          <w:tcPr>
            <w:tcW w:w="1162" w:type="dxa"/>
            <w:noWrap w:val="0"/>
            <w:vAlign w:val="center"/>
          </w:tcPr>
          <w:p>
            <w:pPr>
              <w:pStyle w:val="86"/>
              <w:rPr>
                <w:rFonts w:ascii="Times New Roman" w:hAnsi="Times New Roman" w:eastAsia="宋体" w:cs="Times New Roman"/>
                <w:b w:val="0"/>
                <w:color w:val="auto"/>
                <w:szCs w:val="21"/>
                <w:highlight w:val="none"/>
              </w:rPr>
            </w:pPr>
            <w:r>
              <w:rPr>
                <w:rFonts w:ascii="Times New Roman" w:hAnsi="Times New Roman" w:eastAsia="宋体" w:cs="Times New Roman"/>
                <w:b w:val="0"/>
                <w:color w:val="auto"/>
                <w:szCs w:val="21"/>
                <w:highlight w:val="none"/>
              </w:rPr>
              <w:t>破碎筛分</w:t>
            </w:r>
          </w:p>
        </w:tc>
        <w:tc>
          <w:tcPr>
            <w:tcW w:w="116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-2/L</w:t>
            </w:r>
          </w:p>
        </w:tc>
        <w:tc>
          <w:tcPr>
            <w:tcW w:w="110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13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13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-2/S</w:t>
            </w:r>
          </w:p>
        </w:tc>
        <w:tc>
          <w:tcPr>
            <w:tcW w:w="113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-1/L</w:t>
            </w:r>
          </w:p>
        </w:tc>
        <w:tc>
          <w:tcPr>
            <w:tcW w:w="113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134" w:type="dxa"/>
            <w:vMerge w:val="continue"/>
            <w:noWrap w:val="0"/>
            <w:vAlign w:val="center"/>
          </w:tcPr>
          <w:p>
            <w:pPr>
              <w:pStyle w:val="86"/>
              <w:rPr>
                <w:rFonts w:ascii="Times New Roman" w:hAnsi="Times New Roman" w:eastAsia="宋体" w:cs="Times New Roman"/>
                <w:b w:val="0"/>
                <w:color w:val="auto"/>
                <w:szCs w:val="21"/>
                <w:highlight w:val="none"/>
              </w:rPr>
            </w:pPr>
          </w:p>
        </w:tc>
        <w:tc>
          <w:tcPr>
            <w:tcW w:w="1162" w:type="dxa"/>
            <w:noWrap w:val="0"/>
            <w:vAlign w:val="center"/>
          </w:tcPr>
          <w:p>
            <w:pPr>
              <w:pStyle w:val="86"/>
              <w:rPr>
                <w:rFonts w:ascii="Times New Roman" w:hAnsi="Times New Roman" w:eastAsia="宋体" w:cs="Times New Roman"/>
                <w:b w:val="0"/>
                <w:color w:val="auto"/>
                <w:szCs w:val="21"/>
                <w:highlight w:val="none"/>
              </w:rPr>
            </w:pPr>
            <w:r>
              <w:rPr>
                <w:rFonts w:ascii="Times New Roman" w:hAnsi="Times New Roman" w:eastAsia="宋体" w:cs="Times New Roman"/>
                <w:b w:val="0"/>
                <w:color w:val="auto"/>
                <w:szCs w:val="21"/>
                <w:highlight w:val="none"/>
              </w:rPr>
              <w:t>运输</w:t>
            </w:r>
          </w:p>
        </w:tc>
        <w:tc>
          <w:tcPr>
            <w:tcW w:w="116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-1/L</w:t>
            </w:r>
          </w:p>
        </w:tc>
        <w:tc>
          <w:tcPr>
            <w:tcW w:w="110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13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13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-1/S</w:t>
            </w:r>
          </w:p>
        </w:tc>
        <w:tc>
          <w:tcPr>
            <w:tcW w:w="113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13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134" w:type="dxa"/>
            <w:vMerge w:val="continue"/>
            <w:noWrap w:val="0"/>
            <w:vAlign w:val="center"/>
          </w:tcPr>
          <w:p>
            <w:pPr>
              <w:pStyle w:val="86"/>
              <w:rPr>
                <w:rFonts w:ascii="Times New Roman" w:hAnsi="Times New Roman" w:eastAsia="宋体" w:cs="Times New Roman"/>
                <w:b w:val="0"/>
                <w:color w:val="auto"/>
                <w:szCs w:val="21"/>
                <w:highlight w:val="none"/>
              </w:rPr>
            </w:pPr>
          </w:p>
        </w:tc>
        <w:tc>
          <w:tcPr>
            <w:tcW w:w="1162" w:type="dxa"/>
            <w:noWrap w:val="0"/>
            <w:vAlign w:val="center"/>
          </w:tcPr>
          <w:p>
            <w:pPr>
              <w:pStyle w:val="86"/>
              <w:rPr>
                <w:rFonts w:ascii="Times New Roman" w:hAnsi="Times New Roman" w:eastAsia="宋体" w:cs="Times New Roman"/>
                <w:b w:val="0"/>
                <w:color w:val="auto"/>
                <w:szCs w:val="21"/>
                <w:highlight w:val="none"/>
              </w:rPr>
            </w:pPr>
            <w:r>
              <w:rPr>
                <w:rFonts w:ascii="Times New Roman" w:hAnsi="Times New Roman" w:eastAsia="宋体" w:cs="Times New Roman"/>
                <w:b w:val="0"/>
                <w:color w:val="auto"/>
                <w:szCs w:val="21"/>
                <w:highlight w:val="none"/>
              </w:rPr>
              <w:t>堆料</w:t>
            </w:r>
          </w:p>
        </w:tc>
        <w:tc>
          <w:tcPr>
            <w:tcW w:w="116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-1/L</w:t>
            </w:r>
          </w:p>
        </w:tc>
        <w:tc>
          <w:tcPr>
            <w:tcW w:w="110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-1/L</w:t>
            </w:r>
          </w:p>
        </w:tc>
        <w:tc>
          <w:tcPr>
            <w:tcW w:w="113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-1/L</w:t>
            </w:r>
          </w:p>
        </w:tc>
        <w:tc>
          <w:tcPr>
            <w:tcW w:w="113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13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-1/L</w:t>
            </w:r>
          </w:p>
        </w:tc>
        <w:tc>
          <w:tcPr>
            <w:tcW w:w="113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134" w:type="dxa"/>
            <w:noWrap w:val="0"/>
            <w:vAlign w:val="center"/>
          </w:tcPr>
          <w:p>
            <w:pPr>
              <w:pStyle w:val="86"/>
              <w:rPr>
                <w:rFonts w:ascii="Times New Roman" w:hAnsi="Times New Roman" w:eastAsia="宋体" w:cs="Times New Roman"/>
                <w:b w:val="0"/>
                <w:color w:val="auto"/>
                <w:szCs w:val="21"/>
                <w:highlight w:val="none"/>
              </w:rPr>
            </w:pPr>
            <w:r>
              <w:rPr>
                <w:rFonts w:ascii="Times New Roman" w:hAnsi="Times New Roman" w:eastAsia="宋体" w:cs="Times New Roman"/>
                <w:b w:val="0"/>
                <w:color w:val="auto"/>
                <w:szCs w:val="21"/>
                <w:highlight w:val="none"/>
              </w:rPr>
              <w:t>闭矿期</w:t>
            </w:r>
          </w:p>
        </w:tc>
        <w:tc>
          <w:tcPr>
            <w:tcW w:w="1162" w:type="dxa"/>
            <w:noWrap w:val="0"/>
            <w:vAlign w:val="center"/>
          </w:tcPr>
          <w:p>
            <w:pPr>
              <w:pStyle w:val="86"/>
              <w:rPr>
                <w:rFonts w:ascii="Times New Roman" w:hAnsi="Times New Roman" w:eastAsia="宋体" w:cs="Times New Roman"/>
                <w:b w:val="0"/>
                <w:color w:val="auto"/>
                <w:szCs w:val="21"/>
                <w:highlight w:val="none"/>
              </w:rPr>
            </w:pPr>
            <w:r>
              <w:rPr>
                <w:rFonts w:ascii="Times New Roman" w:hAnsi="Times New Roman" w:eastAsia="宋体" w:cs="Times New Roman"/>
                <w:b w:val="0"/>
                <w:color w:val="auto"/>
                <w:szCs w:val="21"/>
                <w:highlight w:val="none"/>
              </w:rPr>
              <w:t>矿区生态恢复</w:t>
            </w:r>
          </w:p>
        </w:tc>
        <w:tc>
          <w:tcPr>
            <w:tcW w:w="116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10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13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13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13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13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r>
    </w:tbl>
    <w:p>
      <w:pPr>
        <w:snapToGrid w:val="0"/>
        <w:spacing w:line="240" w:lineRule="auto"/>
        <w:ind w:firstLine="0" w:firstLineChars="0"/>
        <w:rPr>
          <w:rFonts w:ascii="Times New Roman" w:hAnsi="Times New Roman" w:eastAsia="宋体" w:cs="Times New Roman"/>
          <w:bCs/>
          <w:color w:val="auto"/>
          <w:sz w:val="18"/>
          <w:szCs w:val="18"/>
          <w:highlight w:val="none"/>
        </w:rPr>
      </w:pPr>
      <w:r>
        <w:rPr>
          <w:rFonts w:ascii="Times New Roman" w:hAnsi="Times New Roman" w:eastAsia="宋体" w:cs="Times New Roman"/>
          <w:color w:val="auto"/>
          <w:sz w:val="18"/>
          <w:szCs w:val="18"/>
          <w:highlight w:val="none"/>
        </w:rPr>
        <w:t>注：“-”代表负面影响，“+”代表正面影响，数字代表影响程度，0表示基本无影响；1表示影响较小；2表示影响中等。“L”表示长期影响，“S”表示短期影响。</w:t>
      </w:r>
    </w:p>
    <w:p>
      <w:pPr>
        <w:pStyle w:val="5"/>
        <w:rPr>
          <w:rFonts w:ascii="Times New Roman" w:hAnsi="Times New Roman" w:eastAsia="宋体"/>
          <w:color w:val="auto"/>
          <w:highlight w:val="none"/>
        </w:rPr>
      </w:pPr>
      <w:r>
        <w:rPr>
          <w:rFonts w:ascii="Times New Roman" w:hAnsi="Times New Roman" w:eastAsia="宋体"/>
          <w:color w:val="auto"/>
          <w:highlight w:val="none"/>
        </w:rPr>
        <w:t>1.3.2 评价因子筛选</w:t>
      </w:r>
    </w:p>
    <w:p>
      <w:pPr>
        <w:ind w:firstLine="480"/>
        <w:rPr>
          <w:rFonts w:ascii="Times New Roman" w:hAnsi="Times New Roman" w:eastAsia="宋体"/>
          <w:color w:val="auto"/>
          <w:highlight w:val="none"/>
        </w:rPr>
      </w:pPr>
      <w:r>
        <w:rPr>
          <w:rFonts w:ascii="Times New Roman" w:hAnsi="Times New Roman" w:eastAsia="宋体"/>
          <w:color w:val="auto"/>
          <w:highlight w:val="none"/>
        </w:rPr>
        <w:t>根据环境影响因素识别结果，结合周围区域环境质量现状及本项目的开采工艺特点、污染物排放特征，通过筛选分析，确定本项目评价因子。见表1.3-2。</w:t>
      </w:r>
    </w:p>
    <w:p>
      <w:pPr>
        <w:pStyle w:val="87"/>
        <w:rPr>
          <w:rFonts w:ascii="Times New Roman" w:hAnsi="Times New Roman" w:eastAsia="宋体" w:cs="Times New Roman"/>
          <w:bCs/>
          <w:color w:val="auto"/>
          <w:szCs w:val="21"/>
          <w:highlight w:val="none"/>
        </w:rPr>
      </w:pPr>
      <w:r>
        <w:rPr>
          <w:rFonts w:ascii="Times New Roman" w:hAnsi="Times New Roman" w:eastAsia="宋体" w:cs="Times New Roman"/>
          <w:color w:val="auto"/>
          <w:highlight w:val="none"/>
        </w:rPr>
        <w:t>表1.3-2 项目评价因子一览表</w:t>
      </w:r>
    </w:p>
    <w:tbl>
      <w:tblPr>
        <w:tblStyle w:val="48"/>
        <w:tblW w:w="909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108" w:type="dxa"/>
          <w:bottom w:w="28" w:type="dxa"/>
          <w:right w:w="108" w:type="dxa"/>
        </w:tblCellMar>
      </w:tblPr>
      <w:tblGrid>
        <w:gridCol w:w="1474"/>
        <w:gridCol w:w="4393"/>
        <w:gridCol w:w="32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108" w:type="dxa"/>
            <w:bottom w:w="28" w:type="dxa"/>
            <w:right w:w="108" w:type="dxa"/>
          </w:tblCellMar>
        </w:tblPrEx>
        <w:trPr>
          <w:trHeight w:val="227" w:hRule="atLeast"/>
          <w:jc w:val="center"/>
        </w:trPr>
        <w:tc>
          <w:tcPr>
            <w:tcW w:w="1474" w:type="dxa"/>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环境要素</w:t>
            </w:r>
          </w:p>
        </w:tc>
        <w:tc>
          <w:tcPr>
            <w:tcW w:w="4393" w:type="dxa"/>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环境质量现状评价因子</w:t>
            </w:r>
          </w:p>
        </w:tc>
        <w:tc>
          <w:tcPr>
            <w:tcW w:w="3226" w:type="dxa"/>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环境影响预测评价因子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108" w:type="dxa"/>
            <w:bottom w:w="28" w:type="dxa"/>
            <w:right w:w="108" w:type="dxa"/>
          </w:tblCellMar>
        </w:tblPrEx>
        <w:trPr>
          <w:trHeight w:val="227" w:hRule="atLeast"/>
          <w:jc w:val="center"/>
        </w:trPr>
        <w:tc>
          <w:tcPr>
            <w:tcW w:w="147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环境空气</w:t>
            </w:r>
          </w:p>
        </w:tc>
        <w:tc>
          <w:tcPr>
            <w:tcW w:w="4393"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SO</w:t>
            </w:r>
            <w:r>
              <w:rPr>
                <w:rFonts w:ascii="Times New Roman" w:hAnsi="Times New Roman" w:eastAsia="宋体" w:cs="Times New Roman"/>
                <w:b w:val="0"/>
                <w:bCs/>
                <w:color w:val="auto"/>
                <w:highlight w:val="none"/>
                <w:vertAlign w:val="subscript"/>
              </w:rPr>
              <w:t>2</w:t>
            </w:r>
            <w:r>
              <w:rPr>
                <w:rFonts w:ascii="Times New Roman" w:hAnsi="Times New Roman" w:eastAsia="宋体" w:cs="Times New Roman"/>
                <w:b w:val="0"/>
                <w:bCs/>
                <w:color w:val="auto"/>
                <w:highlight w:val="none"/>
              </w:rPr>
              <w:t>、NO</w:t>
            </w:r>
            <w:r>
              <w:rPr>
                <w:rFonts w:ascii="Times New Roman" w:hAnsi="Times New Roman" w:eastAsia="宋体" w:cs="Times New Roman"/>
                <w:b w:val="0"/>
                <w:bCs/>
                <w:color w:val="auto"/>
                <w:highlight w:val="none"/>
                <w:vertAlign w:val="subscript"/>
              </w:rPr>
              <w:t>2</w:t>
            </w:r>
            <w:r>
              <w:rPr>
                <w:rFonts w:ascii="Times New Roman" w:hAnsi="Times New Roman" w:eastAsia="宋体" w:cs="Times New Roman"/>
                <w:b w:val="0"/>
                <w:bCs/>
                <w:color w:val="auto"/>
                <w:highlight w:val="none"/>
              </w:rPr>
              <w:t>、CO、O</w:t>
            </w:r>
            <w:r>
              <w:rPr>
                <w:rFonts w:ascii="Times New Roman" w:hAnsi="Times New Roman" w:eastAsia="宋体" w:cs="Times New Roman"/>
                <w:b w:val="0"/>
                <w:bCs/>
                <w:color w:val="auto"/>
                <w:highlight w:val="none"/>
                <w:vertAlign w:val="subscript"/>
              </w:rPr>
              <w:t>3</w:t>
            </w:r>
            <w:r>
              <w:rPr>
                <w:rFonts w:ascii="Times New Roman" w:hAnsi="Times New Roman" w:eastAsia="宋体" w:cs="Times New Roman"/>
                <w:b w:val="0"/>
                <w:bCs/>
                <w:color w:val="auto"/>
                <w:highlight w:val="none"/>
              </w:rPr>
              <w:t>、PM</w:t>
            </w:r>
            <w:r>
              <w:rPr>
                <w:rFonts w:ascii="Times New Roman" w:hAnsi="Times New Roman" w:eastAsia="宋体" w:cs="Times New Roman"/>
                <w:b w:val="0"/>
                <w:bCs/>
                <w:color w:val="auto"/>
                <w:highlight w:val="none"/>
                <w:vertAlign w:val="subscript"/>
              </w:rPr>
              <w:t>2.5</w:t>
            </w:r>
            <w:r>
              <w:rPr>
                <w:rFonts w:ascii="Times New Roman" w:hAnsi="Times New Roman" w:eastAsia="宋体" w:cs="Times New Roman"/>
                <w:b w:val="0"/>
                <w:bCs/>
                <w:color w:val="auto"/>
                <w:highlight w:val="none"/>
              </w:rPr>
              <w:t>、PM</w:t>
            </w:r>
            <w:r>
              <w:rPr>
                <w:rFonts w:ascii="Times New Roman" w:hAnsi="Times New Roman" w:eastAsia="宋体" w:cs="Times New Roman"/>
                <w:b w:val="0"/>
                <w:bCs/>
                <w:color w:val="auto"/>
                <w:highlight w:val="none"/>
                <w:vertAlign w:val="subscript"/>
              </w:rPr>
              <w:t>10</w:t>
            </w:r>
            <w:r>
              <w:rPr>
                <w:rFonts w:ascii="Times New Roman" w:hAnsi="Times New Roman" w:eastAsia="宋体" w:cs="Times New Roman"/>
                <w:b w:val="0"/>
                <w:bCs/>
                <w:color w:val="auto"/>
                <w:highlight w:val="none"/>
              </w:rPr>
              <w:t>、TSP</w:t>
            </w:r>
          </w:p>
        </w:tc>
        <w:tc>
          <w:tcPr>
            <w:tcW w:w="322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TSP、PM</w:t>
            </w:r>
            <w:r>
              <w:rPr>
                <w:rFonts w:ascii="Times New Roman" w:hAnsi="Times New Roman" w:eastAsia="宋体" w:cs="Times New Roman"/>
                <w:b w:val="0"/>
                <w:bCs/>
                <w:color w:val="auto"/>
                <w:highlight w:val="none"/>
                <w:vertAlign w:val="subscript"/>
              </w:rPr>
              <w:t>10</w:t>
            </w:r>
            <w:r>
              <w:rPr>
                <w:rFonts w:ascii="Times New Roman" w:hAnsi="Times New Roman" w:eastAsia="宋体" w:cs="Times New Roman"/>
                <w:b w:val="0"/>
                <w:bCs/>
                <w:color w:val="auto"/>
                <w:highlight w:val="none"/>
              </w:rPr>
              <w:t>、PM</w:t>
            </w:r>
            <w:r>
              <w:rPr>
                <w:rFonts w:ascii="Times New Roman" w:hAnsi="Times New Roman" w:eastAsia="宋体" w:cs="Times New Roman"/>
                <w:b w:val="0"/>
                <w:bCs/>
                <w:color w:val="auto"/>
                <w:highlight w:val="none"/>
                <w:vertAlign w:val="subscript"/>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108" w:type="dxa"/>
            <w:bottom w:w="28" w:type="dxa"/>
            <w:right w:w="108" w:type="dxa"/>
          </w:tblCellMar>
        </w:tblPrEx>
        <w:trPr>
          <w:trHeight w:val="227" w:hRule="atLeast"/>
          <w:jc w:val="center"/>
        </w:trPr>
        <w:tc>
          <w:tcPr>
            <w:tcW w:w="147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地表水环境</w:t>
            </w:r>
          </w:p>
        </w:tc>
        <w:tc>
          <w:tcPr>
            <w:tcW w:w="4393" w:type="dxa"/>
            <w:noWrap w:val="0"/>
            <w:vAlign w:val="center"/>
          </w:tcPr>
          <w:p>
            <w:pPr>
              <w:pStyle w:val="86"/>
              <w:jc w:val="both"/>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pH值、悬浮物、化学需氧量、氨氮、石油类、高锰酸盐指数</w:t>
            </w:r>
          </w:p>
        </w:tc>
        <w:tc>
          <w:tcPr>
            <w:tcW w:w="3226" w:type="dxa"/>
            <w:noWrap w:val="0"/>
            <w:vAlign w:val="center"/>
          </w:tcPr>
          <w:p>
            <w:pPr>
              <w:pStyle w:val="86"/>
              <w:rPr>
                <w:rFonts w:hint="eastAsia"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108" w:type="dxa"/>
            <w:bottom w:w="28" w:type="dxa"/>
            <w:right w:w="108" w:type="dxa"/>
          </w:tblCellMar>
        </w:tblPrEx>
        <w:trPr>
          <w:trHeight w:val="227" w:hRule="atLeast"/>
          <w:jc w:val="center"/>
        </w:trPr>
        <w:tc>
          <w:tcPr>
            <w:tcW w:w="147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固体废物</w:t>
            </w:r>
          </w:p>
        </w:tc>
        <w:tc>
          <w:tcPr>
            <w:tcW w:w="4393"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w:t>
            </w:r>
          </w:p>
        </w:tc>
        <w:tc>
          <w:tcPr>
            <w:tcW w:w="3226" w:type="dxa"/>
            <w:noWrap w:val="0"/>
            <w:vAlign w:val="center"/>
          </w:tcPr>
          <w:p>
            <w:pPr>
              <w:pStyle w:val="86"/>
              <w:jc w:val="both"/>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表土、</w:t>
            </w:r>
            <w:r>
              <w:rPr>
                <w:rFonts w:hint="eastAsia" w:ascii="Times New Roman" w:hAnsi="Times New Roman" w:eastAsia="宋体" w:cs="Times New Roman"/>
                <w:b w:val="0"/>
                <w:bCs/>
                <w:color w:val="auto"/>
                <w:highlight w:val="none"/>
              </w:rPr>
              <w:t>废土石渣</w:t>
            </w:r>
            <w:r>
              <w:rPr>
                <w:rFonts w:ascii="Times New Roman" w:hAnsi="Times New Roman" w:eastAsia="宋体" w:cs="Times New Roman"/>
                <w:b w:val="0"/>
                <w:bCs/>
                <w:color w:val="auto"/>
                <w:highlight w:val="none"/>
              </w:rPr>
              <w:t>、除尘</w:t>
            </w:r>
            <w:r>
              <w:rPr>
                <w:rFonts w:hint="eastAsia" w:ascii="Times New Roman" w:hAnsi="Times New Roman" w:eastAsia="宋体" w:cs="Times New Roman"/>
                <w:b w:val="0"/>
                <w:bCs/>
                <w:color w:val="auto"/>
                <w:highlight w:val="none"/>
              </w:rPr>
              <w:t>器</w:t>
            </w:r>
            <w:r>
              <w:rPr>
                <w:rFonts w:ascii="Times New Roman" w:hAnsi="Times New Roman" w:eastAsia="宋体" w:cs="Times New Roman"/>
                <w:b w:val="0"/>
                <w:bCs/>
                <w:color w:val="auto"/>
                <w:highlight w:val="none"/>
              </w:rPr>
              <w:t>粉尘、机修</w:t>
            </w:r>
            <w:r>
              <w:rPr>
                <w:rFonts w:hint="eastAsia" w:ascii="Times New Roman" w:hAnsi="Times New Roman" w:eastAsia="宋体" w:cs="Times New Roman"/>
                <w:b w:val="0"/>
                <w:bCs/>
                <w:color w:val="auto"/>
                <w:highlight w:val="none"/>
              </w:rPr>
              <w:t>废零件</w:t>
            </w:r>
            <w:r>
              <w:rPr>
                <w:rFonts w:ascii="Times New Roman" w:hAnsi="Times New Roman" w:eastAsia="宋体" w:cs="Times New Roman"/>
                <w:b w:val="0"/>
                <w:bCs/>
                <w:color w:val="auto"/>
                <w:highlight w:val="none"/>
              </w:rPr>
              <w:t>、废机油、泥渣、</w:t>
            </w:r>
            <w:r>
              <w:rPr>
                <w:rFonts w:hint="eastAsia" w:ascii="Times New Roman" w:hAnsi="Times New Roman" w:eastAsia="宋体" w:cs="Times New Roman"/>
                <w:b w:val="0"/>
                <w:bCs/>
                <w:color w:val="auto"/>
                <w:highlight w:val="none"/>
              </w:rPr>
              <w:t>洗砂泥饼、</w:t>
            </w:r>
            <w:r>
              <w:rPr>
                <w:rFonts w:ascii="Times New Roman" w:hAnsi="Times New Roman" w:eastAsia="宋体" w:cs="Times New Roman"/>
                <w:b w:val="0"/>
                <w:bCs/>
                <w:color w:val="auto"/>
                <w:highlight w:val="none"/>
              </w:rPr>
              <w:t>生活垃圾、废含油抹布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108" w:type="dxa"/>
            <w:bottom w:w="28" w:type="dxa"/>
            <w:right w:w="108" w:type="dxa"/>
          </w:tblCellMar>
        </w:tblPrEx>
        <w:trPr>
          <w:trHeight w:val="227" w:hRule="atLeast"/>
          <w:jc w:val="center"/>
        </w:trPr>
        <w:tc>
          <w:tcPr>
            <w:tcW w:w="147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声环境</w:t>
            </w:r>
          </w:p>
        </w:tc>
        <w:tc>
          <w:tcPr>
            <w:tcW w:w="4393"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等效连续A声级L</w:t>
            </w:r>
            <w:r>
              <w:rPr>
                <w:rFonts w:ascii="Times New Roman" w:hAnsi="Times New Roman" w:eastAsia="宋体" w:cs="Times New Roman"/>
                <w:b w:val="0"/>
                <w:bCs/>
                <w:color w:val="auto"/>
                <w:highlight w:val="none"/>
                <w:vertAlign w:val="subscript"/>
              </w:rPr>
              <w:t>eq</w:t>
            </w:r>
          </w:p>
        </w:tc>
        <w:tc>
          <w:tcPr>
            <w:tcW w:w="322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等效连续A声级L</w:t>
            </w:r>
            <w:r>
              <w:rPr>
                <w:rFonts w:ascii="Times New Roman" w:hAnsi="Times New Roman" w:eastAsia="宋体" w:cs="Times New Roman"/>
                <w:b w:val="0"/>
                <w:bCs/>
                <w:color w:val="auto"/>
                <w:highlight w:val="none"/>
                <w:vertAlign w:val="subscript"/>
              </w:rPr>
              <w:t>eq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108" w:type="dxa"/>
            <w:bottom w:w="28" w:type="dxa"/>
            <w:right w:w="108" w:type="dxa"/>
          </w:tblCellMar>
        </w:tblPrEx>
        <w:trPr>
          <w:trHeight w:val="227" w:hRule="atLeast"/>
          <w:jc w:val="center"/>
        </w:trPr>
        <w:tc>
          <w:tcPr>
            <w:tcW w:w="147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生态环境</w:t>
            </w:r>
          </w:p>
        </w:tc>
        <w:tc>
          <w:tcPr>
            <w:tcW w:w="4393"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植被类型、覆盖状况、水土流失</w:t>
            </w:r>
          </w:p>
        </w:tc>
        <w:tc>
          <w:tcPr>
            <w:tcW w:w="322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景观、生物多样性、水土流失</w:t>
            </w:r>
          </w:p>
        </w:tc>
      </w:tr>
    </w:tbl>
    <w:p>
      <w:pPr>
        <w:pStyle w:val="4"/>
        <w:rPr>
          <w:rFonts w:ascii="Times New Roman" w:hAnsi="Times New Roman" w:eastAsia="宋体"/>
          <w:color w:val="auto"/>
          <w:highlight w:val="none"/>
        </w:rPr>
      </w:pPr>
      <w:bookmarkStart w:id="45" w:name="_Toc24282"/>
      <w:bookmarkStart w:id="46" w:name="_Toc231129971"/>
      <w:bookmarkStart w:id="47" w:name="_Toc221899004"/>
      <w:bookmarkStart w:id="48" w:name="_Toc266289048"/>
      <w:bookmarkStart w:id="49" w:name="_Toc425287064"/>
      <w:bookmarkStart w:id="50" w:name="_Toc417635408"/>
      <w:bookmarkStart w:id="51" w:name="_Toc475546388"/>
      <w:r>
        <w:rPr>
          <w:rFonts w:ascii="Times New Roman" w:hAnsi="Times New Roman" w:eastAsia="宋体"/>
          <w:color w:val="auto"/>
          <w:highlight w:val="none"/>
        </w:rPr>
        <w:t>1.</w:t>
      </w:r>
      <w:bookmarkStart w:id="52" w:name="_Toc475546385"/>
      <w:r>
        <w:rPr>
          <w:rFonts w:ascii="Times New Roman" w:hAnsi="Times New Roman" w:eastAsia="宋体"/>
          <w:color w:val="auto"/>
          <w:highlight w:val="none"/>
        </w:rPr>
        <w:t>4 评价标准</w:t>
      </w:r>
      <w:bookmarkEnd w:id="45"/>
      <w:bookmarkEnd w:id="52"/>
    </w:p>
    <w:p>
      <w:pPr>
        <w:pStyle w:val="5"/>
        <w:rPr>
          <w:rFonts w:ascii="Times New Roman" w:hAnsi="Times New Roman" w:eastAsia="宋体"/>
          <w:color w:val="auto"/>
          <w:highlight w:val="none"/>
        </w:rPr>
      </w:pPr>
      <w:bookmarkStart w:id="53" w:name="_Toc475546386"/>
      <w:r>
        <w:rPr>
          <w:rFonts w:ascii="Times New Roman" w:hAnsi="Times New Roman" w:eastAsia="宋体"/>
          <w:color w:val="auto"/>
          <w:highlight w:val="none"/>
        </w:rPr>
        <w:t>1.4.1 环境质量标准</w:t>
      </w:r>
      <w:bookmarkEnd w:id="53"/>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1、环境空气</w:t>
      </w:r>
    </w:p>
    <w:p>
      <w:pPr>
        <w:ind w:firstLine="480"/>
        <w:rPr>
          <w:rFonts w:ascii="Times New Roman" w:hAnsi="Times New Roman" w:eastAsia="宋体"/>
          <w:color w:val="auto"/>
          <w:highlight w:val="none"/>
        </w:rPr>
      </w:pPr>
      <w:r>
        <w:rPr>
          <w:rFonts w:ascii="Times New Roman" w:hAnsi="Times New Roman" w:eastAsia="宋体"/>
          <w:color w:val="auto"/>
          <w:highlight w:val="none"/>
        </w:rPr>
        <w:t>项目所在区域大气环境质量执行《环境空气质量标准》（GB</w:t>
      </w:r>
      <w:r>
        <w:rPr>
          <w:rFonts w:hint="eastAsia" w:ascii="Times New Roman" w:hAnsi="Times New Roman" w:eastAsia="宋体"/>
          <w:color w:val="auto"/>
          <w:highlight w:val="none"/>
          <w:lang w:val="en-US" w:eastAsia="zh-CN"/>
        </w:rPr>
        <w:t xml:space="preserve"> </w:t>
      </w:r>
      <w:r>
        <w:rPr>
          <w:rFonts w:ascii="Times New Roman" w:hAnsi="Times New Roman" w:eastAsia="宋体"/>
          <w:color w:val="auto"/>
          <w:highlight w:val="none"/>
        </w:rPr>
        <w:t>3095-2012）及其修改单二级标准，具体标准值见下表1.4-1所示。</w:t>
      </w:r>
    </w:p>
    <w:p>
      <w:pPr>
        <w:pStyle w:val="87"/>
        <w:rPr>
          <w:rFonts w:ascii="Times New Roman" w:hAnsi="Times New Roman" w:eastAsia="宋体" w:cs="Times New Roman"/>
          <w:color w:val="auto"/>
          <w:highlight w:val="none"/>
        </w:rPr>
      </w:pPr>
      <w:r>
        <w:rPr>
          <w:rFonts w:ascii="Times New Roman" w:hAnsi="Times New Roman" w:eastAsia="宋体" w:cs="Times New Roman"/>
          <w:color w:val="auto"/>
          <w:highlight w:val="none"/>
        </w:rPr>
        <w:t>表1.4-1 大气环境质量评价标准一览表</w:t>
      </w:r>
    </w:p>
    <w:tbl>
      <w:tblPr>
        <w:tblStyle w:val="48"/>
        <w:tblW w:w="9082"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99"/>
        <w:gridCol w:w="1929"/>
        <w:gridCol w:w="1134"/>
        <w:gridCol w:w="825"/>
        <w:gridCol w:w="40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27" w:hRule="atLeast"/>
          <w:jc w:val="center"/>
        </w:trPr>
        <w:tc>
          <w:tcPr>
            <w:tcW w:w="1099"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污染物</w:t>
            </w:r>
          </w:p>
        </w:tc>
        <w:tc>
          <w:tcPr>
            <w:tcW w:w="1929"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取值时间</w:t>
            </w:r>
          </w:p>
        </w:tc>
        <w:tc>
          <w:tcPr>
            <w:tcW w:w="1134"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浓度限值</w:t>
            </w:r>
          </w:p>
        </w:tc>
        <w:tc>
          <w:tcPr>
            <w:tcW w:w="825"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单位</w:t>
            </w:r>
          </w:p>
        </w:tc>
        <w:tc>
          <w:tcPr>
            <w:tcW w:w="4095"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27" w:hRule="atLeast"/>
          <w:jc w:val="center"/>
        </w:trPr>
        <w:tc>
          <w:tcPr>
            <w:tcW w:w="1099"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SO</w:t>
            </w:r>
            <w:r>
              <w:rPr>
                <w:rFonts w:ascii="Times New Roman" w:hAnsi="Times New Roman" w:eastAsia="宋体" w:cs="Times New Roman"/>
                <w:color w:val="auto"/>
                <w:sz w:val="21"/>
                <w:highlight w:val="none"/>
                <w:vertAlign w:val="subscript"/>
              </w:rPr>
              <w:t>2</w:t>
            </w:r>
          </w:p>
        </w:tc>
        <w:tc>
          <w:tcPr>
            <w:tcW w:w="192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134" w:type="dxa"/>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60</w:t>
            </w:r>
          </w:p>
        </w:tc>
        <w:tc>
          <w:tcPr>
            <w:tcW w:w="825" w:type="dxa"/>
            <w:vMerge w:val="restart"/>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μg/m</w:t>
            </w:r>
            <w:r>
              <w:rPr>
                <w:rFonts w:ascii="Times New Roman" w:hAnsi="Times New Roman" w:eastAsia="宋体"/>
                <w:color w:val="auto"/>
                <w:szCs w:val="21"/>
                <w:highlight w:val="none"/>
                <w:vertAlign w:val="superscript"/>
                <w:lang w:val="en-US" w:eastAsia="zh-CN"/>
              </w:rPr>
              <w:t>3</w:t>
            </w:r>
          </w:p>
        </w:tc>
        <w:tc>
          <w:tcPr>
            <w:tcW w:w="4095" w:type="dxa"/>
            <w:vMerge w:val="restart"/>
            <w:noWrap w:val="0"/>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《环境空气质量标准》（GB</w:t>
            </w:r>
            <w:r>
              <w:rPr>
                <w:rFonts w:hint="eastAsia" w:ascii="Times New Roman" w:hAnsi="Times New Roman" w:eastAsia="宋体" w:cs="Times New Roman"/>
                <w:color w:val="auto"/>
                <w:sz w:val="21"/>
                <w:highlight w:val="none"/>
                <w:lang w:val="en-US" w:eastAsia="zh-CN"/>
              </w:rPr>
              <w:t xml:space="preserve"> </w:t>
            </w:r>
            <w:r>
              <w:rPr>
                <w:rFonts w:ascii="Times New Roman" w:hAnsi="Times New Roman" w:eastAsia="宋体" w:cs="Times New Roman"/>
                <w:color w:val="auto"/>
                <w:sz w:val="21"/>
                <w:highlight w:val="none"/>
              </w:rPr>
              <w:t>3095-2012）及其修改单中二级标准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27" w:hRule="atLeast"/>
          <w:jc w:val="center"/>
        </w:trPr>
        <w:tc>
          <w:tcPr>
            <w:tcW w:w="1099"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2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24小时平均</w:t>
            </w:r>
          </w:p>
        </w:tc>
        <w:tc>
          <w:tcPr>
            <w:tcW w:w="1134" w:type="dxa"/>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150</w:t>
            </w:r>
          </w:p>
        </w:tc>
        <w:tc>
          <w:tcPr>
            <w:tcW w:w="825" w:type="dxa"/>
            <w:vMerge w:val="continue"/>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p>
        </w:tc>
        <w:tc>
          <w:tcPr>
            <w:tcW w:w="409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27" w:hRule="atLeast"/>
          <w:jc w:val="center"/>
        </w:trPr>
        <w:tc>
          <w:tcPr>
            <w:tcW w:w="1099"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2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1小时平均</w:t>
            </w:r>
          </w:p>
        </w:tc>
        <w:tc>
          <w:tcPr>
            <w:tcW w:w="1134" w:type="dxa"/>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500</w:t>
            </w:r>
          </w:p>
        </w:tc>
        <w:tc>
          <w:tcPr>
            <w:tcW w:w="825" w:type="dxa"/>
            <w:vMerge w:val="continue"/>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p>
        </w:tc>
        <w:tc>
          <w:tcPr>
            <w:tcW w:w="409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27" w:hRule="atLeast"/>
          <w:jc w:val="center"/>
        </w:trPr>
        <w:tc>
          <w:tcPr>
            <w:tcW w:w="1099"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2</w:t>
            </w:r>
          </w:p>
        </w:tc>
        <w:tc>
          <w:tcPr>
            <w:tcW w:w="192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134" w:type="dxa"/>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40</w:t>
            </w:r>
          </w:p>
        </w:tc>
        <w:tc>
          <w:tcPr>
            <w:tcW w:w="825" w:type="dxa"/>
            <w:vMerge w:val="continue"/>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p>
        </w:tc>
        <w:tc>
          <w:tcPr>
            <w:tcW w:w="409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27" w:hRule="atLeast"/>
          <w:jc w:val="center"/>
        </w:trPr>
        <w:tc>
          <w:tcPr>
            <w:tcW w:w="1099"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2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24小时平均</w:t>
            </w:r>
          </w:p>
        </w:tc>
        <w:tc>
          <w:tcPr>
            <w:tcW w:w="1134" w:type="dxa"/>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80</w:t>
            </w:r>
          </w:p>
        </w:tc>
        <w:tc>
          <w:tcPr>
            <w:tcW w:w="825" w:type="dxa"/>
            <w:vMerge w:val="continue"/>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p>
        </w:tc>
        <w:tc>
          <w:tcPr>
            <w:tcW w:w="409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27" w:hRule="atLeast"/>
          <w:jc w:val="center"/>
        </w:trPr>
        <w:tc>
          <w:tcPr>
            <w:tcW w:w="1099"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2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1小时平均</w:t>
            </w:r>
          </w:p>
        </w:tc>
        <w:tc>
          <w:tcPr>
            <w:tcW w:w="1134" w:type="dxa"/>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200</w:t>
            </w:r>
          </w:p>
        </w:tc>
        <w:tc>
          <w:tcPr>
            <w:tcW w:w="825" w:type="dxa"/>
            <w:vMerge w:val="continue"/>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p>
        </w:tc>
        <w:tc>
          <w:tcPr>
            <w:tcW w:w="409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27" w:hRule="atLeast"/>
          <w:jc w:val="center"/>
        </w:trPr>
        <w:tc>
          <w:tcPr>
            <w:tcW w:w="1099"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w:t>
            </w:r>
          </w:p>
        </w:tc>
        <w:tc>
          <w:tcPr>
            <w:tcW w:w="192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24小时平均</w:t>
            </w:r>
          </w:p>
        </w:tc>
        <w:tc>
          <w:tcPr>
            <w:tcW w:w="1134" w:type="dxa"/>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4</w:t>
            </w:r>
          </w:p>
        </w:tc>
        <w:tc>
          <w:tcPr>
            <w:tcW w:w="825" w:type="dxa"/>
            <w:vMerge w:val="restart"/>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mg/m</w:t>
            </w:r>
            <w:r>
              <w:rPr>
                <w:rFonts w:ascii="Times New Roman" w:hAnsi="Times New Roman" w:eastAsia="宋体"/>
                <w:color w:val="auto"/>
                <w:szCs w:val="21"/>
                <w:highlight w:val="none"/>
                <w:vertAlign w:val="superscript"/>
                <w:lang w:val="en-US" w:eastAsia="zh-CN"/>
              </w:rPr>
              <w:t>3</w:t>
            </w:r>
          </w:p>
        </w:tc>
        <w:tc>
          <w:tcPr>
            <w:tcW w:w="409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27" w:hRule="atLeast"/>
          <w:jc w:val="center"/>
        </w:trPr>
        <w:tc>
          <w:tcPr>
            <w:tcW w:w="1099"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2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1小时平均</w:t>
            </w:r>
          </w:p>
        </w:tc>
        <w:tc>
          <w:tcPr>
            <w:tcW w:w="1134" w:type="dxa"/>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10</w:t>
            </w:r>
          </w:p>
        </w:tc>
        <w:tc>
          <w:tcPr>
            <w:tcW w:w="825" w:type="dxa"/>
            <w:vMerge w:val="continue"/>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p>
        </w:tc>
        <w:tc>
          <w:tcPr>
            <w:tcW w:w="409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27" w:hRule="atLeast"/>
          <w:jc w:val="center"/>
        </w:trPr>
        <w:tc>
          <w:tcPr>
            <w:tcW w:w="1099"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O</w:t>
            </w:r>
            <w:r>
              <w:rPr>
                <w:rFonts w:ascii="Times New Roman" w:hAnsi="Times New Roman" w:eastAsia="宋体" w:cs="Times New Roman"/>
                <w:color w:val="auto"/>
                <w:sz w:val="21"/>
                <w:highlight w:val="none"/>
                <w:vertAlign w:val="subscript"/>
              </w:rPr>
              <w:t>3</w:t>
            </w:r>
          </w:p>
        </w:tc>
        <w:tc>
          <w:tcPr>
            <w:tcW w:w="192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日最大8小时平均</w:t>
            </w:r>
          </w:p>
        </w:tc>
        <w:tc>
          <w:tcPr>
            <w:tcW w:w="1134" w:type="dxa"/>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160</w:t>
            </w:r>
          </w:p>
        </w:tc>
        <w:tc>
          <w:tcPr>
            <w:tcW w:w="825" w:type="dxa"/>
            <w:vMerge w:val="restart"/>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μg/m</w:t>
            </w:r>
            <w:r>
              <w:rPr>
                <w:rFonts w:ascii="Times New Roman" w:hAnsi="Times New Roman" w:eastAsia="宋体"/>
                <w:color w:val="auto"/>
                <w:szCs w:val="21"/>
                <w:highlight w:val="none"/>
                <w:vertAlign w:val="superscript"/>
                <w:lang w:val="en-US" w:eastAsia="zh-CN"/>
              </w:rPr>
              <w:t>3</w:t>
            </w:r>
          </w:p>
        </w:tc>
        <w:tc>
          <w:tcPr>
            <w:tcW w:w="409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27" w:hRule="atLeast"/>
          <w:jc w:val="center"/>
        </w:trPr>
        <w:tc>
          <w:tcPr>
            <w:tcW w:w="1099"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2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1小时平均</w:t>
            </w:r>
          </w:p>
        </w:tc>
        <w:tc>
          <w:tcPr>
            <w:tcW w:w="1134" w:type="dxa"/>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200</w:t>
            </w:r>
          </w:p>
        </w:tc>
        <w:tc>
          <w:tcPr>
            <w:tcW w:w="825" w:type="dxa"/>
            <w:vMerge w:val="continue"/>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p>
        </w:tc>
        <w:tc>
          <w:tcPr>
            <w:tcW w:w="409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27" w:hRule="atLeast"/>
          <w:jc w:val="center"/>
        </w:trPr>
        <w:tc>
          <w:tcPr>
            <w:tcW w:w="1099"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PM</w:t>
            </w:r>
            <w:r>
              <w:rPr>
                <w:rFonts w:ascii="Times New Roman" w:hAnsi="Times New Roman" w:eastAsia="宋体" w:cs="Times New Roman"/>
                <w:color w:val="auto"/>
                <w:sz w:val="21"/>
                <w:highlight w:val="none"/>
                <w:vertAlign w:val="subscript"/>
              </w:rPr>
              <w:t>10</w:t>
            </w:r>
          </w:p>
        </w:tc>
        <w:tc>
          <w:tcPr>
            <w:tcW w:w="192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134" w:type="dxa"/>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70</w:t>
            </w:r>
          </w:p>
        </w:tc>
        <w:tc>
          <w:tcPr>
            <w:tcW w:w="825" w:type="dxa"/>
            <w:vMerge w:val="continue"/>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p>
        </w:tc>
        <w:tc>
          <w:tcPr>
            <w:tcW w:w="409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27" w:hRule="atLeast"/>
          <w:jc w:val="center"/>
        </w:trPr>
        <w:tc>
          <w:tcPr>
            <w:tcW w:w="1099"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2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24小时平均</w:t>
            </w:r>
          </w:p>
        </w:tc>
        <w:tc>
          <w:tcPr>
            <w:tcW w:w="1134" w:type="dxa"/>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150</w:t>
            </w:r>
          </w:p>
        </w:tc>
        <w:tc>
          <w:tcPr>
            <w:tcW w:w="825" w:type="dxa"/>
            <w:vMerge w:val="continue"/>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p>
        </w:tc>
        <w:tc>
          <w:tcPr>
            <w:tcW w:w="409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27" w:hRule="atLeast"/>
          <w:jc w:val="center"/>
        </w:trPr>
        <w:tc>
          <w:tcPr>
            <w:tcW w:w="1099"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PM</w:t>
            </w:r>
            <w:r>
              <w:rPr>
                <w:rFonts w:ascii="Times New Roman" w:hAnsi="Times New Roman" w:eastAsia="宋体" w:cs="Times New Roman"/>
                <w:color w:val="auto"/>
                <w:sz w:val="21"/>
                <w:highlight w:val="none"/>
                <w:vertAlign w:val="subscript"/>
              </w:rPr>
              <w:t>2.5</w:t>
            </w:r>
          </w:p>
        </w:tc>
        <w:tc>
          <w:tcPr>
            <w:tcW w:w="192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134" w:type="dxa"/>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35</w:t>
            </w:r>
          </w:p>
        </w:tc>
        <w:tc>
          <w:tcPr>
            <w:tcW w:w="825" w:type="dxa"/>
            <w:vMerge w:val="continue"/>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p>
        </w:tc>
        <w:tc>
          <w:tcPr>
            <w:tcW w:w="409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27" w:hRule="atLeast"/>
          <w:jc w:val="center"/>
        </w:trPr>
        <w:tc>
          <w:tcPr>
            <w:tcW w:w="1099"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2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24小时平均</w:t>
            </w:r>
          </w:p>
        </w:tc>
        <w:tc>
          <w:tcPr>
            <w:tcW w:w="1134" w:type="dxa"/>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75</w:t>
            </w:r>
          </w:p>
        </w:tc>
        <w:tc>
          <w:tcPr>
            <w:tcW w:w="825" w:type="dxa"/>
            <w:vMerge w:val="continue"/>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p>
        </w:tc>
        <w:tc>
          <w:tcPr>
            <w:tcW w:w="409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27" w:hRule="atLeast"/>
          <w:jc w:val="center"/>
        </w:trPr>
        <w:tc>
          <w:tcPr>
            <w:tcW w:w="1099"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TSP</w:t>
            </w:r>
          </w:p>
        </w:tc>
        <w:tc>
          <w:tcPr>
            <w:tcW w:w="192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134" w:type="dxa"/>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200</w:t>
            </w:r>
          </w:p>
        </w:tc>
        <w:tc>
          <w:tcPr>
            <w:tcW w:w="825" w:type="dxa"/>
            <w:vMerge w:val="continue"/>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p>
        </w:tc>
        <w:tc>
          <w:tcPr>
            <w:tcW w:w="409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27" w:hRule="atLeast"/>
          <w:jc w:val="center"/>
        </w:trPr>
        <w:tc>
          <w:tcPr>
            <w:tcW w:w="1099"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2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24小时平均</w:t>
            </w:r>
          </w:p>
        </w:tc>
        <w:tc>
          <w:tcPr>
            <w:tcW w:w="1134" w:type="dxa"/>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300</w:t>
            </w:r>
          </w:p>
        </w:tc>
        <w:tc>
          <w:tcPr>
            <w:tcW w:w="825" w:type="dxa"/>
            <w:vMerge w:val="continue"/>
            <w:noWrap w:val="0"/>
            <w:vAlign w:val="center"/>
          </w:tcPr>
          <w:p>
            <w:pPr>
              <w:pStyle w:val="81"/>
              <w:adjustRightInd w:val="0"/>
              <w:snapToGrid w:val="0"/>
              <w:jc w:val="center"/>
              <w:rPr>
                <w:rFonts w:ascii="Times New Roman" w:hAnsi="Times New Roman" w:eastAsia="宋体"/>
                <w:color w:val="auto"/>
                <w:szCs w:val="21"/>
                <w:highlight w:val="none"/>
                <w:lang w:val="en-US" w:eastAsia="zh-CN"/>
              </w:rPr>
            </w:pPr>
          </w:p>
        </w:tc>
        <w:tc>
          <w:tcPr>
            <w:tcW w:w="409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bl>
    <w:p>
      <w:pPr>
        <w:ind w:firstLine="480"/>
        <w:rPr>
          <w:rFonts w:ascii="Times New Roman" w:hAnsi="Times New Roman" w:eastAsia="宋体" w:cs="Times New Roman"/>
          <w:color w:val="auto"/>
          <w:highlight w:val="none"/>
        </w:rPr>
      </w:pPr>
      <w:r>
        <w:rPr>
          <w:rFonts w:ascii="Times New Roman" w:hAnsi="Times New Roman" w:eastAsia="宋体" w:cs="Times New Roman"/>
          <w:bCs/>
          <w:color w:val="auto"/>
          <w:highlight w:val="none"/>
        </w:rPr>
        <w:t>2、地表水环境</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项目所在区域地表水执行《地表水环境质量标准》（GB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3838-2002）Ⅲ类标准（</w:t>
      </w:r>
      <w:r>
        <w:rPr>
          <w:rFonts w:ascii="Times New Roman" w:hAnsi="Times New Roman" w:eastAsia="宋体" w:cs="Times New Roman"/>
          <w:color w:val="auto"/>
          <w:szCs w:val="24"/>
          <w:highlight w:val="none"/>
        </w:rPr>
        <w:t>SS参照《地表水资源质量标准》（SL</w:t>
      </w:r>
      <w:r>
        <w:rPr>
          <w:rFonts w:hint="eastAsia" w:ascii="Times New Roman" w:hAnsi="Times New Roman" w:eastAsia="宋体" w:cs="Times New Roman"/>
          <w:color w:val="auto"/>
          <w:szCs w:val="24"/>
          <w:highlight w:val="none"/>
          <w:lang w:val="en-US" w:eastAsia="zh-CN"/>
        </w:rPr>
        <w:t xml:space="preserve"> </w:t>
      </w:r>
      <w:r>
        <w:rPr>
          <w:rFonts w:ascii="Times New Roman" w:hAnsi="Times New Roman" w:eastAsia="宋体" w:cs="Times New Roman"/>
          <w:color w:val="auto"/>
          <w:szCs w:val="24"/>
          <w:highlight w:val="none"/>
        </w:rPr>
        <w:t>63-94）中的三级标准值执行</w:t>
      </w:r>
      <w:r>
        <w:rPr>
          <w:rFonts w:ascii="Times New Roman" w:hAnsi="Times New Roman" w:eastAsia="宋体" w:cs="Times New Roman"/>
          <w:color w:val="auto"/>
          <w:highlight w:val="none"/>
        </w:rPr>
        <w:t>），</w:t>
      </w:r>
      <w:r>
        <w:rPr>
          <w:rFonts w:ascii="Times New Roman" w:hAnsi="Times New Roman" w:eastAsia="宋体" w:cs="Times New Roman"/>
          <w:color w:val="auto"/>
          <w:szCs w:val="24"/>
          <w:highlight w:val="none"/>
        </w:rPr>
        <w:t>主要污染物标准限值</w:t>
      </w:r>
      <w:r>
        <w:rPr>
          <w:rFonts w:ascii="Times New Roman" w:hAnsi="Times New Roman" w:eastAsia="宋体" w:cs="Times New Roman"/>
          <w:color w:val="auto"/>
          <w:highlight w:val="none"/>
        </w:rPr>
        <w:t>见表1.4-2。</w:t>
      </w:r>
    </w:p>
    <w:p>
      <w:pPr>
        <w:pStyle w:val="87"/>
        <w:rPr>
          <w:rFonts w:ascii="Times New Roman" w:hAnsi="Times New Roman" w:eastAsia="宋体" w:cs="Times New Roman"/>
          <w:color w:val="auto"/>
          <w:highlight w:val="none"/>
        </w:rPr>
      </w:pPr>
      <w:r>
        <w:rPr>
          <w:rFonts w:ascii="Times New Roman" w:hAnsi="Times New Roman" w:eastAsia="宋体" w:cs="Times New Roman"/>
          <w:color w:val="auto"/>
          <w:highlight w:val="none"/>
        </w:rPr>
        <w:t>表1.4-2 地表水环境质量标准一览表（单位：mg/L，pH无量纲）</w:t>
      </w:r>
    </w:p>
    <w:tbl>
      <w:tblPr>
        <w:tblStyle w:val="48"/>
        <w:tblW w:w="909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58"/>
        <w:gridCol w:w="3503"/>
        <w:gridCol w:w="30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blHeader/>
          <w:jc w:val="center"/>
        </w:trPr>
        <w:tc>
          <w:tcPr>
            <w:tcW w:w="2558" w:type="dxa"/>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序号</w:t>
            </w:r>
          </w:p>
        </w:tc>
        <w:tc>
          <w:tcPr>
            <w:tcW w:w="3503" w:type="dxa"/>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项目</w:t>
            </w:r>
          </w:p>
        </w:tc>
        <w:tc>
          <w:tcPr>
            <w:tcW w:w="3032" w:type="dxa"/>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blHeader/>
          <w:jc w:val="center"/>
        </w:trPr>
        <w:tc>
          <w:tcPr>
            <w:tcW w:w="255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1</w:t>
            </w:r>
          </w:p>
        </w:tc>
        <w:tc>
          <w:tcPr>
            <w:tcW w:w="3503"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pH值（无量纲）</w:t>
            </w:r>
          </w:p>
        </w:tc>
        <w:tc>
          <w:tcPr>
            <w:tcW w:w="3032"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blHeader/>
          <w:jc w:val="center"/>
        </w:trPr>
        <w:tc>
          <w:tcPr>
            <w:tcW w:w="255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2</w:t>
            </w:r>
          </w:p>
        </w:tc>
        <w:tc>
          <w:tcPr>
            <w:tcW w:w="3503"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悬浮物（SS</w:t>
            </w:r>
            <w:r>
              <w:rPr>
                <w:rFonts w:ascii="Times New Roman" w:hAnsi="Times New Roman" w:eastAsia="宋体" w:cs="Times New Roman"/>
                <w:b w:val="0"/>
                <w:bCs/>
                <w:color w:val="auto"/>
                <w:szCs w:val="21"/>
                <w:highlight w:val="none"/>
              </w:rPr>
              <w:t>*</w:t>
            </w:r>
            <w:r>
              <w:rPr>
                <w:rFonts w:ascii="Times New Roman" w:hAnsi="Times New Roman" w:eastAsia="宋体" w:cs="Times New Roman"/>
                <w:b w:val="0"/>
                <w:bCs/>
                <w:color w:val="auto"/>
                <w:highlight w:val="none"/>
              </w:rPr>
              <w:t>）</w:t>
            </w:r>
          </w:p>
        </w:tc>
        <w:tc>
          <w:tcPr>
            <w:tcW w:w="3032"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blHeader/>
          <w:jc w:val="center"/>
        </w:trPr>
        <w:tc>
          <w:tcPr>
            <w:tcW w:w="255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3</w:t>
            </w:r>
          </w:p>
        </w:tc>
        <w:tc>
          <w:tcPr>
            <w:tcW w:w="3503"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化学需氧量（COD）</w:t>
            </w:r>
          </w:p>
        </w:tc>
        <w:tc>
          <w:tcPr>
            <w:tcW w:w="3032"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blHeader/>
          <w:jc w:val="center"/>
        </w:trPr>
        <w:tc>
          <w:tcPr>
            <w:tcW w:w="255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4</w:t>
            </w:r>
          </w:p>
        </w:tc>
        <w:tc>
          <w:tcPr>
            <w:tcW w:w="3503"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五日生化需氧量（BOD</w:t>
            </w:r>
            <w:r>
              <w:rPr>
                <w:rFonts w:ascii="Times New Roman" w:hAnsi="Times New Roman" w:eastAsia="宋体" w:cs="Times New Roman"/>
                <w:b w:val="0"/>
                <w:bCs/>
                <w:color w:val="auto"/>
                <w:highlight w:val="none"/>
                <w:vertAlign w:val="subscript"/>
              </w:rPr>
              <w:t>5</w:t>
            </w:r>
            <w:r>
              <w:rPr>
                <w:rFonts w:ascii="Times New Roman" w:hAnsi="Times New Roman" w:eastAsia="宋体" w:cs="Times New Roman"/>
                <w:b w:val="0"/>
                <w:bCs/>
                <w:color w:val="auto"/>
                <w:highlight w:val="none"/>
              </w:rPr>
              <w:t>）</w:t>
            </w:r>
          </w:p>
        </w:tc>
        <w:tc>
          <w:tcPr>
            <w:tcW w:w="3032"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blHeader/>
          <w:jc w:val="center"/>
        </w:trPr>
        <w:tc>
          <w:tcPr>
            <w:tcW w:w="255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5</w:t>
            </w:r>
          </w:p>
        </w:tc>
        <w:tc>
          <w:tcPr>
            <w:tcW w:w="3503"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氨氮（NH</w:t>
            </w:r>
            <w:r>
              <w:rPr>
                <w:rFonts w:ascii="Times New Roman" w:hAnsi="Times New Roman" w:eastAsia="宋体" w:cs="Times New Roman"/>
                <w:b w:val="0"/>
                <w:bCs/>
                <w:color w:val="auto"/>
                <w:highlight w:val="none"/>
                <w:vertAlign w:val="subscript"/>
              </w:rPr>
              <w:t>3</w:t>
            </w:r>
            <w:r>
              <w:rPr>
                <w:rFonts w:ascii="Times New Roman" w:hAnsi="Times New Roman" w:eastAsia="宋体" w:cs="Times New Roman"/>
                <w:b w:val="0"/>
                <w:bCs/>
                <w:color w:val="auto"/>
                <w:highlight w:val="none"/>
              </w:rPr>
              <w:t>-N）</w:t>
            </w:r>
          </w:p>
        </w:tc>
        <w:tc>
          <w:tcPr>
            <w:tcW w:w="3032"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blHeader/>
          <w:jc w:val="center"/>
        </w:trPr>
        <w:tc>
          <w:tcPr>
            <w:tcW w:w="255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6</w:t>
            </w:r>
          </w:p>
        </w:tc>
        <w:tc>
          <w:tcPr>
            <w:tcW w:w="3503"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石油类</w:t>
            </w:r>
          </w:p>
        </w:tc>
        <w:tc>
          <w:tcPr>
            <w:tcW w:w="3032"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blHeader/>
          <w:jc w:val="center"/>
        </w:trPr>
        <w:tc>
          <w:tcPr>
            <w:tcW w:w="255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7</w:t>
            </w:r>
          </w:p>
        </w:tc>
        <w:tc>
          <w:tcPr>
            <w:tcW w:w="3503"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高锰酸</w:t>
            </w:r>
            <w:r>
              <w:rPr>
                <w:rFonts w:hint="eastAsia" w:ascii="Times New Roman" w:hAnsi="Times New Roman" w:eastAsia="宋体" w:cs="Times New Roman"/>
                <w:b w:val="0"/>
                <w:bCs/>
                <w:color w:val="auto"/>
                <w:highlight w:val="none"/>
              </w:rPr>
              <w:t>盐</w:t>
            </w:r>
            <w:r>
              <w:rPr>
                <w:rFonts w:ascii="Times New Roman" w:hAnsi="Times New Roman" w:eastAsia="宋体" w:cs="Times New Roman"/>
                <w:b w:val="0"/>
                <w:bCs/>
                <w:color w:val="auto"/>
                <w:highlight w:val="none"/>
              </w:rPr>
              <w:t>指数</w:t>
            </w:r>
          </w:p>
        </w:tc>
        <w:tc>
          <w:tcPr>
            <w:tcW w:w="3032"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≤6</w:t>
            </w:r>
          </w:p>
        </w:tc>
      </w:tr>
    </w:tbl>
    <w:p>
      <w:pPr>
        <w:spacing w:line="240" w:lineRule="auto"/>
        <w:ind w:firstLine="0" w:firstLineChars="0"/>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注：SS*为参照《地表水资源质量标准》（SL63-94）。</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3、声环境</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声环境执行《声环境质量标准》（GB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3096-2008）2类标准，见表1.4-</w:t>
      </w:r>
      <w:r>
        <w:rPr>
          <w:rFonts w:hint="eastAsia" w:ascii="Times New Roman" w:hAnsi="Times New Roman" w:eastAsia="宋体" w:cs="Times New Roman"/>
          <w:color w:val="auto"/>
          <w:highlight w:val="none"/>
        </w:rPr>
        <w:t>3</w:t>
      </w:r>
      <w:r>
        <w:rPr>
          <w:rFonts w:ascii="Times New Roman" w:hAnsi="Times New Roman" w:eastAsia="宋体" w:cs="Times New Roman"/>
          <w:color w:val="auto"/>
          <w:highlight w:val="none"/>
        </w:rPr>
        <w:t>。</w:t>
      </w:r>
    </w:p>
    <w:p>
      <w:pPr>
        <w:pStyle w:val="87"/>
        <w:rPr>
          <w:rFonts w:ascii="Times New Roman" w:hAnsi="Times New Roman" w:eastAsia="宋体" w:cs="Times New Roman"/>
          <w:color w:val="auto"/>
          <w:highlight w:val="none"/>
        </w:rPr>
      </w:pPr>
      <w:r>
        <w:rPr>
          <w:rFonts w:ascii="Times New Roman" w:hAnsi="Times New Roman" w:eastAsia="宋体" w:cs="Times New Roman"/>
          <w:color w:val="auto"/>
          <w:highlight w:val="none"/>
        </w:rPr>
        <w:t>表1.4-</w:t>
      </w:r>
      <w:r>
        <w:rPr>
          <w:rFonts w:hint="eastAsia" w:ascii="Times New Roman" w:hAnsi="Times New Roman" w:eastAsia="宋体" w:cs="Times New Roman"/>
          <w:color w:val="auto"/>
          <w:highlight w:val="none"/>
        </w:rPr>
        <w:t>3</w:t>
      </w:r>
      <w:r>
        <w:rPr>
          <w:rFonts w:ascii="Times New Roman" w:hAnsi="Times New Roman" w:eastAsia="宋体" w:cs="Times New Roman"/>
          <w:color w:val="auto"/>
          <w:highlight w:val="none"/>
        </w:rPr>
        <w:t xml:space="preserve"> 声环境质量标准</w:t>
      </w:r>
      <w:r>
        <w:rPr>
          <w:rFonts w:ascii="Times New Roman" w:hAnsi="Times New Roman" w:eastAsia="宋体" w:cs="Times New Roman"/>
          <w:color w:val="auto"/>
          <w:spacing w:val="-2"/>
          <w:kern w:val="0"/>
          <w:highlight w:val="none"/>
        </w:rPr>
        <w:t>（摘录）</w:t>
      </w:r>
      <w:r>
        <w:rPr>
          <w:rFonts w:ascii="Times New Roman" w:hAnsi="Times New Roman" w:eastAsia="宋体" w:cs="Times New Roman"/>
          <w:color w:val="auto"/>
          <w:highlight w:val="none"/>
        </w:rPr>
        <w:t>单位：dB(A)</w:t>
      </w:r>
    </w:p>
    <w:tbl>
      <w:tblPr>
        <w:tblStyle w:val="48"/>
        <w:tblW w:w="908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41"/>
        <w:gridCol w:w="3465"/>
        <w:gridCol w:w="30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41" w:type="dxa"/>
            <w:vMerge w:val="restart"/>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类别</w:t>
            </w:r>
          </w:p>
        </w:tc>
        <w:tc>
          <w:tcPr>
            <w:tcW w:w="6547" w:type="dxa"/>
            <w:gridSpan w:val="2"/>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41" w:type="dxa"/>
            <w:vMerge w:val="continue"/>
            <w:noWrap w:val="0"/>
            <w:vAlign w:val="center"/>
          </w:tcPr>
          <w:p>
            <w:pPr>
              <w:pStyle w:val="86"/>
              <w:rPr>
                <w:rFonts w:ascii="Times New Roman" w:hAnsi="Times New Roman" w:eastAsia="宋体" w:cs="Times New Roman"/>
                <w:bCs/>
                <w:color w:val="auto"/>
                <w:highlight w:val="none"/>
              </w:rPr>
            </w:pPr>
          </w:p>
        </w:tc>
        <w:tc>
          <w:tcPr>
            <w:tcW w:w="3465" w:type="dxa"/>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昼间</w:t>
            </w:r>
          </w:p>
        </w:tc>
        <w:tc>
          <w:tcPr>
            <w:tcW w:w="3082" w:type="dxa"/>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4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2类</w:t>
            </w:r>
          </w:p>
        </w:tc>
        <w:tc>
          <w:tcPr>
            <w:tcW w:w="346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60</w:t>
            </w:r>
          </w:p>
        </w:tc>
        <w:tc>
          <w:tcPr>
            <w:tcW w:w="3082"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50</w:t>
            </w:r>
          </w:p>
        </w:tc>
      </w:tr>
    </w:tbl>
    <w:p>
      <w:pPr>
        <w:pStyle w:val="5"/>
        <w:rPr>
          <w:rFonts w:ascii="Times New Roman" w:hAnsi="Times New Roman" w:eastAsia="宋体"/>
          <w:color w:val="auto"/>
          <w:highlight w:val="none"/>
        </w:rPr>
      </w:pPr>
      <w:bookmarkStart w:id="54" w:name="_Toc475546387"/>
      <w:r>
        <w:rPr>
          <w:rFonts w:ascii="Times New Roman" w:hAnsi="Times New Roman" w:eastAsia="宋体"/>
          <w:color w:val="auto"/>
          <w:highlight w:val="none"/>
        </w:rPr>
        <w:t>1.4.2 污染物排放标准</w:t>
      </w:r>
      <w:bookmarkEnd w:id="54"/>
    </w:p>
    <w:p>
      <w:pPr>
        <w:ind w:firstLine="482"/>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1、大气污染物</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szCs w:val="24"/>
          <w:highlight w:val="none"/>
        </w:rPr>
        <w:t>有组织：</w:t>
      </w:r>
      <w:r>
        <w:rPr>
          <w:rFonts w:hint="eastAsia" w:ascii="Times New Roman" w:hAnsi="Times New Roman" w:eastAsia="宋体" w:cs="Times New Roman"/>
          <w:color w:val="auto"/>
          <w:szCs w:val="24"/>
          <w:highlight w:val="none"/>
        </w:rPr>
        <w:t>矿山</w:t>
      </w:r>
      <w:r>
        <w:rPr>
          <w:rFonts w:ascii="Times New Roman" w:hAnsi="Times New Roman" w:eastAsia="宋体" w:cs="Times New Roman"/>
          <w:color w:val="auto"/>
          <w:szCs w:val="24"/>
          <w:highlight w:val="none"/>
        </w:rPr>
        <w:t>破碎筛分生产线颗粒物排放执行</w:t>
      </w:r>
      <w:r>
        <w:rPr>
          <w:rFonts w:ascii="Times New Roman" w:hAnsi="Times New Roman" w:eastAsia="宋体" w:cs="Times New Roman"/>
          <w:color w:val="auto"/>
          <w:highlight w:val="none"/>
        </w:rPr>
        <w:t>《大气污染物综合排放标准》</w:t>
      </w:r>
      <w:r>
        <w:rPr>
          <w:rFonts w:ascii="Times New Roman" w:hAnsi="Times New Roman" w:eastAsia="宋体" w:cs="Times New Roman"/>
          <w:color w:val="auto"/>
          <w:szCs w:val="24"/>
          <w:highlight w:val="none"/>
        </w:rPr>
        <w:t>（GB</w:t>
      </w:r>
      <w:r>
        <w:rPr>
          <w:rFonts w:hint="eastAsia" w:ascii="Times New Roman" w:hAnsi="Times New Roman" w:eastAsia="宋体" w:cs="Times New Roman"/>
          <w:color w:val="auto"/>
          <w:szCs w:val="24"/>
          <w:highlight w:val="none"/>
          <w:lang w:val="en-US" w:eastAsia="zh-CN"/>
        </w:rPr>
        <w:t xml:space="preserve"> </w:t>
      </w:r>
      <w:r>
        <w:rPr>
          <w:rFonts w:ascii="Times New Roman" w:hAnsi="Times New Roman" w:eastAsia="宋体" w:cs="Times New Roman"/>
          <w:color w:val="auto"/>
          <w:szCs w:val="24"/>
          <w:highlight w:val="none"/>
        </w:rPr>
        <w:t>16297-1996）</w:t>
      </w:r>
      <w:r>
        <w:rPr>
          <w:rFonts w:ascii="Times New Roman" w:hAnsi="Times New Roman" w:eastAsia="宋体" w:cs="Times New Roman"/>
          <w:color w:val="auto"/>
          <w:highlight w:val="none"/>
        </w:rPr>
        <w:t>表2中二级限值标准。油烟执行《饮食业油烟排放标准（试行）》（GB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18483-2001）标准。</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无组织：项目无组织排放颗粒物排放执行《大气污染物综合排放标准》（GB</w:t>
      </w:r>
      <w:r>
        <w:rPr>
          <w:rFonts w:hint="eastAsia" w:ascii="Times New Roman" w:hAnsi="Times New Roman" w:eastAsia="宋体" w:cs="Times New Roman"/>
          <w:color w:val="auto"/>
          <w:szCs w:val="24"/>
          <w:highlight w:val="none"/>
          <w:lang w:val="en-US" w:eastAsia="zh-CN"/>
        </w:rPr>
        <w:t xml:space="preserve"> </w:t>
      </w:r>
      <w:r>
        <w:rPr>
          <w:rFonts w:ascii="Times New Roman" w:hAnsi="Times New Roman" w:eastAsia="宋体" w:cs="Times New Roman"/>
          <w:color w:val="auto"/>
          <w:szCs w:val="24"/>
          <w:highlight w:val="none"/>
        </w:rPr>
        <w:t>16297-1996）表2无组织排放</w:t>
      </w:r>
      <w:r>
        <w:rPr>
          <w:rFonts w:ascii="Times New Roman" w:hAnsi="Times New Roman" w:eastAsia="宋体" w:cs="Times New Roman"/>
          <w:color w:val="auto"/>
          <w:highlight w:val="none"/>
        </w:rPr>
        <w:t>监控浓度限值</w:t>
      </w:r>
      <w:r>
        <w:rPr>
          <w:rFonts w:ascii="Times New Roman" w:hAnsi="Times New Roman" w:eastAsia="宋体" w:cs="Times New Roman"/>
          <w:color w:val="auto"/>
          <w:szCs w:val="24"/>
          <w:highlight w:val="none"/>
        </w:rPr>
        <w:t>，详见下表1.4-</w:t>
      </w:r>
      <w:r>
        <w:rPr>
          <w:rFonts w:hint="eastAsia" w:ascii="Times New Roman" w:hAnsi="Times New Roman" w:eastAsia="宋体" w:cs="Times New Roman"/>
          <w:color w:val="auto"/>
          <w:szCs w:val="24"/>
          <w:highlight w:val="none"/>
        </w:rPr>
        <w:t>4</w:t>
      </w:r>
      <w:r>
        <w:rPr>
          <w:rFonts w:ascii="Times New Roman" w:hAnsi="Times New Roman" w:eastAsia="宋体" w:cs="Times New Roman"/>
          <w:color w:val="auto"/>
          <w:szCs w:val="24"/>
          <w:highlight w:val="none"/>
        </w:rPr>
        <w:t>。</w:t>
      </w:r>
    </w:p>
    <w:p>
      <w:pPr>
        <w:adjustRightInd w:val="0"/>
        <w:snapToGrid w:val="0"/>
        <w:spacing w:line="240" w:lineRule="auto"/>
        <w:ind w:firstLine="0" w:firstLineChars="0"/>
        <w:jc w:val="center"/>
        <w:rPr>
          <w:rFonts w:ascii="Times New Roman" w:hAnsi="Times New Roman" w:eastAsia="宋体" w:cs="Times New Roman"/>
          <w:b/>
          <w:color w:val="auto"/>
          <w:szCs w:val="20"/>
          <w:highlight w:val="none"/>
        </w:rPr>
      </w:pPr>
    </w:p>
    <w:p>
      <w:pPr>
        <w:adjustRightInd w:val="0"/>
        <w:snapToGrid w:val="0"/>
        <w:spacing w:line="240" w:lineRule="auto"/>
        <w:ind w:firstLine="0" w:firstLineChars="0"/>
        <w:jc w:val="center"/>
        <w:rPr>
          <w:rFonts w:ascii="Times New Roman" w:hAnsi="Times New Roman" w:eastAsia="宋体" w:cs="Times New Roman"/>
          <w:b/>
          <w:color w:val="auto"/>
          <w:szCs w:val="20"/>
          <w:highlight w:val="none"/>
        </w:rPr>
      </w:pPr>
    </w:p>
    <w:p>
      <w:pPr>
        <w:adjustRightInd w:val="0"/>
        <w:snapToGrid w:val="0"/>
        <w:spacing w:line="240" w:lineRule="auto"/>
        <w:ind w:firstLine="0" w:firstLineChars="0"/>
        <w:jc w:val="center"/>
        <w:rPr>
          <w:rFonts w:ascii="Times New Roman" w:hAnsi="Times New Roman" w:eastAsia="宋体" w:cs="Times New Roman"/>
          <w:b/>
          <w:color w:val="auto"/>
          <w:szCs w:val="20"/>
          <w:highlight w:val="none"/>
        </w:rPr>
      </w:pPr>
    </w:p>
    <w:p>
      <w:pPr>
        <w:adjustRightInd w:val="0"/>
        <w:snapToGrid w:val="0"/>
        <w:spacing w:line="240" w:lineRule="auto"/>
        <w:ind w:firstLine="0" w:firstLineChars="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表1.4-</w:t>
      </w:r>
      <w:r>
        <w:rPr>
          <w:rFonts w:hint="eastAsia" w:ascii="Times New Roman" w:hAnsi="Times New Roman" w:eastAsia="宋体" w:cs="Times New Roman"/>
          <w:b/>
          <w:color w:val="auto"/>
          <w:szCs w:val="20"/>
          <w:highlight w:val="none"/>
        </w:rPr>
        <w:t>4</w:t>
      </w:r>
      <w:r>
        <w:rPr>
          <w:rFonts w:ascii="Times New Roman" w:hAnsi="Times New Roman" w:eastAsia="宋体" w:cs="Times New Roman"/>
          <w:b/>
          <w:color w:val="auto"/>
          <w:szCs w:val="20"/>
          <w:highlight w:val="none"/>
        </w:rPr>
        <w:t xml:space="preserve">  大气污染物排放标准限值一览表</w:t>
      </w:r>
    </w:p>
    <w:tbl>
      <w:tblPr>
        <w:tblStyle w:val="48"/>
        <w:tblW w:w="909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1280"/>
        <w:gridCol w:w="1135"/>
        <w:gridCol w:w="1728"/>
        <w:gridCol w:w="1491"/>
        <w:gridCol w:w="20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64" w:type="dxa"/>
            <w:vMerge w:val="restart"/>
            <w:noWrap w:val="0"/>
            <w:vAlign w:val="center"/>
          </w:tcPr>
          <w:p>
            <w:pPr>
              <w:autoSpaceDE w:val="0"/>
              <w:autoSpaceDN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污染源</w:t>
            </w:r>
          </w:p>
        </w:tc>
        <w:tc>
          <w:tcPr>
            <w:tcW w:w="1280" w:type="dxa"/>
            <w:vMerge w:val="restart"/>
            <w:noWrap w:val="0"/>
            <w:vAlign w:val="center"/>
          </w:tcPr>
          <w:p>
            <w:pPr>
              <w:autoSpaceDE w:val="0"/>
              <w:autoSpaceDN w:val="0"/>
              <w:snapToGrid w:val="0"/>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污染物</w:t>
            </w:r>
          </w:p>
        </w:tc>
        <w:tc>
          <w:tcPr>
            <w:tcW w:w="1135" w:type="dxa"/>
            <w:vMerge w:val="restart"/>
            <w:noWrap w:val="0"/>
            <w:vAlign w:val="center"/>
          </w:tcPr>
          <w:p>
            <w:pPr>
              <w:autoSpaceDE w:val="0"/>
              <w:autoSpaceDN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kern w:val="0"/>
                <w:sz w:val="21"/>
                <w:highlight w:val="none"/>
              </w:rPr>
              <w:t>排气筒高度（m）</w:t>
            </w:r>
          </w:p>
        </w:tc>
        <w:tc>
          <w:tcPr>
            <w:tcW w:w="3219" w:type="dxa"/>
            <w:gridSpan w:val="2"/>
            <w:noWrap w:val="0"/>
            <w:vAlign w:val="center"/>
          </w:tcPr>
          <w:p>
            <w:pPr>
              <w:autoSpaceDE w:val="0"/>
              <w:autoSpaceDN w:val="0"/>
              <w:snapToGrid w:val="0"/>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标准限值</w:t>
            </w:r>
          </w:p>
        </w:tc>
        <w:tc>
          <w:tcPr>
            <w:tcW w:w="2095" w:type="dxa"/>
            <w:vMerge w:val="restart"/>
            <w:noWrap w:val="0"/>
            <w:vAlign w:val="center"/>
          </w:tcPr>
          <w:p>
            <w:pPr>
              <w:autoSpaceDE w:val="0"/>
              <w:autoSpaceDN w:val="0"/>
              <w:snapToGrid w:val="0"/>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64" w:type="dxa"/>
            <w:vMerge w:val="continue"/>
            <w:noWrap w:val="0"/>
            <w:vAlign w:val="center"/>
          </w:tcPr>
          <w:p>
            <w:pPr>
              <w:autoSpaceDE w:val="0"/>
              <w:autoSpaceDN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80" w:type="dxa"/>
            <w:vMerge w:val="continue"/>
            <w:noWrap w:val="0"/>
            <w:vAlign w:val="center"/>
          </w:tcPr>
          <w:p>
            <w:pPr>
              <w:autoSpaceDE w:val="0"/>
              <w:autoSpaceDN w:val="0"/>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1135" w:type="dxa"/>
            <w:vMerge w:val="continue"/>
            <w:noWrap w:val="0"/>
            <w:vAlign w:val="center"/>
          </w:tcPr>
          <w:p>
            <w:pPr>
              <w:autoSpaceDE w:val="0"/>
              <w:autoSpaceDN w:val="0"/>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1728" w:type="dxa"/>
            <w:noWrap w:val="0"/>
            <w:vAlign w:val="center"/>
          </w:tcPr>
          <w:p>
            <w:pPr>
              <w:autoSpaceDE w:val="0"/>
              <w:autoSpaceDN w:val="0"/>
              <w:snapToGrid w:val="0"/>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最高允许排放浓度(mg/m</w:t>
            </w:r>
            <w:r>
              <w:rPr>
                <w:rFonts w:ascii="Times New Roman" w:hAnsi="Times New Roman" w:eastAsia="宋体" w:cs="Times New Roman"/>
                <w:b/>
                <w:bCs/>
                <w:color w:val="auto"/>
                <w:kern w:val="0"/>
                <w:sz w:val="21"/>
                <w:highlight w:val="none"/>
                <w:vertAlign w:val="superscript"/>
              </w:rPr>
              <w:t>3</w:t>
            </w:r>
            <w:r>
              <w:rPr>
                <w:rFonts w:ascii="Times New Roman" w:hAnsi="Times New Roman" w:eastAsia="宋体" w:cs="Times New Roman"/>
                <w:b/>
                <w:bCs/>
                <w:color w:val="auto"/>
                <w:kern w:val="0"/>
                <w:sz w:val="21"/>
                <w:highlight w:val="none"/>
              </w:rPr>
              <w:t xml:space="preserve">) </w:t>
            </w:r>
          </w:p>
        </w:tc>
        <w:tc>
          <w:tcPr>
            <w:tcW w:w="1491" w:type="dxa"/>
            <w:noWrap w:val="0"/>
            <w:vAlign w:val="center"/>
          </w:tcPr>
          <w:p>
            <w:pPr>
              <w:autoSpaceDE w:val="0"/>
              <w:autoSpaceDN w:val="0"/>
              <w:snapToGrid w:val="0"/>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最高允许排放速率(kg/h)</w:t>
            </w:r>
          </w:p>
        </w:tc>
        <w:tc>
          <w:tcPr>
            <w:tcW w:w="2095" w:type="dxa"/>
            <w:vMerge w:val="continue"/>
            <w:noWrap w:val="0"/>
            <w:vAlign w:val="center"/>
          </w:tcPr>
          <w:p>
            <w:pPr>
              <w:autoSpaceDE w:val="0"/>
              <w:autoSpaceDN w:val="0"/>
              <w:snapToGrid w:val="0"/>
              <w:spacing w:line="240" w:lineRule="auto"/>
              <w:ind w:firstLine="0" w:firstLineChars="0"/>
              <w:jc w:val="center"/>
              <w:rPr>
                <w:rFonts w:ascii="Times New Roman" w:hAnsi="Times New Roman" w:eastAsia="宋体" w:cs="Times New Roman"/>
                <w:b/>
                <w:color w:val="auto"/>
                <w:kern w:val="0"/>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64" w:type="dxa"/>
            <w:noWrap w:val="0"/>
            <w:vAlign w:val="center"/>
          </w:tcPr>
          <w:p>
            <w:pPr>
              <w:autoSpaceDE w:val="0"/>
              <w:autoSpaceDN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破碎筛分</w:t>
            </w:r>
          </w:p>
        </w:tc>
        <w:tc>
          <w:tcPr>
            <w:tcW w:w="128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135" w:type="dxa"/>
            <w:noWrap w:val="0"/>
            <w:vAlign w:val="center"/>
          </w:tcPr>
          <w:p>
            <w:pPr>
              <w:autoSpaceDE w:val="0"/>
              <w:autoSpaceDN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15</w:t>
            </w:r>
          </w:p>
        </w:tc>
        <w:tc>
          <w:tcPr>
            <w:tcW w:w="172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120</w:t>
            </w:r>
          </w:p>
        </w:tc>
        <w:tc>
          <w:tcPr>
            <w:tcW w:w="1491" w:type="dxa"/>
            <w:noWrap w:val="0"/>
            <w:vAlign w:val="center"/>
          </w:tcPr>
          <w:p>
            <w:pPr>
              <w:autoSpaceDE w:val="0"/>
              <w:autoSpaceDN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3.5</w:t>
            </w:r>
          </w:p>
        </w:tc>
        <w:tc>
          <w:tcPr>
            <w:tcW w:w="2095" w:type="dxa"/>
            <w:noWrap w:val="0"/>
            <w:vAlign w:val="center"/>
          </w:tcPr>
          <w:p>
            <w:pPr>
              <w:autoSpaceDE w:val="0"/>
              <w:autoSpaceDN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GB</w:t>
            </w:r>
            <w:r>
              <w:rPr>
                <w:rFonts w:hint="eastAsia" w:ascii="Times New Roman" w:hAnsi="Times New Roman" w:eastAsia="宋体" w:cs="Times New Roman"/>
                <w:color w:val="auto"/>
                <w:kern w:val="0"/>
                <w:sz w:val="21"/>
                <w:highlight w:val="none"/>
                <w:lang w:val="en-US" w:eastAsia="zh-CN"/>
              </w:rPr>
              <w:t xml:space="preserve"> </w:t>
            </w:r>
            <w:r>
              <w:rPr>
                <w:rFonts w:ascii="Times New Roman" w:hAnsi="Times New Roman" w:eastAsia="宋体" w:cs="Times New Roman"/>
                <w:color w:val="auto"/>
                <w:kern w:val="0"/>
                <w:sz w:val="21"/>
                <w:highlight w:val="none"/>
              </w:rPr>
              <w:t>16297-1996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64"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厨房</w:t>
            </w:r>
          </w:p>
        </w:tc>
        <w:tc>
          <w:tcPr>
            <w:tcW w:w="128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油烟</w:t>
            </w:r>
          </w:p>
        </w:tc>
        <w:tc>
          <w:tcPr>
            <w:tcW w:w="4354" w:type="dxa"/>
            <w:gridSpan w:val="3"/>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油烟排放口≤2.0</w:t>
            </w:r>
            <w:r>
              <w:rPr>
                <w:rFonts w:ascii="Times New Roman" w:hAnsi="Times New Roman" w:eastAsia="宋体" w:cs="Times New Roman"/>
                <w:color w:val="auto"/>
                <w:kern w:val="0"/>
                <w:sz w:val="21"/>
                <w:highlight w:val="none"/>
              </w:rPr>
              <w:t>mg/m</w:t>
            </w:r>
            <w:r>
              <w:rPr>
                <w:rFonts w:ascii="Times New Roman" w:hAnsi="Times New Roman" w:eastAsia="宋体" w:cs="Times New Roman"/>
                <w:color w:val="auto"/>
                <w:kern w:val="0"/>
                <w:sz w:val="21"/>
                <w:highlight w:val="none"/>
                <w:vertAlign w:val="superscript"/>
              </w:rPr>
              <w:t>3</w:t>
            </w:r>
            <w:r>
              <w:rPr>
                <w:rFonts w:ascii="Times New Roman" w:hAnsi="Times New Roman" w:eastAsia="宋体" w:cs="Times New Roman"/>
                <w:color w:val="auto"/>
                <w:kern w:val="0"/>
                <w:sz w:val="21"/>
                <w:highlight w:val="none"/>
              </w:rPr>
              <w:t>，最低去除效率60%</w:t>
            </w:r>
          </w:p>
        </w:tc>
        <w:tc>
          <w:tcPr>
            <w:tcW w:w="2095"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GB</w:t>
            </w:r>
            <w:r>
              <w:rPr>
                <w:rFonts w:hint="eastAsia" w:ascii="Times New Roman" w:hAnsi="Times New Roman" w:eastAsia="宋体" w:cs="Times New Roman"/>
                <w:color w:val="auto"/>
                <w:sz w:val="21"/>
                <w:highlight w:val="none"/>
                <w:lang w:val="en-US" w:eastAsia="zh-CN"/>
              </w:rPr>
              <w:t xml:space="preserve"> </w:t>
            </w:r>
            <w:r>
              <w:rPr>
                <w:rFonts w:ascii="Times New Roman" w:hAnsi="Times New Roman" w:eastAsia="宋体" w:cs="Times New Roman"/>
                <w:color w:val="auto"/>
                <w:sz w:val="21"/>
                <w:highlight w:val="none"/>
              </w:rPr>
              <w:t>18483-2001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64"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无组织</w:t>
            </w:r>
          </w:p>
        </w:tc>
        <w:tc>
          <w:tcPr>
            <w:tcW w:w="128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4354" w:type="dxa"/>
            <w:gridSpan w:val="3"/>
            <w:noWrap w:val="0"/>
            <w:vAlign w:val="center"/>
          </w:tcPr>
          <w:p>
            <w:pPr>
              <w:autoSpaceDE w:val="0"/>
              <w:autoSpaceDN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周界外浓度最高点≤</w:t>
            </w:r>
            <w:r>
              <w:rPr>
                <w:rFonts w:ascii="Times New Roman" w:hAnsi="Times New Roman" w:eastAsia="宋体" w:cs="Times New Roman"/>
                <w:color w:val="auto"/>
                <w:kern w:val="0"/>
                <w:sz w:val="21"/>
                <w:highlight w:val="none"/>
              </w:rPr>
              <w:t>1.0mg/m</w:t>
            </w:r>
            <w:r>
              <w:rPr>
                <w:rFonts w:ascii="Times New Roman" w:hAnsi="Times New Roman" w:eastAsia="宋体" w:cs="Times New Roman"/>
                <w:color w:val="auto"/>
                <w:kern w:val="0"/>
                <w:sz w:val="21"/>
                <w:highlight w:val="none"/>
                <w:vertAlign w:val="superscript"/>
              </w:rPr>
              <w:t>3</w:t>
            </w:r>
          </w:p>
        </w:tc>
        <w:tc>
          <w:tcPr>
            <w:tcW w:w="2095"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GB</w:t>
            </w:r>
            <w:r>
              <w:rPr>
                <w:rFonts w:hint="eastAsia" w:ascii="Times New Roman" w:hAnsi="Times New Roman" w:eastAsia="宋体" w:cs="Times New Roman"/>
                <w:color w:val="auto"/>
                <w:kern w:val="0"/>
                <w:sz w:val="21"/>
                <w:highlight w:val="none"/>
                <w:lang w:val="en-US" w:eastAsia="zh-CN"/>
              </w:rPr>
              <w:t xml:space="preserve"> </w:t>
            </w:r>
            <w:r>
              <w:rPr>
                <w:rFonts w:ascii="Times New Roman" w:hAnsi="Times New Roman" w:eastAsia="宋体" w:cs="Times New Roman"/>
                <w:color w:val="auto"/>
                <w:kern w:val="0"/>
                <w:sz w:val="21"/>
                <w:highlight w:val="none"/>
              </w:rPr>
              <w:t>16297-1996</w:t>
            </w:r>
          </w:p>
        </w:tc>
      </w:tr>
    </w:tbl>
    <w:p>
      <w:pPr>
        <w:ind w:firstLine="441" w:firstLineChars="183"/>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2、废水</w:t>
      </w:r>
    </w:p>
    <w:p>
      <w:pPr>
        <w:ind w:firstLine="480"/>
        <w:rPr>
          <w:rFonts w:ascii="Times New Roman" w:hAnsi="Times New Roman" w:eastAsia="宋体" w:cs="Times New Roman"/>
          <w:color w:val="auto"/>
          <w:sz w:val="21"/>
          <w:szCs w:val="28"/>
          <w:highlight w:val="none"/>
        </w:rPr>
      </w:pPr>
      <w:r>
        <w:rPr>
          <w:rFonts w:ascii="Times New Roman" w:hAnsi="Times New Roman" w:eastAsia="宋体" w:cs="Times New Roman"/>
          <w:bCs/>
          <w:color w:val="auto"/>
          <w:highlight w:val="none"/>
        </w:rPr>
        <w:t>项目运行期间没有生产废水外排；初期雨水经收集沉淀后回用；</w:t>
      </w:r>
      <w:r>
        <w:rPr>
          <w:rFonts w:hint="eastAsia" w:ascii="Times New Roman" w:hAnsi="Times New Roman" w:eastAsia="宋体" w:cs="Times New Roman"/>
          <w:bCs/>
          <w:color w:val="auto"/>
          <w:highlight w:val="none"/>
        </w:rPr>
        <w:t>车辆清洗废水和洗砂废水循环使用；</w:t>
      </w:r>
      <w:r>
        <w:rPr>
          <w:rFonts w:ascii="Times New Roman" w:hAnsi="Times New Roman" w:eastAsia="宋体" w:cs="Times New Roman"/>
          <w:bCs/>
          <w:color w:val="auto"/>
          <w:highlight w:val="none"/>
        </w:rPr>
        <w:t>项目</w:t>
      </w:r>
      <w:r>
        <w:rPr>
          <w:rFonts w:ascii="Times New Roman" w:hAnsi="Times New Roman" w:eastAsia="宋体" w:cs="Times New Roman"/>
          <w:color w:val="auto"/>
          <w:szCs w:val="24"/>
          <w:highlight w:val="none"/>
        </w:rPr>
        <w:t>隔油后的厨房废水与</w:t>
      </w:r>
      <w:r>
        <w:rPr>
          <w:rFonts w:ascii="Times New Roman" w:hAnsi="Times New Roman" w:eastAsia="宋体" w:cs="Times New Roman"/>
          <w:bCs/>
          <w:color w:val="auto"/>
          <w:highlight w:val="none"/>
        </w:rPr>
        <w:t>生活污水经化粪池处理后用于周边旱地施肥，不外排</w:t>
      </w:r>
      <w:r>
        <w:rPr>
          <w:rFonts w:ascii="Times New Roman" w:hAnsi="Times New Roman" w:eastAsia="宋体" w:cs="Times New Roman"/>
          <w:color w:val="auto"/>
          <w:szCs w:val="24"/>
          <w:highlight w:val="none"/>
        </w:rPr>
        <w:t>。</w:t>
      </w:r>
    </w:p>
    <w:p>
      <w:pPr>
        <w:ind w:firstLine="482"/>
        <w:rPr>
          <w:rFonts w:ascii="Times New Roman" w:hAnsi="Times New Roman" w:eastAsia="宋体" w:cs="Times New Roman"/>
          <w:b/>
          <w:color w:val="auto"/>
          <w:kern w:val="0"/>
          <w:szCs w:val="24"/>
          <w:highlight w:val="none"/>
        </w:rPr>
      </w:pPr>
      <w:r>
        <w:rPr>
          <w:rFonts w:ascii="Times New Roman" w:hAnsi="Times New Roman" w:eastAsia="宋体" w:cs="Times New Roman"/>
          <w:b/>
          <w:color w:val="auto"/>
          <w:kern w:val="0"/>
          <w:szCs w:val="24"/>
          <w:highlight w:val="none"/>
        </w:rPr>
        <w:t>3、噪声</w:t>
      </w:r>
    </w:p>
    <w:p>
      <w:pPr>
        <w:tabs>
          <w:tab w:val="left" w:pos="624"/>
        </w:tabs>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highlight w:val="none"/>
        </w:rPr>
        <w:t>项目施工期噪声执行</w:t>
      </w:r>
      <w:r>
        <w:rPr>
          <w:rFonts w:ascii="Times New Roman" w:hAnsi="Times New Roman" w:eastAsia="宋体" w:cs="Times New Roman"/>
          <w:color w:val="auto"/>
          <w:szCs w:val="20"/>
          <w:highlight w:val="none"/>
        </w:rPr>
        <w:t>《建筑施工场界环境噪声排放标准》(GB</w:t>
      </w:r>
      <w:r>
        <w:rPr>
          <w:rFonts w:hint="eastAsia" w:ascii="Times New Roman" w:hAnsi="Times New Roman" w:eastAsia="宋体" w:cs="Times New Roman"/>
          <w:color w:val="auto"/>
          <w:szCs w:val="20"/>
          <w:highlight w:val="none"/>
          <w:lang w:val="en-US" w:eastAsia="zh-CN"/>
        </w:rPr>
        <w:t xml:space="preserve"> </w:t>
      </w:r>
      <w:r>
        <w:rPr>
          <w:rFonts w:ascii="Times New Roman" w:hAnsi="Times New Roman" w:eastAsia="宋体" w:cs="Times New Roman"/>
          <w:color w:val="auto"/>
          <w:szCs w:val="20"/>
          <w:highlight w:val="none"/>
        </w:rPr>
        <w:t>12523-2011)噪声限值，</w:t>
      </w:r>
      <w:r>
        <w:rPr>
          <w:rFonts w:ascii="Times New Roman" w:hAnsi="Times New Roman" w:eastAsia="宋体" w:cs="Times New Roman"/>
          <w:color w:val="auto"/>
          <w:highlight w:val="none"/>
        </w:rPr>
        <w:t>运营期噪声执行《工业企业厂界环境噪声排放标准》（GB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12348-2008）中2类区标准，</w:t>
      </w:r>
      <w:r>
        <w:rPr>
          <w:rFonts w:ascii="Times New Roman" w:hAnsi="Times New Roman" w:eastAsia="宋体" w:cs="Times New Roman"/>
          <w:color w:val="auto"/>
          <w:szCs w:val="20"/>
          <w:highlight w:val="none"/>
        </w:rPr>
        <w:t>具体见表1.4-</w:t>
      </w:r>
      <w:r>
        <w:rPr>
          <w:rFonts w:hint="eastAsia" w:ascii="Times New Roman" w:hAnsi="Times New Roman" w:eastAsia="宋体" w:cs="Times New Roman"/>
          <w:color w:val="auto"/>
          <w:szCs w:val="20"/>
          <w:highlight w:val="none"/>
        </w:rPr>
        <w:t>5</w:t>
      </w:r>
      <w:r>
        <w:rPr>
          <w:rFonts w:ascii="Times New Roman" w:hAnsi="Times New Roman" w:eastAsia="宋体" w:cs="Times New Roman"/>
          <w:color w:val="auto"/>
          <w:szCs w:val="20"/>
          <w:highlight w:val="none"/>
        </w:rPr>
        <w:t>、表1.4-</w:t>
      </w:r>
      <w:r>
        <w:rPr>
          <w:rFonts w:hint="eastAsia" w:ascii="Times New Roman" w:hAnsi="Times New Roman" w:eastAsia="宋体" w:cs="Times New Roman"/>
          <w:color w:val="auto"/>
          <w:szCs w:val="20"/>
          <w:highlight w:val="none"/>
        </w:rPr>
        <w:t>6</w:t>
      </w:r>
      <w:r>
        <w:rPr>
          <w:rFonts w:ascii="Times New Roman" w:hAnsi="Times New Roman" w:eastAsia="宋体" w:cs="Times New Roman"/>
          <w:color w:val="auto"/>
          <w:szCs w:val="20"/>
          <w:highlight w:val="none"/>
        </w:rPr>
        <w:t>所示。</w:t>
      </w:r>
    </w:p>
    <w:p>
      <w:pPr>
        <w:adjustRightInd w:val="0"/>
        <w:snapToGrid w:val="0"/>
        <w:spacing w:line="240" w:lineRule="auto"/>
        <w:ind w:firstLine="0" w:firstLineChars="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表1.4-</w:t>
      </w:r>
      <w:r>
        <w:rPr>
          <w:rFonts w:hint="eastAsia" w:ascii="Times New Roman" w:hAnsi="Times New Roman" w:eastAsia="宋体" w:cs="Times New Roman"/>
          <w:b/>
          <w:color w:val="auto"/>
          <w:szCs w:val="20"/>
          <w:highlight w:val="none"/>
        </w:rPr>
        <w:t>5</w:t>
      </w:r>
      <w:r>
        <w:rPr>
          <w:rFonts w:ascii="Times New Roman" w:hAnsi="Times New Roman" w:eastAsia="宋体" w:cs="Times New Roman"/>
          <w:b/>
          <w:color w:val="auto"/>
          <w:szCs w:val="20"/>
          <w:highlight w:val="none"/>
        </w:rPr>
        <w:t xml:space="preserve"> 施工场界环境噪声排放标准</w:t>
      </w:r>
    </w:p>
    <w:tbl>
      <w:tblPr>
        <w:tblStyle w:val="48"/>
        <w:tblW w:w="909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758"/>
        <w:gridCol w:w="1435"/>
        <w:gridCol w:w="1335"/>
        <w:gridCol w:w="38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4"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序号</w:t>
            </w:r>
          </w:p>
        </w:tc>
        <w:tc>
          <w:tcPr>
            <w:tcW w:w="1758"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厂（场）界噪声</w:t>
            </w:r>
          </w:p>
        </w:tc>
        <w:tc>
          <w:tcPr>
            <w:tcW w:w="1435"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标准限值</w:t>
            </w:r>
          </w:p>
        </w:tc>
        <w:tc>
          <w:tcPr>
            <w:tcW w:w="1335"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单位</w:t>
            </w:r>
          </w:p>
        </w:tc>
        <w:tc>
          <w:tcPr>
            <w:tcW w:w="3831"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标准名称及级（类）别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4"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1</w:t>
            </w:r>
          </w:p>
        </w:tc>
        <w:tc>
          <w:tcPr>
            <w:tcW w:w="1758"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昼间</w:t>
            </w:r>
          </w:p>
        </w:tc>
        <w:tc>
          <w:tcPr>
            <w:tcW w:w="1435"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70</w:t>
            </w:r>
          </w:p>
        </w:tc>
        <w:tc>
          <w:tcPr>
            <w:tcW w:w="1335" w:type="dxa"/>
            <w:vMerge w:val="restart"/>
            <w:noWrap w:val="0"/>
            <w:vAlign w:val="center"/>
          </w:tcPr>
          <w:p>
            <w:pPr>
              <w:tabs>
                <w:tab w:val="left" w:pos="624"/>
              </w:tabs>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dB(A)</w:t>
            </w:r>
          </w:p>
        </w:tc>
        <w:tc>
          <w:tcPr>
            <w:tcW w:w="3831" w:type="dxa"/>
            <w:vMerge w:val="restart"/>
            <w:noWrap w:val="0"/>
            <w:vAlign w:val="center"/>
          </w:tcPr>
          <w:p>
            <w:pPr>
              <w:tabs>
                <w:tab w:val="left" w:pos="624"/>
              </w:tabs>
              <w:snapToGrid w:val="0"/>
              <w:spacing w:line="240" w:lineRule="auto"/>
              <w:ind w:firstLine="0" w:firstLineChars="0"/>
              <w:jc w:val="left"/>
              <w:rPr>
                <w:rFonts w:ascii="Times New Roman" w:hAnsi="Times New Roman" w:eastAsia="宋体" w:cs="Times New Roman"/>
                <w:bCs/>
                <w:color w:val="auto"/>
                <w:sz w:val="21"/>
                <w:highlight w:val="none"/>
              </w:rPr>
            </w:pPr>
            <w:r>
              <w:rPr>
                <w:rFonts w:ascii="Times New Roman" w:hAnsi="Times New Roman" w:eastAsia="宋体" w:cs="Times New Roman"/>
                <w:color w:val="auto"/>
                <w:sz w:val="21"/>
                <w:highlight w:val="none"/>
              </w:rPr>
              <w:t>《建筑施工场界环境噪声排放标准》(GB</w:t>
            </w:r>
            <w:r>
              <w:rPr>
                <w:rFonts w:hint="eastAsia" w:ascii="Times New Roman" w:hAnsi="Times New Roman" w:eastAsia="宋体" w:cs="Times New Roman"/>
                <w:color w:val="auto"/>
                <w:sz w:val="21"/>
                <w:highlight w:val="none"/>
                <w:lang w:val="en-US" w:eastAsia="zh-CN"/>
              </w:rPr>
              <w:t xml:space="preserve"> </w:t>
            </w:r>
            <w:r>
              <w:rPr>
                <w:rFonts w:ascii="Times New Roman" w:hAnsi="Times New Roman" w:eastAsia="宋体" w:cs="Times New Roman"/>
                <w:color w:val="auto"/>
                <w:sz w:val="21"/>
                <w:highlight w:val="none"/>
              </w:rPr>
              <w:t>12523-2011)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4"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2</w:t>
            </w:r>
          </w:p>
        </w:tc>
        <w:tc>
          <w:tcPr>
            <w:tcW w:w="1758"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夜间</w:t>
            </w:r>
          </w:p>
        </w:tc>
        <w:tc>
          <w:tcPr>
            <w:tcW w:w="1435"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55</w:t>
            </w:r>
          </w:p>
        </w:tc>
        <w:tc>
          <w:tcPr>
            <w:tcW w:w="1335" w:type="dxa"/>
            <w:vMerge w:val="continue"/>
            <w:noWrap w:val="0"/>
            <w:vAlign w:val="center"/>
          </w:tcPr>
          <w:p>
            <w:pPr>
              <w:tabs>
                <w:tab w:val="left" w:pos="624"/>
              </w:tabs>
              <w:snapToGrid w:val="0"/>
              <w:spacing w:line="240" w:lineRule="auto"/>
              <w:ind w:firstLine="0" w:firstLineChars="0"/>
              <w:jc w:val="center"/>
              <w:rPr>
                <w:rFonts w:ascii="Times New Roman" w:hAnsi="Times New Roman" w:eastAsia="宋体" w:cs="Times New Roman"/>
                <w:bCs/>
                <w:color w:val="auto"/>
                <w:sz w:val="21"/>
                <w:highlight w:val="none"/>
              </w:rPr>
            </w:pPr>
          </w:p>
        </w:tc>
        <w:tc>
          <w:tcPr>
            <w:tcW w:w="3831" w:type="dxa"/>
            <w:vMerge w:val="continue"/>
            <w:noWrap w:val="0"/>
            <w:vAlign w:val="center"/>
          </w:tcPr>
          <w:p>
            <w:pPr>
              <w:tabs>
                <w:tab w:val="left" w:pos="624"/>
              </w:tabs>
              <w:snapToGrid w:val="0"/>
              <w:spacing w:line="240" w:lineRule="auto"/>
              <w:ind w:firstLine="0" w:firstLineChars="0"/>
              <w:jc w:val="center"/>
              <w:rPr>
                <w:rFonts w:ascii="Times New Roman" w:hAnsi="Times New Roman" w:eastAsia="宋体" w:cs="Times New Roman"/>
                <w:bCs/>
                <w:color w:val="auto"/>
                <w:sz w:val="21"/>
                <w:highlight w:val="none"/>
              </w:rPr>
            </w:pPr>
          </w:p>
        </w:tc>
      </w:tr>
    </w:tbl>
    <w:p>
      <w:pPr>
        <w:adjustRightInd w:val="0"/>
        <w:snapToGrid w:val="0"/>
        <w:spacing w:line="240" w:lineRule="auto"/>
        <w:ind w:firstLine="0" w:firstLineChars="0"/>
        <w:jc w:val="center"/>
        <w:rPr>
          <w:rFonts w:ascii="Times New Roman" w:hAnsi="Times New Roman" w:eastAsia="宋体" w:cs="Times New Roman"/>
          <w:b/>
          <w:color w:val="auto"/>
          <w:szCs w:val="20"/>
          <w:highlight w:val="none"/>
        </w:rPr>
      </w:pPr>
    </w:p>
    <w:p>
      <w:pPr>
        <w:adjustRightInd w:val="0"/>
        <w:snapToGrid w:val="0"/>
        <w:spacing w:line="240" w:lineRule="auto"/>
        <w:ind w:firstLine="0" w:firstLineChars="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表1.4-</w:t>
      </w:r>
      <w:r>
        <w:rPr>
          <w:rFonts w:hint="eastAsia" w:ascii="Times New Roman" w:hAnsi="Times New Roman" w:eastAsia="宋体" w:cs="Times New Roman"/>
          <w:b/>
          <w:color w:val="auto"/>
          <w:szCs w:val="20"/>
          <w:highlight w:val="none"/>
        </w:rPr>
        <w:t>6</w:t>
      </w:r>
      <w:r>
        <w:rPr>
          <w:rFonts w:ascii="Times New Roman" w:hAnsi="Times New Roman" w:eastAsia="宋体" w:cs="Times New Roman"/>
          <w:b/>
          <w:color w:val="auto"/>
          <w:szCs w:val="20"/>
          <w:highlight w:val="none"/>
        </w:rPr>
        <w:t xml:space="preserve"> 工业企业厂界环境噪声排放标准</w:t>
      </w:r>
    </w:p>
    <w:tbl>
      <w:tblPr>
        <w:tblStyle w:val="48"/>
        <w:tblW w:w="909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758"/>
        <w:gridCol w:w="1465"/>
        <w:gridCol w:w="1290"/>
        <w:gridCol w:w="38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4"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序号</w:t>
            </w:r>
          </w:p>
        </w:tc>
        <w:tc>
          <w:tcPr>
            <w:tcW w:w="1758"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厂（场）界噪声</w:t>
            </w:r>
          </w:p>
        </w:tc>
        <w:tc>
          <w:tcPr>
            <w:tcW w:w="1465"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标准限值</w:t>
            </w:r>
          </w:p>
        </w:tc>
        <w:tc>
          <w:tcPr>
            <w:tcW w:w="1290"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单位</w:t>
            </w:r>
          </w:p>
        </w:tc>
        <w:tc>
          <w:tcPr>
            <w:tcW w:w="3846"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标准名称及级（类）别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4"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1</w:t>
            </w:r>
          </w:p>
        </w:tc>
        <w:tc>
          <w:tcPr>
            <w:tcW w:w="1758"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昼间</w:t>
            </w:r>
          </w:p>
        </w:tc>
        <w:tc>
          <w:tcPr>
            <w:tcW w:w="1465"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60</w:t>
            </w:r>
          </w:p>
        </w:tc>
        <w:tc>
          <w:tcPr>
            <w:tcW w:w="1290" w:type="dxa"/>
            <w:vMerge w:val="restart"/>
            <w:noWrap w:val="0"/>
            <w:vAlign w:val="center"/>
          </w:tcPr>
          <w:p>
            <w:pPr>
              <w:tabs>
                <w:tab w:val="left" w:pos="624"/>
              </w:tabs>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dB(A)</w:t>
            </w:r>
          </w:p>
        </w:tc>
        <w:tc>
          <w:tcPr>
            <w:tcW w:w="3846" w:type="dxa"/>
            <w:vMerge w:val="restart"/>
            <w:noWrap w:val="0"/>
            <w:vAlign w:val="center"/>
          </w:tcPr>
          <w:p>
            <w:pPr>
              <w:tabs>
                <w:tab w:val="left" w:pos="624"/>
              </w:tabs>
              <w:snapToGrid w:val="0"/>
              <w:spacing w:line="240" w:lineRule="auto"/>
              <w:ind w:firstLine="0" w:firstLineChars="0"/>
              <w:jc w:val="left"/>
              <w:rPr>
                <w:rFonts w:ascii="Times New Roman" w:hAnsi="Times New Roman" w:eastAsia="宋体" w:cs="Times New Roman"/>
                <w:bCs/>
                <w:color w:val="auto"/>
                <w:sz w:val="21"/>
                <w:highlight w:val="none"/>
              </w:rPr>
            </w:pPr>
            <w:r>
              <w:rPr>
                <w:rFonts w:ascii="Times New Roman" w:hAnsi="Times New Roman" w:eastAsia="宋体" w:cs="Times New Roman"/>
                <w:color w:val="auto"/>
                <w:sz w:val="21"/>
                <w:highlight w:val="none"/>
              </w:rPr>
              <w:t>《工业企业厂界环境噪声排放标准》（GB</w:t>
            </w:r>
            <w:r>
              <w:rPr>
                <w:rFonts w:hint="eastAsia" w:ascii="Times New Roman" w:hAnsi="Times New Roman" w:eastAsia="宋体" w:cs="Times New Roman"/>
                <w:color w:val="auto"/>
                <w:sz w:val="21"/>
                <w:highlight w:val="none"/>
                <w:lang w:val="en-US" w:eastAsia="zh-CN"/>
              </w:rPr>
              <w:t xml:space="preserve"> </w:t>
            </w:r>
            <w:r>
              <w:rPr>
                <w:rFonts w:ascii="Times New Roman" w:hAnsi="Times New Roman" w:eastAsia="宋体" w:cs="Times New Roman"/>
                <w:color w:val="auto"/>
                <w:sz w:val="21"/>
                <w:highlight w:val="none"/>
              </w:rPr>
              <w:t>12348-2008）中2类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4"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2</w:t>
            </w:r>
          </w:p>
        </w:tc>
        <w:tc>
          <w:tcPr>
            <w:tcW w:w="1758"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夜间</w:t>
            </w:r>
          </w:p>
        </w:tc>
        <w:tc>
          <w:tcPr>
            <w:tcW w:w="1465"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50</w:t>
            </w:r>
          </w:p>
        </w:tc>
        <w:tc>
          <w:tcPr>
            <w:tcW w:w="1290" w:type="dxa"/>
            <w:vMerge w:val="continue"/>
            <w:noWrap w:val="0"/>
            <w:vAlign w:val="center"/>
          </w:tcPr>
          <w:p>
            <w:pPr>
              <w:tabs>
                <w:tab w:val="left" w:pos="624"/>
              </w:tabs>
              <w:snapToGrid w:val="0"/>
              <w:spacing w:line="240" w:lineRule="auto"/>
              <w:ind w:firstLine="0" w:firstLineChars="0"/>
              <w:jc w:val="center"/>
              <w:rPr>
                <w:rFonts w:ascii="Times New Roman" w:hAnsi="Times New Roman" w:eastAsia="宋体" w:cs="Times New Roman"/>
                <w:bCs/>
                <w:color w:val="auto"/>
                <w:sz w:val="21"/>
                <w:highlight w:val="none"/>
              </w:rPr>
            </w:pPr>
          </w:p>
        </w:tc>
        <w:tc>
          <w:tcPr>
            <w:tcW w:w="3846" w:type="dxa"/>
            <w:vMerge w:val="continue"/>
            <w:noWrap w:val="0"/>
            <w:vAlign w:val="center"/>
          </w:tcPr>
          <w:p>
            <w:pPr>
              <w:tabs>
                <w:tab w:val="left" w:pos="624"/>
              </w:tabs>
              <w:snapToGrid w:val="0"/>
              <w:spacing w:line="240" w:lineRule="auto"/>
              <w:ind w:firstLine="0" w:firstLineChars="0"/>
              <w:jc w:val="center"/>
              <w:rPr>
                <w:rFonts w:ascii="Times New Roman" w:hAnsi="Times New Roman" w:eastAsia="宋体" w:cs="Times New Roman"/>
                <w:bCs/>
                <w:color w:val="auto"/>
                <w:sz w:val="21"/>
                <w:highlight w:val="none"/>
              </w:rPr>
            </w:pPr>
          </w:p>
        </w:tc>
      </w:tr>
    </w:tbl>
    <w:p>
      <w:pPr>
        <w:ind w:left="480" w:leftChars="200" w:firstLine="0" w:firstLineChars="0"/>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 xml:space="preserve">4、爆破振动 </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爆破振动执行《爆破安全规程》（GB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6722-2014）中爆破振动安全允许标准，详见表1.4-</w:t>
      </w:r>
      <w:r>
        <w:rPr>
          <w:rFonts w:hint="eastAsia" w:ascii="Times New Roman" w:hAnsi="Times New Roman" w:eastAsia="宋体" w:cs="Times New Roman"/>
          <w:color w:val="auto"/>
          <w:highlight w:val="none"/>
        </w:rPr>
        <w:t>7</w:t>
      </w:r>
      <w:r>
        <w:rPr>
          <w:rFonts w:ascii="Times New Roman" w:hAnsi="Times New Roman" w:eastAsia="宋体" w:cs="Times New Roman"/>
          <w:color w:val="auto"/>
          <w:highlight w:val="none"/>
        </w:rPr>
        <w:t>。</w:t>
      </w:r>
    </w:p>
    <w:p>
      <w:pPr>
        <w:pStyle w:val="87"/>
        <w:rPr>
          <w:rFonts w:ascii="Times New Roman" w:hAnsi="Times New Roman" w:eastAsia="宋体" w:cs="Times New Roman"/>
          <w:color w:val="auto"/>
          <w:highlight w:val="none"/>
        </w:rPr>
      </w:pPr>
      <w:r>
        <w:rPr>
          <w:rFonts w:ascii="Times New Roman" w:hAnsi="Times New Roman" w:eastAsia="宋体" w:cs="Times New Roman"/>
          <w:color w:val="auto"/>
          <w:highlight w:val="none"/>
        </w:rPr>
        <w:t>表1.4-</w:t>
      </w:r>
      <w:r>
        <w:rPr>
          <w:rFonts w:hint="eastAsia" w:ascii="Times New Roman" w:hAnsi="Times New Roman" w:eastAsia="宋体" w:cs="Times New Roman"/>
          <w:color w:val="auto"/>
          <w:highlight w:val="none"/>
        </w:rPr>
        <w:t>7</w:t>
      </w:r>
      <w:r>
        <w:rPr>
          <w:rFonts w:ascii="Times New Roman" w:hAnsi="Times New Roman" w:eastAsia="宋体" w:cs="Times New Roman"/>
          <w:color w:val="auto"/>
          <w:highlight w:val="none"/>
        </w:rPr>
        <w:t xml:space="preserve"> 爆破振动安全允许标准 </w:t>
      </w:r>
    </w:p>
    <w:tbl>
      <w:tblPr>
        <w:tblStyle w:val="48"/>
        <w:tblW w:w="909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2877"/>
        <w:gridCol w:w="1615"/>
        <w:gridCol w:w="1688"/>
        <w:gridCol w:w="16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1222" w:type="dxa"/>
            <w:vMerge w:val="restart"/>
            <w:tcBorders>
              <w:left w:val="single" w:color="auto" w:sz="12" w:space="0"/>
            </w:tcBorders>
            <w:noWrap w:val="0"/>
            <w:vAlign w:val="center"/>
          </w:tcPr>
          <w:p>
            <w:pPr>
              <w:tabs>
                <w:tab w:val="left" w:pos="624"/>
              </w:tabs>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序号</w:t>
            </w:r>
          </w:p>
        </w:tc>
        <w:tc>
          <w:tcPr>
            <w:tcW w:w="2877" w:type="dxa"/>
            <w:vMerge w:val="restart"/>
            <w:noWrap w:val="0"/>
            <w:vAlign w:val="center"/>
          </w:tcPr>
          <w:p>
            <w:pPr>
              <w:tabs>
                <w:tab w:val="left" w:pos="624"/>
              </w:tabs>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保护对象类别</w:t>
            </w:r>
          </w:p>
        </w:tc>
        <w:tc>
          <w:tcPr>
            <w:tcW w:w="5000" w:type="dxa"/>
            <w:gridSpan w:val="3"/>
            <w:tcBorders>
              <w:right w:val="single" w:color="auto" w:sz="12" w:space="0"/>
            </w:tcBorders>
            <w:noWrap w:val="0"/>
            <w:vAlign w:val="center"/>
          </w:tcPr>
          <w:p>
            <w:pPr>
              <w:tabs>
                <w:tab w:val="left" w:pos="624"/>
              </w:tabs>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安全允许质点振动速度V（cm/s）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1222" w:type="dxa"/>
            <w:vMerge w:val="continue"/>
            <w:tcBorders>
              <w:left w:val="single" w:color="auto" w:sz="12" w:space="0"/>
            </w:tcBorders>
            <w:noWrap w:val="0"/>
            <w:vAlign w:val="center"/>
          </w:tcPr>
          <w:p>
            <w:pPr>
              <w:pStyle w:val="86"/>
              <w:rPr>
                <w:rFonts w:ascii="Times New Roman" w:hAnsi="Times New Roman" w:eastAsia="宋体" w:cs="Times New Roman"/>
                <w:color w:val="auto"/>
                <w:highlight w:val="none"/>
              </w:rPr>
            </w:pPr>
          </w:p>
        </w:tc>
        <w:tc>
          <w:tcPr>
            <w:tcW w:w="2877" w:type="dxa"/>
            <w:vMerge w:val="continue"/>
            <w:noWrap w:val="0"/>
            <w:vAlign w:val="center"/>
          </w:tcPr>
          <w:p>
            <w:pPr>
              <w:pStyle w:val="86"/>
              <w:rPr>
                <w:rFonts w:ascii="Times New Roman" w:hAnsi="Times New Roman" w:eastAsia="宋体" w:cs="Times New Roman"/>
                <w:color w:val="auto"/>
                <w:highlight w:val="none"/>
              </w:rPr>
            </w:pPr>
          </w:p>
        </w:tc>
        <w:tc>
          <w:tcPr>
            <w:tcW w:w="1615"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f≤10Hz</w:t>
            </w:r>
          </w:p>
        </w:tc>
        <w:tc>
          <w:tcPr>
            <w:tcW w:w="1688" w:type="dxa"/>
            <w:noWrap w:val="0"/>
            <w:vAlign w:val="center"/>
          </w:tcPr>
          <w:p>
            <w:pPr>
              <w:tabs>
                <w:tab w:val="left" w:pos="624"/>
              </w:tabs>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10Hz&lt;f≤50Hz</w:t>
            </w:r>
          </w:p>
        </w:tc>
        <w:tc>
          <w:tcPr>
            <w:tcW w:w="1697" w:type="dxa"/>
            <w:tcBorders>
              <w:right w:val="single" w:color="auto" w:sz="12" w:space="0"/>
            </w:tcBorders>
            <w:noWrap w:val="0"/>
            <w:vAlign w:val="center"/>
          </w:tcPr>
          <w:p>
            <w:pPr>
              <w:tabs>
                <w:tab w:val="left" w:pos="624"/>
              </w:tabs>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f&gt;50Hz</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22" w:type="dxa"/>
            <w:tcBorders>
              <w:left w:val="single" w:color="auto" w:sz="12" w:space="0"/>
            </w:tcBorders>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1</w:t>
            </w:r>
          </w:p>
        </w:tc>
        <w:tc>
          <w:tcPr>
            <w:tcW w:w="2877"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土窑洞、土坯房、毛石房屋</w:t>
            </w:r>
          </w:p>
        </w:tc>
        <w:tc>
          <w:tcPr>
            <w:tcW w:w="16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0.15⁓0.45</w:t>
            </w:r>
          </w:p>
        </w:tc>
        <w:tc>
          <w:tcPr>
            <w:tcW w:w="168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0.45⁓0.9</w:t>
            </w:r>
          </w:p>
        </w:tc>
        <w:tc>
          <w:tcPr>
            <w:tcW w:w="1697" w:type="dxa"/>
            <w:tcBorders>
              <w:right w:val="single" w:color="auto" w:sz="12"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0.9⁓1.5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1222" w:type="dxa"/>
            <w:tcBorders>
              <w:left w:val="single" w:color="auto" w:sz="12" w:space="0"/>
            </w:tcBorders>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2</w:t>
            </w:r>
          </w:p>
        </w:tc>
        <w:tc>
          <w:tcPr>
            <w:tcW w:w="2877"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一般民用建筑</w:t>
            </w:r>
          </w:p>
        </w:tc>
        <w:tc>
          <w:tcPr>
            <w:tcW w:w="16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1.5⁓2.0</w:t>
            </w:r>
          </w:p>
        </w:tc>
        <w:tc>
          <w:tcPr>
            <w:tcW w:w="168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2.0⁓2.5</w:t>
            </w:r>
          </w:p>
        </w:tc>
        <w:tc>
          <w:tcPr>
            <w:tcW w:w="1697" w:type="dxa"/>
            <w:tcBorders>
              <w:right w:val="single" w:color="auto" w:sz="12"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2.5⁓3.0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1222" w:type="dxa"/>
            <w:tcBorders>
              <w:left w:val="single" w:color="auto" w:sz="12" w:space="0"/>
            </w:tcBorders>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3</w:t>
            </w:r>
          </w:p>
        </w:tc>
        <w:tc>
          <w:tcPr>
            <w:tcW w:w="2877"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工业和商业建筑物</w:t>
            </w:r>
          </w:p>
        </w:tc>
        <w:tc>
          <w:tcPr>
            <w:tcW w:w="16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2.5⁓3.5</w:t>
            </w:r>
          </w:p>
        </w:tc>
        <w:tc>
          <w:tcPr>
            <w:tcW w:w="168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3.5⁓4.5</w:t>
            </w:r>
          </w:p>
        </w:tc>
        <w:tc>
          <w:tcPr>
            <w:tcW w:w="1697" w:type="dxa"/>
            <w:tcBorders>
              <w:right w:val="single" w:color="auto" w:sz="12"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4.5⁓5.0</w:t>
            </w:r>
          </w:p>
        </w:tc>
      </w:tr>
    </w:tbl>
    <w:p>
      <w:pPr>
        <w:ind w:firstLine="480"/>
        <w:rPr>
          <w:rFonts w:ascii="Times New Roman" w:hAnsi="Times New Roman" w:eastAsia="宋体" w:cs="Times New Roman"/>
          <w:color w:val="auto"/>
          <w:sz w:val="23"/>
          <w:highlight w:val="none"/>
        </w:rPr>
      </w:pPr>
      <w:r>
        <w:rPr>
          <w:rFonts w:ascii="Times New Roman" w:hAnsi="Times New Roman" w:eastAsia="宋体" w:cs="Times New Roman"/>
          <w:color w:val="auto"/>
          <w:szCs w:val="24"/>
          <w:highlight w:val="none"/>
        </w:rPr>
        <w:t>区域敏感点执行《城市区域环境振动标准》（GB</w:t>
      </w:r>
      <w:r>
        <w:rPr>
          <w:rFonts w:hint="eastAsia" w:ascii="Times New Roman" w:hAnsi="Times New Roman" w:eastAsia="宋体" w:cs="Times New Roman"/>
          <w:color w:val="auto"/>
          <w:szCs w:val="24"/>
          <w:highlight w:val="none"/>
          <w:lang w:val="en-US" w:eastAsia="zh-CN"/>
        </w:rPr>
        <w:t xml:space="preserve"> </w:t>
      </w:r>
      <w:r>
        <w:rPr>
          <w:rFonts w:ascii="Times New Roman" w:hAnsi="Times New Roman" w:eastAsia="宋体" w:cs="Times New Roman"/>
          <w:color w:val="auto"/>
          <w:szCs w:val="24"/>
          <w:highlight w:val="none"/>
        </w:rPr>
        <w:t>10070-88）居民、文教区标准，详见表1.4-</w:t>
      </w:r>
      <w:r>
        <w:rPr>
          <w:rFonts w:hint="eastAsia" w:ascii="Times New Roman" w:hAnsi="Times New Roman" w:eastAsia="宋体" w:cs="Times New Roman"/>
          <w:color w:val="auto"/>
          <w:szCs w:val="24"/>
          <w:highlight w:val="none"/>
        </w:rPr>
        <w:t>8</w:t>
      </w:r>
      <w:r>
        <w:rPr>
          <w:rFonts w:ascii="Times New Roman" w:hAnsi="Times New Roman" w:eastAsia="宋体" w:cs="Times New Roman"/>
          <w:color w:val="auto"/>
          <w:szCs w:val="24"/>
          <w:highlight w:val="none"/>
        </w:rPr>
        <w:t>。</w:t>
      </w:r>
    </w:p>
    <w:p>
      <w:pPr>
        <w:pStyle w:val="87"/>
        <w:rPr>
          <w:rFonts w:ascii="Times New Roman" w:hAnsi="Times New Roman" w:eastAsia="宋体" w:cs="Times New Roman"/>
          <w:color w:val="auto"/>
          <w:highlight w:val="none"/>
        </w:rPr>
      </w:pPr>
    </w:p>
    <w:p>
      <w:pPr>
        <w:pStyle w:val="87"/>
        <w:rPr>
          <w:rFonts w:ascii="Times New Roman" w:hAnsi="Times New Roman" w:eastAsia="宋体" w:cs="Times New Roman"/>
          <w:color w:val="auto"/>
          <w:highlight w:val="none"/>
        </w:rPr>
      </w:pPr>
    </w:p>
    <w:p>
      <w:pPr>
        <w:pStyle w:val="87"/>
        <w:rPr>
          <w:rFonts w:ascii="Times New Roman" w:hAnsi="Times New Roman" w:eastAsia="宋体" w:cs="Times New Roman"/>
          <w:color w:val="auto"/>
          <w:highlight w:val="none"/>
        </w:rPr>
      </w:pPr>
      <w:r>
        <w:rPr>
          <w:rFonts w:ascii="Times New Roman" w:hAnsi="Times New Roman" w:eastAsia="宋体" w:cs="Times New Roman"/>
          <w:color w:val="auto"/>
          <w:highlight w:val="none"/>
        </w:rPr>
        <w:t>表1.4-</w:t>
      </w:r>
      <w:r>
        <w:rPr>
          <w:rFonts w:hint="eastAsia" w:ascii="Times New Roman" w:hAnsi="Times New Roman" w:eastAsia="宋体" w:cs="Times New Roman"/>
          <w:color w:val="auto"/>
          <w:highlight w:val="none"/>
        </w:rPr>
        <w:t>8</w:t>
      </w:r>
      <w:r>
        <w:rPr>
          <w:rFonts w:ascii="Times New Roman" w:hAnsi="Times New Roman" w:eastAsia="宋体" w:cs="Times New Roman"/>
          <w:color w:val="auto"/>
          <w:highlight w:val="none"/>
        </w:rPr>
        <w:t xml:space="preserve"> 城市区域环境振动标准   单位：dB(A) </w:t>
      </w:r>
    </w:p>
    <w:tbl>
      <w:tblPr>
        <w:tblStyle w:val="48"/>
        <w:tblW w:w="909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10"/>
        <w:gridCol w:w="2651"/>
        <w:gridCol w:w="30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10" w:type="dxa"/>
            <w:tcBorders>
              <w:left w:val="single" w:color="auto" w:sz="12" w:space="0"/>
            </w:tcBorders>
            <w:noWrap w:val="0"/>
            <w:vAlign w:val="center"/>
          </w:tcPr>
          <w:p>
            <w:pPr>
              <w:spacing w:line="240" w:lineRule="auto"/>
              <w:ind w:firstLine="422"/>
              <w:jc w:val="right"/>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mc:AlternateContent>
                <mc:Choice Requires="wps">
                  <w:drawing>
                    <wp:anchor distT="0" distB="0" distL="114300" distR="114300" simplePos="0" relativeHeight="251660288" behindDoc="0" locked="0" layoutInCell="1" allowOverlap="1">
                      <wp:simplePos x="0" y="0"/>
                      <wp:positionH relativeFrom="column">
                        <wp:posOffset>-46990</wp:posOffset>
                      </wp:positionH>
                      <wp:positionV relativeFrom="paragraph">
                        <wp:posOffset>27305</wp:posOffset>
                      </wp:positionV>
                      <wp:extent cx="2114550" cy="344170"/>
                      <wp:effectExtent l="635" t="4445" r="18415" b="13335"/>
                      <wp:wrapNone/>
                      <wp:docPr id="3" name="直线 1029"/>
                      <wp:cNvGraphicFramePr/>
                      <a:graphic xmlns:a="http://schemas.openxmlformats.org/drawingml/2006/main">
                        <a:graphicData uri="http://schemas.microsoft.com/office/word/2010/wordprocessingShape">
                          <wps:wsp>
                            <wps:cNvCnPr/>
                            <wps:spPr>
                              <a:xfrm>
                                <a:off x="0" y="0"/>
                                <a:ext cx="2114550" cy="3441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9" o:spid="_x0000_s1026" o:spt="20" style="position:absolute;left:0pt;margin-left:-3.7pt;margin-top:2.15pt;height:27.1pt;width:166.5pt;z-index:251660288;mso-width-relative:page;mso-height-relative:page;" filled="f" stroked="t" coordsize="21600,21600" o:gfxdata="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VnKFa1wAAAAcBAAAPAAAAAAAAAAEA&#10;IAAAACIAAABkcnMvZG93bnJldi54bWxQSwECFAAUAAAACACHTuJAkeCmpNcBAACVAwAADgAAAAAA&#10;AAABACAAAAAmAQAAZHJzL2Uyb0RvYy54bWxQSwUGAAAAAAYABgBZAQAAbwUAAAAA&#10;">
                      <v:fill on="f" focussize="0,0"/>
                      <v:stroke color="#000000" joinstyle="round"/>
                      <v:imagedata o:title=""/>
                      <o:lock v:ext="edit" aspectratio="f"/>
                    </v:line>
                  </w:pict>
                </mc:Fallback>
              </mc:AlternateContent>
            </w:r>
            <w:r>
              <w:rPr>
                <w:rFonts w:ascii="Times New Roman" w:hAnsi="Times New Roman" w:eastAsia="宋体" w:cs="Times New Roman"/>
                <w:b/>
                <w:bCs/>
                <w:color w:val="auto"/>
                <w:sz w:val="21"/>
                <w:highlight w:val="none"/>
              </w:rPr>
              <w:t xml:space="preserve">   时段</w:t>
            </w:r>
          </w:p>
          <w:p>
            <w:pPr>
              <w:spacing w:line="240" w:lineRule="auto"/>
              <w:ind w:firstLine="0" w:firstLineChars="0"/>
              <w:jc w:val="left"/>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声环境功能区类别</w:t>
            </w:r>
          </w:p>
        </w:tc>
        <w:tc>
          <w:tcPr>
            <w:tcW w:w="2651"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昼间</w:t>
            </w:r>
          </w:p>
        </w:tc>
        <w:tc>
          <w:tcPr>
            <w:tcW w:w="3032" w:type="dxa"/>
            <w:tcBorders>
              <w:right w:val="single" w:color="auto" w:sz="12" w:space="0"/>
            </w:tcBorders>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410" w:type="dxa"/>
            <w:tcBorders>
              <w:left w:val="single" w:color="auto" w:sz="12" w:space="0"/>
            </w:tcBorders>
            <w:noWrap w:val="0"/>
            <w:vAlign w:val="center"/>
          </w:tcPr>
          <w:p>
            <w:pPr>
              <w:spacing w:line="240" w:lineRule="auto"/>
              <w:ind w:firstLine="42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居民、文教区</w:t>
            </w:r>
          </w:p>
        </w:tc>
        <w:tc>
          <w:tcPr>
            <w:tcW w:w="265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70</w:t>
            </w:r>
          </w:p>
        </w:tc>
        <w:tc>
          <w:tcPr>
            <w:tcW w:w="3032" w:type="dxa"/>
            <w:tcBorders>
              <w:right w:val="single" w:color="auto" w:sz="12"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67</w:t>
            </w:r>
          </w:p>
        </w:tc>
      </w:tr>
    </w:tbl>
    <w:p>
      <w:pPr>
        <w:ind w:firstLine="482"/>
        <w:rPr>
          <w:rFonts w:ascii="Times New Roman" w:hAnsi="Times New Roman" w:eastAsia="宋体" w:cs="Times New Roman"/>
          <w:b/>
          <w:color w:val="auto"/>
          <w:highlight w:val="none"/>
        </w:rPr>
      </w:pPr>
      <w:r>
        <w:rPr>
          <w:rFonts w:hint="eastAsia" w:ascii="Times New Roman" w:hAnsi="Times New Roman" w:eastAsia="宋体" w:cs="Times New Roman"/>
          <w:b/>
          <w:color w:val="auto"/>
          <w:highlight w:val="none"/>
        </w:rPr>
        <w:t>5、</w:t>
      </w:r>
      <w:r>
        <w:rPr>
          <w:rFonts w:ascii="Times New Roman" w:hAnsi="Times New Roman" w:eastAsia="宋体" w:cs="Times New Roman"/>
          <w:b/>
          <w:color w:val="auto"/>
          <w:highlight w:val="none"/>
        </w:rPr>
        <w:t>固体废物</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一般固体废物按《一般固体废物贮存、处置场污染控制标准》（GB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18599-2001）及其修改单（2013年修订）执行。</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危险废物按《危险废物贮存污染控制标准》（GB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18597-2001）及其修改单（2013年修订）执行。</w:t>
      </w:r>
    </w:p>
    <w:p>
      <w:pPr>
        <w:pStyle w:val="4"/>
        <w:rPr>
          <w:rFonts w:ascii="Times New Roman" w:hAnsi="Times New Roman" w:eastAsia="宋体"/>
          <w:color w:val="auto"/>
          <w:highlight w:val="none"/>
        </w:rPr>
      </w:pPr>
      <w:bookmarkStart w:id="55" w:name="_Toc3388"/>
      <w:r>
        <w:rPr>
          <w:rFonts w:ascii="Times New Roman" w:hAnsi="Times New Roman" w:eastAsia="宋体"/>
          <w:color w:val="auto"/>
          <w:highlight w:val="none"/>
        </w:rPr>
        <w:t>1.5 评价等级</w:t>
      </w:r>
      <w:bookmarkEnd w:id="46"/>
      <w:bookmarkEnd w:id="47"/>
      <w:bookmarkEnd w:id="48"/>
      <w:bookmarkEnd w:id="49"/>
      <w:bookmarkEnd w:id="50"/>
      <w:r>
        <w:rPr>
          <w:rFonts w:ascii="Times New Roman" w:hAnsi="Times New Roman" w:eastAsia="宋体"/>
          <w:color w:val="auto"/>
          <w:highlight w:val="none"/>
        </w:rPr>
        <w:t>和评价范围</w:t>
      </w:r>
      <w:bookmarkEnd w:id="51"/>
      <w:bookmarkEnd w:id="55"/>
    </w:p>
    <w:p>
      <w:pPr>
        <w:pStyle w:val="5"/>
        <w:rPr>
          <w:rFonts w:ascii="Times New Roman" w:hAnsi="Times New Roman" w:eastAsia="宋体"/>
          <w:color w:val="auto"/>
          <w:highlight w:val="none"/>
        </w:rPr>
      </w:pPr>
      <w:bookmarkStart w:id="56" w:name="_Toc475546389"/>
      <w:r>
        <w:rPr>
          <w:rFonts w:ascii="Times New Roman" w:hAnsi="Times New Roman" w:eastAsia="宋体"/>
          <w:color w:val="auto"/>
          <w:highlight w:val="none"/>
        </w:rPr>
        <w:t>1.5.1 环境评价等级</w:t>
      </w:r>
      <w:bookmarkEnd w:id="56"/>
    </w:p>
    <w:p>
      <w:pPr>
        <w:pStyle w:val="6"/>
        <w:rPr>
          <w:rFonts w:ascii="Times New Roman" w:hAnsi="Times New Roman" w:eastAsia="宋体"/>
          <w:color w:val="auto"/>
          <w:highlight w:val="none"/>
        </w:rPr>
      </w:pPr>
      <w:r>
        <w:rPr>
          <w:rFonts w:ascii="Times New Roman" w:hAnsi="Times New Roman" w:eastAsia="宋体"/>
          <w:color w:val="auto"/>
          <w:highlight w:val="none"/>
        </w:rPr>
        <w:t>1.5.1.1 大气环境</w:t>
      </w:r>
    </w:p>
    <w:p>
      <w:pPr>
        <w:adjustRightInd w:val="0"/>
        <w:snapToGrid w:val="0"/>
        <w:ind w:firstLine="480"/>
        <w:rPr>
          <w:rFonts w:ascii="Times New Roman" w:hAnsi="Times New Roman" w:eastAsia="宋体" w:cs="Times New Roman"/>
          <w:bCs/>
          <w:color w:val="auto"/>
          <w:szCs w:val="24"/>
          <w:highlight w:val="none"/>
        </w:rPr>
      </w:pPr>
      <w:r>
        <w:rPr>
          <w:rFonts w:ascii="Times New Roman" w:hAnsi="Times New Roman" w:eastAsia="宋体" w:cs="Times New Roman"/>
          <w:color w:val="auto"/>
          <w:szCs w:val="24"/>
          <w:highlight w:val="none"/>
        </w:rPr>
        <w:t>根据</w:t>
      </w:r>
      <w:r>
        <w:rPr>
          <w:rFonts w:ascii="Times New Roman" w:hAnsi="Times New Roman" w:eastAsia="宋体" w:cs="Times New Roman"/>
          <w:bCs/>
          <w:color w:val="auto"/>
          <w:szCs w:val="24"/>
          <w:highlight w:val="none"/>
        </w:rPr>
        <w:t>《环境影响评价技术导则 大气环境》（</w:t>
      </w:r>
      <w:r>
        <w:rPr>
          <w:rFonts w:ascii="Times New Roman" w:hAnsi="Times New Roman" w:eastAsia="宋体" w:cs="Times New Roman"/>
          <w:color w:val="auto"/>
          <w:szCs w:val="24"/>
          <w:highlight w:val="none"/>
        </w:rPr>
        <w:t>HJ 2.2-2018</w:t>
      </w:r>
      <w:r>
        <w:rPr>
          <w:rFonts w:ascii="Times New Roman" w:hAnsi="Times New Roman" w:eastAsia="宋体" w:cs="Times New Roman"/>
          <w:bCs/>
          <w:color w:val="auto"/>
          <w:szCs w:val="24"/>
          <w:highlight w:val="none"/>
        </w:rPr>
        <w:t>）的规定，大气环境影响评价工作等级主要根据项目排放主要污染物的最大地面空气质量浓度占标率Pi，及第i个污染物的地面空气质量浓度达到标准值10%时所对应的最远距离</w:t>
      </w:r>
      <w:r>
        <w:rPr>
          <w:rFonts w:ascii="Times New Roman" w:hAnsi="Times New Roman" w:eastAsia="宋体" w:cs="Times New Roman"/>
          <w:color w:val="auto"/>
          <w:szCs w:val="24"/>
          <w:highlight w:val="none"/>
        </w:rPr>
        <w:t>D</w:t>
      </w:r>
      <w:r>
        <w:rPr>
          <w:rFonts w:ascii="Times New Roman" w:hAnsi="Times New Roman" w:eastAsia="宋体" w:cs="Times New Roman"/>
          <w:color w:val="auto"/>
          <w:szCs w:val="24"/>
          <w:highlight w:val="none"/>
          <w:vertAlign w:val="subscript"/>
        </w:rPr>
        <w:t>10%</w:t>
      </w:r>
      <w:r>
        <w:rPr>
          <w:rFonts w:ascii="Times New Roman" w:hAnsi="Times New Roman" w:eastAsia="宋体" w:cs="Times New Roman"/>
          <w:bCs/>
          <w:color w:val="auto"/>
          <w:szCs w:val="24"/>
          <w:highlight w:val="none"/>
        </w:rPr>
        <w:t>。其中Pi定义公式</w:t>
      </w:r>
      <w:r>
        <w:rPr>
          <w:rFonts w:ascii="Times New Roman" w:hAnsi="Times New Roman" w:eastAsia="宋体" w:cs="Times New Roman"/>
          <w:bCs/>
          <w:color w:val="auto"/>
          <w:szCs w:val="28"/>
          <w:highlight w:val="none"/>
        </w:rPr>
        <w:t>：</w:t>
      </w:r>
    </w:p>
    <w:p>
      <w:pPr>
        <w:tabs>
          <w:tab w:val="left" w:pos="1335"/>
        </w:tabs>
        <w:adjustRightInd w:val="0"/>
        <w:snapToGrid w:val="0"/>
        <w:ind w:firstLine="480"/>
        <w:jc w:val="center"/>
        <w:rPr>
          <w:rFonts w:ascii="Times New Roman" w:hAnsi="Times New Roman" w:eastAsia="宋体" w:cs="Times New Roman"/>
          <w:bCs/>
          <w:color w:val="auto"/>
          <w:szCs w:val="28"/>
          <w:highlight w:val="none"/>
        </w:rPr>
      </w:pPr>
      <w:r>
        <w:rPr>
          <w:rFonts w:ascii="Times New Roman" w:hAnsi="Times New Roman" w:eastAsia="宋体" w:cs="Times New Roman"/>
          <w:bCs/>
          <w:color w:val="auto"/>
          <w:szCs w:val="28"/>
          <w:highlight w:val="none"/>
        </w:rPr>
        <w:t>Pi=C</w:t>
      </w:r>
      <w:r>
        <w:rPr>
          <w:rFonts w:ascii="Times New Roman" w:hAnsi="Times New Roman" w:eastAsia="宋体" w:cs="Times New Roman"/>
          <w:bCs/>
          <w:color w:val="auto"/>
          <w:szCs w:val="28"/>
          <w:highlight w:val="none"/>
          <w:vertAlign w:val="subscript"/>
        </w:rPr>
        <w:t>i</w:t>
      </w:r>
      <w:r>
        <w:rPr>
          <w:rFonts w:ascii="Times New Roman" w:hAnsi="Times New Roman" w:eastAsia="宋体" w:cs="Times New Roman"/>
          <w:bCs/>
          <w:color w:val="auto"/>
          <w:szCs w:val="28"/>
          <w:highlight w:val="none"/>
        </w:rPr>
        <w:t>/C</w:t>
      </w:r>
      <w:r>
        <w:rPr>
          <w:rFonts w:ascii="Times New Roman" w:hAnsi="Times New Roman" w:eastAsia="宋体" w:cs="Times New Roman"/>
          <w:bCs/>
          <w:color w:val="auto"/>
          <w:szCs w:val="28"/>
          <w:highlight w:val="none"/>
          <w:vertAlign w:val="subscript"/>
        </w:rPr>
        <w:t>0i</w:t>
      </w:r>
      <w:r>
        <w:rPr>
          <w:rFonts w:ascii="Times New Roman" w:hAnsi="Times New Roman" w:eastAsia="宋体" w:cs="Times New Roman"/>
          <w:bCs/>
          <w:color w:val="auto"/>
          <w:szCs w:val="28"/>
          <w:highlight w:val="none"/>
        </w:rPr>
        <w:t>×100%</w:t>
      </w:r>
    </w:p>
    <w:p>
      <w:pPr>
        <w:tabs>
          <w:tab w:val="left" w:pos="1335"/>
        </w:tabs>
        <w:adjustRightInd w:val="0"/>
        <w:snapToGrid w:val="0"/>
        <w:ind w:firstLine="480"/>
        <w:rPr>
          <w:rFonts w:ascii="Times New Roman" w:hAnsi="Times New Roman" w:eastAsia="宋体" w:cs="Times New Roman"/>
          <w:bCs/>
          <w:color w:val="auto"/>
          <w:szCs w:val="28"/>
          <w:highlight w:val="none"/>
        </w:rPr>
      </w:pPr>
      <w:r>
        <w:rPr>
          <w:rFonts w:ascii="Times New Roman" w:hAnsi="Times New Roman" w:eastAsia="宋体" w:cs="Times New Roman"/>
          <w:bCs/>
          <w:color w:val="auto"/>
          <w:szCs w:val="28"/>
          <w:highlight w:val="none"/>
        </w:rPr>
        <w:t>式中：</w:t>
      </w:r>
    </w:p>
    <w:p>
      <w:pPr>
        <w:tabs>
          <w:tab w:val="left" w:pos="1335"/>
        </w:tabs>
        <w:adjustRightInd w:val="0"/>
        <w:snapToGrid w:val="0"/>
        <w:ind w:firstLine="480"/>
        <w:rPr>
          <w:rFonts w:ascii="Times New Roman" w:hAnsi="Times New Roman" w:eastAsia="宋体" w:cs="Times New Roman"/>
          <w:bCs/>
          <w:color w:val="auto"/>
          <w:szCs w:val="28"/>
          <w:highlight w:val="none"/>
        </w:rPr>
      </w:pPr>
      <w:r>
        <w:rPr>
          <w:rFonts w:ascii="Times New Roman" w:hAnsi="Times New Roman" w:eastAsia="宋体" w:cs="Times New Roman"/>
          <w:bCs/>
          <w:color w:val="auto"/>
          <w:szCs w:val="28"/>
          <w:highlight w:val="none"/>
        </w:rPr>
        <w:t>Pi—第i个污染物的最大地面空气质量浓度占标率，%；</w:t>
      </w:r>
    </w:p>
    <w:p>
      <w:pPr>
        <w:tabs>
          <w:tab w:val="left" w:pos="1335"/>
        </w:tabs>
        <w:adjustRightInd w:val="0"/>
        <w:snapToGrid w:val="0"/>
        <w:ind w:firstLine="480"/>
        <w:rPr>
          <w:rFonts w:ascii="Times New Roman" w:hAnsi="Times New Roman" w:eastAsia="宋体" w:cs="Times New Roman"/>
          <w:bCs/>
          <w:color w:val="auto"/>
          <w:szCs w:val="28"/>
          <w:highlight w:val="none"/>
        </w:rPr>
      </w:pPr>
      <w:r>
        <w:rPr>
          <w:rFonts w:ascii="Times New Roman" w:hAnsi="Times New Roman" w:eastAsia="宋体" w:cs="Times New Roman"/>
          <w:bCs/>
          <w:color w:val="auto"/>
          <w:szCs w:val="28"/>
          <w:highlight w:val="none"/>
        </w:rPr>
        <w:t>Ci—采用估算模式计算出的第i个污染物的最大1h地面空气质量浓度，ug/m</w:t>
      </w:r>
      <w:r>
        <w:rPr>
          <w:rFonts w:ascii="Times New Roman" w:hAnsi="Times New Roman" w:eastAsia="宋体" w:cs="Times New Roman"/>
          <w:bCs/>
          <w:color w:val="auto"/>
          <w:szCs w:val="28"/>
          <w:highlight w:val="none"/>
          <w:vertAlign w:val="superscript"/>
        </w:rPr>
        <w:t>3</w:t>
      </w:r>
      <w:r>
        <w:rPr>
          <w:rFonts w:ascii="Times New Roman" w:hAnsi="Times New Roman" w:eastAsia="宋体" w:cs="Times New Roman"/>
          <w:bCs/>
          <w:color w:val="auto"/>
          <w:szCs w:val="28"/>
          <w:highlight w:val="none"/>
        </w:rPr>
        <w:t>；</w:t>
      </w:r>
    </w:p>
    <w:p>
      <w:pPr>
        <w:tabs>
          <w:tab w:val="left" w:pos="1335"/>
        </w:tabs>
        <w:adjustRightInd w:val="0"/>
        <w:snapToGrid w:val="0"/>
        <w:ind w:firstLine="480"/>
        <w:rPr>
          <w:rFonts w:ascii="Times New Roman" w:hAnsi="Times New Roman" w:eastAsia="宋体" w:cs="Times New Roman"/>
          <w:bCs/>
          <w:color w:val="auto"/>
          <w:szCs w:val="28"/>
          <w:highlight w:val="none"/>
        </w:rPr>
      </w:pPr>
      <w:r>
        <w:rPr>
          <w:rFonts w:ascii="Times New Roman" w:hAnsi="Times New Roman" w:eastAsia="宋体" w:cs="Times New Roman"/>
          <w:bCs/>
          <w:color w:val="auto"/>
          <w:szCs w:val="28"/>
          <w:highlight w:val="none"/>
        </w:rPr>
        <w:t>C</w:t>
      </w:r>
      <w:r>
        <w:rPr>
          <w:rFonts w:ascii="Times New Roman" w:hAnsi="Times New Roman" w:eastAsia="宋体" w:cs="Times New Roman"/>
          <w:bCs/>
          <w:color w:val="auto"/>
          <w:szCs w:val="28"/>
          <w:highlight w:val="none"/>
          <w:vertAlign w:val="subscript"/>
        </w:rPr>
        <w:t>0i</w:t>
      </w:r>
      <w:r>
        <w:rPr>
          <w:rFonts w:ascii="Times New Roman" w:hAnsi="Times New Roman" w:eastAsia="宋体" w:cs="Times New Roman"/>
          <w:bCs/>
          <w:color w:val="auto"/>
          <w:szCs w:val="28"/>
          <w:highlight w:val="none"/>
        </w:rPr>
        <w:t>—第i个污染物的环境空气质量浓度标准，ug/m</w:t>
      </w:r>
      <w:r>
        <w:rPr>
          <w:rFonts w:ascii="Times New Roman" w:hAnsi="Times New Roman" w:eastAsia="宋体" w:cs="Times New Roman"/>
          <w:bCs/>
          <w:color w:val="auto"/>
          <w:szCs w:val="28"/>
          <w:highlight w:val="none"/>
          <w:vertAlign w:val="superscript"/>
        </w:rPr>
        <w:t>3</w:t>
      </w:r>
      <w:r>
        <w:rPr>
          <w:rFonts w:ascii="Times New Roman" w:hAnsi="Times New Roman" w:eastAsia="宋体" w:cs="Times New Roman"/>
          <w:bCs/>
          <w:color w:val="auto"/>
          <w:szCs w:val="28"/>
          <w:highlight w:val="none"/>
        </w:rPr>
        <w:t>。</w:t>
      </w:r>
      <w:r>
        <w:rPr>
          <w:rFonts w:ascii="Times New Roman" w:hAnsi="Times New Roman" w:eastAsia="宋体" w:cs="Times New Roman"/>
          <w:color w:val="auto"/>
          <w:highlight w:val="none"/>
        </w:rPr>
        <w:t>一般选用 《环境空气质量标准》（GB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3095-2012）及其修改单中1小时平均质量浓度的二级浓度限值。</w:t>
      </w:r>
    </w:p>
    <w:p>
      <w:pPr>
        <w:adjustRightInd w:val="0"/>
        <w:snapToGrid w:val="0"/>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大气环境影响评价工作等级按表1.5-1的分级判据进行划分。</w:t>
      </w:r>
    </w:p>
    <w:p>
      <w:pPr>
        <w:spacing w:line="240" w:lineRule="auto"/>
        <w:ind w:firstLine="482"/>
        <w:jc w:val="center"/>
        <w:rPr>
          <w:rFonts w:ascii="Times New Roman" w:hAnsi="Times New Roman" w:eastAsia="宋体" w:cs="Times New Roman"/>
          <w:b/>
          <w:color w:val="auto"/>
          <w:highlight w:val="none"/>
          <w:lang w:val="en-GB"/>
        </w:rPr>
      </w:pPr>
      <w:r>
        <w:rPr>
          <w:rFonts w:ascii="Times New Roman" w:hAnsi="Times New Roman" w:eastAsia="宋体" w:cs="Times New Roman"/>
          <w:b/>
          <w:color w:val="auto"/>
          <w:highlight w:val="none"/>
        </w:rPr>
        <w:t xml:space="preserve">表1.5-1 </w:t>
      </w:r>
      <w:r>
        <w:rPr>
          <w:rFonts w:ascii="Times New Roman" w:hAnsi="Times New Roman" w:eastAsia="宋体" w:cs="Times New Roman"/>
          <w:b/>
          <w:color w:val="auto"/>
          <w:highlight w:val="none"/>
          <w:lang w:val="en-GB"/>
        </w:rPr>
        <w:t>环境空气评价工作等级判据</w:t>
      </w:r>
    </w:p>
    <w:tbl>
      <w:tblPr>
        <w:tblStyle w:val="48"/>
        <w:tblW w:w="909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50"/>
        <w:gridCol w:w="55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550" w:type="dxa"/>
            <w:noWrap w:val="0"/>
            <w:vAlign w:val="center"/>
          </w:tcPr>
          <w:p>
            <w:pPr>
              <w:spacing w:line="240" w:lineRule="exact"/>
              <w:ind w:firstLine="0" w:firstLineChars="0"/>
              <w:jc w:val="center"/>
              <w:rPr>
                <w:rFonts w:ascii="Times New Roman" w:hAnsi="Times New Roman" w:eastAsia="宋体" w:cs="Times New Roman"/>
                <w:b/>
                <w:color w:val="auto"/>
                <w:szCs w:val="20"/>
                <w:highlight w:val="none"/>
                <w:lang w:val="en-GB"/>
              </w:rPr>
            </w:pPr>
            <w:r>
              <w:rPr>
                <w:rFonts w:ascii="Times New Roman" w:hAnsi="Times New Roman" w:eastAsia="宋体" w:cs="Times New Roman"/>
                <w:b/>
                <w:color w:val="auto"/>
                <w:sz w:val="21"/>
                <w:szCs w:val="20"/>
                <w:highlight w:val="none"/>
                <w:lang w:val="en-GB"/>
              </w:rPr>
              <w:t>评价工作等级</w:t>
            </w:r>
          </w:p>
        </w:tc>
        <w:tc>
          <w:tcPr>
            <w:tcW w:w="5543" w:type="dxa"/>
            <w:noWrap w:val="0"/>
            <w:vAlign w:val="center"/>
          </w:tcPr>
          <w:p>
            <w:pPr>
              <w:spacing w:line="240" w:lineRule="exact"/>
              <w:ind w:firstLine="0" w:firstLineChars="0"/>
              <w:jc w:val="center"/>
              <w:rPr>
                <w:rFonts w:ascii="Times New Roman" w:hAnsi="Times New Roman" w:eastAsia="宋体" w:cs="Times New Roman"/>
                <w:b/>
                <w:color w:val="auto"/>
                <w:szCs w:val="20"/>
                <w:highlight w:val="none"/>
                <w:lang w:val="en-GB"/>
              </w:rPr>
            </w:pPr>
            <w:r>
              <w:rPr>
                <w:rFonts w:ascii="Times New Roman" w:hAnsi="Times New Roman" w:eastAsia="宋体" w:cs="Times New Roman"/>
                <w:b/>
                <w:color w:val="auto"/>
                <w:sz w:val="21"/>
                <w:szCs w:val="20"/>
                <w:highlight w:val="none"/>
                <w:lang w:val="en-GB"/>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550" w:type="dxa"/>
            <w:noWrap w:val="0"/>
            <w:vAlign w:val="center"/>
          </w:tcPr>
          <w:p>
            <w:pPr>
              <w:spacing w:line="240" w:lineRule="exact"/>
              <w:ind w:firstLine="0" w:firstLineChars="0"/>
              <w:jc w:val="center"/>
              <w:rPr>
                <w:rFonts w:ascii="Times New Roman" w:hAnsi="Times New Roman" w:eastAsia="宋体" w:cs="Times New Roman"/>
                <w:bCs/>
                <w:color w:val="auto"/>
                <w:szCs w:val="20"/>
                <w:highlight w:val="none"/>
                <w:lang w:val="en-GB"/>
              </w:rPr>
            </w:pPr>
            <w:r>
              <w:rPr>
                <w:rFonts w:ascii="Times New Roman" w:hAnsi="Times New Roman" w:eastAsia="宋体" w:cs="Times New Roman"/>
                <w:bCs/>
                <w:color w:val="auto"/>
                <w:sz w:val="21"/>
                <w:szCs w:val="20"/>
                <w:highlight w:val="none"/>
                <w:lang w:val="en-GB"/>
              </w:rPr>
              <w:t>一级</w:t>
            </w:r>
          </w:p>
        </w:tc>
        <w:tc>
          <w:tcPr>
            <w:tcW w:w="5543" w:type="dxa"/>
            <w:noWrap w:val="0"/>
            <w:vAlign w:val="center"/>
          </w:tcPr>
          <w:p>
            <w:pPr>
              <w:spacing w:line="240" w:lineRule="exact"/>
              <w:ind w:firstLine="0" w:firstLineChars="0"/>
              <w:jc w:val="center"/>
              <w:rPr>
                <w:rFonts w:ascii="Times New Roman" w:hAnsi="Times New Roman" w:eastAsia="宋体" w:cs="Times New Roman"/>
                <w:bCs/>
                <w:color w:val="auto"/>
                <w:szCs w:val="20"/>
                <w:highlight w:val="none"/>
                <w:lang w:val="en-GB"/>
              </w:rPr>
            </w:pPr>
            <w:r>
              <w:rPr>
                <w:rFonts w:ascii="Times New Roman" w:hAnsi="Times New Roman" w:eastAsia="宋体" w:cs="Times New Roman"/>
                <w:bCs/>
                <w:snapToGrid w:val="0"/>
                <w:color w:val="auto"/>
                <w:kern w:val="24"/>
                <w:sz w:val="21"/>
                <w:szCs w:val="20"/>
                <w:highlight w:val="none"/>
              </w:rPr>
              <w:t>P</w:t>
            </w:r>
            <w:r>
              <w:rPr>
                <w:rFonts w:ascii="Times New Roman" w:hAnsi="Times New Roman" w:eastAsia="宋体" w:cs="Times New Roman"/>
                <w:bCs/>
                <w:snapToGrid w:val="0"/>
                <w:color w:val="auto"/>
                <w:kern w:val="24"/>
                <w:sz w:val="21"/>
                <w:szCs w:val="20"/>
                <w:highlight w:val="none"/>
                <w:vertAlign w:val="subscript"/>
              </w:rPr>
              <w:t>max</w:t>
            </w:r>
            <w:r>
              <w:rPr>
                <w:rFonts w:ascii="Times New Roman" w:hAnsi="Times New Roman" w:eastAsia="宋体" w:cs="Times New Roman"/>
                <w:bCs/>
                <w:snapToGrid w:val="0"/>
                <w:color w:val="auto"/>
                <w:kern w:val="24"/>
                <w:sz w:val="21"/>
                <w:szCs w:val="20"/>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550" w:type="dxa"/>
            <w:noWrap w:val="0"/>
            <w:vAlign w:val="center"/>
          </w:tcPr>
          <w:p>
            <w:pPr>
              <w:spacing w:line="240" w:lineRule="exact"/>
              <w:ind w:firstLine="0" w:firstLineChars="0"/>
              <w:jc w:val="center"/>
              <w:rPr>
                <w:rFonts w:ascii="Times New Roman" w:hAnsi="Times New Roman" w:eastAsia="宋体" w:cs="Times New Roman"/>
                <w:color w:val="auto"/>
                <w:szCs w:val="20"/>
                <w:highlight w:val="none"/>
                <w:lang w:val="en-GB"/>
              </w:rPr>
            </w:pPr>
            <w:r>
              <w:rPr>
                <w:rFonts w:ascii="Times New Roman" w:hAnsi="Times New Roman" w:eastAsia="宋体" w:cs="Times New Roman"/>
                <w:color w:val="auto"/>
                <w:sz w:val="21"/>
                <w:szCs w:val="20"/>
                <w:highlight w:val="none"/>
                <w:lang w:val="en-GB"/>
              </w:rPr>
              <w:t>二级</w:t>
            </w:r>
          </w:p>
        </w:tc>
        <w:tc>
          <w:tcPr>
            <w:tcW w:w="5543" w:type="dxa"/>
            <w:noWrap w:val="0"/>
            <w:vAlign w:val="center"/>
          </w:tcPr>
          <w:p>
            <w:pPr>
              <w:spacing w:line="240" w:lineRule="exact"/>
              <w:ind w:firstLine="0" w:firstLineChars="0"/>
              <w:jc w:val="center"/>
              <w:rPr>
                <w:rFonts w:ascii="Times New Roman" w:hAnsi="Times New Roman" w:eastAsia="宋体" w:cs="Times New Roman"/>
                <w:color w:val="auto"/>
                <w:szCs w:val="20"/>
                <w:highlight w:val="none"/>
                <w:lang w:val="en-GB"/>
              </w:rPr>
            </w:pPr>
            <w:r>
              <w:rPr>
                <w:rFonts w:ascii="Times New Roman" w:hAnsi="Times New Roman" w:eastAsia="宋体" w:cs="Times New Roman"/>
                <w:color w:val="auto"/>
                <w:sz w:val="21"/>
                <w:szCs w:val="20"/>
                <w:highlight w:val="none"/>
              </w:rPr>
              <w:t>1%</w:t>
            </w:r>
            <w:r>
              <w:rPr>
                <w:rFonts w:ascii="Times New Roman" w:hAnsi="Times New Roman" w:eastAsia="宋体" w:cs="Times New Roman"/>
                <w:color w:val="auto"/>
                <w:sz w:val="21"/>
                <w:szCs w:val="20"/>
                <w:highlight w:val="none"/>
                <w:lang w:val="en-GB"/>
              </w:rPr>
              <w:t>≤</w:t>
            </w:r>
            <w:r>
              <w:rPr>
                <w:rFonts w:ascii="Times New Roman" w:hAnsi="Times New Roman" w:eastAsia="宋体" w:cs="Times New Roman"/>
                <w:snapToGrid w:val="0"/>
                <w:color w:val="auto"/>
                <w:kern w:val="24"/>
                <w:sz w:val="21"/>
                <w:szCs w:val="20"/>
                <w:highlight w:val="none"/>
              </w:rPr>
              <w:t>P</w:t>
            </w:r>
            <w:r>
              <w:rPr>
                <w:rFonts w:ascii="Times New Roman" w:hAnsi="Times New Roman" w:eastAsia="宋体" w:cs="Times New Roman"/>
                <w:snapToGrid w:val="0"/>
                <w:color w:val="auto"/>
                <w:kern w:val="24"/>
                <w:sz w:val="21"/>
                <w:szCs w:val="20"/>
                <w:highlight w:val="none"/>
                <w:vertAlign w:val="subscript"/>
              </w:rPr>
              <w:t>max</w:t>
            </w:r>
            <w:r>
              <w:rPr>
                <w:rFonts w:ascii="Times New Roman" w:hAnsi="Times New Roman" w:eastAsia="宋体" w:cs="Times New Roman"/>
                <w:color w:val="auto"/>
                <w:highlight w:val="none"/>
              </w:rPr>
              <w:t>＜</w:t>
            </w:r>
            <w:r>
              <w:rPr>
                <w:rFonts w:ascii="Times New Roman" w:hAnsi="Times New Roman" w:eastAsia="宋体" w:cs="Times New Roman"/>
                <w:snapToGrid w:val="0"/>
                <w:color w:val="auto"/>
                <w:kern w:val="24"/>
                <w:sz w:val="21"/>
                <w:szCs w:val="20"/>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550" w:type="dxa"/>
            <w:noWrap w:val="0"/>
            <w:vAlign w:val="center"/>
          </w:tcPr>
          <w:p>
            <w:pPr>
              <w:spacing w:line="240" w:lineRule="exact"/>
              <w:ind w:firstLine="0" w:firstLineChars="0"/>
              <w:jc w:val="center"/>
              <w:rPr>
                <w:rFonts w:ascii="Times New Roman" w:hAnsi="Times New Roman" w:eastAsia="宋体" w:cs="Times New Roman"/>
                <w:color w:val="auto"/>
                <w:szCs w:val="20"/>
                <w:highlight w:val="none"/>
                <w:lang w:val="en-GB"/>
              </w:rPr>
            </w:pPr>
            <w:r>
              <w:rPr>
                <w:rFonts w:ascii="Times New Roman" w:hAnsi="Times New Roman" w:eastAsia="宋体" w:cs="Times New Roman"/>
                <w:color w:val="auto"/>
                <w:sz w:val="21"/>
                <w:szCs w:val="20"/>
                <w:highlight w:val="none"/>
                <w:lang w:val="en-GB"/>
              </w:rPr>
              <w:t>三级</w:t>
            </w:r>
          </w:p>
        </w:tc>
        <w:tc>
          <w:tcPr>
            <w:tcW w:w="5543" w:type="dxa"/>
            <w:noWrap w:val="0"/>
            <w:vAlign w:val="center"/>
          </w:tcPr>
          <w:p>
            <w:pPr>
              <w:spacing w:line="240" w:lineRule="exact"/>
              <w:ind w:firstLine="0" w:firstLineChars="0"/>
              <w:jc w:val="center"/>
              <w:rPr>
                <w:rFonts w:ascii="Times New Roman" w:hAnsi="Times New Roman" w:eastAsia="宋体" w:cs="Times New Roman"/>
                <w:color w:val="auto"/>
                <w:szCs w:val="20"/>
                <w:highlight w:val="none"/>
              </w:rPr>
            </w:pPr>
            <w:r>
              <w:rPr>
                <w:rFonts w:ascii="Times New Roman" w:hAnsi="Times New Roman" w:eastAsia="宋体" w:cs="Times New Roman"/>
                <w:snapToGrid w:val="0"/>
                <w:color w:val="auto"/>
                <w:kern w:val="24"/>
                <w:sz w:val="21"/>
                <w:szCs w:val="20"/>
                <w:highlight w:val="none"/>
              </w:rPr>
              <w:t>P</w:t>
            </w:r>
            <w:r>
              <w:rPr>
                <w:rFonts w:ascii="Times New Roman" w:hAnsi="Times New Roman" w:eastAsia="宋体" w:cs="Times New Roman"/>
                <w:snapToGrid w:val="0"/>
                <w:color w:val="auto"/>
                <w:kern w:val="24"/>
                <w:sz w:val="21"/>
                <w:szCs w:val="20"/>
                <w:highlight w:val="none"/>
                <w:vertAlign w:val="subscript"/>
              </w:rPr>
              <w:t>max</w:t>
            </w:r>
            <w:r>
              <w:rPr>
                <w:rFonts w:ascii="Times New Roman" w:hAnsi="Times New Roman" w:eastAsia="宋体" w:cs="Times New Roman"/>
                <w:snapToGrid w:val="0"/>
                <w:color w:val="auto"/>
                <w:kern w:val="24"/>
                <w:sz w:val="21"/>
                <w:szCs w:val="20"/>
                <w:highlight w:val="none"/>
              </w:rPr>
              <w:t>&lt;1%</w:t>
            </w:r>
          </w:p>
        </w:tc>
      </w:tr>
    </w:tbl>
    <w:p>
      <w:pPr>
        <w:ind w:firstLine="480"/>
        <w:rPr>
          <w:rFonts w:ascii="Times New Roman" w:hAnsi="Times New Roman" w:eastAsia="宋体" w:cs="Times New Roman"/>
          <w:color w:val="auto"/>
          <w:highlight w:val="none"/>
        </w:rPr>
        <w:sectPr>
          <w:headerReference r:id="rId12" w:type="default"/>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r>
        <w:rPr>
          <w:rFonts w:ascii="Times New Roman" w:hAnsi="Times New Roman" w:eastAsia="宋体" w:cs="Times New Roman"/>
          <w:color w:val="auto"/>
          <w:highlight w:val="none"/>
        </w:rPr>
        <w:t>根据工程分析，项目新增大气污染物有组织排放源强见表1.5-2，无组织废气排放源强见表1.5-3、表1.5-4。</w:t>
      </w:r>
    </w:p>
    <w:p>
      <w:pPr>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b/>
          <w:bCs/>
          <w:color w:val="auto"/>
          <w:szCs w:val="24"/>
          <w:highlight w:val="none"/>
        </w:rPr>
        <w:t>表1.5-2 大气污染物有组织排放源强及参数表</w:t>
      </w:r>
    </w:p>
    <w:tbl>
      <w:tblPr>
        <w:tblStyle w:val="48"/>
        <w:tblW w:w="14173"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974"/>
        <w:gridCol w:w="566"/>
        <w:gridCol w:w="784"/>
        <w:gridCol w:w="1100"/>
        <w:gridCol w:w="883"/>
        <w:gridCol w:w="1131"/>
        <w:gridCol w:w="1098"/>
        <w:gridCol w:w="936"/>
        <w:gridCol w:w="1116"/>
        <w:gridCol w:w="1238"/>
        <w:gridCol w:w="1370"/>
        <w:gridCol w:w="1371"/>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06"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编号</w:t>
            </w:r>
          </w:p>
        </w:tc>
        <w:tc>
          <w:tcPr>
            <w:tcW w:w="1974"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名称</w:t>
            </w:r>
          </w:p>
        </w:tc>
        <w:tc>
          <w:tcPr>
            <w:tcW w:w="1350" w:type="dxa"/>
            <w:gridSpan w:val="2"/>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排气筒底部中心坐标/m</w:t>
            </w:r>
          </w:p>
        </w:tc>
        <w:tc>
          <w:tcPr>
            <w:tcW w:w="1100"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排气筒底部海拔高度/m</w:t>
            </w:r>
          </w:p>
        </w:tc>
        <w:tc>
          <w:tcPr>
            <w:tcW w:w="883"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排气筒高度/m</w:t>
            </w:r>
          </w:p>
        </w:tc>
        <w:tc>
          <w:tcPr>
            <w:tcW w:w="1131"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排气筒出口内径/m</w:t>
            </w:r>
          </w:p>
        </w:tc>
        <w:tc>
          <w:tcPr>
            <w:tcW w:w="1098"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烟气流速/（m/s）</w:t>
            </w:r>
          </w:p>
        </w:tc>
        <w:tc>
          <w:tcPr>
            <w:tcW w:w="936"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烟气温度/℃</w:t>
            </w:r>
          </w:p>
        </w:tc>
        <w:tc>
          <w:tcPr>
            <w:tcW w:w="1116"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年排放小时数/h</w:t>
            </w:r>
          </w:p>
        </w:tc>
        <w:tc>
          <w:tcPr>
            <w:tcW w:w="1238"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排放工况</w:t>
            </w:r>
          </w:p>
        </w:tc>
        <w:tc>
          <w:tcPr>
            <w:tcW w:w="2741" w:type="dxa"/>
            <w:gridSpan w:val="2"/>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污染物排放速率/（kg/h）</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06" w:type="dxa"/>
            <w:vMerge w:val="continue"/>
            <w:noWrap w:val="0"/>
            <w:vAlign w:val="center"/>
          </w:tcPr>
          <w:p>
            <w:pPr>
              <w:spacing w:line="240" w:lineRule="auto"/>
              <w:ind w:firstLine="422"/>
              <w:jc w:val="left"/>
              <w:rPr>
                <w:rFonts w:ascii="Times New Roman" w:hAnsi="Times New Roman" w:eastAsia="宋体" w:cs="Times New Roman"/>
                <w:b/>
                <w:bCs/>
                <w:color w:val="auto"/>
                <w:sz w:val="21"/>
                <w:highlight w:val="none"/>
              </w:rPr>
            </w:pPr>
          </w:p>
        </w:tc>
        <w:tc>
          <w:tcPr>
            <w:tcW w:w="1974" w:type="dxa"/>
            <w:vMerge w:val="continue"/>
            <w:noWrap w:val="0"/>
            <w:vAlign w:val="center"/>
          </w:tcPr>
          <w:p>
            <w:pPr>
              <w:spacing w:line="240" w:lineRule="auto"/>
              <w:ind w:firstLine="422"/>
              <w:jc w:val="left"/>
              <w:rPr>
                <w:rFonts w:ascii="Times New Roman" w:hAnsi="Times New Roman" w:eastAsia="宋体" w:cs="Times New Roman"/>
                <w:b/>
                <w:bCs/>
                <w:color w:val="auto"/>
                <w:sz w:val="21"/>
                <w:highlight w:val="none"/>
              </w:rPr>
            </w:pPr>
          </w:p>
        </w:tc>
        <w:tc>
          <w:tcPr>
            <w:tcW w:w="566"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X</w:t>
            </w:r>
          </w:p>
        </w:tc>
        <w:tc>
          <w:tcPr>
            <w:tcW w:w="784"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Y</w:t>
            </w:r>
          </w:p>
        </w:tc>
        <w:tc>
          <w:tcPr>
            <w:tcW w:w="1100" w:type="dxa"/>
            <w:vMerge w:val="continue"/>
            <w:noWrap w:val="0"/>
            <w:vAlign w:val="center"/>
          </w:tcPr>
          <w:p>
            <w:pPr>
              <w:spacing w:line="240" w:lineRule="auto"/>
              <w:ind w:firstLine="422"/>
              <w:jc w:val="left"/>
              <w:rPr>
                <w:rFonts w:ascii="Times New Roman" w:hAnsi="Times New Roman" w:eastAsia="宋体" w:cs="Times New Roman"/>
                <w:b/>
                <w:bCs/>
                <w:color w:val="auto"/>
                <w:sz w:val="21"/>
                <w:highlight w:val="none"/>
              </w:rPr>
            </w:pPr>
          </w:p>
        </w:tc>
        <w:tc>
          <w:tcPr>
            <w:tcW w:w="883" w:type="dxa"/>
            <w:vMerge w:val="continue"/>
            <w:noWrap w:val="0"/>
            <w:vAlign w:val="center"/>
          </w:tcPr>
          <w:p>
            <w:pPr>
              <w:spacing w:line="240" w:lineRule="auto"/>
              <w:ind w:firstLine="422"/>
              <w:jc w:val="left"/>
              <w:rPr>
                <w:rFonts w:ascii="Times New Roman" w:hAnsi="Times New Roman" w:eastAsia="宋体" w:cs="Times New Roman"/>
                <w:b/>
                <w:bCs/>
                <w:color w:val="auto"/>
                <w:sz w:val="21"/>
                <w:highlight w:val="none"/>
              </w:rPr>
            </w:pPr>
          </w:p>
        </w:tc>
        <w:tc>
          <w:tcPr>
            <w:tcW w:w="1131" w:type="dxa"/>
            <w:vMerge w:val="continue"/>
            <w:noWrap w:val="0"/>
            <w:vAlign w:val="center"/>
          </w:tcPr>
          <w:p>
            <w:pPr>
              <w:spacing w:line="240" w:lineRule="auto"/>
              <w:ind w:firstLine="422"/>
              <w:jc w:val="left"/>
              <w:rPr>
                <w:rFonts w:ascii="Times New Roman" w:hAnsi="Times New Roman" w:eastAsia="宋体" w:cs="Times New Roman"/>
                <w:b/>
                <w:bCs/>
                <w:color w:val="auto"/>
                <w:sz w:val="21"/>
                <w:highlight w:val="none"/>
              </w:rPr>
            </w:pPr>
          </w:p>
        </w:tc>
        <w:tc>
          <w:tcPr>
            <w:tcW w:w="1098" w:type="dxa"/>
            <w:vMerge w:val="continue"/>
            <w:noWrap w:val="0"/>
            <w:vAlign w:val="center"/>
          </w:tcPr>
          <w:p>
            <w:pPr>
              <w:spacing w:line="240" w:lineRule="auto"/>
              <w:ind w:firstLine="422"/>
              <w:jc w:val="left"/>
              <w:rPr>
                <w:rFonts w:ascii="Times New Roman" w:hAnsi="Times New Roman" w:eastAsia="宋体" w:cs="Times New Roman"/>
                <w:b/>
                <w:bCs/>
                <w:color w:val="auto"/>
                <w:sz w:val="21"/>
                <w:highlight w:val="none"/>
              </w:rPr>
            </w:pPr>
          </w:p>
        </w:tc>
        <w:tc>
          <w:tcPr>
            <w:tcW w:w="936" w:type="dxa"/>
            <w:vMerge w:val="continue"/>
            <w:noWrap w:val="0"/>
            <w:vAlign w:val="center"/>
          </w:tcPr>
          <w:p>
            <w:pPr>
              <w:spacing w:line="240" w:lineRule="auto"/>
              <w:ind w:firstLine="422"/>
              <w:jc w:val="left"/>
              <w:rPr>
                <w:rFonts w:ascii="Times New Roman" w:hAnsi="Times New Roman" w:eastAsia="宋体" w:cs="Times New Roman"/>
                <w:b/>
                <w:bCs/>
                <w:color w:val="auto"/>
                <w:sz w:val="21"/>
                <w:highlight w:val="none"/>
              </w:rPr>
            </w:pPr>
          </w:p>
        </w:tc>
        <w:tc>
          <w:tcPr>
            <w:tcW w:w="1116" w:type="dxa"/>
            <w:vMerge w:val="continue"/>
            <w:noWrap w:val="0"/>
            <w:vAlign w:val="center"/>
          </w:tcPr>
          <w:p>
            <w:pPr>
              <w:spacing w:line="240" w:lineRule="auto"/>
              <w:ind w:firstLine="422"/>
              <w:jc w:val="left"/>
              <w:rPr>
                <w:rFonts w:ascii="Times New Roman" w:hAnsi="Times New Roman" w:eastAsia="宋体" w:cs="Times New Roman"/>
                <w:b/>
                <w:bCs/>
                <w:color w:val="auto"/>
                <w:sz w:val="21"/>
                <w:highlight w:val="none"/>
              </w:rPr>
            </w:pPr>
          </w:p>
        </w:tc>
        <w:tc>
          <w:tcPr>
            <w:tcW w:w="1238" w:type="dxa"/>
            <w:vMerge w:val="continue"/>
            <w:noWrap w:val="0"/>
            <w:vAlign w:val="center"/>
          </w:tcPr>
          <w:p>
            <w:pPr>
              <w:spacing w:line="240" w:lineRule="auto"/>
              <w:ind w:firstLine="422"/>
              <w:jc w:val="left"/>
              <w:rPr>
                <w:rFonts w:ascii="Times New Roman" w:hAnsi="Times New Roman" w:eastAsia="宋体" w:cs="Times New Roman"/>
                <w:b/>
                <w:bCs/>
                <w:color w:val="auto"/>
                <w:sz w:val="21"/>
                <w:highlight w:val="none"/>
              </w:rPr>
            </w:pPr>
          </w:p>
        </w:tc>
        <w:tc>
          <w:tcPr>
            <w:tcW w:w="1370"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PM</w:t>
            </w:r>
            <w:r>
              <w:rPr>
                <w:rFonts w:ascii="Times New Roman" w:hAnsi="Times New Roman" w:eastAsia="宋体" w:cs="Times New Roman"/>
                <w:b/>
                <w:bCs/>
                <w:color w:val="auto"/>
                <w:sz w:val="21"/>
                <w:highlight w:val="none"/>
                <w:vertAlign w:val="subscript"/>
              </w:rPr>
              <w:t>10</w:t>
            </w:r>
          </w:p>
        </w:tc>
        <w:tc>
          <w:tcPr>
            <w:tcW w:w="1371"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PM</w:t>
            </w:r>
            <w:r>
              <w:rPr>
                <w:rFonts w:ascii="Times New Roman" w:hAnsi="Times New Roman" w:eastAsia="宋体" w:cs="Times New Roman"/>
                <w:b/>
                <w:bCs/>
                <w:color w:val="auto"/>
                <w:sz w:val="21"/>
                <w:highlight w:val="none"/>
                <w:vertAlign w:val="subscript"/>
              </w:rPr>
              <w:t>2.5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0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97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w:t>
            </w:r>
            <w:r>
              <w:rPr>
                <w:rFonts w:ascii="Times New Roman" w:hAnsi="Times New Roman" w:eastAsia="宋体" w:cs="Times New Roman"/>
                <w:color w:val="auto"/>
                <w:sz w:val="21"/>
                <w:highlight w:val="none"/>
              </w:rPr>
              <w:t>破碎</w:t>
            </w:r>
            <w:r>
              <w:rPr>
                <w:rFonts w:hint="eastAsia" w:ascii="Times New Roman" w:hAnsi="Times New Roman" w:eastAsia="宋体"/>
                <w:color w:val="auto"/>
                <w:sz w:val="21"/>
                <w:highlight w:val="none"/>
              </w:rPr>
              <w:t>①</w:t>
            </w:r>
          </w:p>
        </w:tc>
        <w:tc>
          <w:tcPr>
            <w:tcW w:w="56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482</w:t>
            </w:r>
          </w:p>
        </w:tc>
        <w:tc>
          <w:tcPr>
            <w:tcW w:w="78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153</w:t>
            </w:r>
          </w:p>
        </w:tc>
        <w:tc>
          <w:tcPr>
            <w:tcW w:w="110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264</w:t>
            </w:r>
          </w:p>
        </w:tc>
        <w:tc>
          <w:tcPr>
            <w:tcW w:w="88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113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c>
          <w:tcPr>
            <w:tcW w:w="109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14.2</w:t>
            </w:r>
          </w:p>
        </w:tc>
        <w:tc>
          <w:tcPr>
            <w:tcW w:w="93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r>
              <w:rPr>
                <w:rFonts w:hint="eastAsia" w:ascii="Times New Roman" w:hAnsi="Times New Roman" w:eastAsia="宋体" w:cs="Times New Roman"/>
                <w:color w:val="auto"/>
                <w:sz w:val="21"/>
                <w:highlight w:val="none"/>
              </w:rPr>
              <w:t>5</w:t>
            </w:r>
          </w:p>
        </w:tc>
        <w:tc>
          <w:tcPr>
            <w:tcW w:w="111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2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137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07</w:t>
            </w:r>
          </w:p>
        </w:tc>
        <w:tc>
          <w:tcPr>
            <w:tcW w:w="137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035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0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197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w:t>
            </w:r>
            <w:r>
              <w:rPr>
                <w:rFonts w:hint="eastAsia" w:ascii="Times New Roman" w:hAnsi="Times New Roman" w:eastAsia="宋体"/>
                <w:color w:val="auto"/>
                <w:sz w:val="21"/>
                <w:highlight w:val="none"/>
              </w:rPr>
              <w:t>①</w:t>
            </w:r>
          </w:p>
        </w:tc>
        <w:tc>
          <w:tcPr>
            <w:tcW w:w="56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501</w:t>
            </w:r>
          </w:p>
        </w:tc>
        <w:tc>
          <w:tcPr>
            <w:tcW w:w="78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146</w:t>
            </w:r>
          </w:p>
        </w:tc>
        <w:tc>
          <w:tcPr>
            <w:tcW w:w="110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261</w:t>
            </w:r>
          </w:p>
        </w:tc>
        <w:tc>
          <w:tcPr>
            <w:tcW w:w="88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113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c>
          <w:tcPr>
            <w:tcW w:w="109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14.2</w:t>
            </w:r>
          </w:p>
        </w:tc>
        <w:tc>
          <w:tcPr>
            <w:tcW w:w="93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r>
              <w:rPr>
                <w:rFonts w:hint="eastAsia" w:ascii="Times New Roman" w:hAnsi="Times New Roman" w:eastAsia="宋体" w:cs="Times New Roman"/>
                <w:color w:val="auto"/>
                <w:sz w:val="21"/>
                <w:highlight w:val="none"/>
              </w:rPr>
              <w:t>5</w:t>
            </w:r>
          </w:p>
        </w:tc>
        <w:tc>
          <w:tcPr>
            <w:tcW w:w="111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2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137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14</w:t>
            </w:r>
          </w:p>
        </w:tc>
        <w:tc>
          <w:tcPr>
            <w:tcW w:w="137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0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197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①</w:t>
            </w:r>
          </w:p>
        </w:tc>
        <w:tc>
          <w:tcPr>
            <w:tcW w:w="56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500</w:t>
            </w:r>
          </w:p>
        </w:tc>
        <w:tc>
          <w:tcPr>
            <w:tcW w:w="78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118</w:t>
            </w:r>
          </w:p>
        </w:tc>
        <w:tc>
          <w:tcPr>
            <w:tcW w:w="110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252</w:t>
            </w:r>
          </w:p>
        </w:tc>
        <w:tc>
          <w:tcPr>
            <w:tcW w:w="88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113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c>
          <w:tcPr>
            <w:tcW w:w="109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14.2</w:t>
            </w:r>
          </w:p>
        </w:tc>
        <w:tc>
          <w:tcPr>
            <w:tcW w:w="93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r>
              <w:rPr>
                <w:rFonts w:hint="eastAsia" w:ascii="Times New Roman" w:hAnsi="Times New Roman" w:eastAsia="宋体" w:cs="Times New Roman"/>
                <w:color w:val="auto"/>
                <w:sz w:val="21"/>
                <w:highlight w:val="none"/>
              </w:rPr>
              <w:t>5</w:t>
            </w:r>
          </w:p>
        </w:tc>
        <w:tc>
          <w:tcPr>
            <w:tcW w:w="111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2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137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28</w:t>
            </w:r>
          </w:p>
        </w:tc>
        <w:tc>
          <w:tcPr>
            <w:tcW w:w="137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14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0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w:t>
            </w:r>
          </w:p>
        </w:tc>
        <w:tc>
          <w:tcPr>
            <w:tcW w:w="197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w:t>
            </w:r>
            <w:r>
              <w:rPr>
                <w:rFonts w:ascii="Times New Roman" w:hAnsi="Times New Roman" w:eastAsia="宋体" w:cs="Times New Roman"/>
                <w:color w:val="auto"/>
                <w:sz w:val="21"/>
                <w:highlight w:val="none"/>
              </w:rPr>
              <w:t>破碎</w:t>
            </w:r>
            <w:r>
              <w:rPr>
                <w:rFonts w:hint="eastAsia" w:ascii="Times New Roman" w:hAnsi="Times New Roman" w:eastAsia="宋体"/>
                <w:color w:val="auto"/>
                <w:sz w:val="21"/>
                <w:highlight w:val="none"/>
              </w:rPr>
              <w:t>②</w:t>
            </w:r>
          </w:p>
        </w:tc>
        <w:tc>
          <w:tcPr>
            <w:tcW w:w="56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78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w:t>
            </w:r>
          </w:p>
        </w:tc>
        <w:tc>
          <w:tcPr>
            <w:tcW w:w="110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233</w:t>
            </w:r>
          </w:p>
        </w:tc>
        <w:tc>
          <w:tcPr>
            <w:tcW w:w="88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113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c>
          <w:tcPr>
            <w:tcW w:w="109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14.2</w:t>
            </w:r>
          </w:p>
        </w:tc>
        <w:tc>
          <w:tcPr>
            <w:tcW w:w="93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r>
              <w:rPr>
                <w:rFonts w:hint="eastAsia" w:ascii="Times New Roman" w:hAnsi="Times New Roman" w:eastAsia="宋体" w:cs="Times New Roman"/>
                <w:color w:val="auto"/>
                <w:sz w:val="21"/>
                <w:highlight w:val="none"/>
              </w:rPr>
              <w:t>5</w:t>
            </w:r>
          </w:p>
        </w:tc>
        <w:tc>
          <w:tcPr>
            <w:tcW w:w="1116"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2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137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07</w:t>
            </w:r>
          </w:p>
        </w:tc>
        <w:tc>
          <w:tcPr>
            <w:tcW w:w="137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035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0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p>
        </w:tc>
        <w:tc>
          <w:tcPr>
            <w:tcW w:w="197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二级破碎筛分</w:t>
            </w:r>
            <w:r>
              <w:rPr>
                <w:rFonts w:hint="eastAsia" w:ascii="Times New Roman" w:hAnsi="Times New Roman" w:eastAsia="宋体"/>
                <w:color w:val="auto"/>
                <w:sz w:val="21"/>
                <w:highlight w:val="none"/>
              </w:rPr>
              <w:t>②</w:t>
            </w:r>
          </w:p>
        </w:tc>
        <w:tc>
          <w:tcPr>
            <w:tcW w:w="56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784"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10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230</w:t>
            </w:r>
          </w:p>
        </w:tc>
        <w:tc>
          <w:tcPr>
            <w:tcW w:w="88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113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c>
          <w:tcPr>
            <w:tcW w:w="109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14.2</w:t>
            </w:r>
          </w:p>
        </w:tc>
        <w:tc>
          <w:tcPr>
            <w:tcW w:w="93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r>
              <w:rPr>
                <w:rFonts w:hint="eastAsia" w:ascii="Times New Roman" w:hAnsi="Times New Roman" w:eastAsia="宋体" w:cs="Times New Roman"/>
                <w:color w:val="auto"/>
                <w:sz w:val="21"/>
                <w:highlight w:val="none"/>
              </w:rPr>
              <w:t>5</w:t>
            </w:r>
          </w:p>
        </w:tc>
        <w:tc>
          <w:tcPr>
            <w:tcW w:w="1116"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2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137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14</w:t>
            </w:r>
          </w:p>
        </w:tc>
        <w:tc>
          <w:tcPr>
            <w:tcW w:w="137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0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w:t>
            </w:r>
          </w:p>
        </w:tc>
        <w:tc>
          <w:tcPr>
            <w:tcW w:w="197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②</w:t>
            </w:r>
          </w:p>
        </w:tc>
        <w:tc>
          <w:tcPr>
            <w:tcW w:w="56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w:t>
            </w:r>
          </w:p>
        </w:tc>
        <w:tc>
          <w:tcPr>
            <w:tcW w:w="78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w:t>
            </w:r>
          </w:p>
        </w:tc>
        <w:tc>
          <w:tcPr>
            <w:tcW w:w="110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230</w:t>
            </w:r>
          </w:p>
        </w:tc>
        <w:tc>
          <w:tcPr>
            <w:tcW w:w="88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113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c>
          <w:tcPr>
            <w:tcW w:w="109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14.2</w:t>
            </w:r>
          </w:p>
        </w:tc>
        <w:tc>
          <w:tcPr>
            <w:tcW w:w="93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r>
              <w:rPr>
                <w:rFonts w:hint="eastAsia" w:ascii="Times New Roman" w:hAnsi="Times New Roman" w:eastAsia="宋体" w:cs="Times New Roman"/>
                <w:color w:val="auto"/>
                <w:sz w:val="21"/>
                <w:highlight w:val="none"/>
              </w:rPr>
              <w:t>5</w:t>
            </w:r>
          </w:p>
        </w:tc>
        <w:tc>
          <w:tcPr>
            <w:tcW w:w="1116"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2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137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028</w:t>
            </w:r>
          </w:p>
        </w:tc>
        <w:tc>
          <w:tcPr>
            <w:tcW w:w="137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14</w:t>
            </w:r>
          </w:p>
        </w:tc>
      </w:tr>
    </w:tbl>
    <w:p>
      <w:pPr>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表1.5-3 矩形面源参数表</w:t>
      </w:r>
    </w:p>
    <w:tbl>
      <w:tblPr>
        <w:tblStyle w:val="48"/>
        <w:tblW w:w="14174"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860"/>
        <w:gridCol w:w="570"/>
        <w:gridCol w:w="642"/>
        <w:gridCol w:w="1097"/>
        <w:gridCol w:w="900"/>
        <w:gridCol w:w="1000"/>
        <w:gridCol w:w="1366"/>
        <w:gridCol w:w="1334"/>
        <w:gridCol w:w="1150"/>
        <w:gridCol w:w="1133"/>
        <w:gridCol w:w="2672"/>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编号</w:t>
            </w:r>
          </w:p>
        </w:tc>
        <w:tc>
          <w:tcPr>
            <w:tcW w:w="1860"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名称</w:t>
            </w:r>
          </w:p>
        </w:tc>
        <w:tc>
          <w:tcPr>
            <w:tcW w:w="1212" w:type="dxa"/>
            <w:gridSpan w:val="2"/>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面源起点坐标/m</w:t>
            </w:r>
          </w:p>
        </w:tc>
        <w:tc>
          <w:tcPr>
            <w:tcW w:w="1097"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面源海拔高度/m</w:t>
            </w:r>
          </w:p>
        </w:tc>
        <w:tc>
          <w:tcPr>
            <w:tcW w:w="900"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面源长度/m</w:t>
            </w:r>
          </w:p>
        </w:tc>
        <w:tc>
          <w:tcPr>
            <w:tcW w:w="1000"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面源宽度/m</w:t>
            </w:r>
          </w:p>
        </w:tc>
        <w:tc>
          <w:tcPr>
            <w:tcW w:w="1366"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与正北向夹角/（°）</w:t>
            </w:r>
          </w:p>
        </w:tc>
        <w:tc>
          <w:tcPr>
            <w:tcW w:w="1334"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面源有效排放高度/m</w:t>
            </w:r>
          </w:p>
        </w:tc>
        <w:tc>
          <w:tcPr>
            <w:tcW w:w="1150"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年排放小时数/h</w:t>
            </w:r>
          </w:p>
        </w:tc>
        <w:tc>
          <w:tcPr>
            <w:tcW w:w="1133"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排放工况</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污染物排放速率/（kg/h）</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vMerge w:val="continue"/>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1860" w:type="dxa"/>
            <w:vMerge w:val="continue"/>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570"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X</w:t>
            </w:r>
          </w:p>
        </w:tc>
        <w:tc>
          <w:tcPr>
            <w:tcW w:w="642"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Y</w:t>
            </w:r>
          </w:p>
        </w:tc>
        <w:tc>
          <w:tcPr>
            <w:tcW w:w="1097" w:type="dxa"/>
            <w:vMerge w:val="continue"/>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900" w:type="dxa"/>
            <w:vMerge w:val="continue"/>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1000" w:type="dxa"/>
            <w:vMerge w:val="continue"/>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1366" w:type="dxa"/>
            <w:vMerge w:val="continue"/>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1334" w:type="dxa"/>
            <w:vMerge w:val="continue"/>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1150" w:type="dxa"/>
            <w:vMerge w:val="continue"/>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1133" w:type="dxa"/>
            <w:vMerge w:val="continue"/>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2672"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TSP</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86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凿岩钻孔</w:t>
            </w:r>
          </w:p>
        </w:tc>
        <w:tc>
          <w:tcPr>
            <w:tcW w:w="57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210</w:t>
            </w:r>
          </w:p>
        </w:tc>
        <w:tc>
          <w:tcPr>
            <w:tcW w:w="64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91</w:t>
            </w:r>
          </w:p>
        </w:tc>
        <w:tc>
          <w:tcPr>
            <w:tcW w:w="109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270</w:t>
            </w:r>
          </w:p>
        </w:tc>
        <w:tc>
          <w:tcPr>
            <w:tcW w:w="9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20</w:t>
            </w:r>
            <w:r>
              <w:rPr>
                <w:rFonts w:ascii="Times New Roman" w:hAnsi="Times New Roman" w:eastAsia="宋体" w:cs="Times New Roman"/>
                <w:color w:val="auto"/>
                <w:sz w:val="21"/>
                <w:highlight w:val="none"/>
              </w:rPr>
              <w:t>0</w:t>
            </w:r>
          </w:p>
        </w:tc>
        <w:tc>
          <w:tcPr>
            <w:tcW w:w="10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r>
              <w:rPr>
                <w:rFonts w:ascii="Times New Roman" w:hAnsi="Times New Roman" w:eastAsia="宋体" w:cs="Times New Roman"/>
                <w:color w:val="auto"/>
                <w:sz w:val="21"/>
                <w:highlight w:val="none"/>
              </w:rPr>
              <w:t>00</w:t>
            </w:r>
          </w:p>
        </w:tc>
        <w:tc>
          <w:tcPr>
            <w:tcW w:w="1366"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r>
              <w:rPr>
                <w:rFonts w:ascii="Times New Roman" w:hAnsi="Times New Roman" w:eastAsia="宋体" w:cs="Times New Roman"/>
                <w:color w:val="auto"/>
                <w:sz w:val="21"/>
                <w:highlight w:val="none"/>
              </w:rPr>
              <w:t>0</w:t>
            </w:r>
          </w:p>
        </w:tc>
        <w:tc>
          <w:tcPr>
            <w:tcW w:w="11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083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186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采装</w:t>
            </w:r>
          </w:p>
        </w:tc>
        <w:tc>
          <w:tcPr>
            <w:tcW w:w="57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236</w:t>
            </w:r>
          </w:p>
        </w:tc>
        <w:tc>
          <w:tcPr>
            <w:tcW w:w="64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108</w:t>
            </w:r>
          </w:p>
        </w:tc>
        <w:tc>
          <w:tcPr>
            <w:tcW w:w="109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260</w:t>
            </w:r>
          </w:p>
        </w:tc>
        <w:tc>
          <w:tcPr>
            <w:tcW w:w="9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30</w:t>
            </w:r>
            <w:r>
              <w:rPr>
                <w:rFonts w:ascii="Times New Roman" w:hAnsi="Times New Roman" w:eastAsia="宋体" w:cs="Times New Roman"/>
                <w:color w:val="auto"/>
                <w:sz w:val="21"/>
                <w:highlight w:val="none"/>
              </w:rPr>
              <w:t>0</w:t>
            </w:r>
          </w:p>
        </w:tc>
        <w:tc>
          <w:tcPr>
            <w:tcW w:w="10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r>
              <w:rPr>
                <w:rFonts w:ascii="Times New Roman" w:hAnsi="Times New Roman" w:eastAsia="宋体" w:cs="Times New Roman"/>
                <w:color w:val="auto"/>
                <w:sz w:val="21"/>
                <w:highlight w:val="none"/>
              </w:rPr>
              <w:t>00</w:t>
            </w:r>
          </w:p>
        </w:tc>
        <w:tc>
          <w:tcPr>
            <w:tcW w:w="1366"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w:t>
            </w:r>
          </w:p>
        </w:tc>
        <w:tc>
          <w:tcPr>
            <w:tcW w:w="11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0.625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186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落料</w:t>
            </w:r>
          </w:p>
        </w:tc>
        <w:tc>
          <w:tcPr>
            <w:tcW w:w="57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284</w:t>
            </w:r>
          </w:p>
        </w:tc>
        <w:tc>
          <w:tcPr>
            <w:tcW w:w="64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130</w:t>
            </w:r>
          </w:p>
        </w:tc>
        <w:tc>
          <w:tcPr>
            <w:tcW w:w="109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240</w:t>
            </w:r>
          </w:p>
        </w:tc>
        <w:tc>
          <w:tcPr>
            <w:tcW w:w="9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30</w:t>
            </w:r>
            <w:r>
              <w:rPr>
                <w:rFonts w:ascii="Times New Roman" w:hAnsi="Times New Roman" w:eastAsia="宋体" w:cs="Times New Roman"/>
                <w:color w:val="auto"/>
                <w:sz w:val="21"/>
                <w:highlight w:val="none"/>
              </w:rPr>
              <w:t>0</w:t>
            </w:r>
          </w:p>
        </w:tc>
        <w:tc>
          <w:tcPr>
            <w:tcW w:w="10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20</w:t>
            </w:r>
            <w:r>
              <w:rPr>
                <w:rFonts w:ascii="Times New Roman" w:hAnsi="Times New Roman" w:eastAsia="宋体" w:cs="Times New Roman"/>
                <w:color w:val="auto"/>
                <w:sz w:val="21"/>
                <w:highlight w:val="none"/>
              </w:rPr>
              <w:t>0</w:t>
            </w:r>
          </w:p>
        </w:tc>
        <w:tc>
          <w:tcPr>
            <w:tcW w:w="136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p>
        </w:tc>
        <w:tc>
          <w:tcPr>
            <w:tcW w:w="11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37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86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装卸</w:t>
            </w:r>
          </w:p>
        </w:tc>
        <w:tc>
          <w:tcPr>
            <w:tcW w:w="57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291</w:t>
            </w:r>
          </w:p>
        </w:tc>
        <w:tc>
          <w:tcPr>
            <w:tcW w:w="64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157</w:t>
            </w:r>
          </w:p>
        </w:tc>
        <w:tc>
          <w:tcPr>
            <w:tcW w:w="109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240</w:t>
            </w:r>
          </w:p>
        </w:tc>
        <w:tc>
          <w:tcPr>
            <w:tcW w:w="9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300</w:t>
            </w:r>
          </w:p>
        </w:tc>
        <w:tc>
          <w:tcPr>
            <w:tcW w:w="10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200</w:t>
            </w:r>
          </w:p>
        </w:tc>
        <w:tc>
          <w:tcPr>
            <w:tcW w:w="136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c>
          <w:tcPr>
            <w:tcW w:w="115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0.035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p>
        </w:tc>
        <w:tc>
          <w:tcPr>
            <w:tcW w:w="18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w:t>
            </w:r>
            <w:r>
              <w:rPr>
                <w:rFonts w:ascii="Times New Roman" w:hAnsi="Times New Roman" w:eastAsia="宋体" w:cs="Times New Roman"/>
                <w:color w:val="auto"/>
                <w:sz w:val="21"/>
                <w:highlight w:val="none"/>
              </w:rPr>
              <w:t>破碎</w:t>
            </w:r>
            <w:r>
              <w:rPr>
                <w:rFonts w:hint="eastAsia" w:ascii="Times New Roman" w:hAnsi="Times New Roman" w:eastAsia="宋体"/>
                <w:color w:val="auto"/>
                <w:sz w:val="21"/>
                <w:highlight w:val="none"/>
              </w:rPr>
              <w:t>①</w:t>
            </w:r>
          </w:p>
        </w:tc>
        <w:tc>
          <w:tcPr>
            <w:tcW w:w="5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482</w:t>
            </w:r>
          </w:p>
        </w:tc>
        <w:tc>
          <w:tcPr>
            <w:tcW w:w="6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153</w:t>
            </w:r>
          </w:p>
        </w:tc>
        <w:tc>
          <w:tcPr>
            <w:tcW w:w="109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264</w:t>
            </w:r>
          </w:p>
        </w:tc>
        <w:tc>
          <w:tcPr>
            <w:tcW w:w="9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0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366"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15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0.078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w:t>
            </w:r>
          </w:p>
        </w:tc>
        <w:tc>
          <w:tcPr>
            <w:tcW w:w="186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w:t>
            </w:r>
            <w:r>
              <w:rPr>
                <w:rFonts w:hint="eastAsia" w:ascii="Times New Roman" w:hAnsi="Times New Roman" w:eastAsia="宋体"/>
                <w:color w:val="auto"/>
                <w:sz w:val="21"/>
                <w:highlight w:val="none"/>
              </w:rPr>
              <w:t>①</w:t>
            </w:r>
          </w:p>
        </w:tc>
        <w:tc>
          <w:tcPr>
            <w:tcW w:w="5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501</w:t>
            </w:r>
          </w:p>
        </w:tc>
        <w:tc>
          <w:tcPr>
            <w:tcW w:w="6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146</w:t>
            </w:r>
          </w:p>
        </w:tc>
        <w:tc>
          <w:tcPr>
            <w:tcW w:w="109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261</w:t>
            </w:r>
          </w:p>
        </w:tc>
        <w:tc>
          <w:tcPr>
            <w:tcW w:w="90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00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366"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15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0.156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w:t>
            </w:r>
          </w:p>
        </w:tc>
        <w:tc>
          <w:tcPr>
            <w:tcW w:w="186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①</w:t>
            </w:r>
          </w:p>
        </w:tc>
        <w:tc>
          <w:tcPr>
            <w:tcW w:w="5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500</w:t>
            </w:r>
          </w:p>
        </w:tc>
        <w:tc>
          <w:tcPr>
            <w:tcW w:w="6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118</w:t>
            </w:r>
          </w:p>
        </w:tc>
        <w:tc>
          <w:tcPr>
            <w:tcW w:w="109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252</w:t>
            </w:r>
          </w:p>
        </w:tc>
        <w:tc>
          <w:tcPr>
            <w:tcW w:w="90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00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366"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15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0.312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w:t>
            </w:r>
          </w:p>
        </w:tc>
        <w:tc>
          <w:tcPr>
            <w:tcW w:w="186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w:t>
            </w:r>
            <w:r>
              <w:rPr>
                <w:rFonts w:ascii="Times New Roman" w:hAnsi="Times New Roman" w:eastAsia="宋体" w:cs="Times New Roman"/>
                <w:color w:val="auto"/>
                <w:sz w:val="21"/>
                <w:highlight w:val="none"/>
              </w:rPr>
              <w:t>破碎</w:t>
            </w:r>
            <w:r>
              <w:rPr>
                <w:rFonts w:hint="eastAsia" w:ascii="Times New Roman" w:hAnsi="Times New Roman" w:eastAsia="宋体"/>
                <w:color w:val="auto"/>
                <w:sz w:val="21"/>
                <w:highlight w:val="none"/>
              </w:rPr>
              <w:t>②</w:t>
            </w:r>
          </w:p>
        </w:tc>
        <w:tc>
          <w:tcPr>
            <w:tcW w:w="5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6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w:t>
            </w:r>
          </w:p>
        </w:tc>
        <w:tc>
          <w:tcPr>
            <w:tcW w:w="109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233</w:t>
            </w:r>
          </w:p>
        </w:tc>
        <w:tc>
          <w:tcPr>
            <w:tcW w:w="90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00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366"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15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0.078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w:t>
            </w:r>
          </w:p>
        </w:tc>
        <w:tc>
          <w:tcPr>
            <w:tcW w:w="186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二级破碎筛分</w:t>
            </w:r>
            <w:r>
              <w:rPr>
                <w:rFonts w:hint="eastAsia" w:ascii="Times New Roman" w:hAnsi="Times New Roman" w:eastAsia="宋体"/>
                <w:color w:val="auto"/>
                <w:sz w:val="21"/>
                <w:highlight w:val="none"/>
              </w:rPr>
              <w:t>②</w:t>
            </w:r>
          </w:p>
        </w:tc>
        <w:tc>
          <w:tcPr>
            <w:tcW w:w="5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6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09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230</w:t>
            </w:r>
          </w:p>
        </w:tc>
        <w:tc>
          <w:tcPr>
            <w:tcW w:w="90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00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366"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15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0.312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86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②</w:t>
            </w:r>
          </w:p>
        </w:tc>
        <w:tc>
          <w:tcPr>
            <w:tcW w:w="5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w:t>
            </w:r>
          </w:p>
        </w:tc>
        <w:tc>
          <w:tcPr>
            <w:tcW w:w="6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w:t>
            </w:r>
          </w:p>
        </w:tc>
        <w:tc>
          <w:tcPr>
            <w:tcW w:w="109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230</w:t>
            </w:r>
          </w:p>
        </w:tc>
        <w:tc>
          <w:tcPr>
            <w:tcW w:w="90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00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366"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15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0.031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11</w:t>
            </w:r>
          </w:p>
        </w:tc>
        <w:tc>
          <w:tcPr>
            <w:tcW w:w="186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临时排土场</w:t>
            </w:r>
            <w:r>
              <w:rPr>
                <w:rFonts w:hint="eastAsia" w:ascii="Times New Roman" w:hAnsi="Times New Roman" w:eastAsia="宋体"/>
                <w:color w:val="auto"/>
                <w:sz w:val="21"/>
                <w:highlight w:val="none"/>
              </w:rPr>
              <w:t>①</w:t>
            </w:r>
          </w:p>
        </w:tc>
        <w:tc>
          <w:tcPr>
            <w:tcW w:w="57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440</w:t>
            </w:r>
          </w:p>
        </w:tc>
        <w:tc>
          <w:tcPr>
            <w:tcW w:w="64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91</w:t>
            </w:r>
          </w:p>
        </w:tc>
        <w:tc>
          <w:tcPr>
            <w:tcW w:w="109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240</w:t>
            </w:r>
          </w:p>
        </w:tc>
        <w:tc>
          <w:tcPr>
            <w:tcW w:w="9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50</w:t>
            </w:r>
          </w:p>
        </w:tc>
        <w:tc>
          <w:tcPr>
            <w:tcW w:w="10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w:t>
            </w:r>
          </w:p>
        </w:tc>
        <w:tc>
          <w:tcPr>
            <w:tcW w:w="136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p>
        </w:tc>
        <w:tc>
          <w:tcPr>
            <w:tcW w:w="11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0417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12</w:t>
            </w:r>
          </w:p>
        </w:tc>
        <w:tc>
          <w:tcPr>
            <w:tcW w:w="186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临时排土场</w:t>
            </w:r>
            <w:r>
              <w:rPr>
                <w:rFonts w:hint="eastAsia" w:ascii="Times New Roman" w:hAnsi="Times New Roman" w:eastAsia="宋体"/>
                <w:color w:val="auto"/>
                <w:sz w:val="21"/>
                <w:highlight w:val="none"/>
              </w:rPr>
              <w:t>②</w:t>
            </w:r>
          </w:p>
        </w:tc>
        <w:tc>
          <w:tcPr>
            <w:tcW w:w="57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34</w:t>
            </w:r>
          </w:p>
        </w:tc>
        <w:tc>
          <w:tcPr>
            <w:tcW w:w="64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67</w:t>
            </w:r>
          </w:p>
        </w:tc>
        <w:tc>
          <w:tcPr>
            <w:tcW w:w="109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230</w:t>
            </w:r>
          </w:p>
        </w:tc>
        <w:tc>
          <w:tcPr>
            <w:tcW w:w="9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w:t>
            </w:r>
          </w:p>
        </w:tc>
        <w:tc>
          <w:tcPr>
            <w:tcW w:w="10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w:t>
            </w:r>
          </w:p>
        </w:tc>
        <w:tc>
          <w:tcPr>
            <w:tcW w:w="136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p>
        </w:tc>
        <w:tc>
          <w:tcPr>
            <w:tcW w:w="115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0.0417</w:t>
            </w:r>
          </w:p>
        </w:tc>
      </w:tr>
    </w:tbl>
    <w:p>
      <w:pPr>
        <w:spacing w:line="240" w:lineRule="auto"/>
        <w:ind w:firstLine="0" w:firstLineChars="0"/>
        <w:jc w:val="center"/>
        <w:rPr>
          <w:rFonts w:ascii="Times New Roman" w:hAnsi="Times New Roman" w:eastAsia="宋体" w:cs="Times New Roman"/>
          <w:b/>
          <w:bCs/>
          <w:color w:val="auto"/>
          <w:highlight w:val="none"/>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type="lines" w:linePitch="312" w:charSpace="0"/>
        </w:sectPr>
      </w:pPr>
    </w:p>
    <w:p>
      <w:pPr>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表1.5-4 （近）圆形面源参数表</w:t>
      </w:r>
    </w:p>
    <w:tbl>
      <w:tblPr>
        <w:tblStyle w:val="48"/>
        <w:tblW w:w="14175"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415"/>
        <w:gridCol w:w="709"/>
        <w:gridCol w:w="710"/>
        <w:gridCol w:w="1417"/>
        <w:gridCol w:w="1417"/>
        <w:gridCol w:w="1418"/>
        <w:gridCol w:w="1416"/>
        <w:gridCol w:w="1417"/>
        <w:gridCol w:w="2838"/>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418"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编号</w:t>
            </w:r>
          </w:p>
        </w:tc>
        <w:tc>
          <w:tcPr>
            <w:tcW w:w="1415"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名称</w:t>
            </w:r>
          </w:p>
        </w:tc>
        <w:tc>
          <w:tcPr>
            <w:tcW w:w="1419" w:type="dxa"/>
            <w:gridSpan w:val="2"/>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面源中心</w:t>
            </w:r>
          </w:p>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坐标/m</w:t>
            </w:r>
          </w:p>
        </w:tc>
        <w:tc>
          <w:tcPr>
            <w:tcW w:w="1417"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面源海拔高度/m</w:t>
            </w:r>
          </w:p>
        </w:tc>
        <w:tc>
          <w:tcPr>
            <w:tcW w:w="1417"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面源半径/m</w:t>
            </w:r>
          </w:p>
        </w:tc>
        <w:tc>
          <w:tcPr>
            <w:tcW w:w="1418"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面源有效排放高度/m</w:t>
            </w:r>
          </w:p>
        </w:tc>
        <w:tc>
          <w:tcPr>
            <w:tcW w:w="1416"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年排放小时数/h</w:t>
            </w:r>
          </w:p>
        </w:tc>
        <w:tc>
          <w:tcPr>
            <w:tcW w:w="1417"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排放工况</w:t>
            </w:r>
          </w:p>
        </w:tc>
        <w:tc>
          <w:tcPr>
            <w:tcW w:w="2838"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污染物排放速率/（kg/h）</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418" w:type="dxa"/>
            <w:vMerge w:val="continue"/>
            <w:noWrap w:val="0"/>
            <w:vAlign w:val="center"/>
          </w:tcPr>
          <w:p>
            <w:pPr>
              <w:snapToGrid w:val="0"/>
              <w:spacing w:line="240" w:lineRule="auto"/>
              <w:ind w:firstLine="422"/>
              <w:jc w:val="center"/>
              <w:rPr>
                <w:rFonts w:ascii="Times New Roman" w:hAnsi="Times New Roman" w:eastAsia="宋体" w:cs="Times New Roman"/>
                <w:b/>
                <w:bCs/>
                <w:color w:val="auto"/>
                <w:sz w:val="21"/>
                <w:highlight w:val="none"/>
              </w:rPr>
            </w:pPr>
          </w:p>
        </w:tc>
        <w:tc>
          <w:tcPr>
            <w:tcW w:w="1415" w:type="dxa"/>
            <w:vMerge w:val="continue"/>
            <w:noWrap w:val="0"/>
            <w:vAlign w:val="center"/>
          </w:tcPr>
          <w:p>
            <w:pPr>
              <w:snapToGrid w:val="0"/>
              <w:spacing w:line="240" w:lineRule="auto"/>
              <w:ind w:firstLine="422"/>
              <w:jc w:val="center"/>
              <w:rPr>
                <w:rFonts w:ascii="Times New Roman" w:hAnsi="Times New Roman" w:eastAsia="宋体" w:cs="Times New Roman"/>
                <w:b/>
                <w:bCs/>
                <w:color w:val="auto"/>
                <w:sz w:val="21"/>
                <w:highlight w:val="none"/>
              </w:rPr>
            </w:pPr>
          </w:p>
        </w:tc>
        <w:tc>
          <w:tcPr>
            <w:tcW w:w="709"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X</w:t>
            </w:r>
          </w:p>
        </w:tc>
        <w:tc>
          <w:tcPr>
            <w:tcW w:w="710"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Y</w:t>
            </w:r>
          </w:p>
        </w:tc>
        <w:tc>
          <w:tcPr>
            <w:tcW w:w="1417" w:type="dxa"/>
            <w:vMerge w:val="continue"/>
            <w:noWrap w:val="0"/>
            <w:vAlign w:val="center"/>
          </w:tcPr>
          <w:p>
            <w:pPr>
              <w:snapToGrid w:val="0"/>
              <w:spacing w:line="240" w:lineRule="auto"/>
              <w:ind w:firstLine="422"/>
              <w:jc w:val="center"/>
              <w:rPr>
                <w:rFonts w:ascii="Times New Roman" w:hAnsi="Times New Roman" w:eastAsia="宋体" w:cs="Times New Roman"/>
                <w:b/>
                <w:bCs/>
                <w:color w:val="auto"/>
                <w:sz w:val="21"/>
                <w:highlight w:val="none"/>
              </w:rPr>
            </w:pPr>
          </w:p>
        </w:tc>
        <w:tc>
          <w:tcPr>
            <w:tcW w:w="1417" w:type="dxa"/>
            <w:vMerge w:val="continue"/>
            <w:noWrap w:val="0"/>
            <w:vAlign w:val="center"/>
          </w:tcPr>
          <w:p>
            <w:pPr>
              <w:snapToGrid w:val="0"/>
              <w:spacing w:line="240" w:lineRule="auto"/>
              <w:ind w:firstLine="422"/>
              <w:jc w:val="center"/>
              <w:rPr>
                <w:rFonts w:ascii="Times New Roman" w:hAnsi="Times New Roman" w:eastAsia="宋体" w:cs="Times New Roman"/>
                <w:b/>
                <w:bCs/>
                <w:color w:val="auto"/>
                <w:sz w:val="21"/>
                <w:highlight w:val="none"/>
              </w:rPr>
            </w:pPr>
          </w:p>
        </w:tc>
        <w:tc>
          <w:tcPr>
            <w:tcW w:w="1418" w:type="dxa"/>
            <w:vMerge w:val="continue"/>
            <w:noWrap w:val="0"/>
            <w:vAlign w:val="center"/>
          </w:tcPr>
          <w:p>
            <w:pPr>
              <w:snapToGrid w:val="0"/>
              <w:spacing w:line="240" w:lineRule="auto"/>
              <w:ind w:firstLine="422"/>
              <w:jc w:val="center"/>
              <w:rPr>
                <w:rFonts w:ascii="Times New Roman" w:hAnsi="Times New Roman" w:eastAsia="宋体" w:cs="Times New Roman"/>
                <w:b/>
                <w:bCs/>
                <w:color w:val="auto"/>
                <w:sz w:val="21"/>
                <w:highlight w:val="none"/>
              </w:rPr>
            </w:pPr>
          </w:p>
        </w:tc>
        <w:tc>
          <w:tcPr>
            <w:tcW w:w="1416" w:type="dxa"/>
            <w:vMerge w:val="continue"/>
            <w:noWrap w:val="0"/>
            <w:vAlign w:val="center"/>
          </w:tcPr>
          <w:p>
            <w:pPr>
              <w:snapToGrid w:val="0"/>
              <w:spacing w:line="240" w:lineRule="auto"/>
              <w:ind w:firstLine="422"/>
              <w:jc w:val="center"/>
              <w:rPr>
                <w:rFonts w:ascii="Times New Roman" w:hAnsi="Times New Roman" w:eastAsia="宋体" w:cs="Times New Roman"/>
                <w:b/>
                <w:bCs/>
                <w:color w:val="auto"/>
                <w:sz w:val="21"/>
                <w:highlight w:val="none"/>
              </w:rPr>
            </w:pPr>
          </w:p>
        </w:tc>
        <w:tc>
          <w:tcPr>
            <w:tcW w:w="1417" w:type="dxa"/>
            <w:vMerge w:val="continue"/>
            <w:noWrap w:val="0"/>
            <w:vAlign w:val="center"/>
          </w:tcPr>
          <w:p>
            <w:pPr>
              <w:snapToGrid w:val="0"/>
              <w:spacing w:line="240" w:lineRule="auto"/>
              <w:ind w:firstLine="422"/>
              <w:jc w:val="center"/>
              <w:rPr>
                <w:rFonts w:ascii="Times New Roman" w:hAnsi="Times New Roman" w:eastAsia="宋体" w:cs="Times New Roman"/>
                <w:b/>
                <w:bCs/>
                <w:color w:val="auto"/>
                <w:sz w:val="21"/>
                <w:highlight w:val="none"/>
              </w:rPr>
            </w:pPr>
          </w:p>
        </w:tc>
        <w:tc>
          <w:tcPr>
            <w:tcW w:w="2838"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TSP</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41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41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堆料场①</w:t>
            </w:r>
          </w:p>
        </w:tc>
        <w:tc>
          <w:tcPr>
            <w:tcW w:w="70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545</w:t>
            </w:r>
          </w:p>
        </w:tc>
        <w:tc>
          <w:tcPr>
            <w:tcW w:w="71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62</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240</w:t>
            </w:r>
          </w:p>
        </w:tc>
        <w:tc>
          <w:tcPr>
            <w:tcW w:w="141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25.24</w:t>
            </w:r>
          </w:p>
        </w:tc>
        <w:tc>
          <w:tcPr>
            <w:tcW w:w="141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c>
          <w:tcPr>
            <w:tcW w:w="141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8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0417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41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141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堆料场②</w:t>
            </w:r>
          </w:p>
        </w:tc>
        <w:tc>
          <w:tcPr>
            <w:tcW w:w="70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519</w:t>
            </w:r>
          </w:p>
        </w:tc>
        <w:tc>
          <w:tcPr>
            <w:tcW w:w="71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49</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240</w:t>
            </w:r>
          </w:p>
        </w:tc>
        <w:tc>
          <w:tcPr>
            <w:tcW w:w="141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21.86</w:t>
            </w:r>
          </w:p>
        </w:tc>
        <w:tc>
          <w:tcPr>
            <w:tcW w:w="141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c>
          <w:tcPr>
            <w:tcW w:w="141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8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312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141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141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s="Times New Roman"/>
                <w:color w:val="auto"/>
                <w:sz w:val="21"/>
                <w:highlight w:val="none"/>
              </w:rPr>
              <w:t>③</w:t>
            </w:r>
          </w:p>
        </w:tc>
        <w:tc>
          <w:tcPr>
            <w:tcW w:w="70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494</w:t>
            </w:r>
          </w:p>
        </w:tc>
        <w:tc>
          <w:tcPr>
            <w:tcW w:w="71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38</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240</w:t>
            </w:r>
          </w:p>
        </w:tc>
        <w:tc>
          <w:tcPr>
            <w:tcW w:w="141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21.86</w:t>
            </w:r>
          </w:p>
        </w:tc>
        <w:tc>
          <w:tcPr>
            <w:tcW w:w="141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c>
          <w:tcPr>
            <w:tcW w:w="141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8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0.0312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41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41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④</w:t>
            </w:r>
          </w:p>
        </w:tc>
        <w:tc>
          <w:tcPr>
            <w:tcW w:w="70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443</w:t>
            </w:r>
          </w:p>
        </w:tc>
        <w:tc>
          <w:tcPr>
            <w:tcW w:w="71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52</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240</w:t>
            </w:r>
          </w:p>
        </w:tc>
        <w:tc>
          <w:tcPr>
            <w:tcW w:w="141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17.85</w:t>
            </w:r>
          </w:p>
        </w:tc>
        <w:tc>
          <w:tcPr>
            <w:tcW w:w="141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c>
          <w:tcPr>
            <w:tcW w:w="141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8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0.0208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41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p>
        </w:tc>
        <w:tc>
          <w:tcPr>
            <w:tcW w:w="141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⑤</w:t>
            </w:r>
          </w:p>
        </w:tc>
        <w:tc>
          <w:tcPr>
            <w:tcW w:w="70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-47</w:t>
            </w:r>
          </w:p>
        </w:tc>
        <w:tc>
          <w:tcPr>
            <w:tcW w:w="71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-107</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227</w:t>
            </w:r>
          </w:p>
        </w:tc>
        <w:tc>
          <w:tcPr>
            <w:tcW w:w="141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25.24</w:t>
            </w:r>
          </w:p>
        </w:tc>
        <w:tc>
          <w:tcPr>
            <w:tcW w:w="141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c>
          <w:tcPr>
            <w:tcW w:w="141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8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0417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41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w:t>
            </w:r>
          </w:p>
        </w:tc>
        <w:tc>
          <w:tcPr>
            <w:tcW w:w="141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⑥</w:t>
            </w:r>
          </w:p>
        </w:tc>
        <w:tc>
          <w:tcPr>
            <w:tcW w:w="70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-36</w:t>
            </w:r>
          </w:p>
        </w:tc>
        <w:tc>
          <w:tcPr>
            <w:tcW w:w="71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-64</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227</w:t>
            </w:r>
          </w:p>
        </w:tc>
        <w:tc>
          <w:tcPr>
            <w:tcW w:w="141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21.86</w:t>
            </w:r>
          </w:p>
        </w:tc>
        <w:tc>
          <w:tcPr>
            <w:tcW w:w="141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c>
          <w:tcPr>
            <w:tcW w:w="141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8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312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41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w:t>
            </w:r>
          </w:p>
        </w:tc>
        <w:tc>
          <w:tcPr>
            <w:tcW w:w="141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⑦</w:t>
            </w:r>
          </w:p>
        </w:tc>
        <w:tc>
          <w:tcPr>
            <w:tcW w:w="70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-46</w:t>
            </w:r>
          </w:p>
        </w:tc>
        <w:tc>
          <w:tcPr>
            <w:tcW w:w="71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-29</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227</w:t>
            </w:r>
          </w:p>
        </w:tc>
        <w:tc>
          <w:tcPr>
            <w:tcW w:w="141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21.86</w:t>
            </w:r>
          </w:p>
        </w:tc>
        <w:tc>
          <w:tcPr>
            <w:tcW w:w="141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c>
          <w:tcPr>
            <w:tcW w:w="141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8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0.0312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41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w:t>
            </w:r>
          </w:p>
        </w:tc>
        <w:tc>
          <w:tcPr>
            <w:tcW w:w="141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⑧</w:t>
            </w:r>
          </w:p>
        </w:tc>
        <w:tc>
          <w:tcPr>
            <w:tcW w:w="70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-66</w:t>
            </w:r>
          </w:p>
        </w:tc>
        <w:tc>
          <w:tcPr>
            <w:tcW w:w="71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11</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227</w:t>
            </w:r>
          </w:p>
        </w:tc>
        <w:tc>
          <w:tcPr>
            <w:tcW w:w="141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17.85</w:t>
            </w:r>
          </w:p>
        </w:tc>
        <w:tc>
          <w:tcPr>
            <w:tcW w:w="141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c>
          <w:tcPr>
            <w:tcW w:w="141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8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0.0208</w:t>
            </w:r>
          </w:p>
        </w:tc>
      </w:tr>
    </w:tbl>
    <w:p>
      <w:pPr>
        <w:pStyle w:val="87"/>
        <w:rPr>
          <w:rFonts w:ascii="Times New Roman" w:hAnsi="Times New Roman" w:eastAsia="宋体" w:cs="Times New Roman"/>
          <w:color w:val="auto"/>
          <w:highlight w:val="none"/>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type="lines" w:linePitch="312" w:charSpace="0"/>
        </w:sectPr>
      </w:pP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项目大气环境评价等级判断如下：</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（1）评价因子和评价标准筛选</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评价因子和评价标准见下表1.5-5。</w:t>
      </w:r>
    </w:p>
    <w:p>
      <w:pPr>
        <w:spacing w:line="240" w:lineRule="auto"/>
        <w:ind w:firstLine="482"/>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lang w:val="en-GB"/>
        </w:rPr>
        <w:t>表1.</w:t>
      </w:r>
      <w:r>
        <w:rPr>
          <w:rFonts w:ascii="Times New Roman" w:hAnsi="Times New Roman" w:eastAsia="宋体" w:cs="Times New Roman"/>
          <w:b/>
          <w:color w:val="auto"/>
          <w:highlight w:val="none"/>
        </w:rPr>
        <w:t>5</w:t>
      </w:r>
      <w:r>
        <w:rPr>
          <w:rFonts w:ascii="Times New Roman" w:hAnsi="Times New Roman" w:eastAsia="宋体" w:cs="Times New Roman"/>
          <w:b/>
          <w:color w:val="auto"/>
          <w:highlight w:val="none"/>
          <w:lang w:val="en-GB"/>
        </w:rPr>
        <w:t>-</w:t>
      </w:r>
      <w:r>
        <w:rPr>
          <w:rFonts w:ascii="Times New Roman" w:hAnsi="Times New Roman" w:eastAsia="宋体" w:cs="Times New Roman"/>
          <w:b/>
          <w:color w:val="auto"/>
          <w:highlight w:val="none"/>
        </w:rPr>
        <w:t>5</w:t>
      </w:r>
      <w:r>
        <w:rPr>
          <w:rFonts w:ascii="Times New Roman" w:hAnsi="Times New Roman" w:eastAsia="宋体" w:cs="Times New Roman"/>
          <w:b/>
          <w:color w:val="auto"/>
          <w:highlight w:val="none"/>
          <w:lang w:val="en-GB"/>
        </w:rPr>
        <w:t xml:space="preserve"> 评价因子和评价标准</w:t>
      </w:r>
      <w:r>
        <w:rPr>
          <w:rFonts w:ascii="Times New Roman" w:hAnsi="Times New Roman" w:eastAsia="宋体" w:cs="Times New Roman"/>
          <w:b/>
          <w:color w:val="auto"/>
          <w:highlight w:val="none"/>
        </w:rPr>
        <w:t>表</w:t>
      </w:r>
    </w:p>
    <w:tbl>
      <w:tblPr>
        <w:tblStyle w:val="48"/>
        <w:tblW w:w="9071"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988"/>
        <w:gridCol w:w="1456"/>
        <w:gridCol w:w="1921"/>
        <w:gridCol w:w="370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trPr>
        <w:tc>
          <w:tcPr>
            <w:tcW w:w="1988" w:type="dxa"/>
            <w:noWrap w:val="0"/>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kern w:val="0"/>
                <w:sz w:val="21"/>
                <w:highlight w:val="none"/>
                <w:lang w:bidi="ar"/>
              </w:rPr>
              <w:t>评价因子</w:t>
            </w:r>
          </w:p>
        </w:tc>
        <w:tc>
          <w:tcPr>
            <w:tcW w:w="1456" w:type="dxa"/>
            <w:noWrap w:val="0"/>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kern w:val="0"/>
                <w:sz w:val="21"/>
                <w:highlight w:val="none"/>
                <w:lang w:bidi="ar"/>
              </w:rPr>
              <w:t>平均时段</w:t>
            </w:r>
          </w:p>
        </w:tc>
        <w:tc>
          <w:tcPr>
            <w:tcW w:w="1921" w:type="dxa"/>
            <w:noWrap w:val="0"/>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kern w:val="0"/>
                <w:sz w:val="21"/>
                <w:highlight w:val="none"/>
                <w:lang w:bidi="ar"/>
              </w:rPr>
              <w:t>标准值/(μg/m</w:t>
            </w:r>
            <w:r>
              <w:rPr>
                <w:rFonts w:ascii="Times New Roman" w:hAnsi="Times New Roman" w:eastAsia="宋体" w:cs="Times New Roman"/>
                <w:b/>
                <w:bCs/>
                <w:color w:val="auto"/>
                <w:kern w:val="0"/>
                <w:sz w:val="21"/>
                <w:highlight w:val="none"/>
                <w:vertAlign w:val="superscript"/>
                <w:lang w:bidi="ar"/>
              </w:rPr>
              <w:t>3</w:t>
            </w:r>
            <w:r>
              <w:rPr>
                <w:rFonts w:ascii="Times New Roman" w:hAnsi="Times New Roman" w:eastAsia="宋体" w:cs="Times New Roman"/>
                <w:b/>
                <w:bCs/>
                <w:color w:val="auto"/>
                <w:kern w:val="0"/>
                <w:sz w:val="21"/>
                <w:highlight w:val="none"/>
                <w:lang w:bidi="ar"/>
              </w:rPr>
              <w:t>)</w:t>
            </w:r>
          </w:p>
        </w:tc>
        <w:tc>
          <w:tcPr>
            <w:tcW w:w="3706" w:type="dxa"/>
            <w:noWrap w:val="0"/>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kern w:val="0"/>
                <w:sz w:val="21"/>
                <w:highlight w:val="none"/>
                <w:lang w:bidi="ar"/>
              </w:rPr>
              <w:t>标准来源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trPr>
        <w:tc>
          <w:tcPr>
            <w:tcW w:w="1988" w:type="dxa"/>
            <w:noWrap w:val="0"/>
            <w:tcMar>
              <w:top w:w="15" w:type="dxa"/>
              <w:left w:w="15" w:type="dxa"/>
              <w:right w:w="15" w:type="dxa"/>
            </w:tcMar>
            <w:vAlign w:val="center"/>
          </w:tcPr>
          <w:p>
            <w:pPr>
              <w:widowControl/>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PM</w:t>
            </w:r>
            <w:r>
              <w:rPr>
                <w:rFonts w:ascii="Times New Roman" w:hAnsi="Times New Roman" w:eastAsia="宋体" w:cs="Times New Roman"/>
                <w:color w:val="auto"/>
                <w:sz w:val="21"/>
                <w:highlight w:val="none"/>
                <w:vertAlign w:val="subscript"/>
              </w:rPr>
              <w:t>10</w:t>
            </w:r>
          </w:p>
        </w:tc>
        <w:tc>
          <w:tcPr>
            <w:tcW w:w="1456" w:type="dxa"/>
            <w:noWrap w:val="0"/>
            <w:tcMar>
              <w:top w:w="15" w:type="dxa"/>
              <w:left w:w="15" w:type="dxa"/>
              <w:right w:w="15" w:type="dxa"/>
            </w:tcMar>
            <w:vAlign w:val="center"/>
          </w:tcPr>
          <w:p>
            <w:pPr>
              <w:widowControl/>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小时浓度</w:t>
            </w:r>
          </w:p>
        </w:tc>
        <w:tc>
          <w:tcPr>
            <w:tcW w:w="1921" w:type="dxa"/>
            <w:noWrap w:val="0"/>
            <w:tcMar>
              <w:top w:w="15" w:type="dxa"/>
              <w:left w:w="15" w:type="dxa"/>
              <w:right w:w="15" w:type="dxa"/>
            </w:tcMar>
            <w:vAlign w:val="center"/>
          </w:tcPr>
          <w:p>
            <w:pPr>
              <w:widowControl/>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450</w:t>
            </w:r>
          </w:p>
        </w:tc>
        <w:tc>
          <w:tcPr>
            <w:tcW w:w="3706" w:type="dxa"/>
            <w:vMerge w:val="restart"/>
            <w:noWrap w:val="0"/>
            <w:tcMar>
              <w:top w:w="15" w:type="dxa"/>
              <w:left w:w="15" w:type="dxa"/>
              <w:right w:w="15" w:type="dxa"/>
            </w:tcMar>
            <w:vAlign w:val="center"/>
          </w:tcPr>
          <w:p>
            <w:pPr>
              <w:widowControl/>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《环境空气质量标准》（GB</w:t>
            </w:r>
            <w:r>
              <w:rPr>
                <w:rFonts w:hint="eastAsia" w:ascii="Times New Roman" w:hAnsi="Times New Roman" w:eastAsia="宋体" w:cs="Times New Roman"/>
                <w:color w:val="auto"/>
                <w:sz w:val="21"/>
                <w:highlight w:val="none"/>
                <w:lang w:val="en-US" w:eastAsia="zh-CN"/>
              </w:rPr>
              <w:t xml:space="preserve"> </w:t>
            </w:r>
            <w:r>
              <w:rPr>
                <w:rFonts w:ascii="Times New Roman" w:hAnsi="Times New Roman" w:eastAsia="宋体" w:cs="Times New Roman"/>
                <w:color w:val="auto"/>
                <w:sz w:val="21"/>
                <w:highlight w:val="none"/>
              </w:rPr>
              <w:t>3095-2012）及其修改单中二级标准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trPr>
        <w:tc>
          <w:tcPr>
            <w:tcW w:w="1988" w:type="dxa"/>
            <w:noWrap w:val="0"/>
            <w:tcMar>
              <w:top w:w="15" w:type="dxa"/>
              <w:left w:w="15" w:type="dxa"/>
              <w:right w:w="15" w:type="dxa"/>
            </w:tcMar>
            <w:vAlign w:val="center"/>
          </w:tcPr>
          <w:p>
            <w:pPr>
              <w:widowControl/>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PM</w:t>
            </w:r>
            <w:r>
              <w:rPr>
                <w:rFonts w:ascii="Times New Roman" w:hAnsi="Times New Roman" w:eastAsia="宋体" w:cs="Times New Roman"/>
                <w:color w:val="auto"/>
                <w:sz w:val="21"/>
                <w:highlight w:val="none"/>
                <w:vertAlign w:val="subscript"/>
              </w:rPr>
              <w:t>2.5</w:t>
            </w:r>
          </w:p>
        </w:tc>
        <w:tc>
          <w:tcPr>
            <w:tcW w:w="1456" w:type="dxa"/>
            <w:noWrap w:val="0"/>
            <w:tcMar>
              <w:top w:w="15" w:type="dxa"/>
              <w:left w:w="15" w:type="dxa"/>
              <w:right w:w="15" w:type="dxa"/>
            </w:tcMar>
            <w:vAlign w:val="center"/>
          </w:tcPr>
          <w:p>
            <w:pPr>
              <w:widowControl/>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小时浓度</w:t>
            </w:r>
          </w:p>
        </w:tc>
        <w:tc>
          <w:tcPr>
            <w:tcW w:w="1921" w:type="dxa"/>
            <w:noWrap w:val="0"/>
            <w:tcMar>
              <w:top w:w="15" w:type="dxa"/>
              <w:left w:w="15" w:type="dxa"/>
              <w:right w:w="15" w:type="dxa"/>
            </w:tcMar>
            <w:vAlign w:val="center"/>
          </w:tcPr>
          <w:p>
            <w:pPr>
              <w:widowControl/>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225</w:t>
            </w:r>
          </w:p>
        </w:tc>
        <w:tc>
          <w:tcPr>
            <w:tcW w:w="3706" w:type="dxa"/>
            <w:vMerge w:val="continue"/>
            <w:noWrap w:val="0"/>
            <w:tcMar>
              <w:top w:w="15" w:type="dxa"/>
              <w:left w:w="15" w:type="dxa"/>
              <w:right w:w="15" w:type="dxa"/>
            </w:tcMar>
            <w:vAlign w:val="center"/>
          </w:tcPr>
          <w:p>
            <w:pPr>
              <w:widowControl/>
              <w:spacing w:line="240" w:lineRule="auto"/>
              <w:ind w:firstLine="0" w:firstLineChars="0"/>
              <w:jc w:val="left"/>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trPr>
        <w:tc>
          <w:tcPr>
            <w:tcW w:w="1988" w:type="dxa"/>
            <w:noWrap w:val="0"/>
            <w:tcMar>
              <w:top w:w="15" w:type="dxa"/>
              <w:left w:w="15" w:type="dxa"/>
              <w:right w:w="15" w:type="dxa"/>
            </w:tcMar>
            <w:vAlign w:val="center"/>
          </w:tcPr>
          <w:p>
            <w:pPr>
              <w:widowControl/>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TSP</w:t>
            </w:r>
          </w:p>
        </w:tc>
        <w:tc>
          <w:tcPr>
            <w:tcW w:w="1456" w:type="dxa"/>
            <w:noWrap w:val="0"/>
            <w:tcMar>
              <w:top w:w="15" w:type="dxa"/>
              <w:left w:w="15" w:type="dxa"/>
              <w:right w:w="15" w:type="dxa"/>
            </w:tcMar>
            <w:vAlign w:val="center"/>
          </w:tcPr>
          <w:p>
            <w:pPr>
              <w:widowControl/>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小时浓度</w:t>
            </w:r>
          </w:p>
        </w:tc>
        <w:tc>
          <w:tcPr>
            <w:tcW w:w="1921" w:type="dxa"/>
            <w:noWrap w:val="0"/>
            <w:tcMar>
              <w:top w:w="15" w:type="dxa"/>
              <w:left w:w="15" w:type="dxa"/>
              <w:right w:w="15" w:type="dxa"/>
            </w:tcMar>
            <w:vAlign w:val="center"/>
          </w:tcPr>
          <w:p>
            <w:pPr>
              <w:widowControl/>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900</w:t>
            </w:r>
          </w:p>
        </w:tc>
        <w:tc>
          <w:tcPr>
            <w:tcW w:w="3706" w:type="dxa"/>
            <w:vMerge w:val="continue"/>
            <w:noWrap w:val="0"/>
            <w:tcMar>
              <w:top w:w="15" w:type="dxa"/>
              <w:left w:w="15" w:type="dxa"/>
              <w:right w:w="15" w:type="dxa"/>
            </w:tcMar>
            <w:vAlign w:val="center"/>
          </w:tcPr>
          <w:p>
            <w:pPr>
              <w:widowControl/>
              <w:spacing w:line="240" w:lineRule="auto"/>
              <w:ind w:firstLine="0" w:firstLineChars="0"/>
              <w:jc w:val="center"/>
              <w:rPr>
                <w:rFonts w:ascii="Times New Roman" w:hAnsi="Times New Roman" w:eastAsia="宋体" w:cs="Times New Roman"/>
                <w:color w:val="auto"/>
                <w:sz w:val="21"/>
                <w:highlight w:val="none"/>
              </w:rPr>
            </w:pPr>
          </w:p>
        </w:tc>
      </w:tr>
    </w:tbl>
    <w:p>
      <w:pPr>
        <w:spacing w:line="240" w:lineRule="auto"/>
        <w:ind w:firstLine="0" w:firstLineChars="0"/>
        <w:rPr>
          <w:rFonts w:ascii="Times New Roman" w:hAnsi="Times New Roman" w:eastAsia="宋体" w:cs="Times New Roman"/>
          <w:color w:val="auto"/>
          <w:sz w:val="18"/>
          <w:szCs w:val="18"/>
          <w:highlight w:val="none"/>
          <w:vertAlign w:val="subscript"/>
        </w:rPr>
      </w:pPr>
      <w:r>
        <w:rPr>
          <w:rFonts w:ascii="Times New Roman" w:hAnsi="Times New Roman" w:eastAsia="宋体" w:cs="Times New Roman"/>
          <w:color w:val="auto"/>
          <w:sz w:val="18"/>
          <w:szCs w:val="18"/>
          <w:highlight w:val="none"/>
        </w:rPr>
        <w:t>注：PM</w:t>
      </w:r>
      <w:r>
        <w:rPr>
          <w:rFonts w:ascii="Times New Roman" w:hAnsi="Times New Roman" w:eastAsia="宋体" w:cs="Times New Roman"/>
          <w:color w:val="auto"/>
          <w:sz w:val="18"/>
          <w:szCs w:val="18"/>
          <w:highlight w:val="none"/>
          <w:vertAlign w:val="subscript"/>
        </w:rPr>
        <w:t>10</w:t>
      </w:r>
      <w:r>
        <w:rPr>
          <w:rFonts w:ascii="Times New Roman" w:hAnsi="Times New Roman" w:eastAsia="宋体" w:cs="Times New Roman"/>
          <w:color w:val="auto"/>
          <w:sz w:val="18"/>
          <w:szCs w:val="18"/>
          <w:highlight w:val="none"/>
        </w:rPr>
        <w:t>、PM</w:t>
      </w:r>
      <w:r>
        <w:rPr>
          <w:rFonts w:ascii="Times New Roman" w:hAnsi="Times New Roman" w:eastAsia="宋体" w:cs="Times New Roman"/>
          <w:color w:val="auto"/>
          <w:sz w:val="18"/>
          <w:szCs w:val="18"/>
          <w:highlight w:val="none"/>
          <w:vertAlign w:val="subscript"/>
        </w:rPr>
        <w:t>2.5</w:t>
      </w:r>
      <w:r>
        <w:rPr>
          <w:rFonts w:ascii="Times New Roman" w:hAnsi="Times New Roman" w:eastAsia="宋体" w:cs="Times New Roman"/>
          <w:color w:val="auto"/>
          <w:sz w:val="18"/>
          <w:szCs w:val="18"/>
          <w:highlight w:val="none"/>
        </w:rPr>
        <w:t>和TSP和仅有日平均质量浓度限值和年平均质量浓度限值，按日平均质量浓度限值3倍分别折算1h平均质量浓度限值。</w:t>
      </w:r>
    </w:p>
    <w:p>
      <w:pPr>
        <w:ind w:firstLine="0" w:firstLineChars="0"/>
        <w:rPr>
          <w:rFonts w:ascii="Times New Roman" w:hAnsi="Times New Roman" w:eastAsia="宋体" w:cs="Times New Roman"/>
          <w:color w:val="auto"/>
          <w:highlight w:val="none"/>
        </w:rPr>
      </w:pPr>
      <w:r>
        <w:rPr>
          <w:rFonts w:ascii="Times New Roman" w:hAnsi="Times New Roman" w:eastAsia="宋体" w:cs="Times New Roman"/>
          <w:color w:val="auto"/>
          <w:highlight w:val="none"/>
        </w:rPr>
        <w:t>（2）地形图</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项目所在区域地形图见下图1.5-1。</w:t>
      </w:r>
    </w:p>
    <w:tbl>
      <w:tblPr>
        <w:tblStyle w:val="48"/>
        <w:tblW w:w="9282" w:type="dxa"/>
        <w:tblInd w:w="0" w:type="dxa"/>
        <w:tblLayout w:type="fixed"/>
        <w:tblCellMar>
          <w:top w:w="0" w:type="dxa"/>
          <w:left w:w="108" w:type="dxa"/>
          <w:bottom w:w="0" w:type="dxa"/>
          <w:right w:w="108" w:type="dxa"/>
        </w:tblCellMar>
      </w:tblPr>
      <w:tblGrid>
        <w:gridCol w:w="9282"/>
      </w:tblGrid>
      <w:tr>
        <w:tblPrEx>
          <w:tblLayout w:type="fixed"/>
          <w:tblCellMar>
            <w:top w:w="0" w:type="dxa"/>
            <w:left w:w="108" w:type="dxa"/>
            <w:bottom w:w="0" w:type="dxa"/>
            <w:right w:w="108" w:type="dxa"/>
          </w:tblCellMar>
        </w:tblPrEx>
        <w:tc>
          <w:tcPr>
            <w:tcW w:w="9282" w:type="dxa"/>
            <w:noWrap w:val="0"/>
            <w:vAlign w:val="top"/>
          </w:tcPr>
          <w:p>
            <w:pPr>
              <w:ind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drawing>
                <wp:inline distT="0" distB="0" distL="114300" distR="114300">
                  <wp:extent cx="5751830" cy="3818890"/>
                  <wp:effectExtent l="0" t="0" r="1270" b="10160"/>
                  <wp:docPr id="35" name="图片 309" descr="宏源地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9" descr="宏源地形图"/>
                          <pic:cNvPicPr>
                            <a:picLocks noChangeAspect="1"/>
                          </pic:cNvPicPr>
                        </pic:nvPicPr>
                        <pic:blipFill>
                          <a:blip r:embed="rId38"/>
                          <a:stretch>
                            <a:fillRect/>
                          </a:stretch>
                        </pic:blipFill>
                        <pic:spPr>
                          <a:xfrm>
                            <a:off x="0" y="0"/>
                            <a:ext cx="5751830" cy="3818890"/>
                          </a:xfrm>
                          <a:prstGeom prst="rect">
                            <a:avLst/>
                          </a:prstGeom>
                          <a:noFill/>
                          <a:ln>
                            <a:noFill/>
                          </a:ln>
                        </pic:spPr>
                      </pic:pic>
                    </a:graphicData>
                  </a:graphic>
                </wp:inline>
              </w:drawing>
            </w:r>
          </w:p>
          <w:p>
            <w:pPr>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图 1.5-1 项目所在区域地形图</w:t>
            </w:r>
          </w:p>
        </w:tc>
      </w:tr>
    </w:tbl>
    <w:p>
      <w:pPr>
        <w:ind w:left="480" w:leftChars="200" w:firstLine="0" w:firstLineChars="0"/>
        <w:jc w:val="left"/>
        <w:rPr>
          <w:rFonts w:ascii="Times New Roman" w:hAnsi="Times New Roman" w:eastAsia="宋体" w:cs="Times New Roman"/>
          <w:color w:val="auto"/>
          <w:highlight w:val="none"/>
        </w:rPr>
      </w:pPr>
      <w:r>
        <w:rPr>
          <w:rFonts w:ascii="Times New Roman" w:hAnsi="Times New Roman" w:eastAsia="宋体" w:cs="Times New Roman"/>
          <w:color w:val="auto"/>
          <w:highlight w:val="none"/>
        </w:rPr>
        <w:t>（3）估算模型参数</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估算模型参数表见表1.5-6。</w:t>
      </w:r>
    </w:p>
    <w:p>
      <w:pPr>
        <w:spacing w:line="240" w:lineRule="auto"/>
        <w:ind w:firstLine="0" w:firstLineChars="0"/>
        <w:jc w:val="center"/>
        <w:rPr>
          <w:rFonts w:ascii="Times New Roman" w:hAnsi="Times New Roman" w:eastAsia="宋体" w:cs="Times New Roman"/>
          <w:b/>
          <w:bCs/>
          <w:color w:val="auto"/>
          <w:highlight w:val="none"/>
        </w:rPr>
        <w:sectPr>
          <w:headerReference r:id="rId13" w:type="default"/>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表1.5-6 估算模型参数表</w:t>
      </w:r>
    </w:p>
    <w:tbl>
      <w:tblPr>
        <w:tblStyle w:val="48"/>
        <w:tblW w:w="909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85"/>
        <w:gridCol w:w="2591"/>
        <w:gridCol w:w="39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176" w:type="dxa"/>
            <w:gridSpan w:val="2"/>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参数</w:t>
            </w:r>
          </w:p>
        </w:tc>
        <w:tc>
          <w:tcPr>
            <w:tcW w:w="3917"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85"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城市/农村选项</w:t>
            </w:r>
          </w:p>
        </w:tc>
        <w:tc>
          <w:tcPr>
            <w:tcW w:w="259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城市/农村</w:t>
            </w:r>
          </w:p>
        </w:tc>
        <w:tc>
          <w:tcPr>
            <w:tcW w:w="39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85"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259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人口数（城市选项时）</w:t>
            </w:r>
          </w:p>
        </w:tc>
        <w:tc>
          <w:tcPr>
            <w:tcW w:w="39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176" w:type="dxa"/>
            <w:gridSpan w:val="2"/>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最高环境温度/℃</w:t>
            </w:r>
          </w:p>
        </w:tc>
        <w:tc>
          <w:tcPr>
            <w:tcW w:w="39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176" w:type="dxa"/>
            <w:gridSpan w:val="2"/>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最低环境温度/℃</w:t>
            </w:r>
          </w:p>
        </w:tc>
        <w:tc>
          <w:tcPr>
            <w:tcW w:w="39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176" w:type="dxa"/>
            <w:gridSpan w:val="2"/>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土地利用类型</w:t>
            </w:r>
          </w:p>
        </w:tc>
        <w:tc>
          <w:tcPr>
            <w:tcW w:w="39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农作地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176" w:type="dxa"/>
            <w:gridSpan w:val="2"/>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区域湿度条件</w:t>
            </w:r>
          </w:p>
        </w:tc>
        <w:tc>
          <w:tcPr>
            <w:tcW w:w="39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多年平均相对湿度</w:t>
            </w:r>
            <w:r>
              <w:rPr>
                <w:rFonts w:hint="eastAsia" w:ascii="Times New Roman" w:hAnsi="Times New Roman" w:eastAsia="宋体" w:cs="Times New Roman"/>
                <w:color w:val="auto"/>
                <w:sz w:val="21"/>
                <w:highlight w:val="none"/>
              </w:rPr>
              <w:t>80</w:t>
            </w:r>
            <w:r>
              <w:rPr>
                <w:rFonts w:ascii="Times New Roman" w:hAnsi="Times New Roman" w:eastAsia="宋体" w:cs="Times New Roman"/>
                <w:color w:val="auto"/>
                <w:sz w:val="21"/>
                <w:highlight w:val="none"/>
              </w:rPr>
              <w:t>%（潮湿气候）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85"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是否考虑地形</w:t>
            </w:r>
          </w:p>
        </w:tc>
        <w:tc>
          <w:tcPr>
            <w:tcW w:w="259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考虑地形</w:t>
            </w:r>
          </w:p>
        </w:tc>
        <w:tc>
          <w:tcPr>
            <w:tcW w:w="3917" w:type="dxa"/>
            <w:noWrap w:val="0"/>
            <w:vAlign w:val="center"/>
          </w:tcPr>
          <w:p>
            <w:pPr>
              <w:widowControl/>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2"/>
                <w:szCs w:val="22"/>
                <w:highlight w:val="none"/>
                <w:lang w:bidi="ar"/>
              </w:rPr>
              <w:sym w:font="Wingdings 2" w:char="0052"/>
            </w:r>
            <w:r>
              <w:rPr>
                <w:rFonts w:ascii="Times New Roman" w:hAnsi="Times New Roman" w:eastAsia="宋体" w:cs="Times New Roman"/>
                <w:color w:val="auto"/>
                <w:kern w:val="0"/>
                <w:sz w:val="22"/>
                <w:szCs w:val="22"/>
                <w:highlight w:val="none"/>
                <w:lang w:bidi="ar"/>
              </w:rPr>
              <w:t>是</w:t>
            </w:r>
            <w:r>
              <w:rPr>
                <w:rStyle w:val="232"/>
                <w:rFonts w:ascii="Times New Roman" w:hAnsi="Times New Roman" w:eastAsia="宋体"/>
                <w:color w:val="auto"/>
                <w:highlight w:val="none"/>
                <w:lang w:bidi="ar"/>
              </w:rPr>
              <w:t xml:space="preserve">   </w:t>
            </w:r>
            <w:r>
              <w:rPr>
                <w:rFonts w:ascii="Times New Roman" w:hAnsi="Times New Roman" w:eastAsia="宋体" w:cs="Times New Roman"/>
                <w:color w:val="auto"/>
                <w:kern w:val="0"/>
                <w:sz w:val="22"/>
                <w:szCs w:val="22"/>
                <w:highlight w:val="none"/>
                <w:lang w:bidi="ar"/>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85"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259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地形数据分辨率/m</w:t>
            </w:r>
          </w:p>
        </w:tc>
        <w:tc>
          <w:tcPr>
            <w:tcW w:w="39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85"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是否考虑岸线熏烟</w:t>
            </w:r>
          </w:p>
        </w:tc>
        <w:tc>
          <w:tcPr>
            <w:tcW w:w="259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考虑岸线熏烟</w:t>
            </w:r>
          </w:p>
        </w:tc>
        <w:tc>
          <w:tcPr>
            <w:tcW w:w="3917" w:type="dxa"/>
            <w:noWrap w:val="0"/>
            <w:vAlign w:val="center"/>
          </w:tcPr>
          <w:p>
            <w:pPr>
              <w:widowControl/>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2"/>
                <w:szCs w:val="22"/>
                <w:highlight w:val="none"/>
                <w:lang w:bidi="ar"/>
              </w:rPr>
              <w:t xml:space="preserve">□是   </w:t>
            </w:r>
            <w:r>
              <w:rPr>
                <w:rFonts w:ascii="Times New Roman" w:hAnsi="Times New Roman" w:eastAsia="宋体" w:cs="Times New Roman"/>
                <w:color w:val="auto"/>
                <w:kern w:val="0"/>
                <w:sz w:val="22"/>
                <w:szCs w:val="22"/>
                <w:highlight w:val="none"/>
                <w:lang w:bidi="ar"/>
              </w:rPr>
              <w:sym w:font="Wingdings 2" w:char="0052"/>
            </w:r>
            <w:r>
              <w:rPr>
                <w:rFonts w:ascii="Times New Roman" w:hAnsi="Times New Roman" w:eastAsia="宋体" w:cs="Times New Roman"/>
                <w:color w:val="auto"/>
                <w:kern w:val="0"/>
                <w:sz w:val="22"/>
                <w:szCs w:val="22"/>
                <w:highlight w:val="none"/>
                <w:lang w:bidi="ar"/>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85"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259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岸线距离/km</w:t>
            </w:r>
          </w:p>
        </w:tc>
        <w:tc>
          <w:tcPr>
            <w:tcW w:w="39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周围无大型水体（海或湖）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85"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259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岸线方向/°</w:t>
            </w:r>
          </w:p>
        </w:tc>
        <w:tc>
          <w:tcPr>
            <w:tcW w:w="39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r>
    </w:tbl>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（4）主要污染源估算模型计算结果</w:t>
      </w:r>
    </w:p>
    <w:p>
      <w:pPr>
        <w:ind w:firstLine="480"/>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t>根据</w:t>
      </w:r>
      <w:r>
        <w:rPr>
          <w:rFonts w:ascii="Times New Roman" w:hAnsi="Times New Roman" w:eastAsia="宋体" w:cs="Times New Roman"/>
          <w:color w:val="auto"/>
          <w:highlight w:val="none"/>
          <w:u w:val="single"/>
        </w:rPr>
        <w:t>《环境影响评价技术导则 大气环境》（HJ 2.2-2018）</w:t>
      </w:r>
      <w:r>
        <w:rPr>
          <w:rFonts w:hint="eastAsia" w:ascii="Times New Roman" w:hAnsi="Times New Roman" w:eastAsia="宋体" w:cs="Times New Roman"/>
          <w:color w:val="auto"/>
          <w:highlight w:val="none"/>
          <w:u w:val="single"/>
        </w:rPr>
        <w:t>要求，估算时允许使用的最小风速为0.5m/s。估算结果截图见图1.5-2。</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highlight w:val="none"/>
          <w:u w:val="single"/>
        </w:rPr>
      </w:pPr>
      <w:r>
        <w:rPr>
          <w:color w:val="auto"/>
          <w:highlight w:val="none"/>
        </w:rPr>
        <w:drawing>
          <wp:inline distT="0" distB="0" distL="114300" distR="114300">
            <wp:extent cx="5724525" cy="3778885"/>
            <wp:effectExtent l="0" t="0" r="9525" b="12065"/>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39"/>
                    <a:stretch>
                      <a:fillRect/>
                    </a:stretch>
                  </pic:blipFill>
                  <pic:spPr>
                    <a:xfrm>
                      <a:off x="0" y="0"/>
                      <a:ext cx="5724525" cy="3778885"/>
                    </a:xfrm>
                    <a:prstGeom prst="rect">
                      <a:avLst/>
                    </a:prstGeom>
                    <a:noFill/>
                    <a:ln>
                      <a:noFill/>
                    </a:ln>
                  </pic:spPr>
                </pic:pic>
              </a:graphicData>
            </a:graphic>
          </wp:inline>
        </w:drawing>
      </w:r>
    </w:p>
    <w:p>
      <w:pPr>
        <w:ind w:firstLine="0" w:firstLineChars="0"/>
        <w:jc w:val="center"/>
        <w:rPr>
          <w:rFonts w:ascii="Times New Roman" w:hAnsi="Times New Roman" w:eastAsia="宋体"/>
          <w:color w:val="auto"/>
          <w:highlight w:val="none"/>
          <w:u w:val="single"/>
        </w:rPr>
      </w:pPr>
      <w:r>
        <w:rPr>
          <w:rFonts w:ascii="Times New Roman" w:hAnsi="Times New Roman" w:eastAsia="宋体" w:cs="Times New Roman"/>
          <w:b/>
          <w:bCs/>
          <w:color w:val="auto"/>
          <w:highlight w:val="none"/>
          <w:u w:val="single"/>
        </w:rPr>
        <w:t>图 1.5-</w:t>
      </w:r>
      <w:r>
        <w:rPr>
          <w:rFonts w:hint="eastAsia" w:ascii="Times New Roman" w:hAnsi="Times New Roman" w:eastAsia="宋体" w:cs="Times New Roman"/>
          <w:b/>
          <w:bCs/>
          <w:color w:val="auto"/>
          <w:highlight w:val="none"/>
          <w:u w:val="single"/>
        </w:rPr>
        <w:t>2</w:t>
      </w:r>
      <w:r>
        <w:rPr>
          <w:rFonts w:ascii="Times New Roman" w:hAnsi="Times New Roman" w:eastAsia="宋体" w:cs="Times New Roman"/>
          <w:b/>
          <w:bCs/>
          <w:color w:val="auto"/>
          <w:highlight w:val="none"/>
          <w:u w:val="single"/>
        </w:rPr>
        <w:t xml:space="preserve"> </w:t>
      </w:r>
      <w:r>
        <w:rPr>
          <w:rFonts w:hint="eastAsia" w:ascii="Times New Roman" w:hAnsi="Times New Roman" w:eastAsia="宋体" w:cs="Times New Roman"/>
          <w:b/>
          <w:bCs/>
          <w:color w:val="auto"/>
          <w:highlight w:val="none"/>
          <w:u w:val="single"/>
          <w:lang w:val="en-US" w:eastAsia="zh-CN"/>
        </w:rPr>
        <w:t>项目大气环境</w:t>
      </w:r>
      <w:r>
        <w:rPr>
          <w:rFonts w:hint="eastAsia" w:ascii="Times New Roman" w:hAnsi="Times New Roman" w:eastAsia="宋体" w:cs="Times New Roman"/>
          <w:b/>
          <w:bCs/>
          <w:color w:val="auto"/>
          <w:highlight w:val="none"/>
          <w:u w:val="single"/>
        </w:rPr>
        <w:t>估算结果截</w:t>
      </w:r>
      <w:r>
        <w:rPr>
          <w:rFonts w:ascii="Times New Roman" w:hAnsi="Times New Roman" w:eastAsia="宋体" w:cs="Times New Roman"/>
          <w:b/>
          <w:bCs/>
          <w:color w:val="auto"/>
          <w:highlight w:val="none"/>
          <w:u w:val="single"/>
        </w:rPr>
        <w:t>图</w:t>
      </w:r>
    </w:p>
    <w:p>
      <w:pPr>
        <w:ind w:firstLine="480"/>
        <w:rPr>
          <w:rFonts w:ascii="Times New Roman" w:hAnsi="Times New Roman" w:eastAsia="宋体" w:cs="Times New Roman"/>
          <w:color w:val="auto"/>
          <w:highlight w:val="none"/>
        </w:rPr>
      </w:pPr>
      <w:r>
        <w:rPr>
          <w:rFonts w:hint="eastAsia" w:cs="Times New Roman"/>
          <w:color w:val="auto"/>
          <w:highlight w:val="none"/>
          <w:u w:val="single"/>
          <w:lang w:val="en-US" w:eastAsia="zh-CN"/>
        </w:rPr>
        <w:t>根据截图结果</w:t>
      </w:r>
      <w:r>
        <w:rPr>
          <w:rFonts w:ascii="Times New Roman" w:hAnsi="Times New Roman" w:eastAsia="宋体" w:cs="Times New Roman"/>
          <w:color w:val="auto"/>
          <w:highlight w:val="none"/>
          <w:u w:val="single"/>
        </w:rPr>
        <w:t>可知，项目</w:t>
      </w:r>
      <w:r>
        <w:rPr>
          <w:rFonts w:hint="eastAsia" w:ascii="Times New Roman" w:hAnsi="Times New Roman" w:eastAsia="宋体" w:cs="Times New Roman"/>
          <w:color w:val="auto"/>
          <w:highlight w:val="none"/>
          <w:u w:val="single"/>
        </w:rPr>
        <w:t>三级破碎筛分</w:t>
      </w:r>
      <w:r>
        <w:rPr>
          <w:rFonts w:hint="eastAsia" w:ascii="Times New Roman" w:hAnsi="Times New Roman" w:eastAsia="宋体"/>
          <w:color w:val="auto"/>
          <w:highlight w:val="none"/>
          <w:u w:val="single"/>
        </w:rPr>
        <w:t>①</w:t>
      </w:r>
      <w:r>
        <w:rPr>
          <w:rFonts w:ascii="Times New Roman" w:hAnsi="Times New Roman" w:eastAsia="宋体" w:cs="Times New Roman"/>
          <w:color w:val="auto"/>
          <w:highlight w:val="none"/>
          <w:u w:val="single"/>
        </w:rPr>
        <w:t>PM</w:t>
      </w:r>
      <w:r>
        <w:rPr>
          <w:rFonts w:ascii="Times New Roman" w:hAnsi="Times New Roman" w:eastAsia="宋体" w:cs="Times New Roman"/>
          <w:color w:val="auto"/>
          <w:highlight w:val="none"/>
          <w:u w:val="single"/>
          <w:vertAlign w:val="subscript"/>
        </w:rPr>
        <w:t>10</w:t>
      </w:r>
      <w:r>
        <w:rPr>
          <w:rFonts w:ascii="Times New Roman" w:hAnsi="Times New Roman" w:eastAsia="宋体" w:cs="Times New Roman"/>
          <w:color w:val="auto"/>
          <w:highlight w:val="none"/>
          <w:u w:val="single"/>
        </w:rPr>
        <w:t>和PM</w:t>
      </w:r>
      <w:r>
        <w:rPr>
          <w:rFonts w:ascii="Times New Roman" w:hAnsi="Times New Roman" w:eastAsia="宋体" w:cs="Times New Roman"/>
          <w:color w:val="auto"/>
          <w:highlight w:val="none"/>
          <w:u w:val="single"/>
          <w:vertAlign w:val="subscript"/>
        </w:rPr>
        <w:t>2.5</w:t>
      </w:r>
      <w:r>
        <w:rPr>
          <w:rFonts w:ascii="Times New Roman" w:hAnsi="Times New Roman" w:eastAsia="宋体" w:cs="Times New Roman"/>
          <w:color w:val="auto"/>
          <w:highlight w:val="none"/>
          <w:u w:val="single"/>
        </w:rPr>
        <w:t>的最大地面占标率Pi最大，均为</w:t>
      </w:r>
      <w:r>
        <w:rPr>
          <w:rFonts w:hint="eastAsia" w:cs="Times New Roman"/>
          <w:color w:val="auto"/>
          <w:highlight w:val="none"/>
          <w:u w:val="single"/>
          <w:lang w:val="en-US" w:eastAsia="zh-CN"/>
        </w:rPr>
        <w:t>230.33</w:t>
      </w:r>
      <w:r>
        <w:rPr>
          <w:rFonts w:ascii="Times New Roman" w:hAnsi="Times New Roman" w:eastAsia="宋体" w:cs="Times New Roman"/>
          <w:color w:val="auto"/>
          <w:highlight w:val="none"/>
          <w:u w:val="single"/>
        </w:rPr>
        <w:t>%，其</w:t>
      </w:r>
      <w:r>
        <w:rPr>
          <w:rFonts w:hint="eastAsia" w:ascii="Times New Roman" w:hAnsi="Times New Roman" w:eastAsia="宋体" w:cs="Times New Roman"/>
          <w:color w:val="auto"/>
          <w:highlight w:val="none"/>
          <w:u w:val="single"/>
        </w:rPr>
        <w:t>D</w:t>
      </w:r>
      <w:r>
        <w:rPr>
          <w:rFonts w:hint="eastAsia" w:ascii="Times New Roman" w:hAnsi="Times New Roman" w:eastAsia="宋体" w:cs="Times New Roman"/>
          <w:color w:val="auto"/>
          <w:highlight w:val="none"/>
          <w:u w:val="single"/>
          <w:vertAlign w:val="subscript"/>
        </w:rPr>
        <w:t>10</w:t>
      </w:r>
      <w:r>
        <w:rPr>
          <w:rFonts w:hint="eastAsia" w:ascii="Times New Roman" w:hAnsi="Times New Roman" w:eastAsia="宋体" w:cs="Times New Roman"/>
          <w:color w:val="auto"/>
          <w:highlight w:val="none"/>
          <w:u w:val="single"/>
        </w:rPr>
        <w:t>对应</w:t>
      </w:r>
      <w:r>
        <w:rPr>
          <w:rFonts w:ascii="Times New Roman" w:hAnsi="Times New Roman" w:eastAsia="宋体" w:cs="Times New Roman"/>
          <w:color w:val="auto"/>
          <w:highlight w:val="none"/>
          <w:u w:val="single"/>
        </w:rPr>
        <w:t>距离均为</w:t>
      </w:r>
      <w:r>
        <w:rPr>
          <w:rFonts w:hint="eastAsia" w:ascii="Times New Roman" w:hAnsi="Times New Roman" w:eastAsia="宋体" w:cs="Times New Roman"/>
          <w:color w:val="auto"/>
          <w:highlight w:val="none"/>
          <w:u w:val="single"/>
        </w:rPr>
        <w:t>1400</w:t>
      </w:r>
      <w:r>
        <w:rPr>
          <w:rFonts w:ascii="Times New Roman" w:hAnsi="Times New Roman" w:eastAsia="宋体" w:cs="Times New Roman"/>
          <w:color w:val="auto"/>
          <w:highlight w:val="none"/>
          <w:u w:val="single"/>
        </w:rPr>
        <w:t>m，位于项目矿区红线范围之外，根据表1.5-1环境空气评价工作等级判据，确定本项目大气环境影响评价工作等级为一级</w:t>
      </w:r>
      <w:r>
        <w:rPr>
          <w:rFonts w:ascii="Times New Roman" w:hAnsi="Times New Roman" w:eastAsia="宋体" w:cs="Times New Roman"/>
          <w:color w:val="auto"/>
          <w:highlight w:val="none"/>
        </w:rPr>
        <w:t>。</w:t>
      </w:r>
    </w:p>
    <w:p>
      <w:pPr>
        <w:pStyle w:val="6"/>
        <w:rPr>
          <w:rFonts w:ascii="Times New Roman" w:hAnsi="Times New Roman" w:eastAsia="宋体"/>
          <w:color w:val="auto"/>
          <w:highlight w:val="none"/>
        </w:rPr>
      </w:pPr>
      <w:r>
        <w:rPr>
          <w:rFonts w:ascii="Times New Roman" w:hAnsi="Times New Roman" w:eastAsia="宋体"/>
          <w:color w:val="auto"/>
          <w:highlight w:val="none"/>
        </w:rPr>
        <w:t>1.5.1.2 地表水环境</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根据《环境影响评价技术导则 地表水环境》（HJ 2.3-2018）第5.2.1条：“建设项目地表水环境评价等级按照影响类型、排放方式、排放量或影响情况、受纳水体环境质量现状、水环境保护目标等综合确定”。</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w:t>
      </w:r>
      <w:r>
        <w:rPr>
          <w:rFonts w:hint="eastAsia" w:ascii="Times New Roman" w:hAnsi="Times New Roman" w:eastAsia="宋体" w:cs="Times New Roman"/>
          <w:color w:val="auto"/>
          <w:highlight w:val="none"/>
        </w:rPr>
        <w:t>日常生产过程中不直接排放废水。</w:t>
      </w:r>
      <w:r>
        <w:rPr>
          <w:rFonts w:ascii="Times New Roman" w:hAnsi="Times New Roman" w:eastAsia="宋体" w:cs="Times New Roman"/>
          <w:color w:val="auto"/>
          <w:szCs w:val="24"/>
          <w:highlight w:val="none"/>
        </w:rPr>
        <w:t>隔油后的厨房废水与</w:t>
      </w:r>
      <w:r>
        <w:rPr>
          <w:rFonts w:ascii="Times New Roman" w:hAnsi="Times New Roman" w:eastAsia="宋体" w:cs="Times New Roman"/>
          <w:color w:val="auto"/>
          <w:highlight w:val="none"/>
        </w:rPr>
        <w:t>生活污水经化粪池处理后用于周边旱地施肥，不外排</w:t>
      </w:r>
      <w:r>
        <w:rPr>
          <w:rFonts w:hint="eastAsia" w:ascii="Times New Roman" w:hAnsi="Times New Roman" w:eastAsia="宋体" w:cs="Times New Roman"/>
          <w:color w:val="auto"/>
          <w:highlight w:val="none"/>
        </w:rPr>
        <w:t>；</w:t>
      </w:r>
      <w:r>
        <w:rPr>
          <w:rFonts w:hint="eastAsia" w:ascii="Times New Roman" w:hAnsi="Times New Roman" w:eastAsia="宋体" w:cs="Times New Roman"/>
          <w:bCs/>
          <w:color w:val="auto"/>
          <w:highlight w:val="none"/>
        </w:rPr>
        <w:t>车辆清洗废水和洗砂废水循环使用；</w:t>
      </w:r>
      <w:r>
        <w:rPr>
          <w:rFonts w:ascii="Times New Roman" w:hAnsi="Times New Roman" w:eastAsia="宋体" w:cs="Times New Roman"/>
          <w:color w:val="auto"/>
          <w:highlight w:val="none"/>
        </w:rPr>
        <w:t>矿区生产用水主要为凿岩打孔用水、爆破抑尘用水、矿山内运输道路抑尘用水、破碎筛分喷淋降尘、堆场洒水降尘，</w:t>
      </w:r>
      <w:r>
        <w:rPr>
          <w:rFonts w:hint="eastAsia" w:ascii="Times New Roman" w:hAnsi="Times New Roman" w:eastAsia="宋体" w:cs="Times New Roman"/>
          <w:color w:val="auto"/>
          <w:highlight w:val="none"/>
        </w:rPr>
        <w:t>生产用水</w:t>
      </w:r>
      <w:r>
        <w:rPr>
          <w:rFonts w:ascii="Times New Roman" w:hAnsi="Times New Roman" w:eastAsia="宋体" w:cs="Times New Roman"/>
          <w:color w:val="auto"/>
          <w:highlight w:val="none"/>
        </w:rPr>
        <w:t>主要是在晴天使用，这部分水将</w:t>
      </w:r>
      <w:r>
        <w:rPr>
          <w:rFonts w:hint="eastAsia" w:ascii="Times New Roman" w:hAnsi="Times New Roman" w:eastAsia="宋体" w:cs="Times New Roman"/>
          <w:color w:val="auto"/>
          <w:highlight w:val="none"/>
        </w:rPr>
        <w:t>自然</w:t>
      </w:r>
      <w:r>
        <w:rPr>
          <w:rFonts w:ascii="Times New Roman" w:hAnsi="Times New Roman" w:eastAsia="宋体" w:cs="Times New Roman"/>
          <w:color w:val="auto"/>
          <w:highlight w:val="none"/>
        </w:rPr>
        <w:t>蒸发或渗透入矿石</w:t>
      </w:r>
      <w:r>
        <w:rPr>
          <w:rFonts w:hint="eastAsia" w:ascii="Times New Roman" w:hAnsi="Times New Roman" w:eastAsia="宋体" w:cs="Times New Roman"/>
          <w:color w:val="auto"/>
          <w:highlight w:val="none"/>
        </w:rPr>
        <w:t>堆</w:t>
      </w:r>
      <w:r>
        <w:rPr>
          <w:rFonts w:ascii="Times New Roman" w:hAnsi="Times New Roman" w:eastAsia="宋体" w:cs="Times New Roman"/>
          <w:color w:val="auto"/>
          <w:highlight w:val="none"/>
        </w:rPr>
        <w:t>中，不外排；矿区</w:t>
      </w:r>
      <w:r>
        <w:rPr>
          <w:rFonts w:hint="eastAsia" w:ascii="Times New Roman" w:hAnsi="Times New Roman" w:eastAsia="宋体" w:cs="Times New Roman"/>
          <w:color w:val="auto"/>
          <w:highlight w:val="none"/>
        </w:rPr>
        <w:t>内采区和加工区（包括堆料场）</w:t>
      </w:r>
      <w:r>
        <w:rPr>
          <w:rFonts w:ascii="Times New Roman" w:hAnsi="Times New Roman" w:eastAsia="宋体" w:cs="Times New Roman"/>
          <w:color w:val="auto"/>
          <w:highlight w:val="none"/>
        </w:rPr>
        <w:t>初期雨水</w:t>
      </w:r>
      <w:r>
        <w:rPr>
          <w:rFonts w:hint="eastAsia" w:ascii="Times New Roman" w:hAnsi="Times New Roman" w:eastAsia="宋体" w:cs="Times New Roman"/>
          <w:color w:val="auto"/>
          <w:highlight w:val="none"/>
        </w:rPr>
        <w:t>经截排水沟导入初期雨水沉砂池，</w:t>
      </w:r>
      <w:r>
        <w:rPr>
          <w:rFonts w:ascii="Times New Roman" w:hAnsi="Times New Roman" w:eastAsia="宋体" w:cs="Times New Roman"/>
          <w:color w:val="auto"/>
          <w:highlight w:val="none"/>
        </w:rPr>
        <w:t>经收集沉淀后回用。根据《环境影响评价技术导则 地表水环境》（HJ 2.3-2018）表1注10：“建设项目生产工艺中有废水产生，但作为回水利用，不排放到外环境的，按三级B评价”，故本项目地表水环境影响评价工作等级判定为三级B。</w:t>
      </w:r>
    </w:p>
    <w:p>
      <w:pPr>
        <w:pStyle w:val="6"/>
        <w:rPr>
          <w:rFonts w:ascii="Times New Roman" w:hAnsi="Times New Roman" w:eastAsia="宋体"/>
          <w:color w:val="auto"/>
          <w:highlight w:val="none"/>
        </w:rPr>
      </w:pPr>
      <w:r>
        <w:rPr>
          <w:rFonts w:ascii="Times New Roman" w:hAnsi="Times New Roman" w:eastAsia="宋体"/>
          <w:color w:val="auto"/>
          <w:highlight w:val="none"/>
        </w:rPr>
        <w:t>1.5.1.3 地下水环境</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根据《环境影响评价技术导则 地下水环境》（HJ</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610-2016）“4.1 一般性原则：根据建设项目对地下水环境影响的影响，结合《建设项目环境影响评价分类管理目录》，将建设项目分为四类，Ⅰ类、Ⅱ类、Ⅲ类建设项目的地下水环境影响评价应执行本标准，Ⅳ类建设项目不开展地下水环境影响评价。” 根据《环境影响评价技术导则 地下水环境》（HJ</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610-2016）附录A，本项目土砂石开采属于Ⅳ类建设项目，可不开展地下水环境影响评价。地下水环境影响评价行业分类见表1.5-</w:t>
      </w:r>
      <w:r>
        <w:rPr>
          <w:rFonts w:hint="eastAsia" w:ascii="Times New Roman" w:hAnsi="Times New Roman" w:eastAsia="宋体" w:cs="Times New Roman"/>
          <w:color w:val="auto"/>
          <w:highlight w:val="none"/>
        </w:rPr>
        <w:t>9</w:t>
      </w:r>
      <w:r>
        <w:rPr>
          <w:rFonts w:ascii="Times New Roman" w:hAnsi="Times New Roman" w:eastAsia="宋体" w:cs="Times New Roman"/>
          <w:color w:val="auto"/>
          <w:highlight w:val="none"/>
        </w:rPr>
        <w:t>。</w:t>
      </w:r>
    </w:p>
    <w:p>
      <w:pPr>
        <w:pStyle w:val="87"/>
        <w:rPr>
          <w:rFonts w:ascii="Times New Roman" w:hAnsi="Times New Roman" w:eastAsia="宋体" w:cs="Times New Roman"/>
          <w:color w:val="auto"/>
          <w:highlight w:val="none"/>
        </w:rPr>
      </w:pPr>
      <w:r>
        <w:rPr>
          <w:rFonts w:ascii="Times New Roman" w:hAnsi="Times New Roman" w:eastAsia="宋体" w:cs="Times New Roman"/>
          <w:color w:val="auto"/>
          <w:highlight w:val="none"/>
        </w:rPr>
        <w:t>表1.5-</w:t>
      </w:r>
      <w:r>
        <w:rPr>
          <w:rFonts w:hint="eastAsia" w:ascii="Times New Roman" w:hAnsi="Times New Roman" w:eastAsia="宋体" w:cs="Times New Roman"/>
          <w:color w:val="auto"/>
          <w:highlight w:val="none"/>
        </w:rPr>
        <w:t xml:space="preserve">9 </w:t>
      </w:r>
      <w:r>
        <w:rPr>
          <w:rFonts w:ascii="Times New Roman" w:hAnsi="Times New Roman" w:eastAsia="宋体" w:cs="Times New Roman"/>
          <w:color w:val="auto"/>
          <w:highlight w:val="none"/>
        </w:rPr>
        <w:t>地下水环境影响评价行业分类表（摘录）</w:t>
      </w:r>
    </w:p>
    <w:tbl>
      <w:tblPr>
        <w:tblStyle w:val="48"/>
        <w:tblW w:w="9093" w:type="dxa"/>
        <w:jc w:val="center"/>
        <w:tblInd w:w="0" w:type="dxa"/>
        <w:tblBorders>
          <w:top w:val="single" w:color="000000" w:sz="12" w:space="0"/>
          <w:left w:val="single" w:color="000000" w:sz="12" w:space="0"/>
          <w:bottom w:val="single" w:color="000000" w:sz="12" w:space="0"/>
          <w:right w:val="single" w:color="000000" w:sz="12" w:space="0"/>
          <w:insideH w:val="single" w:color="auto" w:sz="2" w:space="0"/>
          <w:insideV w:val="single" w:color="auto" w:sz="2" w:space="0"/>
        </w:tblBorders>
        <w:tblLayout w:type="fixed"/>
        <w:tblCellMar>
          <w:top w:w="0" w:type="dxa"/>
          <w:left w:w="108" w:type="dxa"/>
          <w:bottom w:w="0" w:type="dxa"/>
          <w:right w:w="108" w:type="dxa"/>
        </w:tblCellMar>
      </w:tblPr>
      <w:tblGrid>
        <w:gridCol w:w="1627"/>
        <w:gridCol w:w="3175"/>
        <w:gridCol w:w="1058"/>
        <w:gridCol w:w="1661"/>
        <w:gridCol w:w="1572"/>
      </w:tblGrid>
      <w:tr>
        <w:tblPrEx>
          <w:tblBorders>
            <w:top w:val="single" w:color="000000" w:sz="12" w:space="0"/>
            <w:left w:val="single" w:color="000000" w:sz="12" w:space="0"/>
            <w:bottom w:val="single" w:color="000000" w:sz="12" w:space="0"/>
            <w:right w:val="single" w:color="000000"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1627" w:type="dxa"/>
            <w:vMerge w:val="restart"/>
            <w:noWrap w:val="0"/>
            <w:vAlign w:val="center"/>
          </w:tcPr>
          <w:p>
            <w:pPr>
              <w:pStyle w:val="86"/>
              <w:jc w:val="right"/>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mc:AlternateContent>
                <mc:Choice Requires="wps">
                  <w:drawing>
                    <wp:anchor distT="0" distB="0" distL="114300" distR="114300" simplePos="0" relativeHeight="251658240" behindDoc="0" locked="0" layoutInCell="1" allowOverlap="1">
                      <wp:simplePos x="0" y="0"/>
                      <wp:positionH relativeFrom="column">
                        <wp:posOffset>-59055</wp:posOffset>
                      </wp:positionH>
                      <wp:positionV relativeFrom="paragraph">
                        <wp:posOffset>43815</wp:posOffset>
                      </wp:positionV>
                      <wp:extent cx="955040" cy="364490"/>
                      <wp:effectExtent l="1905" t="4445" r="14605" b="12065"/>
                      <wp:wrapNone/>
                      <wp:docPr id="1" name="自选图形 9738"/>
                      <wp:cNvGraphicFramePr/>
                      <a:graphic xmlns:a="http://schemas.openxmlformats.org/drawingml/2006/main">
                        <a:graphicData uri="http://schemas.microsoft.com/office/word/2010/wordprocessingShape">
                          <wps:wsp>
                            <wps:cNvCnPr/>
                            <wps:spPr>
                              <a:xfrm>
                                <a:off x="0" y="0"/>
                                <a:ext cx="955040" cy="3644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738" o:spid="_x0000_s1026" o:spt="32" type="#_x0000_t32" style="position:absolute;left:0pt;margin-left:-4.65pt;margin-top:3.45pt;height:28.7pt;width:75.2pt;z-index:251658240;mso-width-relative:page;mso-height-relative:page;" filled="f" stroked="t" coordsize="21600,21600" o:gfxdata="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mUFjrVAAAABwEAAA8A&#10;AAAAAAAAAQAgAAAAIgAAAGRycy9kb3ducmV2LnhtbFBLAQIUABQAAAAIAIdO4kBD48Sc4QEAAJwD&#10;AAAOAAAAAAAAAAEAIAAAACQBAABkcnMvZTJvRG9jLnhtbFBLBQYAAAAABgAGAFkBAAB3BQAAAAA=&#10;">
                      <v:fill on="f" focussize="0,0"/>
                      <v:stroke color="#000000" joinstyle="round"/>
                      <v:imagedata o:title=""/>
                      <o:lock v:ext="edit" aspectratio="f"/>
                    </v:shape>
                  </w:pict>
                </mc:Fallback>
              </mc:AlternateContent>
            </w:r>
            <w:r>
              <w:rPr>
                <w:rFonts w:ascii="Times New Roman" w:hAnsi="Times New Roman" w:eastAsia="宋体" w:cs="Times New Roman"/>
                <w:bCs/>
                <w:color w:val="auto"/>
                <w:highlight w:val="none"/>
              </w:rPr>
              <w:t>环评类别</w:t>
            </w:r>
          </w:p>
          <w:p>
            <w:pPr>
              <w:pStyle w:val="86"/>
              <w:jc w:val="left"/>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行业类别</w:t>
            </w:r>
          </w:p>
        </w:tc>
        <w:tc>
          <w:tcPr>
            <w:tcW w:w="3175" w:type="dxa"/>
            <w:vMerge w:val="restart"/>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报告书</w:t>
            </w:r>
          </w:p>
        </w:tc>
        <w:tc>
          <w:tcPr>
            <w:tcW w:w="1058" w:type="dxa"/>
            <w:vMerge w:val="restart"/>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报告表</w:t>
            </w:r>
          </w:p>
        </w:tc>
        <w:tc>
          <w:tcPr>
            <w:tcW w:w="3233" w:type="dxa"/>
            <w:gridSpan w:val="2"/>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地下水环境影响评价项目类别</w:t>
            </w:r>
          </w:p>
        </w:tc>
      </w:tr>
      <w:tr>
        <w:tblPrEx>
          <w:tblBorders>
            <w:top w:val="single" w:color="000000" w:sz="12" w:space="0"/>
            <w:left w:val="single" w:color="000000" w:sz="12" w:space="0"/>
            <w:bottom w:val="single" w:color="000000" w:sz="12" w:space="0"/>
            <w:right w:val="single" w:color="000000"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1627" w:type="dxa"/>
            <w:vMerge w:val="continue"/>
            <w:noWrap w:val="0"/>
            <w:vAlign w:val="center"/>
          </w:tcPr>
          <w:p>
            <w:pPr>
              <w:pStyle w:val="86"/>
              <w:rPr>
                <w:rFonts w:ascii="Times New Roman" w:hAnsi="Times New Roman" w:eastAsia="宋体" w:cs="Times New Roman"/>
                <w:bCs/>
                <w:color w:val="auto"/>
                <w:highlight w:val="none"/>
              </w:rPr>
            </w:pPr>
          </w:p>
        </w:tc>
        <w:tc>
          <w:tcPr>
            <w:tcW w:w="3175" w:type="dxa"/>
            <w:vMerge w:val="continue"/>
            <w:noWrap w:val="0"/>
            <w:vAlign w:val="center"/>
          </w:tcPr>
          <w:p>
            <w:pPr>
              <w:pStyle w:val="86"/>
              <w:rPr>
                <w:rFonts w:ascii="Times New Roman" w:hAnsi="Times New Roman" w:eastAsia="宋体" w:cs="Times New Roman"/>
                <w:bCs/>
                <w:color w:val="auto"/>
                <w:highlight w:val="none"/>
              </w:rPr>
            </w:pPr>
          </w:p>
        </w:tc>
        <w:tc>
          <w:tcPr>
            <w:tcW w:w="1058" w:type="dxa"/>
            <w:vMerge w:val="continue"/>
            <w:noWrap w:val="0"/>
            <w:vAlign w:val="center"/>
          </w:tcPr>
          <w:p>
            <w:pPr>
              <w:pStyle w:val="86"/>
              <w:rPr>
                <w:rFonts w:ascii="Times New Roman" w:hAnsi="Times New Roman" w:eastAsia="宋体" w:cs="Times New Roman"/>
                <w:bCs/>
                <w:color w:val="auto"/>
                <w:highlight w:val="none"/>
              </w:rPr>
            </w:pPr>
          </w:p>
        </w:tc>
        <w:tc>
          <w:tcPr>
            <w:tcW w:w="1661" w:type="dxa"/>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报告书</w:t>
            </w:r>
          </w:p>
        </w:tc>
        <w:tc>
          <w:tcPr>
            <w:tcW w:w="1572" w:type="dxa"/>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报告表</w:t>
            </w:r>
          </w:p>
        </w:tc>
      </w:tr>
      <w:tr>
        <w:tblPrEx>
          <w:tblBorders>
            <w:top w:val="single" w:color="000000" w:sz="12" w:space="0"/>
            <w:left w:val="single" w:color="000000" w:sz="12" w:space="0"/>
            <w:bottom w:val="single" w:color="000000" w:sz="12" w:space="0"/>
            <w:right w:val="single" w:color="000000"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1627"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54土砂石开采</w:t>
            </w:r>
          </w:p>
        </w:tc>
        <w:tc>
          <w:tcPr>
            <w:tcW w:w="317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年采10万立方米及以上；海砂开采工程；涉及环境敏感区的</w:t>
            </w:r>
          </w:p>
        </w:tc>
        <w:tc>
          <w:tcPr>
            <w:tcW w:w="1058" w:type="dxa"/>
            <w:noWrap w:val="0"/>
            <w:vAlign w:val="center"/>
          </w:tcPr>
          <w:p>
            <w:pPr>
              <w:pStyle w:val="89"/>
              <w:snapToGrid w:val="0"/>
              <w:jc w:val="center"/>
              <w:rPr>
                <w:rFonts w:ascii="Times New Roman" w:hAnsi="Times New Roman" w:eastAsia="宋体" w:cs="Times New Roman"/>
                <w:bCs/>
                <w:color w:val="auto"/>
                <w:highlight w:val="none"/>
              </w:rPr>
            </w:pPr>
            <w:r>
              <w:rPr>
                <w:rFonts w:ascii="Times New Roman" w:hAnsi="Times New Roman" w:eastAsia="宋体" w:cs="Times New Roman"/>
                <w:bCs/>
                <w:color w:val="auto"/>
                <w:sz w:val="21"/>
                <w:szCs w:val="21"/>
                <w:highlight w:val="none"/>
              </w:rPr>
              <w:t>其他</w:t>
            </w:r>
          </w:p>
        </w:tc>
        <w:tc>
          <w:tcPr>
            <w:tcW w:w="166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Ⅳ类</w:t>
            </w:r>
          </w:p>
        </w:tc>
        <w:tc>
          <w:tcPr>
            <w:tcW w:w="1572"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Ⅳ类</w:t>
            </w:r>
          </w:p>
        </w:tc>
      </w:tr>
    </w:tbl>
    <w:p>
      <w:pPr>
        <w:pStyle w:val="6"/>
        <w:rPr>
          <w:rFonts w:ascii="Times New Roman" w:hAnsi="Times New Roman" w:eastAsia="宋体"/>
          <w:color w:val="auto"/>
          <w:highlight w:val="none"/>
        </w:rPr>
      </w:pPr>
      <w:r>
        <w:rPr>
          <w:rFonts w:ascii="Times New Roman" w:hAnsi="Times New Roman" w:eastAsia="宋体"/>
          <w:color w:val="auto"/>
          <w:highlight w:val="none"/>
        </w:rPr>
        <w:t>1.5.1.4 声环境</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项目所处的声环境功能区为GB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3096规定的2类区，项目投入运营后，评价范围内敏感目标噪声级增量小于3dB(A)，且受噪声影响人口数量变化不大，根据《环境影响评价技术导则 声环境》（HJ 2.4-2009）中的评价等级划分依据，项目的声环境影响评价工作等级为二级。</w:t>
      </w:r>
    </w:p>
    <w:p>
      <w:pPr>
        <w:pStyle w:val="6"/>
        <w:rPr>
          <w:rFonts w:hint="eastAsia" w:ascii="Times New Roman" w:hAnsi="Times New Roman" w:eastAsia="宋体"/>
          <w:color w:val="auto"/>
          <w:highlight w:val="none"/>
        </w:rPr>
      </w:pPr>
      <w:r>
        <w:rPr>
          <w:rFonts w:ascii="Times New Roman" w:hAnsi="Times New Roman" w:eastAsia="宋体"/>
          <w:color w:val="auto"/>
          <w:highlight w:val="none"/>
        </w:rPr>
        <w:t xml:space="preserve">1.5.1.5 </w:t>
      </w:r>
      <w:r>
        <w:rPr>
          <w:rFonts w:hint="eastAsia" w:ascii="Times New Roman" w:hAnsi="Times New Roman" w:eastAsia="宋体"/>
          <w:color w:val="auto"/>
          <w:highlight w:val="none"/>
        </w:rPr>
        <w:t>土壤环境</w:t>
      </w:r>
    </w:p>
    <w:p>
      <w:pPr>
        <w:ind w:firstLine="480"/>
        <w:jc w:val="left"/>
        <w:rPr>
          <w:rFonts w:hint="eastAsia" w:ascii="Times New Roman" w:hAnsi="Times New Roman" w:eastAsia="宋体" w:cs="Times New Roman"/>
          <w:color w:val="auto"/>
          <w:szCs w:val="24"/>
          <w:highlight w:val="none"/>
          <w:u w:val="single"/>
        </w:rPr>
      </w:pPr>
      <w:r>
        <w:rPr>
          <w:rFonts w:hint="eastAsia" w:ascii="Times New Roman" w:hAnsi="Times New Roman" w:eastAsia="宋体"/>
          <w:color w:val="auto"/>
          <w:szCs w:val="24"/>
          <w:highlight w:val="none"/>
          <w:u w:val="single"/>
        </w:rPr>
        <w:t>本项目为</w:t>
      </w:r>
      <w:r>
        <w:rPr>
          <w:rFonts w:hint="eastAsia" w:ascii="Times New Roman" w:hAnsi="Times New Roman" w:eastAsia="宋体"/>
          <w:color w:val="auto"/>
          <w:szCs w:val="24"/>
          <w:highlight w:val="none"/>
          <w:u w:val="single"/>
          <w:lang w:val="en-US" w:eastAsia="zh-CN"/>
        </w:rPr>
        <w:t>硅质岩矿开采，属于</w:t>
      </w:r>
      <w:r>
        <w:rPr>
          <w:rFonts w:hint="eastAsia" w:ascii="Times New Roman" w:hAnsi="Times New Roman" w:eastAsia="宋体"/>
          <w:color w:val="auto"/>
          <w:szCs w:val="24"/>
          <w:highlight w:val="none"/>
          <w:u w:val="single"/>
        </w:rPr>
        <w:t>非金属矿</w:t>
      </w:r>
      <w:r>
        <w:rPr>
          <w:rFonts w:hint="eastAsia" w:ascii="Times New Roman" w:hAnsi="Times New Roman" w:eastAsia="宋体"/>
          <w:color w:val="auto"/>
          <w:szCs w:val="24"/>
          <w:highlight w:val="none"/>
          <w:u w:val="single"/>
          <w:lang w:val="en-US" w:eastAsia="zh-CN"/>
        </w:rPr>
        <w:t>开采</w:t>
      </w:r>
      <w:r>
        <w:rPr>
          <w:rFonts w:hint="eastAsia" w:ascii="Times New Roman" w:hAnsi="Times New Roman" w:eastAsia="宋体"/>
          <w:color w:val="auto"/>
          <w:szCs w:val="24"/>
          <w:highlight w:val="none"/>
          <w:u w:val="single"/>
        </w:rPr>
        <w:t>，</w:t>
      </w:r>
      <w:r>
        <w:rPr>
          <w:rFonts w:hint="eastAsia" w:ascii="宋体" w:hAnsi="宋体" w:eastAsia="宋体"/>
          <w:color w:val="auto"/>
          <w:sz w:val="24"/>
          <w:highlight w:val="none"/>
          <w:u w:val="single"/>
        </w:rPr>
        <w:t>根据项目特征，本项目属于生态影响型。</w:t>
      </w:r>
      <w:r>
        <w:rPr>
          <w:rFonts w:ascii="Times New Roman" w:hAnsi="Times New Roman" w:eastAsia="宋体"/>
          <w:color w:val="auto"/>
          <w:szCs w:val="24"/>
          <w:highlight w:val="none"/>
          <w:u w:val="single"/>
        </w:rPr>
        <w:t xml:space="preserve">依据《环境影响评价技术导则 </w:t>
      </w:r>
      <w:r>
        <w:rPr>
          <w:rFonts w:hint="eastAsia" w:ascii="Times New Roman" w:hAnsi="Times New Roman" w:eastAsia="宋体"/>
          <w:color w:val="auto"/>
          <w:szCs w:val="24"/>
          <w:highlight w:val="none"/>
          <w:u w:val="single"/>
        </w:rPr>
        <w:t>土壤</w:t>
      </w:r>
      <w:r>
        <w:rPr>
          <w:rFonts w:ascii="Times New Roman" w:hAnsi="Times New Roman" w:eastAsia="宋体"/>
          <w:color w:val="auto"/>
          <w:szCs w:val="24"/>
          <w:highlight w:val="none"/>
          <w:u w:val="single"/>
        </w:rPr>
        <w:t>环境</w:t>
      </w:r>
      <w:r>
        <w:rPr>
          <w:rFonts w:hint="eastAsia" w:ascii="Times New Roman" w:hAnsi="Times New Roman" w:eastAsia="宋体"/>
          <w:color w:val="auto"/>
          <w:szCs w:val="24"/>
          <w:highlight w:val="none"/>
          <w:u w:val="single"/>
        </w:rPr>
        <w:t>（试行）</w:t>
      </w:r>
      <w:r>
        <w:rPr>
          <w:rFonts w:ascii="Times New Roman" w:hAnsi="Times New Roman" w:eastAsia="宋体"/>
          <w:color w:val="auto"/>
          <w:szCs w:val="24"/>
          <w:highlight w:val="none"/>
          <w:u w:val="single"/>
        </w:rPr>
        <w:t>》（HJ</w:t>
      </w:r>
      <w:r>
        <w:rPr>
          <w:rFonts w:hint="eastAsia" w:ascii="Times New Roman" w:hAnsi="Times New Roman" w:eastAsia="宋体"/>
          <w:color w:val="auto"/>
          <w:szCs w:val="24"/>
          <w:highlight w:val="none"/>
          <w:u w:val="single"/>
          <w:lang w:val="en-US" w:eastAsia="zh-CN"/>
        </w:rPr>
        <w:t xml:space="preserve"> </w:t>
      </w:r>
      <w:r>
        <w:rPr>
          <w:rFonts w:hint="eastAsia" w:ascii="Times New Roman" w:hAnsi="Times New Roman" w:eastAsia="宋体"/>
          <w:color w:val="auto"/>
          <w:szCs w:val="24"/>
          <w:highlight w:val="none"/>
          <w:u w:val="single"/>
        </w:rPr>
        <w:t>964</w:t>
      </w:r>
      <w:r>
        <w:rPr>
          <w:rFonts w:ascii="Times New Roman" w:hAnsi="Times New Roman" w:eastAsia="宋体"/>
          <w:color w:val="auto"/>
          <w:szCs w:val="24"/>
          <w:highlight w:val="none"/>
          <w:u w:val="single"/>
        </w:rPr>
        <w:t>-201</w:t>
      </w:r>
      <w:r>
        <w:rPr>
          <w:rFonts w:hint="eastAsia" w:ascii="Times New Roman" w:hAnsi="Times New Roman" w:eastAsia="宋体"/>
          <w:color w:val="auto"/>
          <w:szCs w:val="24"/>
          <w:highlight w:val="none"/>
          <w:u w:val="single"/>
        </w:rPr>
        <w:t>8</w:t>
      </w:r>
      <w:r>
        <w:rPr>
          <w:rFonts w:ascii="Times New Roman" w:hAnsi="Times New Roman" w:eastAsia="宋体"/>
          <w:color w:val="auto"/>
          <w:szCs w:val="24"/>
          <w:highlight w:val="none"/>
          <w:u w:val="single"/>
        </w:rPr>
        <w:t>）附录A，</w:t>
      </w:r>
      <w:r>
        <w:rPr>
          <w:rFonts w:hint="eastAsia" w:ascii="Times New Roman" w:hAnsi="Times New Roman" w:eastAsia="宋体"/>
          <w:color w:val="auto"/>
          <w:szCs w:val="24"/>
          <w:highlight w:val="none"/>
          <w:u w:val="single"/>
        </w:rPr>
        <w:t>非金属矿</w:t>
      </w:r>
      <w:r>
        <w:rPr>
          <w:rFonts w:hint="eastAsia" w:ascii="Times New Roman" w:hAnsi="Times New Roman" w:eastAsia="宋体"/>
          <w:color w:val="auto"/>
          <w:szCs w:val="24"/>
          <w:highlight w:val="none"/>
          <w:u w:val="single"/>
          <w:lang w:val="en-US" w:eastAsia="zh-CN"/>
        </w:rPr>
        <w:t>开采</w:t>
      </w:r>
      <w:r>
        <w:rPr>
          <w:rFonts w:ascii="Times New Roman" w:hAnsi="Times New Roman" w:eastAsia="宋体"/>
          <w:color w:val="auto"/>
          <w:szCs w:val="24"/>
          <w:highlight w:val="none"/>
          <w:u w:val="single"/>
        </w:rPr>
        <w:t>属于</w:t>
      </w:r>
      <w:r>
        <w:rPr>
          <w:rFonts w:hint="eastAsia" w:ascii="Times New Roman" w:hAnsi="Times New Roman" w:eastAsia="宋体"/>
          <w:color w:val="auto"/>
          <w:szCs w:val="24"/>
          <w:highlight w:val="none"/>
          <w:u w:val="single"/>
        </w:rPr>
        <w:t>“采矿业—其他”类</w:t>
      </w:r>
      <w:r>
        <w:rPr>
          <w:rFonts w:ascii="Times New Roman" w:hAnsi="Times New Roman" w:eastAsia="宋体"/>
          <w:color w:val="auto"/>
          <w:szCs w:val="24"/>
          <w:highlight w:val="none"/>
          <w:u w:val="single"/>
        </w:rPr>
        <w:t>，</w:t>
      </w:r>
      <w:r>
        <w:rPr>
          <w:rFonts w:ascii="Times New Roman" w:hAnsi="Times New Roman" w:eastAsia="宋体" w:cs="Times New Roman"/>
          <w:color w:val="auto"/>
          <w:highlight w:val="none"/>
          <w:u w:val="single"/>
        </w:rPr>
        <w:t>判定</w:t>
      </w:r>
      <w:r>
        <w:rPr>
          <w:rFonts w:hint="eastAsia" w:ascii="Times New Roman" w:hAnsi="Times New Roman" w:eastAsia="宋体"/>
          <w:color w:val="auto"/>
          <w:szCs w:val="24"/>
          <w:highlight w:val="none"/>
          <w:u w:val="single"/>
          <w:lang w:val="en-US" w:eastAsia="zh-CN"/>
        </w:rPr>
        <w:t>本项目</w:t>
      </w:r>
      <w:r>
        <w:rPr>
          <w:rFonts w:hint="eastAsia" w:ascii="Times New Roman" w:hAnsi="Times New Roman" w:eastAsia="宋体"/>
          <w:color w:val="auto"/>
          <w:szCs w:val="24"/>
          <w:highlight w:val="none"/>
          <w:u w:val="single"/>
        </w:rPr>
        <w:t>土壤环境影响评价</w:t>
      </w:r>
      <w:r>
        <w:rPr>
          <w:rFonts w:ascii="Times New Roman" w:hAnsi="Times New Roman" w:eastAsia="宋体"/>
          <w:color w:val="auto"/>
          <w:szCs w:val="24"/>
          <w:highlight w:val="none"/>
          <w:u w:val="single"/>
        </w:rPr>
        <w:t>类别为</w:t>
      </w:r>
      <w:r>
        <w:rPr>
          <w:rFonts w:ascii="Times New Roman" w:hAnsi="Times New Roman" w:eastAsia="宋体" w:cs="Times New Roman"/>
          <w:color w:val="auto"/>
          <w:szCs w:val="24"/>
          <w:highlight w:val="none"/>
          <w:u w:val="single"/>
        </w:rPr>
        <w:t>Ⅲ类</w:t>
      </w:r>
      <w:r>
        <w:rPr>
          <w:rFonts w:hint="eastAsia" w:ascii="Times New Roman" w:hAnsi="Times New Roman" w:eastAsia="宋体" w:cs="Times New Roman"/>
          <w:color w:val="auto"/>
          <w:szCs w:val="24"/>
          <w:highlight w:val="none"/>
          <w:u w:val="single"/>
        </w:rPr>
        <w:t>。</w:t>
      </w:r>
    </w:p>
    <w:p>
      <w:pPr>
        <w:ind w:firstLine="480"/>
        <w:jc w:val="both"/>
        <w:rPr>
          <w:rFonts w:hint="eastAsia" w:ascii="Times New Roman" w:hAnsi="Times New Roman" w:eastAsia="宋体" w:cs="Times New Roman"/>
          <w:color w:val="auto"/>
          <w:szCs w:val="24"/>
          <w:highlight w:val="none"/>
          <w:u w:val="single"/>
          <w:lang w:val="en-US" w:eastAsia="zh-CN"/>
        </w:rPr>
      </w:pPr>
      <w:r>
        <w:rPr>
          <w:rFonts w:hint="eastAsia" w:ascii="Times New Roman" w:hAnsi="Times New Roman" w:eastAsia="宋体" w:cs="Times New Roman"/>
          <w:color w:val="auto"/>
          <w:szCs w:val="24"/>
          <w:highlight w:val="none"/>
          <w:u w:val="single"/>
          <w:lang w:val="en-US" w:eastAsia="zh-CN"/>
        </w:rPr>
        <w:t>建设项目所在地土壤环境敏感程度分为敏感、较敏感、不敏感，判别依据见表1.5-10。</w:t>
      </w:r>
    </w:p>
    <w:p>
      <w:pPr>
        <w:pStyle w:val="13"/>
        <w:bidi w:val="0"/>
        <w:rPr>
          <w:rFonts w:hint="eastAsia" w:ascii="Times New Roman" w:hAnsi="Times New Roman" w:eastAsia="宋体"/>
          <w:color w:val="auto"/>
          <w:highlight w:val="none"/>
          <w:u w:val="single"/>
        </w:rPr>
      </w:pPr>
      <w:r>
        <w:rPr>
          <w:rFonts w:ascii="Times New Roman" w:hAnsi="Times New Roman" w:eastAsia="宋体"/>
          <w:color w:val="auto"/>
          <w:highlight w:val="none"/>
          <w:u w:val="single"/>
        </w:rPr>
        <w:t>表1.</w:t>
      </w:r>
      <w:r>
        <w:rPr>
          <w:rFonts w:hint="eastAsia" w:ascii="Times New Roman" w:hAnsi="Times New Roman" w:eastAsia="宋体"/>
          <w:color w:val="auto"/>
          <w:highlight w:val="none"/>
          <w:u w:val="single"/>
        </w:rPr>
        <w:t>5-1</w:t>
      </w:r>
      <w:r>
        <w:rPr>
          <w:rFonts w:hint="eastAsia" w:ascii="Times New Roman" w:hAnsi="Times New Roman"/>
          <w:color w:val="auto"/>
          <w:highlight w:val="none"/>
          <w:u w:val="single"/>
          <w:lang w:val="en-US" w:eastAsia="zh-CN"/>
        </w:rPr>
        <w:t>0</w:t>
      </w:r>
      <w:r>
        <w:rPr>
          <w:rFonts w:ascii="Times New Roman" w:hAnsi="Times New Roman" w:eastAsia="宋体"/>
          <w:color w:val="auto"/>
          <w:highlight w:val="none"/>
          <w:u w:val="single"/>
        </w:rPr>
        <w:t xml:space="preserve">  </w:t>
      </w:r>
      <w:r>
        <w:rPr>
          <w:rFonts w:hint="eastAsia" w:ascii="Times New Roman" w:hAnsi="Times New Roman" w:eastAsia="宋体"/>
          <w:color w:val="auto"/>
          <w:highlight w:val="none"/>
          <w:u w:val="single"/>
        </w:rPr>
        <w:t>生态影响型敏感程度分级表</w:t>
      </w:r>
    </w:p>
    <w:tbl>
      <w:tblPr>
        <w:tblStyle w:val="48"/>
        <w:tblW w:w="9071" w:type="dxa"/>
        <w:jc w:val="center"/>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55"/>
        <w:gridCol w:w="5505"/>
        <w:gridCol w:w="1155"/>
        <w:gridCol w:w="125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1155" w:type="dxa"/>
            <w:vMerge w:val="restart"/>
            <w:noWrap w:val="0"/>
            <w:vAlign w:val="center"/>
          </w:tcPr>
          <w:p>
            <w:pPr>
              <w:pStyle w:val="66"/>
              <w:jc w:val="center"/>
              <w:rPr>
                <w:rFonts w:hint="default" w:ascii="Times New Roman" w:hAnsi="Times New Roman" w:eastAsia="宋体" w:cs="Times New Roman"/>
                <w:b/>
                <w:bCs/>
                <w:color w:val="auto"/>
                <w:kern w:val="2"/>
                <w:sz w:val="21"/>
                <w:szCs w:val="21"/>
                <w:highlight w:val="none"/>
                <w:u w:val="single"/>
                <w:lang w:eastAsia="zh-CN"/>
              </w:rPr>
            </w:pPr>
            <w:r>
              <w:rPr>
                <w:rFonts w:hint="default" w:ascii="Times New Roman" w:hAnsi="Times New Roman" w:eastAsia="宋体" w:cs="Times New Roman"/>
                <w:b/>
                <w:bCs/>
                <w:color w:val="auto"/>
                <w:kern w:val="2"/>
                <w:sz w:val="21"/>
                <w:szCs w:val="21"/>
                <w:highlight w:val="none"/>
                <w:u w:val="single"/>
                <w:lang w:eastAsia="zh-CN"/>
              </w:rPr>
              <w:t>敏感程度</w:t>
            </w:r>
          </w:p>
        </w:tc>
        <w:tc>
          <w:tcPr>
            <w:tcW w:w="7916" w:type="dxa"/>
            <w:gridSpan w:val="3"/>
            <w:noWrap w:val="0"/>
            <w:vAlign w:val="center"/>
          </w:tcPr>
          <w:p>
            <w:pPr>
              <w:pStyle w:val="66"/>
              <w:rPr>
                <w:rFonts w:hint="default" w:ascii="Times New Roman" w:hAnsi="Times New Roman" w:eastAsia="宋体" w:cs="Times New Roman"/>
                <w:b/>
                <w:bCs/>
                <w:color w:val="auto"/>
                <w:kern w:val="2"/>
                <w:sz w:val="21"/>
                <w:szCs w:val="21"/>
                <w:highlight w:val="none"/>
                <w:u w:val="single"/>
                <w:lang w:eastAsia="zh-CN"/>
              </w:rPr>
            </w:pPr>
            <w:r>
              <w:rPr>
                <w:rFonts w:hint="default" w:ascii="Times New Roman" w:hAnsi="Times New Roman" w:eastAsia="宋体" w:cs="Times New Roman"/>
                <w:b/>
                <w:bCs/>
                <w:color w:val="auto"/>
                <w:kern w:val="2"/>
                <w:sz w:val="21"/>
                <w:szCs w:val="21"/>
                <w:highlight w:val="none"/>
                <w:u w:val="single"/>
                <w:lang w:eastAsia="zh-CN"/>
              </w:rPr>
              <w:t>判别依据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1155" w:type="dxa"/>
            <w:vMerge w:val="continue"/>
            <w:noWrap w:val="0"/>
            <w:vAlign w:val="center"/>
          </w:tcPr>
          <w:p>
            <w:pPr>
              <w:pStyle w:val="66"/>
              <w:ind w:firstLine="422"/>
              <w:rPr>
                <w:rFonts w:hint="default" w:ascii="Times New Roman" w:hAnsi="Times New Roman" w:eastAsia="宋体" w:cs="Times New Roman"/>
                <w:b/>
                <w:bCs/>
                <w:color w:val="auto"/>
                <w:kern w:val="2"/>
                <w:sz w:val="21"/>
                <w:szCs w:val="21"/>
                <w:highlight w:val="none"/>
                <w:u w:val="single"/>
                <w:lang w:eastAsia="zh-CN"/>
              </w:rPr>
            </w:pPr>
          </w:p>
        </w:tc>
        <w:tc>
          <w:tcPr>
            <w:tcW w:w="5505" w:type="dxa"/>
            <w:noWrap w:val="0"/>
            <w:vAlign w:val="center"/>
          </w:tcPr>
          <w:p>
            <w:pPr>
              <w:pStyle w:val="66"/>
              <w:rPr>
                <w:rFonts w:hint="default" w:ascii="Times New Roman" w:hAnsi="Times New Roman" w:eastAsia="宋体" w:cs="Times New Roman"/>
                <w:b/>
                <w:bCs/>
                <w:color w:val="auto"/>
                <w:kern w:val="2"/>
                <w:sz w:val="21"/>
                <w:szCs w:val="21"/>
                <w:highlight w:val="none"/>
                <w:u w:val="single"/>
                <w:lang w:eastAsia="zh-CN"/>
              </w:rPr>
            </w:pPr>
            <w:r>
              <w:rPr>
                <w:rFonts w:hint="default" w:ascii="Times New Roman" w:hAnsi="Times New Roman" w:eastAsia="宋体" w:cs="Times New Roman"/>
                <w:b/>
                <w:bCs/>
                <w:color w:val="auto"/>
                <w:kern w:val="2"/>
                <w:sz w:val="21"/>
                <w:szCs w:val="21"/>
                <w:highlight w:val="none"/>
                <w:u w:val="single"/>
                <w:lang w:eastAsia="zh-CN"/>
              </w:rPr>
              <w:t>盐化</w:t>
            </w:r>
          </w:p>
        </w:tc>
        <w:tc>
          <w:tcPr>
            <w:tcW w:w="1155" w:type="dxa"/>
            <w:noWrap w:val="0"/>
            <w:vAlign w:val="center"/>
          </w:tcPr>
          <w:p>
            <w:pPr>
              <w:pStyle w:val="66"/>
              <w:rPr>
                <w:rFonts w:hint="default" w:ascii="Times New Roman" w:hAnsi="Times New Roman" w:eastAsia="宋体" w:cs="Times New Roman"/>
                <w:b/>
                <w:bCs/>
                <w:color w:val="auto"/>
                <w:kern w:val="2"/>
                <w:sz w:val="21"/>
                <w:szCs w:val="21"/>
                <w:highlight w:val="none"/>
                <w:u w:val="single"/>
              </w:rPr>
            </w:pPr>
            <w:r>
              <w:rPr>
                <w:rFonts w:hint="default" w:ascii="Times New Roman" w:hAnsi="Times New Roman" w:eastAsia="宋体" w:cs="Times New Roman"/>
                <w:b/>
                <w:bCs/>
                <w:color w:val="auto"/>
                <w:kern w:val="2"/>
                <w:sz w:val="21"/>
                <w:szCs w:val="21"/>
                <w:highlight w:val="none"/>
                <w:u w:val="single"/>
                <w:lang w:eastAsia="zh-CN"/>
              </w:rPr>
              <w:t xml:space="preserve"> 酸化</w:t>
            </w:r>
          </w:p>
        </w:tc>
        <w:tc>
          <w:tcPr>
            <w:tcW w:w="1256" w:type="dxa"/>
            <w:noWrap w:val="0"/>
            <w:vAlign w:val="center"/>
          </w:tcPr>
          <w:p>
            <w:pPr>
              <w:pStyle w:val="66"/>
              <w:rPr>
                <w:rFonts w:hint="default" w:ascii="Times New Roman" w:hAnsi="Times New Roman" w:eastAsia="宋体" w:cs="Times New Roman"/>
                <w:b/>
                <w:bCs/>
                <w:color w:val="auto"/>
                <w:kern w:val="2"/>
                <w:sz w:val="21"/>
                <w:szCs w:val="21"/>
                <w:highlight w:val="none"/>
                <w:u w:val="single"/>
              </w:rPr>
            </w:pPr>
            <w:r>
              <w:rPr>
                <w:rFonts w:hint="default" w:ascii="Times New Roman" w:hAnsi="Times New Roman" w:eastAsia="宋体" w:cs="Times New Roman"/>
                <w:b/>
                <w:bCs/>
                <w:color w:val="auto"/>
                <w:kern w:val="2"/>
                <w:sz w:val="21"/>
                <w:szCs w:val="21"/>
                <w:highlight w:val="none"/>
                <w:u w:val="single"/>
                <w:lang w:eastAsia="zh-CN"/>
              </w:rPr>
              <w:t>碱化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1155" w:type="dxa"/>
            <w:noWrap w:val="0"/>
            <w:vAlign w:val="center"/>
          </w:tcPr>
          <w:p>
            <w:pPr>
              <w:pStyle w:val="66"/>
              <w:rPr>
                <w:rFonts w:hint="default" w:ascii="Times New Roman" w:hAnsi="Times New Roman" w:eastAsia="宋体" w:cs="Times New Roman"/>
                <w:color w:val="auto"/>
                <w:kern w:val="2"/>
                <w:sz w:val="21"/>
                <w:szCs w:val="21"/>
                <w:highlight w:val="none"/>
                <w:u w:val="single"/>
                <w:lang w:eastAsia="zh-CN"/>
              </w:rPr>
            </w:pPr>
            <w:r>
              <w:rPr>
                <w:rFonts w:hint="default" w:ascii="Times New Roman" w:hAnsi="Times New Roman" w:eastAsia="宋体" w:cs="Times New Roman"/>
                <w:color w:val="auto"/>
                <w:kern w:val="2"/>
                <w:sz w:val="21"/>
                <w:szCs w:val="21"/>
                <w:highlight w:val="none"/>
                <w:u w:val="single"/>
                <w:lang w:eastAsia="zh-CN"/>
              </w:rPr>
              <w:t>敏感</w:t>
            </w:r>
          </w:p>
        </w:tc>
        <w:tc>
          <w:tcPr>
            <w:tcW w:w="5505" w:type="dxa"/>
            <w:noWrap w:val="0"/>
            <w:vAlign w:val="center"/>
          </w:tcPr>
          <w:p>
            <w:pPr>
              <w:pStyle w:val="66"/>
              <w:jc w:val="both"/>
              <w:rPr>
                <w:rFonts w:hint="default" w:ascii="Times New Roman" w:hAnsi="Times New Roman" w:eastAsia="宋体" w:cs="Times New Roman"/>
                <w:color w:val="auto"/>
                <w:kern w:val="2"/>
                <w:sz w:val="21"/>
                <w:szCs w:val="21"/>
                <w:highlight w:val="none"/>
                <w:u w:val="single"/>
                <w:lang w:eastAsia="zh-CN"/>
              </w:rPr>
            </w:pPr>
            <w:r>
              <w:rPr>
                <w:rFonts w:hint="default" w:ascii="Times New Roman" w:hAnsi="Times New Roman" w:eastAsia="宋体" w:cs="Times New Roman"/>
                <w:color w:val="auto"/>
                <w:kern w:val="2"/>
                <w:sz w:val="21"/>
                <w:szCs w:val="21"/>
                <w:highlight w:val="none"/>
                <w:u w:val="single"/>
                <w:lang w:eastAsia="zh-CN"/>
              </w:rPr>
              <w:t>建设项目所在地干燥度</w:t>
            </w:r>
            <w:r>
              <w:rPr>
                <w:rFonts w:hint="default" w:ascii="Times New Roman" w:hAnsi="Times New Roman" w:eastAsia="宋体" w:cs="Times New Roman"/>
                <w:color w:val="auto"/>
                <w:kern w:val="2"/>
                <w:sz w:val="21"/>
                <w:szCs w:val="21"/>
                <w:highlight w:val="none"/>
                <w:u w:val="single"/>
                <w:vertAlign w:val="superscript"/>
                <w:lang w:eastAsia="zh-CN"/>
              </w:rPr>
              <w:t>a</w:t>
            </w:r>
            <w:r>
              <w:rPr>
                <w:rFonts w:hint="default" w:ascii="Times New Roman" w:hAnsi="Times New Roman" w:eastAsia="宋体" w:cs="Times New Roman"/>
                <w:color w:val="auto"/>
                <w:kern w:val="2"/>
                <w:sz w:val="21"/>
                <w:szCs w:val="21"/>
                <w:highlight w:val="none"/>
                <w:u w:val="single"/>
                <w:lang w:eastAsia="zh-CN"/>
              </w:rPr>
              <w:t>&gt;2.5 且常年地下水位平均埋深&lt;1.5m 的地势平坦区域；或土壤含盐量&gt;4g/kg 的区域</w:t>
            </w:r>
          </w:p>
        </w:tc>
        <w:tc>
          <w:tcPr>
            <w:tcW w:w="1155" w:type="dxa"/>
            <w:noWrap w:val="0"/>
            <w:vAlign w:val="center"/>
          </w:tcPr>
          <w:p>
            <w:pPr>
              <w:pStyle w:val="66"/>
              <w:jc w:val="center"/>
              <w:rPr>
                <w:rFonts w:hint="default" w:ascii="Times New Roman" w:hAnsi="Times New Roman" w:eastAsia="宋体" w:cs="Times New Roman"/>
                <w:color w:val="auto"/>
                <w:kern w:val="2"/>
                <w:sz w:val="21"/>
                <w:szCs w:val="21"/>
                <w:highlight w:val="none"/>
                <w:u w:val="single"/>
                <w:lang w:eastAsia="zh-CN"/>
              </w:rPr>
            </w:pPr>
            <w:r>
              <w:rPr>
                <w:rFonts w:hint="default" w:ascii="Times New Roman" w:hAnsi="Times New Roman" w:eastAsia="Times New Roman" w:cs="Times New Roman"/>
                <w:color w:val="auto"/>
                <w:sz w:val="21"/>
                <w:szCs w:val="21"/>
                <w:highlight w:val="none"/>
                <w:u w:val="single"/>
              </w:rPr>
              <w:t>pH</w:t>
            </w:r>
            <w:r>
              <w:rPr>
                <w:rFonts w:hint="default" w:ascii="Times New Roman" w:hAnsi="Times New Roman" w:eastAsia="TimesNewRomanPSMT" w:cs="Times New Roman"/>
                <w:color w:val="auto"/>
                <w:sz w:val="21"/>
                <w:szCs w:val="21"/>
                <w:highlight w:val="none"/>
                <w:u w:val="single"/>
              </w:rPr>
              <w:t>≤</w:t>
            </w:r>
            <w:r>
              <w:rPr>
                <w:rFonts w:hint="default" w:ascii="Times New Roman" w:hAnsi="Times New Roman" w:eastAsia="Times New Roman" w:cs="Times New Roman"/>
                <w:color w:val="auto"/>
                <w:sz w:val="21"/>
                <w:szCs w:val="21"/>
                <w:highlight w:val="none"/>
                <w:u w:val="single"/>
              </w:rPr>
              <w:t>4.5</w:t>
            </w:r>
          </w:p>
        </w:tc>
        <w:tc>
          <w:tcPr>
            <w:tcW w:w="1256" w:type="dxa"/>
            <w:noWrap w:val="0"/>
            <w:vAlign w:val="center"/>
          </w:tcPr>
          <w:p>
            <w:pPr>
              <w:pStyle w:val="66"/>
              <w:jc w:val="center"/>
              <w:rPr>
                <w:rFonts w:hint="default" w:ascii="Times New Roman" w:hAnsi="Times New Roman" w:eastAsia="宋体" w:cs="Times New Roman"/>
                <w:color w:val="auto"/>
                <w:kern w:val="2"/>
                <w:sz w:val="21"/>
                <w:szCs w:val="21"/>
                <w:highlight w:val="none"/>
                <w:u w:val="single"/>
                <w:lang w:eastAsia="zh-CN"/>
              </w:rPr>
            </w:pPr>
            <w:r>
              <w:rPr>
                <w:rFonts w:hint="default" w:ascii="Times New Roman" w:hAnsi="Times New Roman" w:eastAsia="Times New Roman" w:cs="Times New Roman"/>
                <w:color w:val="auto"/>
                <w:sz w:val="21"/>
                <w:szCs w:val="21"/>
                <w:highlight w:val="none"/>
                <w:u w:val="single"/>
              </w:rPr>
              <w:t>pH</w:t>
            </w:r>
            <w:r>
              <w:rPr>
                <w:rFonts w:hint="default" w:ascii="Times New Roman" w:hAnsi="Times New Roman" w:eastAsia="TimesNewRomanPSMT" w:cs="Times New Roman"/>
                <w:color w:val="auto"/>
                <w:sz w:val="21"/>
                <w:szCs w:val="21"/>
                <w:highlight w:val="none"/>
                <w:u w:val="single"/>
              </w:rPr>
              <w:t>≥</w:t>
            </w:r>
            <w:r>
              <w:rPr>
                <w:rFonts w:hint="default" w:ascii="Times New Roman" w:hAnsi="Times New Roman" w:eastAsia="Times New Roman" w:cs="Times New Roman"/>
                <w:color w:val="auto"/>
                <w:sz w:val="21"/>
                <w:szCs w:val="21"/>
                <w:highlight w:val="none"/>
                <w:u w:val="single"/>
              </w:rPr>
              <w:t>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1155" w:type="dxa"/>
            <w:noWrap w:val="0"/>
            <w:vAlign w:val="center"/>
          </w:tcPr>
          <w:p>
            <w:pPr>
              <w:pStyle w:val="66"/>
              <w:rPr>
                <w:rFonts w:hint="default" w:ascii="Times New Roman" w:hAnsi="Times New Roman" w:eastAsia="宋体" w:cs="Times New Roman"/>
                <w:color w:val="auto"/>
                <w:kern w:val="2"/>
                <w:sz w:val="21"/>
                <w:szCs w:val="21"/>
                <w:highlight w:val="none"/>
                <w:u w:val="single"/>
                <w:lang w:eastAsia="zh-CN"/>
              </w:rPr>
            </w:pPr>
            <w:r>
              <w:rPr>
                <w:rFonts w:hint="default" w:ascii="Times New Roman" w:hAnsi="Times New Roman" w:eastAsia="宋体" w:cs="Times New Roman"/>
                <w:color w:val="auto"/>
                <w:kern w:val="2"/>
                <w:sz w:val="21"/>
                <w:szCs w:val="21"/>
                <w:highlight w:val="none"/>
                <w:u w:val="single"/>
                <w:lang w:eastAsia="zh-CN"/>
              </w:rPr>
              <w:t>较敏感</w:t>
            </w:r>
          </w:p>
        </w:tc>
        <w:tc>
          <w:tcPr>
            <w:tcW w:w="5505" w:type="dxa"/>
            <w:noWrap w:val="0"/>
            <w:vAlign w:val="center"/>
          </w:tcPr>
          <w:p>
            <w:pPr>
              <w:pStyle w:val="66"/>
              <w:jc w:val="both"/>
              <w:rPr>
                <w:rFonts w:hint="default" w:ascii="Times New Roman" w:hAnsi="Times New Roman" w:eastAsia="宋体" w:cs="Times New Roman"/>
                <w:color w:val="auto"/>
                <w:kern w:val="2"/>
                <w:sz w:val="21"/>
                <w:szCs w:val="21"/>
                <w:highlight w:val="none"/>
                <w:u w:val="single"/>
                <w:lang w:eastAsia="zh-CN"/>
              </w:rPr>
            </w:pPr>
            <w:r>
              <w:rPr>
                <w:rFonts w:hint="default" w:ascii="Times New Roman" w:hAnsi="Times New Roman" w:eastAsia="宋体" w:cs="Times New Roman"/>
                <w:color w:val="auto"/>
                <w:kern w:val="2"/>
                <w:sz w:val="21"/>
                <w:szCs w:val="21"/>
                <w:highlight w:val="none"/>
                <w:u w:val="single"/>
                <w:lang w:eastAsia="zh-CN"/>
              </w:rPr>
              <w:t>建设项目所在地干燥度&gt;2.5 且常年地下水位平均埋深≥1.5m 的，或1.8&lt;干燥度≤2.5 且常年地下水位平均埋深&lt;1.8m 的地势平坦区域；建设项目所在地干燥度&gt;2.5或常年地下水位平均埋深&lt;1.5m 的平原区；或2g/kg&lt;土壤含盐量≤4g/kg 的区域</w:t>
            </w:r>
          </w:p>
        </w:tc>
        <w:tc>
          <w:tcPr>
            <w:tcW w:w="1155" w:type="dxa"/>
            <w:noWrap w:val="0"/>
            <w:vAlign w:val="center"/>
          </w:tcPr>
          <w:p>
            <w:pPr>
              <w:spacing w:beforeLines="0" w:afterLines="0"/>
              <w:ind w:left="0" w:leftChars="0" w:firstLine="0" w:firstLineChars="0"/>
              <w:jc w:val="center"/>
              <w:rPr>
                <w:rFonts w:hint="default" w:ascii="Times New Roman" w:hAnsi="Times New Roman" w:eastAsia="宋体" w:cs="Times New Roman"/>
                <w:color w:val="auto"/>
                <w:kern w:val="2"/>
                <w:sz w:val="21"/>
                <w:szCs w:val="21"/>
                <w:highlight w:val="none"/>
                <w:u w:val="single"/>
                <w:lang w:eastAsia="zh-CN"/>
              </w:rPr>
            </w:pPr>
            <w:r>
              <w:rPr>
                <w:rFonts w:hint="default" w:ascii="Times New Roman" w:hAnsi="Times New Roman" w:eastAsia="Times New Roman" w:cs="Times New Roman"/>
                <w:color w:val="auto"/>
                <w:sz w:val="21"/>
                <w:szCs w:val="21"/>
                <w:highlight w:val="none"/>
                <w:u w:val="single"/>
              </w:rPr>
              <w:t>4.5&lt;pH</w:t>
            </w:r>
            <w:r>
              <w:rPr>
                <w:rFonts w:hint="default" w:ascii="Times New Roman" w:hAnsi="Times New Roman" w:eastAsia="TimesNewRomanPSMT" w:cs="Times New Roman"/>
                <w:color w:val="auto"/>
                <w:sz w:val="21"/>
                <w:szCs w:val="21"/>
                <w:highlight w:val="none"/>
                <w:u w:val="single"/>
              </w:rPr>
              <w:t>≤</w:t>
            </w:r>
            <w:r>
              <w:rPr>
                <w:rFonts w:hint="default" w:ascii="Times New Roman" w:hAnsi="Times New Roman" w:eastAsia="Times New Roman" w:cs="Times New Roman"/>
                <w:color w:val="auto"/>
                <w:sz w:val="21"/>
                <w:szCs w:val="21"/>
                <w:highlight w:val="none"/>
                <w:u w:val="single"/>
              </w:rPr>
              <w:t>5.5</w:t>
            </w:r>
          </w:p>
        </w:tc>
        <w:tc>
          <w:tcPr>
            <w:tcW w:w="1256" w:type="dxa"/>
            <w:noWrap w:val="0"/>
            <w:vAlign w:val="center"/>
          </w:tcPr>
          <w:p>
            <w:pPr>
              <w:spacing w:beforeLines="0" w:afterLines="0"/>
              <w:ind w:left="0" w:leftChars="0" w:firstLine="0" w:firstLineChars="0"/>
              <w:jc w:val="center"/>
              <w:rPr>
                <w:rFonts w:hint="default" w:ascii="Times New Roman" w:hAnsi="Times New Roman" w:eastAsia="宋体" w:cs="Times New Roman"/>
                <w:color w:val="auto"/>
                <w:kern w:val="2"/>
                <w:sz w:val="21"/>
                <w:szCs w:val="21"/>
                <w:highlight w:val="none"/>
                <w:u w:val="single"/>
                <w:lang w:eastAsia="zh-CN"/>
              </w:rPr>
            </w:pPr>
            <w:r>
              <w:rPr>
                <w:rFonts w:hint="default" w:ascii="Times New Roman" w:hAnsi="Times New Roman" w:eastAsia="Times New Roman" w:cs="Times New Roman"/>
                <w:color w:val="auto"/>
                <w:sz w:val="21"/>
                <w:szCs w:val="21"/>
                <w:highlight w:val="none"/>
                <w:u w:val="single"/>
              </w:rPr>
              <w:t>8.5</w:t>
            </w:r>
            <w:r>
              <w:rPr>
                <w:rFonts w:hint="default" w:ascii="Times New Roman" w:hAnsi="Times New Roman" w:eastAsia="TimesNewRomanPSMT" w:cs="Times New Roman"/>
                <w:color w:val="auto"/>
                <w:sz w:val="21"/>
                <w:szCs w:val="21"/>
                <w:highlight w:val="none"/>
                <w:u w:val="single"/>
              </w:rPr>
              <w:t>≤</w:t>
            </w:r>
            <w:r>
              <w:rPr>
                <w:rFonts w:hint="default" w:ascii="Times New Roman" w:hAnsi="Times New Roman" w:eastAsia="Times New Roman" w:cs="Times New Roman"/>
                <w:color w:val="auto"/>
                <w:sz w:val="21"/>
                <w:szCs w:val="21"/>
                <w:highlight w:val="none"/>
                <w:u w:val="single"/>
              </w:rPr>
              <w:t>pH&lt;9.0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1155" w:type="dxa"/>
            <w:noWrap w:val="0"/>
            <w:vAlign w:val="center"/>
          </w:tcPr>
          <w:p>
            <w:pPr>
              <w:pStyle w:val="66"/>
              <w:rPr>
                <w:rFonts w:hint="default" w:ascii="Times New Roman" w:hAnsi="Times New Roman" w:eastAsia="宋体" w:cs="Times New Roman"/>
                <w:color w:val="auto"/>
                <w:kern w:val="2"/>
                <w:sz w:val="21"/>
                <w:szCs w:val="21"/>
                <w:highlight w:val="none"/>
                <w:u w:val="single"/>
                <w:lang w:eastAsia="zh-CN"/>
              </w:rPr>
            </w:pPr>
            <w:r>
              <w:rPr>
                <w:rFonts w:hint="default" w:ascii="Times New Roman" w:hAnsi="Times New Roman" w:eastAsia="宋体" w:cs="Times New Roman"/>
                <w:color w:val="auto"/>
                <w:kern w:val="2"/>
                <w:sz w:val="21"/>
                <w:szCs w:val="21"/>
                <w:highlight w:val="none"/>
                <w:u w:val="single"/>
                <w:lang w:eastAsia="zh-CN"/>
              </w:rPr>
              <w:t>不敏感</w:t>
            </w:r>
          </w:p>
        </w:tc>
        <w:tc>
          <w:tcPr>
            <w:tcW w:w="5505" w:type="dxa"/>
            <w:noWrap w:val="0"/>
            <w:vAlign w:val="center"/>
          </w:tcPr>
          <w:p>
            <w:pPr>
              <w:pStyle w:val="66"/>
              <w:rPr>
                <w:rFonts w:hint="default" w:ascii="Times New Roman" w:hAnsi="Times New Roman" w:eastAsia="宋体" w:cs="Times New Roman"/>
                <w:color w:val="auto"/>
                <w:kern w:val="2"/>
                <w:sz w:val="21"/>
                <w:szCs w:val="21"/>
                <w:highlight w:val="none"/>
                <w:u w:val="single"/>
                <w:lang w:eastAsia="zh-CN"/>
              </w:rPr>
            </w:pPr>
            <w:r>
              <w:rPr>
                <w:rFonts w:hint="default" w:ascii="Times New Roman" w:hAnsi="Times New Roman" w:eastAsia="宋体" w:cs="Times New Roman"/>
                <w:color w:val="auto"/>
                <w:sz w:val="21"/>
                <w:szCs w:val="21"/>
                <w:highlight w:val="none"/>
                <w:u w:val="single"/>
              </w:rPr>
              <w:t>其他</w:t>
            </w:r>
          </w:p>
        </w:tc>
        <w:tc>
          <w:tcPr>
            <w:tcW w:w="2411" w:type="dxa"/>
            <w:gridSpan w:val="2"/>
            <w:noWrap w:val="0"/>
            <w:vAlign w:val="center"/>
          </w:tcPr>
          <w:p>
            <w:pPr>
              <w:pStyle w:val="66"/>
              <w:jc w:val="center"/>
              <w:rPr>
                <w:rFonts w:hint="default" w:ascii="Times New Roman" w:hAnsi="Times New Roman" w:eastAsia="宋体" w:cs="Times New Roman"/>
                <w:color w:val="auto"/>
                <w:kern w:val="2"/>
                <w:sz w:val="21"/>
                <w:szCs w:val="21"/>
                <w:highlight w:val="none"/>
                <w:u w:val="single"/>
                <w:lang w:eastAsia="zh-CN"/>
              </w:rPr>
            </w:pP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Times New Roman" w:cs="Times New Roman"/>
                <w:color w:val="auto"/>
                <w:sz w:val="21"/>
                <w:szCs w:val="21"/>
                <w:highlight w:val="none"/>
                <w:u w:val="single"/>
              </w:rPr>
              <w:t>5.5&lt;pH&lt;8.5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9071" w:type="dxa"/>
            <w:gridSpan w:val="4"/>
            <w:noWrap w:val="0"/>
            <w:vAlign w:val="center"/>
          </w:tcPr>
          <w:p>
            <w:pPr>
              <w:pStyle w:val="66"/>
              <w:rPr>
                <w:rFonts w:hint="default" w:ascii="Times New Roman" w:hAnsi="Times New Roman" w:eastAsia="宋体" w:cs="Times New Roman"/>
                <w:color w:val="auto"/>
                <w:kern w:val="2"/>
                <w:sz w:val="21"/>
                <w:szCs w:val="21"/>
                <w:highlight w:val="none"/>
                <w:u w:val="single"/>
                <w:lang w:eastAsia="zh-CN"/>
              </w:rPr>
            </w:pPr>
            <w:r>
              <w:rPr>
                <w:rFonts w:hint="default" w:ascii="Times New Roman" w:hAnsi="Times New Roman" w:eastAsia="Times New Roman" w:cs="Times New Roman"/>
                <w:color w:val="auto"/>
                <w:sz w:val="21"/>
                <w:szCs w:val="21"/>
                <w:highlight w:val="none"/>
                <w:u w:val="single"/>
                <w:vertAlign w:val="superscript"/>
              </w:rPr>
              <w:t xml:space="preserve">a </w:t>
            </w:r>
            <w:r>
              <w:rPr>
                <w:rFonts w:hint="default" w:ascii="Times New Roman" w:hAnsi="Times New Roman" w:eastAsia="宋体" w:cs="Times New Roman"/>
                <w:color w:val="auto"/>
                <w:sz w:val="21"/>
                <w:szCs w:val="21"/>
                <w:highlight w:val="none"/>
                <w:u w:val="single"/>
              </w:rPr>
              <w:t>是指采用</w:t>
            </w:r>
            <w:r>
              <w:rPr>
                <w:rFonts w:hint="default" w:ascii="Times New Roman" w:hAnsi="Times New Roman" w:eastAsia="Times New Roman" w:cs="Times New Roman"/>
                <w:color w:val="auto"/>
                <w:sz w:val="21"/>
                <w:szCs w:val="21"/>
                <w:highlight w:val="none"/>
                <w:u w:val="single"/>
              </w:rPr>
              <w:t xml:space="preserve">E601 </w:t>
            </w:r>
            <w:r>
              <w:rPr>
                <w:rFonts w:hint="default" w:ascii="Times New Roman" w:hAnsi="Times New Roman" w:eastAsia="宋体" w:cs="Times New Roman"/>
                <w:color w:val="auto"/>
                <w:sz w:val="21"/>
                <w:szCs w:val="21"/>
                <w:highlight w:val="none"/>
                <w:u w:val="single"/>
              </w:rPr>
              <w:t>观测的多年平均水面蒸发量与降雨量的比值，即蒸降比值。</w:t>
            </w:r>
          </w:p>
        </w:tc>
      </w:tr>
    </w:tbl>
    <w:p>
      <w:pPr>
        <w:ind w:firstLine="480"/>
        <w:rPr>
          <w:rFonts w:ascii="Times New Roman" w:hAnsi="Times New Roman" w:eastAsia="宋体"/>
          <w:color w:val="auto"/>
          <w:highlight w:val="none"/>
          <w:u w:val="single"/>
        </w:rPr>
      </w:pPr>
      <w:r>
        <w:rPr>
          <w:rFonts w:hint="eastAsia" w:ascii="Times New Roman" w:hAnsi="Times New Roman" w:eastAsia="宋体"/>
          <w:color w:val="auto"/>
          <w:highlight w:val="none"/>
          <w:u w:val="single"/>
        </w:rPr>
        <w:t>三江县处于中亚热带常绿阔叶林红壤和黄壤地带，但随着山地海拔高度的不同，分为红壤地带、黄红壤地带、黄壤地带；全县垂直分布规律大体是：500以下的丘陵为红壤地带性土壤，500~800m为黄红壤地带性土壤，850m以上为黄壤地带性土壤。土壤总的特点是：土地肥厚，多为壤土；有机质含量高。</w:t>
      </w:r>
    </w:p>
    <w:p>
      <w:pPr>
        <w:ind w:firstLine="480"/>
        <w:rPr>
          <w:rFonts w:ascii="Times New Roman" w:hAnsi="Times New Roman" w:eastAsia="宋体"/>
          <w:color w:val="auto"/>
          <w:highlight w:val="none"/>
          <w:u w:val="single"/>
        </w:rPr>
      </w:pPr>
      <w:r>
        <w:rPr>
          <w:rFonts w:hint="eastAsia" w:ascii="Times New Roman" w:hAnsi="Times New Roman" w:eastAsia="宋体"/>
          <w:color w:val="auto"/>
          <w:highlight w:val="none"/>
          <w:u w:val="single"/>
        </w:rPr>
        <w:t>根据土壤普查资料及现场调查，矿区范围内土壤主要为基岩自然风化而成的粉质粘土，含有硅质岩碎片，硅质岩碎片的含量一般在20%以下。山体的缓坡及洼地处厚度较厚，厚度约为0.3m~2.5m。坡地上厚度约为0.3m~1.5m质地一般为重壤到枯壤，pH值为5.5~7.5，有机质含量在1.2%~3.0%。</w:t>
      </w:r>
    </w:p>
    <w:p>
      <w:pPr>
        <w:ind w:firstLine="480"/>
        <w:jc w:val="left"/>
        <w:rPr>
          <w:rFonts w:hint="eastAsia" w:ascii="Times New Roman" w:hAnsi="Times New Roman" w:eastAsia="宋体" w:cs="Times New Roman"/>
          <w:color w:val="auto"/>
          <w:szCs w:val="24"/>
          <w:highlight w:val="none"/>
          <w:u w:val="single"/>
        </w:rPr>
      </w:pPr>
      <w:r>
        <w:rPr>
          <w:rFonts w:hint="eastAsia" w:ascii="宋体" w:hAnsi="宋体" w:eastAsia="宋体"/>
          <w:color w:val="auto"/>
          <w:sz w:val="24"/>
          <w:highlight w:val="none"/>
          <w:u w:val="single"/>
          <w:lang w:val="en-US" w:eastAsia="zh-CN"/>
        </w:rPr>
        <w:t>项目</w:t>
      </w:r>
      <w:r>
        <w:rPr>
          <w:rFonts w:hint="eastAsia" w:ascii="Times New Roman" w:hAnsi="Times New Roman" w:eastAsia="宋体" w:cs="Times New Roman"/>
          <w:color w:val="auto"/>
          <w:szCs w:val="24"/>
          <w:highlight w:val="none"/>
          <w:u w:val="single"/>
        </w:rPr>
        <w:t>所属矿区为硅质岩，经查阅中国土壤数据库，区域土壤类型截图如下：</w:t>
      </w:r>
    </w:p>
    <w:p>
      <w:pPr>
        <w:ind w:firstLine="0" w:firstLineChars="0"/>
        <w:jc w:val="center"/>
        <w:rPr>
          <w:rFonts w:hint="eastAsia" w:ascii="Times New Roman" w:hAnsi="Times New Roman" w:eastAsia="宋体" w:cs="Times New Roman"/>
          <w:color w:val="auto"/>
          <w:szCs w:val="24"/>
          <w:highlight w:val="none"/>
        </w:rPr>
      </w:pPr>
      <w:r>
        <w:rPr>
          <w:rFonts w:ascii="Times New Roman" w:hAnsi="Times New Roman" w:eastAsia="宋体"/>
          <w:color w:val="auto"/>
          <w:highlight w:val="none"/>
        </w:rPr>
        <w:drawing>
          <wp:inline distT="0" distB="0" distL="114300" distR="114300">
            <wp:extent cx="5729605" cy="3213100"/>
            <wp:effectExtent l="0" t="0" r="4445" b="6350"/>
            <wp:docPr id="3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5"/>
                    <pic:cNvPicPr>
                      <a:picLocks noChangeAspect="1"/>
                    </pic:cNvPicPr>
                  </pic:nvPicPr>
                  <pic:blipFill>
                    <a:blip r:embed="rId40"/>
                    <a:stretch>
                      <a:fillRect/>
                    </a:stretch>
                  </pic:blipFill>
                  <pic:spPr>
                    <a:xfrm>
                      <a:off x="0" y="0"/>
                      <a:ext cx="5729605" cy="3213100"/>
                    </a:xfrm>
                    <a:prstGeom prst="rect">
                      <a:avLst/>
                    </a:prstGeom>
                    <a:noFill/>
                    <a:ln>
                      <a:noFill/>
                    </a:ln>
                  </pic:spPr>
                </pic:pic>
              </a:graphicData>
            </a:graphic>
          </wp:inline>
        </w:drawing>
      </w:r>
    </w:p>
    <w:p>
      <w:pPr>
        <w:ind w:firstLine="480"/>
        <w:jc w:val="left"/>
        <w:rPr>
          <w:rFonts w:ascii="Times New Roman" w:hAnsi="Times New Roman" w:eastAsia="宋体"/>
          <w:color w:val="auto"/>
          <w:szCs w:val="24"/>
          <w:highlight w:val="none"/>
          <w:u w:val="single"/>
        </w:rPr>
      </w:pPr>
      <w:r>
        <w:rPr>
          <w:rFonts w:hint="eastAsia" w:ascii="Times New Roman" w:hAnsi="Times New Roman" w:eastAsia="宋体" w:cs="Times New Roman"/>
          <w:color w:val="auto"/>
          <w:szCs w:val="24"/>
          <w:highlight w:val="none"/>
          <w:u w:val="single"/>
          <w:lang w:val="en-US" w:eastAsia="zh-CN"/>
        </w:rPr>
        <w:t>综上，可判定项目矿区土壤</w:t>
      </w:r>
      <w:r>
        <w:rPr>
          <w:rFonts w:ascii="Times New Roman" w:hAnsi="Times New Roman" w:eastAsia="宋体" w:cs="Times New Roman"/>
          <w:color w:val="auto"/>
          <w:highlight w:val="none"/>
          <w:u w:val="single"/>
        </w:rPr>
        <w:t>5.5＜pH＜8.5，属于不敏感区</w:t>
      </w:r>
      <w:r>
        <w:rPr>
          <w:rFonts w:hint="eastAsia" w:ascii="Times New Roman" w:hAnsi="Times New Roman" w:eastAsia="宋体" w:cs="Times New Roman"/>
          <w:color w:val="auto"/>
          <w:highlight w:val="none"/>
          <w:u w:val="single"/>
          <w:lang w:eastAsia="zh-CN"/>
        </w:rPr>
        <w:t>。</w:t>
      </w:r>
      <w:r>
        <w:rPr>
          <w:rFonts w:ascii="Times New Roman" w:hAnsi="Times New Roman" w:eastAsia="宋体" w:cs="Times New Roman"/>
          <w:color w:val="auto"/>
          <w:highlight w:val="none"/>
          <w:u w:val="single"/>
        </w:rPr>
        <w:t>判定</w:t>
      </w:r>
      <w:r>
        <w:rPr>
          <w:rFonts w:hint="eastAsia" w:ascii="Times New Roman" w:hAnsi="Times New Roman" w:eastAsia="宋体" w:cs="Times New Roman"/>
          <w:color w:val="auto"/>
          <w:highlight w:val="none"/>
          <w:u w:val="single"/>
          <w:lang w:val="en-US" w:eastAsia="zh-CN"/>
        </w:rPr>
        <w:t>项目土壤</w:t>
      </w:r>
      <w:r>
        <w:rPr>
          <w:rFonts w:ascii="Times New Roman" w:hAnsi="Times New Roman" w:eastAsia="宋体" w:cs="Times New Roman"/>
          <w:color w:val="auto"/>
          <w:highlight w:val="none"/>
          <w:u w:val="single"/>
        </w:rPr>
        <w:t>环境影响评价工作见表</w:t>
      </w:r>
      <w:r>
        <w:rPr>
          <w:rFonts w:hint="eastAsia" w:ascii="Times New Roman" w:hAnsi="Times New Roman" w:eastAsia="宋体" w:cs="Times New Roman"/>
          <w:color w:val="auto"/>
          <w:highlight w:val="none"/>
          <w:u w:val="single"/>
        </w:rPr>
        <w:t>1.5-1</w:t>
      </w:r>
      <w:r>
        <w:rPr>
          <w:rFonts w:hint="eastAsia" w:ascii="Times New Roman" w:hAnsi="Times New Roman" w:eastAsia="宋体" w:cs="Times New Roman"/>
          <w:color w:val="auto"/>
          <w:highlight w:val="none"/>
          <w:u w:val="single"/>
          <w:lang w:val="en-US" w:eastAsia="zh-CN"/>
        </w:rPr>
        <w:t>1</w:t>
      </w:r>
      <w:r>
        <w:rPr>
          <w:rFonts w:ascii="Times New Roman" w:hAnsi="Times New Roman" w:eastAsia="宋体" w:cs="Times New Roman"/>
          <w:color w:val="auto"/>
          <w:highlight w:val="none"/>
          <w:u w:val="single"/>
        </w:rPr>
        <w:t>。</w:t>
      </w:r>
    </w:p>
    <w:p>
      <w:pPr>
        <w:pStyle w:val="87"/>
        <w:rPr>
          <w:rFonts w:hint="eastAsia" w:ascii="Times New Roman" w:hAnsi="Times New Roman" w:eastAsia="宋体" w:cs="Times New Roman"/>
          <w:color w:val="auto"/>
          <w:highlight w:val="none"/>
          <w:u w:val="single"/>
        </w:rPr>
      </w:pPr>
      <w:r>
        <w:rPr>
          <w:rFonts w:ascii="Times New Roman" w:hAnsi="Times New Roman" w:eastAsia="宋体" w:cs="Times New Roman"/>
          <w:color w:val="auto"/>
          <w:highlight w:val="none"/>
          <w:u w:val="single"/>
        </w:rPr>
        <w:t>表1.</w:t>
      </w:r>
      <w:r>
        <w:rPr>
          <w:rFonts w:hint="eastAsia" w:ascii="Times New Roman" w:hAnsi="Times New Roman" w:eastAsia="宋体" w:cs="Times New Roman"/>
          <w:color w:val="auto"/>
          <w:highlight w:val="none"/>
          <w:u w:val="single"/>
        </w:rPr>
        <w:t>5-1</w:t>
      </w:r>
      <w:r>
        <w:rPr>
          <w:rFonts w:hint="eastAsia" w:ascii="Times New Roman" w:hAnsi="Times New Roman" w:eastAsia="宋体" w:cs="Times New Roman"/>
          <w:color w:val="auto"/>
          <w:highlight w:val="none"/>
          <w:u w:val="single"/>
          <w:lang w:val="en-US" w:eastAsia="zh-CN"/>
        </w:rPr>
        <w:t>1</w:t>
      </w:r>
      <w:r>
        <w:rPr>
          <w:rFonts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rPr>
        <w:t>生态影响</w:t>
      </w:r>
      <w:r>
        <w:rPr>
          <w:rFonts w:ascii="Times New Roman" w:hAnsi="Times New Roman" w:eastAsia="宋体" w:cs="Times New Roman"/>
          <w:color w:val="auto"/>
          <w:highlight w:val="none"/>
          <w:u w:val="single"/>
        </w:rPr>
        <w:t>影响评价工作等级</w:t>
      </w:r>
      <w:r>
        <w:rPr>
          <w:rFonts w:hint="eastAsia" w:ascii="Times New Roman" w:hAnsi="Times New Roman" w:eastAsia="宋体" w:cs="Times New Roman"/>
          <w:color w:val="auto"/>
          <w:highlight w:val="none"/>
          <w:u w:val="single"/>
        </w:rPr>
        <w:t>划分表</w:t>
      </w:r>
    </w:p>
    <w:tbl>
      <w:tblPr>
        <w:tblStyle w:val="48"/>
        <w:tblW w:w="9071" w:type="dxa"/>
        <w:jc w:val="center"/>
        <w:tblInd w:w="-15"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230"/>
        <w:gridCol w:w="1943"/>
        <w:gridCol w:w="2609"/>
        <w:gridCol w:w="2289"/>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230" w:type="dxa"/>
            <w:tcBorders>
              <w:top w:val="single" w:color="000000" w:sz="12" w:space="0"/>
              <w:left w:val="single" w:color="000000" w:sz="12" w:space="0"/>
              <w:bottom w:val="single" w:color="000000" w:sz="4" w:space="0"/>
              <w:right w:val="single" w:color="000000" w:sz="4" w:space="0"/>
            </w:tcBorders>
            <w:noWrap w:val="0"/>
            <w:vAlign w:val="center"/>
          </w:tcPr>
          <w:p>
            <w:pPr>
              <w:pStyle w:val="66"/>
              <w:spacing w:line="240" w:lineRule="exact"/>
              <w:jc w:val="right"/>
              <w:rPr>
                <w:rFonts w:hint="eastAsia" w:ascii="Times New Roman" w:hAnsi="Times New Roman" w:eastAsia="宋体"/>
                <w:b/>
                <w:bCs/>
                <w:color w:val="auto"/>
                <w:kern w:val="2"/>
                <w:highlight w:val="none"/>
                <w:u w:val="single"/>
                <w:lang w:eastAsia="zh-CN"/>
              </w:rPr>
            </w:pPr>
            <w:r>
              <w:rPr>
                <w:rFonts w:ascii="Times New Roman" w:hAnsi="Times New Roman" w:eastAsia="宋体"/>
                <w:color w:val="auto"/>
                <w:highlight w:val="none"/>
                <w:u w:val="single"/>
              </w:rPr>
              <mc:AlternateContent>
                <mc:Choice Requires="wps">
                  <w:drawing>
                    <wp:anchor distT="0" distB="0" distL="114300" distR="114300" simplePos="0" relativeHeight="251681792" behindDoc="0" locked="0" layoutInCell="1" allowOverlap="1">
                      <wp:simplePos x="0" y="0"/>
                      <wp:positionH relativeFrom="column">
                        <wp:posOffset>711200</wp:posOffset>
                      </wp:positionH>
                      <wp:positionV relativeFrom="paragraph">
                        <wp:posOffset>-9525</wp:posOffset>
                      </wp:positionV>
                      <wp:extent cx="695325" cy="476250"/>
                      <wp:effectExtent l="2540" t="3810" r="6985" b="15240"/>
                      <wp:wrapNone/>
                      <wp:docPr id="21" name="直线 11"/>
                      <wp:cNvGraphicFramePr/>
                      <a:graphic xmlns:a="http://schemas.openxmlformats.org/drawingml/2006/main">
                        <a:graphicData uri="http://schemas.microsoft.com/office/word/2010/wordprocessingShape">
                          <wps:wsp>
                            <wps:cNvCnPr/>
                            <wps:spPr>
                              <a:xfrm flipH="1" flipV="1">
                                <a:off x="0" y="0"/>
                                <a:ext cx="695325" cy="4762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 o:spid="_x0000_s1026" o:spt="20" style="position:absolute;left:0pt;flip:x y;margin-left:56pt;margin-top:-0.75pt;height:37.5pt;width:54.75pt;z-index:251681792;mso-width-relative:page;mso-height-relative:page;" filled="f" stroked="t" coordsize="21600,21600" o:gfxdata="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SjKFnUAAAACQEAAA8AAAAA&#10;AAAAAQAgAAAAIgAAAGRycy9kb3ducmV2LnhtbFBLAQIUABQAAAAIAIdO4kCtC0J/3wEAAKcDAAAO&#10;AAAAAAAAAAEAIAAAACMBAABkcnMvZTJvRG9jLnhtbFBLBQYAAAAABgAGAFkBAAB0BQAAAAA=&#10;">
                      <v:fill on="f" focussize="0,0"/>
                      <v:stroke color="#000000" joinstyle="round"/>
                      <v:imagedata o:title=""/>
                      <o:lock v:ext="edit" aspectratio="f"/>
                    </v:line>
                  </w:pict>
                </mc:Fallback>
              </mc:AlternateContent>
            </w:r>
            <w:r>
              <w:rPr>
                <w:rFonts w:hint="eastAsia" w:ascii="Times New Roman" w:hAnsi="Times New Roman" w:eastAsia="宋体"/>
                <w:b/>
                <w:bCs/>
                <w:color w:val="auto"/>
                <w:kern w:val="2"/>
                <w:highlight w:val="none"/>
                <w:u w:val="single"/>
                <w:lang w:eastAsia="zh-CN"/>
              </w:rPr>
              <w:t>项目类别</w:t>
            </w:r>
          </w:p>
          <w:p>
            <w:pPr>
              <w:pStyle w:val="66"/>
              <w:spacing w:line="240" w:lineRule="exact"/>
              <w:rPr>
                <w:rFonts w:hint="eastAsia" w:ascii="Times New Roman" w:hAnsi="Times New Roman" w:eastAsia="宋体"/>
                <w:b/>
                <w:bCs/>
                <w:color w:val="auto"/>
                <w:kern w:val="2"/>
                <w:highlight w:val="none"/>
                <w:u w:val="single"/>
                <w:lang w:eastAsia="zh-CN"/>
              </w:rPr>
            </w:pPr>
            <w:r>
              <w:rPr>
                <w:rFonts w:ascii="Times New Roman" w:hAnsi="Times New Roman" w:eastAsia="宋体"/>
                <w:color w:val="auto"/>
                <w:highlight w:val="none"/>
                <w:u w:val="single"/>
              </w:rPr>
              <mc:AlternateContent>
                <mc:Choice Requires="wps">
                  <w:drawing>
                    <wp:anchor distT="0" distB="0" distL="114300" distR="114300" simplePos="0" relativeHeight="251682816" behindDoc="0" locked="0" layoutInCell="1" allowOverlap="1">
                      <wp:simplePos x="0" y="0"/>
                      <wp:positionH relativeFrom="column">
                        <wp:posOffset>-3175</wp:posOffset>
                      </wp:positionH>
                      <wp:positionV relativeFrom="paragraph">
                        <wp:posOffset>76200</wp:posOffset>
                      </wp:positionV>
                      <wp:extent cx="1409700" cy="238125"/>
                      <wp:effectExtent l="635" t="4445" r="18415" b="5080"/>
                      <wp:wrapNone/>
                      <wp:docPr id="22" name="直线 12"/>
                      <wp:cNvGraphicFramePr/>
                      <a:graphic xmlns:a="http://schemas.openxmlformats.org/drawingml/2006/main">
                        <a:graphicData uri="http://schemas.microsoft.com/office/word/2010/wordprocessingShape">
                          <wps:wsp>
                            <wps:cNvCnPr/>
                            <wps:spPr>
                              <a:xfrm flipH="1" flipV="1">
                                <a:off x="0" y="0"/>
                                <a:ext cx="1409700" cy="2381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 o:spid="_x0000_s1026" o:spt="20" style="position:absolute;left:0pt;flip:x y;margin-left:-0.25pt;margin-top:6pt;height:18.75pt;width:111pt;z-index:251682816;mso-width-relative:page;mso-height-relative:page;" filled="f" stroked="t" coordsize="21600,21600" o:gfxdata="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t19TM0gAAAAcBAAAPAAAAAAAA&#10;AAEAIAAAACIAAABkcnMvZG93bnJldi54bWxQSwECFAAUAAAACACHTuJAgOwekd8BAACoAwAADgAA&#10;AAAAAAABACAAAAAhAQAAZHJzL2Uyb0RvYy54bWxQSwUGAAAAAAYABgBZAQAAcgUAAAAA&#10;">
                      <v:fill on="f" focussize="0,0"/>
                      <v:stroke color="#000000" joinstyle="round"/>
                      <v:imagedata o:title=""/>
                      <o:lock v:ext="edit" aspectratio="f"/>
                    </v:line>
                  </w:pict>
                </mc:Fallback>
              </mc:AlternateContent>
            </w:r>
            <w:r>
              <w:rPr>
                <w:rFonts w:hint="eastAsia" w:ascii="Times New Roman" w:hAnsi="Times New Roman" w:eastAsia="宋体"/>
                <w:b/>
                <w:bCs/>
                <w:color w:val="auto"/>
                <w:kern w:val="2"/>
                <w:highlight w:val="none"/>
                <w:u w:val="single"/>
                <w:lang w:eastAsia="zh-CN"/>
              </w:rPr>
              <w:t>评价工作等级</w:t>
            </w:r>
          </w:p>
          <w:p>
            <w:pPr>
              <w:pStyle w:val="66"/>
              <w:spacing w:line="240" w:lineRule="exact"/>
              <w:jc w:val="left"/>
              <w:rPr>
                <w:rFonts w:ascii="Times New Roman" w:hAnsi="Times New Roman" w:eastAsia="宋体"/>
                <w:b/>
                <w:bCs/>
                <w:color w:val="auto"/>
                <w:kern w:val="2"/>
                <w:highlight w:val="none"/>
                <w:u w:val="single"/>
                <w:lang w:eastAsia="zh-CN"/>
              </w:rPr>
            </w:pPr>
            <w:r>
              <w:rPr>
                <w:rFonts w:ascii="Times New Roman" w:hAnsi="Times New Roman" w:eastAsia="宋体"/>
                <w:b/>
                <w:bCs/>
                <w:color w:val="auto"/>
                <w:kern w:val="2"/>
                <w:highlight w:val="none"/>
                <w:u w:val="single"/>
                <w:lang w:eastAsia="zh-CN"/>
              </w:rPr>
              <w:t>敏感程度</w:t>
            </w:r>
          </w:p>
        </w:tc>
        <w:tc>
          <w:tcPr>
            <w:tcW w:w="1943" w:type="dxa"/>
            <w:tcBorders>
              <w:top w:val="single" w:color="000000" w:sz="12" w:space="0"/>
              <w:left w:val="single" w:color="000000" w:sz="4" w:space="0"/>
              <w:bottom w:val="single" w:color="000000" w:sz="4" w:space="0"/>
              <w:right w:val="single" w:color="000000" w:sz="4" w:space="0"/>
            </w:tcBorders>
            <w:noWrap w:val="0"/>
            <w:vAlign w:val="center"/>
          </w:tcPr>
          <w:p>
            <w:pPr>
              <w:pStyle w:val="66"/>
              <w:spacing w:line="240" w:lineRule="exact"/>
              <w:rPr>
                <w:rFonts w:ascii="Times New Roman" w:hAnsi="Times New Roman" w:eastAsia="宋体"/>
                <w:b/>
                <w:bCs/>
                <w:color w:val="auto"/>
                <w:kern w:val="2"/>
                <w:highlight w:val="none"/>
                <w:u w:val="single"/>
                <w:lang w:eastAsia="zh-CN"/>
              </w:rPr>
            </w:pPr>
            <w:r>
              <w:rPr>
                <w:rFonts w:ascii="Times New Roman" w:hAnsi="Times New Roman" w:eastAsia="宋体"/>
                <w:b/>
                <w:bCs/>
                <w:color w:val="auto"/>
                <w:kern w:val="2"/>
                <w:highlight w:val="none"/>
                <w:u w:val="single"/>
                <w:lang w:eastAsia="zh-CN"/>
              </w:rPr>
              <w:t>I类</w:t>
            </w:r>
          </w:p>
        </w:tc>
        <w:tc>
          <w:tcPr>
            <w:tcW w:w="2609" w:type="dxa"/>
            <w:tcBorders>
              <w:top w:val="single" w:color="000000" w:sz="12" w:space="0"/>
              <w:left w:val="single" w:color="000000" w:sz="4" w:space="0"/>
              <w:bottom w:val="single" w:color="000000" w:sz="4" w:space="0"/>
              <w:right w:val="single" w:color="000000" w:sz="4" w:space="0"/>
            </w:tcBorders>
            <w:noWrap w:val="0"/>
            <w:vAlign w:val="center"/>
          </w:tcPr>
          <w:p>
            <w:pPr>
              <w:pStyle w:val="66"/>
              <w:spacing w:line="240" w:lineRule="exact"/>
              <w:rPr>
                <w:rFonts w:ascii="Times New Roman" w:hAnsi="Times New Roman" w:eastAsia="宋体"/>
                <w:b/>
                <w:bCs/>
                <w:color w:val="auto"/>
                <w:kern w:val="2"/>
                <w:highlight w:val="none"/>
                <w:u w:val="single"/>
              </w:rPr>
            </w:pPr>
            <w:r>
              <w:rPr>
                <w:rFonts w:hint="eastAsia" w:ascii="Times New Roman" w:hAnsi="Times New Roman" w:eastAsia="宋体" w:cs="宋体"/>
                <w:b/>
                <w:bCs/>
                <w:color w:val="auto"/>
                <w:kern w:val="2"/>
                <w:highlight w:val="none"/>
                <w:u w:val="single"/>
                <w:lang w:eastAsia="zh-CN"/>
              </w:rPr>
              <w:t>Ⅱ</w:t>
            </w:r>
            <w:r>
              <w:rPr>
                <w:rFonts w:ascii="Times New Roman" w:hAnsi="Times New Roman" w:eastAsia="宋体"/>
                <w:b/>
                <w:bCs/>
                <w:color w:val="auto"/>
                <w:kern w:val="2"/>
                <w:highlight w:val="none"/>
                <w:u w:val="single"/>
                <w:lang w:eastAsia="zh-CN"/>
              </w:rPr>
              <w:t>类</w:t>
            </w:r>
          </w:p>
        </w:tc>
        <w:tc>
          <w:tcPr>
            <w:tcW w:w="2289" w:type="dxa"/>
            <w:tcBorders>
              <w:top w:val="single" w:color="000000" w:sz="12" w:space="0"/>
              <w:left w:val="single" w:color="000000" w:sz="4" w:space="0"/>
              <w:bottom w:val="single" w:color="000000" w:sz="4" w:space="0"/>
              <w:right w:val="single" w:color="000000" w:sz="12" w:space="0"/>
            </w:tcBorders>
            <w:noWrap w:val="0"/>
            <w:vAlign w:val="center"/>
          </w:tcPr>
          <w:p>
            <w:pPr>
              <w:pStyle w:val="66"/>
              <w:spacing w:line="240" w:lineRule="exact"/>
              <w:rPr>
                <w:rFonts w:ascii="Times New Roman" w:hAnsi="Times New Roman" w:eastAsia="宋体"/>
                <w:b/>
                <w:bCs/>
                <w:color w:val="auto"/>
                <w:kern w:val="2"/>
                <w:highlight w:val="none"/>
                <w:u w:val="single"/>
              </w:rPr>
            </w:pPr>
            <w:r>
              <w:rPr>
                <w:rFonts w:hint="eastAsia" w:ascii="Times New Roman" w:hAnsi="Times New Roman" w:eastAsia="宋体" w:cs="宋体"/>
                <w:b/>
                <w:bCs/>
                <w:color w:val="auto"/>
                <w:kern w:val="2"/>
                <w:highlight w:val="none"/>
                <w:u w:val="single"/>
                <w:lang w:eastAsia="zh-CN"/>
              </w:rPr>
              <w:t>Ⅲ</w:t>
            </w:r>
            <w:r>
              <w:rPr>
                <w:rFonts w:ascii="Times New Roman" w:hAnsi="Times New Roman" w:eastAsia="宋体"/>
                <w:b/>
                <w:bCs/>
                <w:color w:val="auto"/>
                <w:kern w:val="2"/>
                <w:highlight w:val="none"/>
                <w:u w:val="single"/>
                <w:lang w:eastAsia="zh-CN"/>
              </w:rPr>
              <w:t>类</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230" w:type="dxa"/>
            <w:tcBorders>
              <w:top w:val="single" w:color="000000" w:sz="4" w:space="0"/>
              <w:left w:val="single" w:color="000000" w:sz="12" w:space="0"/>
              <w:bottom w:val="single" w:color="000000" w:sz="4" w:space="0"/>
              <w:right w:val="single" w:color="000000" w:sz="4" w:space="0"/>
            </w:tcBorders>
            <w:noWrap w:val="0"/>
            <w:vAlign w:val="center"/>
          </w:tcPr>
          <w:p>
            <w:pPr>
              <w:pStyle w:val="66"/>
              <w:spacing w:line="240" w:lineRule="exact"/>
              <w:rPr>
                <w:rFonts w:ascii="Times New Roman" w:hAnsi="Times New Roman" w:eastAsia="宋体"/>
                <w:color w:val="auto"/>
                <w:kern w:val="2"/>
                <w:highlight w:val="none"/>
                <w:u w:val="single"/>
                <w:lang w:eastAsia="zh-CN"/>
              </w:rPr>
            </w:pPr>
            <w:r>
              <w:rPr>
                <w:rFonts w:ascii="Times New Roman" w:hAnsi="Times New Roman" w:eastAsia="宋体"/>
                <w:color w:val="auto"/>
                <w:kern w:val="2"/>
                <w:highlight w:val="none"/>
                <w:u w:val="single"/>
                <w:lang w:eastAsia="zh-CN"/>
              </w:rPr>
              <w:t>敏感</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pStyle w:val="66"/>
              <w:spacing w:line="240" w:lineRule="exact"/>
              <w:rPr>
                <w:rFonts w:ascii="Times New Roman" w:hAnsi="Times New Roman" w:eastAsia="宋体"/>
                <w:color w:val="auto"/>
                <w:kern w:val="2"/>
                <w:highlight w:val="none"/>
                <w:u w:val="single"/>
                <w:lang w:eastAsia="zh-CN"/>
              </w:rPr>
            </w:pPr>
            <w:r>
              <w:rPr>
                <w:rFonts w:ascii="Times New Roman" w:hAnsi="Times New Roman" w:eastAsia="宋体"/>
                <w:color w:val="auto"/>
                <w:kern w:val="2"/>
                <w:highlight w:val="none"/>
                <w:u w:val="single"/>
                <w:lang w:eastAsia="zh-CN"/>
              </w:rPr>
              <w:t>一级</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pPr>
              <w:pStyle w:val="66"/>
              <w:spacing w:line="240" w:lineRule="exact"/>
              <w:rPr>
                <w:rFonts w:ascii="Times New Roman" w:hAnsi="Times New Roman" w:eastAsia="宋体"/>
                <w:color w:val="auto"/>
                <w:kern w:val="2"/>
                <w:highlight w:val="none"/>
                <w:u w:val="single"/>
                <w:lang w:eastAsia="zh-CN"/>
              </w:rPr>
            </w:pPr>
            <w:r>
              <w:rPr>
                <w:rFonts w:ascii="Times New Roman" w:hAnsi="Times New Roman" w:eastAsia="宋体"/>
                <w:color w:val="auto"/>
                <w:kern w:val="2"/>
                <w:highlight w:val="none"/>
                <w:u w:val="single"/>
                <w:lang w:eastAsia="zh-CN"/>
              </w:rPr>
              <w:t>二级</w:t>
            </w:r>
          </w:p>
        </w:tc>
        <w:tc>
          <w:tcPr>
            <w:tcW w:w="2289" w:type="dxa"/>
            <w:tcBorders>
              <w:top w:val="single" w:color="000000" w:sz="4" w:space="0"/>
              <w:left w:val="single" w:color="000000" w:sz="4" w:space="0"/>
              <w:bottom w:val="single" w:color="000000" w:sz="4" w:space="0"/>
              <w:right w:val="single" w:color="000000" w:sz="12" w:space="0"/>
            </w:tcBorders>
            <w:noWrap w:val="0"/>
            <w:vAlign w:val="center"/>
          </w:tcPr>
          <w:p>
            <w:pPr>
              <w:pStyle w:val="66"/>
              <w:spacing w:line="240" w:lineRule="exact"/>
              <w:rPr>
                <w:rFonts w:ascii="Times New Roman" w:hAnsi="Times New Roman" w:eastAsia="宋体"/>
                <w:color w:val="auto"/>
                <w:kern w:val="2"/>
                <w:highlight w:val="none"/>
                <w:u w:val="single"/>
                <w:lang w:eastAsia="zh-CN"/>
              </w:rPr>
            </w:pPr>
            <w:r>
              <w:rPr>
                <w:rFonts w:hint="eastAsia" w:ascii="Times New Roman" w:hAnsi="Times New Roman" w:eastAsia="宋体"/>
                <w:color w:val="auto"/>
                <w:kern w:val="2"/>
                <w:highlight w:val="none"/>
                <w:u w:val="single"/>
                <w:lang w:eastAsia="zh-CN"/>
              </w:rPr>
              <w:t>三</w:t>
            </w:r>
            <w:r>
              <w:rPr>
                <w:rFonts w:ascii="Times New Roman" w:hAnsi="Times New Roman" w:eastAsia="宋体"/>
                <w:color w:val="auto"/>
                <w:kern w:val="2"/>
                <w:highlight w:val="none"/>
                <w:u w:val="single"/>
                <w:lang w:eastAsia="zh-CN"/>
              </w:rPr>
              <w:t>级</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230" w:type="dxa"/>
            <w:tcBorders>
              <w:top w:val="single" w:color="000000" w:sz="4" w:space="0"/>
              <w:left w:val="single" w:color="000000" w:sz="12" w:space="0"/>
              <w:bottom w:val="single" w:color="000000" w:sz="4" w:space="0"/>
              <w:right w:val="single" w:color="000000" w:sz="4" w:space="0"/>
            </w:tcBorders>
            <w:noWrap w:val="0"/>
            <w:vAlign w:val="center"/>
          </w:tcPr>
          <w:p>
            <w:pPr>
              <w:pStyle w:val="66"/>
              <w:spacing w:line="240" w:lineRule="exact"/>
              <w:rPr>
                <w:rFonts w:ascii="Times New Roman" w:hAnsi="Times New Roman" w:eastAsia="宋体"/>
                <w:color w:val="auto"/>
                <w:kern w:val="2"/>
                <w:highlight w:val="none"/>
                <w:u w:val="single"/>
                <w:lang w:eastAsia="zh-CN"/>
              </w:rPr>
            </w:pPr>
            <w:r>
              <w:rPr>
                <w:rFonts w:ascii="Times New Roman" w:hAnsi="Times New Roman" w:eastAsia="宋体"/>
                <w:color w:val="auto"/>
                <w:kern w:val="2"/>
                <w:highlight w:val="none"/>
                <w:u w:val="single"/>
                <w:lang w:eastAsia="zh-CN"/>
              </w:rPr>
              <w:t>较敏感</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pStyle w:val="66"/>
              <w:spacing w:line="240" w:lineRule="exact"/>
              <w:rPr>
                <w:rFonts w:ascii="Times New Roman" w:hAnsi="Times New Roman" w:eastAsia="宋体"/>
                <w:color w:val="auto"/>
                <w:kern w:val="2"/>
                <w:highlight w:val="none"/>
                <w:u w:val="single"/>
                <w:lang w:eastAsia="zh-CN"/>
              </w:rPr>
            </w:pPr>
            <w:r>
              <w:rPr>
                <w:rFonts w:ascii="Times New Roman" w:hAnsi="Times New Roman" w:eastAsia="宋体"/>
                <w:color w:val="auto"/>
                <w:kern w:val="2"/>
                <w:highlight w:val="none"/>
                <w:u w:val="single"/>
                <w:lang w:eastAsia="zh-CN"/>
              </w:rPr>
              <w:t>二级</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pPr>
              <w:pStyle w:val="66"/>
              <w:spacing w:line="240" w:lineRule="exact"/>
              <w:rPr>
                <w:rFonts w:ascii="Times New Roman" w:hAnsi="Times New Roman" w:eastAsia="宋体"/>
                <w:color w:val="auto"/>
                <w:kern w:val="2"/>
                <w:highlight w:val="none"/>
                <w:u w:val="single"/>
                <w:lang w:eastAsia="zh-CN"/>
              </w:rPr>
            </w:pPr>
            <w:r>
              <w:rPr>
                <w:rFonts w:ascii="Times New Roman" w:hAnsi="Times New Roman" w:eastAsia="宋体"/>
                <w:color w:val="auto"/>
                <w:kern w:val="2"/>
                <w:highlight w:val="none"/>
                <w:u w:val="single"/>
                <w:lang w:eastAsia="zh-CN"/>
              </w:rPr>
              <w:t>二级</w:t>
            </w:r>
          </w:p>
        </w:tc>
        <w:tc>
          <w:tcPr>
            <w:tcW w:w="2289" w:type="dxa"/>
            <w:tcBorders>
              <w:top w:val="single" w:color="000000" w:sz="4" w:space="0"/>
              <w:left w:val="single" w:color="000000" w:sz="4" w:space="0"/>
              <w:bottom w:val="single" w:color="000000" w:sz="4" w:space="0"/>
              <w:right w:val="single" w:color="000000" w:sz="12" w:space="0"/>
            </w:tcBorders>
            <w:noWrap w:val="0"/>
            <w:vAlign w:val="center"/>
          </w:tcPr>
          <w:p>
            <w:pPr>
              <w:pStyle w:val="66"/>
              <w:spacing w:line="240" w:lineRule="exact"/>
              <w:rPr>
                <w:rFonts w:ascii="Times New Roman" w:hAnsi="Times New Roman" w:eastAsia="宋体"/>
                <w:color w:val="auto"/>
                <w:kern w:val="2"/>
                <w:highlight w:val="none"/>
                <w:u w:val="single"/>
                <w:lang w:eastAsia="zh-CN"/>
              </w:rPr>
            </w:pPr>
            <w:r>
              <w:rPr>
                <w:rFonts w:hint="eastAsia" w:ascii="Times New Roman" w:hAnsi="Times New Roman" w:eastAsia="宋体"/>
                <w:color w:val="auto"/>
                <w:kern w:val="2"/>
                <w:highlight w:val="none"/>
                <w:u w:val="single"/>
                <w:lang w:eastAsia="zh-CN"/>
              </w:rPr>
              <w:t>三</w:t>
            </w:r>
            <w:r>
              <w:rPr>
                <w:rFonts w:ascii="Times New Roman" w:hAnsi="Times New Roman" w:eastAsia="宋体"/>
                <w:color w:val="auto"/>
                <w:kern w:val="2"/>
                <w:highlight w:val="none"/>
                <w:u w:val="single"/>
                <w:lang w:eastAsia="zh-CN"/>
              </w:rPr>
              <w:t>级</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230" w:type="dxa"/>
            <w:tcBorders>
              <w:top w:val="single" w:color="000000" w:sz="4" w:space="0"/>
              <w:left w:val="single" w:color="000000" w:sz="12" w:space="0"/>
              <w:bottom w:val="single" w:color="000000" w:sz="4" w:space="0"/>
              <w:right w:val="single" w:color="000000" w:sz="4" w:space="0"/>
            </w:tcBorders>
            <w:noWrap w:val="0"/>
            <w:vAlign w:val="center"/>
          </w:tcPr>
          <w:p>
            <w:pPr>
              <w:pStyle w:val="66"/>
              <w:spacing w:line="240" w:lineRule="exact"/>
              <w:rPr>
                <w:rFonts w:ascii="Times New Roman" w:hAnsi="Times New Roman" w:eastAsia="宋体"/>
                <w:color w:val="auto"/>
                <w:kern w:val="2"/>
                <w:highlight w:val="none"/>
                <w:u w:val="single"/>
                <w:lang w:eastAsia="zh-CN"/>
              </w:rPr>
            </w:pPr>
            <w:r>
              <w:rPr>
                <w:rFonts w:ascii="Times New Roman" w:hAnsi="Times New Roman" w:eastAsia="宋体"/>
                <w:color w:val="auto"/>
                <w:kern w:val="2"/>
                <w:highlight w:val="none"/>
                <w:u w:val="single"/>
                <w:lang w:eastAsia="zh-CN"/>
              </w:rPr>
              <w:t>不敏感</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pPr>
              <w:pStyle w:val="66"/>
              <w:spacing w:line="240" w:lineRule="exact"/>
              <w:rPr>
                <w:rFonts w:ascii="Times New Roman" w:hAnsi="Times New Roman" w:eastAsia="宋体"/>
                <w:color w:val="auto"/>
                <w:kern w:val="2"/>
                <w:highlight w:val="none"/>
                <w:u w:val="single"/>
                <w:lang w:eastAsia="zh-CN"/>
              </w:rPr>
            </w:pPr>
            <w:r>
              <w:rPr>
                <w:rFonts w:ascii="Times New Roman" w:hAnsi="Times New Roman" w:eastAsia="宋体"/>
                <w:color w:val="auto"/>
                <w:kern w:val="2"/>
                <w:highlight w:val="none"/>
                <w:u w:val="single"/>
                <w:lang w:eastAsia="zh-CN"/>
              </w:rPr>
              <w:t>二级</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pPr>
              <w:pStyle w:val="66"/>
              <w:spacing w:line="240" w:lineRule="exact"/>
              <w:rPr>
                <w:rFonts w:ascii="Times New Roman" w:hAnsi="Times New Roman" w:eastAsia="宋体"/>
                <w:color w:val="auto"/>
                <w:kern w:val="2"/>
                <w:highlight w:val="none"/>
                <w:u w:val="single"/>
                <w:lang w:eastAsia="zh-CN"/>
              </w:rPr>
            </w:pPr>
            <w:r>
              <w:rPr>
                <w:rFonts w:hint="eastAsia" w:ascii="Times New Roman" w:hAnsi="Times New Roman" w:eastAsia="宋体"/>
                <w:color w:val="auto"/>
                <w:kern w:val="2"/>
                <w:highlight w:val="none"/>
                <w:u w:val="single"/>
                <w:lang w:eastAsia="zh-CN"/>
              </w:rPr>
              <w:t>三</w:t>
            </w:r>
            <w:r>
              <w:rPr>
                <w:rFonts w:ascii="Times New Roman" w:hAnsi="Times New Roman" w:eastAsia="宋体"/>
                <w:color w:val="auto"/>
                <w:kern w:val="2"/>
                <w:highlight w:val="none"/>
                <w:u w:val="single"/>
                <w:lang w:eastAsia="zh-CN"/>
              </w:rPr>
              <w:t>级</w:t>
            </w:r>
          </w:p>
        </w:tc>
        <w:tc>
          <w:tcPr>
            <w:tcW w:w="2289" w:type="dxa"/>
            <w:tcBorders>
              <w:top w:val="single" w:color="000000" w:sz="4" w:space="0"/>
              <w:left w:val="single" w:color="000000" w:sz="4" w:space="0"/>
              <w:bottom w:val="single" w:color="000000" w:sz="4" w:space="0"/>
              <w:right w:val="single" w:color="000000" w:sz="12" w:space="0"/>
            </w:tcBorders>
            <w:noWrap w:val="0"/>
            <w:vAlign w:val="center"/>
          </w:tcPr>
          <w:p>
            <w:pPr>
              <w:pStyle w:val="66"/>
              <w:spacing w:line="240" w:lineRule="exact"/>
              <w:rPr>
                <w:rFonts w:ascii="Times New Roman" w:hAnsi="Times New Roman" w:eastAsia="宋体"/>
                <w:color w:val="auto"/>
                <w:kern w:val="2"/>
                <w:highlight w:val="none"/>
                <w:u w:val="single"/>
                <w:lang w:eastAsia="zh-CN"/>
              </w:rPr>
            </w:pPr>
            <w:r>
              <w:rPr>
                <w:rFonts w:hint="eastAsia" w:ascii="Times New Roman" w:hAnsi="Times New Roman" w:eastAsia="宋体"/>
                <w:color w:val="auto"/>
                <w:kern w:val="2"/>
                <w:highlight w:val="none"/>
                <w:u w:val="single"/>
                <w:lang w:eastAsia="zh-CN"/>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9071" w:type="dxa"/>
            <w:gridSpan w:val="4"/>
            <w:tcBorders>
              <w:top w:val="single" w:color="000000" w:sz="4" w:space="0"/>
              <w:left w:val="single" w:color="000000" w:sz="12" w:space="0"/>
              <w:bottom w:val="single" w:color="000000" w:sz="12" w:space="0"/>
              <w:right w:val="single" w:color="000000" w:sz="12" w:space="0"/>
            </w:tcBorders>
            <w:noWrap w:val="0"/>
            <w:vAlign w:val="center"/>
          </w:tcPr>
          <w:p>
            <w:pPr>
              <w:pStyle w:val="66"/>
              <w:spacing w:line="240" w:lineRule="exact"/>
              <w:jc w:val="left"/>
              <w:rPr>
                <w:rFonts w:ascii="Times New Roman" w:hAnsi="Times New Roman" w:eastAsia="宋体"/>
                <w:color w:val="auto"/>
                <w:kern w:val="2"/>
                <w:highlight w:val="none"/>
                <w:u w:val="single"/>
                <w:lang w:eastAsia="zh-CN"/>
              </w:rPr>
            </w:pPr>
            <w:r>
              <w:rPr>
                <w:rFonts w:hint="eastAsia" w:ascii="Times New Roman" w:hAnsi="Times New Roman" w:eastAsia="宋体"/>
                <w:color w:val="auto"/>
                <w:kern w:val="2"/>
                <w:highlight w:val="none"/>
                <w:u w:val="single"/>
                <w:lang w:eastAsia="zh-CN"/>
              </w:rPr>
              <w:t>注：“-”表示可不开展土壤环境影响评价工作。</w:t>
            </w:r>
          </w:p>
        </w:tc>
      </w:tr>
    </w:tbl>
    <w:p>
      <w:pPr>
        <w:spacing w:line="240" w:lineRule="auto"/>
        <w:ind w:firstLine="480"/>
        <w:rPr>
          <w:rFonts w:hint="eastAsia" w:ascii="Times New Roman" w:hAnsi="Times New Roman" w:eastAsia="宋体"/>
          <w:color w:val="auto"/>
          <w:highlight w:val="none"/>
          <w:u w:val="single"/>
        </w:rPr>
      </w:pPr>
    </w:p>
    <w:p>
      <w:pPr>
        <w:ind w:firstLine="480"/>
        <w:rPr>
          <w:rFonts w:ascii="Times New Roman" w:hAnsi="Times New Roman" w:eastAsia="宋体"/>
          <w:color w:val="auto"/>
          <w:highlight w:val="none"/>
          <w:u w:val="single"/>
        </w:rPr>
      </w:pPr>
      <w:r>
        <w:rPr>
          <w:rFonts w:hint="eastAsia" w:ascii="Times New Roman" w:hAnsi="Times New Roman" w:eastAsia="宋体"/>
          <w:color w:val="auto"/>
          <w:highlight w:val="none"/>
          <w:u w:val="single"/>
          <w:lang w:val="en-US" w:eastAsia="zh-CN"/>
        </w:rPr>
        <w:t>根据表1.5-11</w:t>
      </w:r>
      <w:r>
        <w:rPr>
          <w:rFonts w:hint="eastAsia" w:ascii="Times New Roman" w:hAnsi="Times New Roman" w:eastAsia="宋体"/>
          <w:color w:val="auto"/>
          <w:highlight w:val="none"/>
          <w:u w:val="single"/>
        </w:rPr>
        <w:t>，</w:t>
      </w:r>
      <w:r>
        <w:rPr>
          <w:rFonts w:hint="eastAsia" w:ascii="Times New Roman" w:hAnsi="Times New Roman" w:eastAsia="宋体"/>
          <w:color w:val="auto"/>
          <w:highlight w:val="none"/>
          <w:u w:val="single"/>
          <w:lang w:val="en-US" w:eastAsia="zh-CN"/>
        </w:rPr>
        <w:t>判定本</w:t>
      </w:r>
      <w:r>
        <w:rPr>
          <w:rFonts w:hint="eastAsia" w:ascii="Times New Roman" w:hAnsi="Times New Roman" w:eastAsia="宋体"/>
          <w:color w:val="auto"/>
          <w:highlight w:val="none"/>
          <w:u w:val="single"/>
        </w:rPr>
        <w:t>项目可不开展土壤环境影响评价工作。</w:t>
      </w:r>
    </w:p>
    <w:p>
      <w:pPr>
        <w:pStyle w:val="6"/>
        <w:rPr>
          <w:rFonts w:ascii="Times New Roman" w:hAnsi="Times New Roman" w:eastAsia="宋体"/>
          <w:color w:val="auto"/>
          <w:highlight w:val="none"/>
        </w:rPr>
      </w:pPr>
      <w:r>
        <w:rPr>
          <w:rFonts w:hint="eastAsia" w:ascii="Times New Roman" w:hAnsi="Times New Roman" w:eastAsia="宋体"/>
          <w:color w:val="auto"/>
          <w:highlight w:val="none"/>
        </w:rPr>
        <w:t xml:space="preserve">1.5.1.6 </w:t>
      </w:r>
      <w:r>
        <w:rPr>
          <w:rFonts w:ascii="Times New Roman" w:hAnsi="Times New Roman" w:eastAsia="宋体"/>
          <w:color w:val="auto"/>
          <w:highlight w:val="none"/>
        </w:rPr>
        <w:t>环境风险</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根据《建设项目环境风险评价技术导则》（HJ 169-2018）附录B表B.1，本项目列入突发环境事件风险物质包括</w:t>
      </w:r>
      <w:r>
        <w:rPr>
          <w:rFonts w:hint="eastAsia" w:ascii="Times New Roman" w:hAnsi="Times New Roman" w:eastAsia="宋体" w:cs="Times New Roman"/>
          <w:color w:val="auto"/>
          <w:highlight w:val="none"/>
        </w:rPr>
        <w:t>乳化炸药（乳化</w:t>
      </w:r>
      <w:r>
        <w:rPr>
          <w:rFonts w:ascii="Times New Roman" w:hAnsi="Times New Roman" w:eastAsia="宋体" w:cs="Times New Roman"/>
          <w:color w:val="auto"/>
          <w:highlight w:val="none"/>
        </w:rPr>
        <w:t>炸药的主要成分</w:t>
      </w:r>
      <w:r>
        <w:rPr>
          <w:rFonts w:hint="eastAsia" w:ascii="Times New Roman" w:hAnsi="Times New Roman" w:eastAsia="宋体" w:cs="Times New Roman"/>
          <w:color w:val="auto"/>
          <w:highlight w:val="none"/>
        </w:rPr>
        <w:t>为</w:t>
      </w:r>
      <w:r>
        <w:rPr>
          <w:rFonts w:ascii="Times New Roman" w:hAnsi="Times New Roman" w:eastAsia="宋体" w:cs="Times New Roman"/>
          <w:color w:val="auto"/>
          <w:highlight w:val="none"/>
        </w:rPr>
        <w:t>硝酸铵</w:t>
      </w:r>
      <w:r>
        <w:rPr>
          <w:rFonts w:hint="eastAsia" w:ascii="Times New Roman" w:hAnsi="Times New Roman" w:eastAsia="宋体" w:cs="Times New Roman"/>
          <w:color w:val="auto"/>
          <w:highlight w:val="none"/>
        </w:rPr>
        <w:t>，与硝酸铵属于相同危险类别，按硝酸铵计算其临界量）</w:t>
      </w:r>
      <w:r>
        <w:rPr>
          <w:rFonts w:ascii="Times New Roman" w:hAnsi="Times New Roman" w:eastAsia="宋体" w:cs="Times New Roman"/>
          <w:color w:val="auto"/>
          <w:highlight w:val="none"/>
        </w:rPr>
        <w:t>和柴油。项目爆破委托具备相应资质的专业爆破公司进行，矿山生产中需要炸药和雷管时，由民爆管理公司按需要量当天运送、当天使用，不在场区内储存炸药，使用量为</w:t>
      </w:r>
      <w:r>
        <w:rPr>
          <w:rFonts w:hint="eastAsia" w:ascii="Times New Roman" w:hAnsi="Times New Roman" w:eastAsia="宋体" w:cs="Times New Roman"/>
          <w:color w:val="auto"/>
          <w:kern w:val="0"/>
          <w:szCs w:val="24"/>
          <w:highlight w:val="none"/>
        </w:rPr>
        <w:t>2.304</w:t>
      </w:r>
      <w:r>
        <w:rPr>
          <w:rFonts w:ascii="Times New Roman" w:hAnsi="Times New Roman" w:eastAsia="宋体" w:cs="Times New Roman"/>
          <w:color w:val="auto"/>
          <w:kern w:val="0"/>
          <w:szCs w:val="24"/>
          <w:highlight w:val="none"/>
        </w:rPr>
        <w:t>t/次，硝酸铵临界量为5</w:t>
      </w:r>
      <w:r>
        <w:rPr>
          <w:rFonts w:ascii="Times New Roman" w:hAnsi="Times New Roman" w:eastAsia="宋体" w:cs="Times New Roman"/>
          <w:color w:val="auto"/>
          <w:highlight w:val="none"/>
        </w:rPr>
        <w:t>0t。柴油由当地加油站使用油罐车提供，矿区</w:t>
      </w:r>
      <w:r>
        <w:rPr>
          <w:rFonts w:hint="eastAsia" w:cs="Times New Roman"/>
          <w:color w:val="auto"/>
          <w:highlight w:val="none"/>
          <w:u w:val="single"/>
          <w:lang w:eastAsia="zh-CN"/>
        </w:rPr>
        <w:t>破碎场①</w:t>
      </w:r>
      <w:r>
        <w:rPr>
          <w:rFonts w:ascii="Times New Roman" w:hAnsi="Times New Roman" w:eastAsia="宋体" w:cs="Times New Roman"/>
          <w:color w:val="auto"/>
          <w:highlight w:val="none"/>
        </w:rPr>
        <w:t>设置</w:t>
      </w:r>
      <w:r>
        <w:rPr>
          <w:rFonts w:hint="eastAsia" w:ascii="Times New Roman" w:hAnsi="Times New Roman" w:eastAsia="宋体" w:cs="Times New Roman"/>
          <w:color w:val="auto"/>
          <w:highlight w:val="none"/>
        </w:rPr>
        <w:t>1个容积10m</w:t>
      </w:r>
      <w:r>
        <w:rPr>
          <w:rFonts w:hint="eastAsia"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柴油储罐，</w:t>
      </w:r>
      <w:r>
        <w:rPr>
          <w:rFonts w:hint="eastAsia" w:cs="Times New Roman"/>
          <w:color w:val="auto"/>
          <w:highlight w:val="none"/>
          <w:u w:val="single"/>
          <w:lang w:eastAsia="zh-CN"/>
        </w:rPr>
        <w:t>破碎场②</w:t>
      </w:r>
      <w:r>
        <w:rPr>
          <w:rFonts w:hint="eastAsia" w:ascii="Times New Roman" w:hAnsi="Times New Roman" w:eastAsia="宋体" w:cs="Times New Roman"/>
          <w:color w:val="auto"/>
          <w:highlight w:val="none"/>
        </w:rPr>
        <w:t>设置1个容积20m</w:t>
      </w:r>
      <w:r>
        <w:rPr>
          <w:rFonts w:hint="eastAsia"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柴油储罐</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柴油储罐</w:t>
      </w:r>
      <w:r>
        <w:rPr>
          <w:rFonts w:hint="eastAsia" w:ascii="Times New Roman" w:hAnsi="Times New Roman" w:eastAsia="宋体" w:cs="Times New Roman"/>
          <w:color w:val="auto"/>
          <w:highlight w:val="none"/>
        </w:rPr>
        <w:t>总容积30m</w:t>
      </w:r>
      <w:r>
        <w:rPr>
          <w:rFonts w:hint="eastAsia"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u w:val="single"/>
          <w:lang w:val="en-US" w:eastAsia="zh-CN"/>
        </w:rPr>
        <w:t>日常最大贮存量按容积的80%计算，则柴油储罐最大贮存总容积24</w:t>
      </w:r>
      <w:r>
        <w:rPr>
          <w:rFonts w:hint="eastAsia" w:ascii="Times New Roman" w:hAnsi="Times New Roman" w:eastAsia="宋体" w:cs="Times New Roman"/>
          <w:color w:val="auto"/>
          <w:highlight w:val="none"/>
          <w:u w:val="single"/>
        </w:rPr>
        <w:t>m</w:t>
      </w:r>
      <w:r>
        <w:rPr>
          <w:rFonts w:hint="eastAsia" w:ascii="Times New Roman" w:hAnsi="Times New Roman" w:eastAsia="宋体" w:cs="Times New Roman"/>
          <w:color w:val="auto"/>
          <w:highlight w:val="none"/>
          <w:u w:val="single"/>
          <w:vertAlign w:val="superscript"/>
        </w:rPr>
        <w:t>3</w:t>
      </w:r>
      <w:r>
        <w:rPr>
          <w:rFonts w:hint="eastAsia" w:ascii="Times New Roman" w:hAnsi="Times New Roman" w:eastAsia="宋体" w:cs="Times New Roman"/>
          <w:color w:val="auto"/>
          <w:highlight w:val="none"/>
          <w:u w:val="single"/>
          <w:lang w:val="en-US" w:eastAsia="zh-CN"/>
        </w:rPr>
        <w:t>，</w:t>
      </w:r>
      <w:r>
        <w:rPr>
          <w:rFonts w:hint="eastAsia" w:ascii="Times New Roman" w:hAnsi="Times New Roman" w:eastAsia="宋体" w:cs="Times New Roman"/>
          <w:color w:val="auto"/>
          <w:highlight w:val="none"/>
          <w:u w:val="single"/>
        </w:rPr>
        <w:t>柴油密度按0.85g/ml计算，最大</w:t>
      </w:r>
      <w:r>
        <w:rPr>
          <w:rFonts w:ascii="Times New Roman" w:hAnsi="Times New Roman" w:eastAsia="宋体" w:cs="Times New Roman"/>
          <w:color w:val="auto"/>
          <w:highlight w:val="none"/>
          <w:u w:val="single"/>
        </w:rPr>
        <w:t>存贮量</w:t>
      </w:r>
      <w:r>
        <w:rPr>
          <w:rFonts w:hint="eastAsia" w:ascii="Times New Roman" w:hAnsi="Times New Roman" w:eastAsia="宋体" w:cs="Times New Roman"/>
          <w:color w:val="auto"/>
          <w:highlight w:val="none"/>
          <w:u w:val="single"/>
        </w:rPr>
        <w:t>合计</w:t>
      </w:r>
      <w:r>
        <w:rPr>
          <w:rFonts w:hint="eastAsia" w:ascii="Times New Roman" w:hAnsi="Times New Roman" w:eastAsia="宋体" w:cs="Times New Roman"/>
          <w:color w:val="auto"/>
          <w:highlight w:val="none"/>
          <w:u w:val="single"/>
          <w:lang w:val="en-US" w:eastAsia="zh-CN"/>
        </w:rPr>
        <w:t>20.4</w:t>
      </w:r>
      <w:r>
        <w:rPr>
          <w:rFonts w:ascii="Times New Roman" w:hAnsi="Times New Roman" w:eastAsia="宋体" w:cs="Times New Roman"/>
          <w:color w:val="auto"/>
          <w:highlight w:val="none"/>
          <w:u w:val="single"/>
        </w:rPr>
        <w:t>t</w:t>
      </w:r>
      <w:r>
        <w:rPr>
          <w:rFonts w:ascii="Times New Roman" w:hAnsi="Times New Roman" w:eastAsia="宋体" w:cs="Times New Roman"/>
          <w:color w:val="auto"/>
          <w:highlight w:val="none"/>
        </w:rPr>
        <w:t>，柴油临界量为2500t。</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anchor distT="0" distB="0" distL="114300" distR="114300" simplePos="0" relativeHeight="251663360" behindDoc="0" locked="0" layoutInCell="1" allowOverlap="1">
            <wp:simplePos x="0" y="0"/>
            <wp:positionH relativeFrom="column">
              <wp:posOffset>1911350</wp:posOffset>
            </wp:positionH>
            <wp:positionV relativeFrom="paragraph">
              <wp:posOffset>701040</wp:posOffset>
            </wp:positionV>
            <wp:extent cx="1984375" cy="608965"/>
            <wp:effectExtent l="0" t="0" r="15875" b="635"/>
            <wp:wrapTopAndBottom/>
            <wp:docPr id="6" name="图片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34"/>
                    <pic:cNvPicPr>
                      <a:picLocks noChangeAspect="1"/>
                    </pic:cNvPicPr>
                  </pic:nvPicPr>
                  <pic:blipFill>
                    <a:blip r:embed="rId41"/>
                    <a:stretch>
                      <a:fillRect/>
                    </a:stretch>
                  </pic:blipFill>
                  <pic:spPr>
                    <a:xfrm>
                      <a:off x="0" y="0"/>
                      <a:ext cx="1984375" cy="608965"/>
                    </a:xfrm>
                    <a:prstGeom prst="rect">
                      <a:avLst/>
                    </a:prstGeom>
                    <a:noFill/>
                    <a:ln>
                      <a:noFill/>
                    </a:ln>
                  </pic:spPr>
                </pic:pic>
              </a:graphicData>
            </a:graphic>
          </wp:anchor>
        </w:drawing>
      </w:r>
      <w:r>
        <w:rPr>
          <w:rFonts w:ascii="Times New Roman" w:hAnsi="Times New Roman" w:eastAsia="宋体" w:cs="Times New Roman"/>
          <w:color w:val="auto"/>
          <w:highlight w:val="none"/>
        </w:rPr>
        <w:t>根据《建设项目环境风险评价技术导则》（HJ 169-2018）附录C，当存在多种危险物质时，则按下式计算物质总量与其临界量比值Q。</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式中：q</w:t>
      </w:r>
      <w:r>
        <w:rPr>
          <w:rFonts w:ascii="Times New Roman" w:hAnsi="Times New Roman" w:eastAsia="宋体" w:cs="Times New Roman"/>
          <w:color w:val="auto"/>
          <w:highlight w:val="none"/>
          <w:vertAlign w:val="subscript"/>
        </w:rPr>
        <w:t>1</w:t>
      </w:r>
      <w:r>
        <w:rPr>
          <w:rFonts w:ascii="Times New Roman" w:hAnsi="Times New Roman" w:eastAsia="宋体" w:cs="Times New Roman"/>
          <w:color w:val="auto"/>
          <w:highlight w:val="none"/>
        </w:rPr>
        <w:t>，q</w:t>
      </w:r>
      <w:r>
        <w:rPr>
          <w:rFonts w:ascii="Times New Roman" w:hAnsi="Times New Roman" w:eastAsia="宋体" w:cs="Times New Roman"/>
          <w:color w:val="auto"/>
          <w:highlight w:val="none"/>
          <w:vertAlign w:val="subscript"/>
        </w:rPr>
        <w:t>2</w:t>
      </w:r>
      <w:r>
        <w:rPr>
          <w:rFonts w:ascii="Times New Roman" w:hAnsi="Times New Roman" w:eastAsia="宋体" w:cs="Times New Roman"/>
          <w:color w:val="auto"/>
          <w:highlight w:val="none"/>
        </w:rPr>
        <w:t>，...，q</w:t>
      </w:r>
      <w:r>
        <w:rPr>
          <w:rFonts w:ascii="Times New Roman" w:hAnsi="Times New Roman" w:eastAsia="宋体" w:cs="Times New Roman"/>
          <w:color w:val="auto"/>
          <w:highlight w:val="none"/>
          <w:vertAlign w:val="subscript"/>
        </w:rPr>
        <w:t>n</w:t>
      </w:r>
      <w:r>
        <w:rPr>
          <w:rFonts w:ascii="Times New Roman" w:hAnsi="Times New Roman" w:eastAsia="宋体" w:cs="Times New Roman"/>
          <w:color w:val="auto"/>
          <w:highlight w:val="none"/>
        </w:rPr>
        <w:t>--每种危险物质的最大存在总量，t；</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Q</w:t>
      </w:r>
      <w:r>
        <w:rPr>
          <w:rFonts w:ascii="Times New Roman" w:hAnsi="Times New Roman" w:eastAsia="宋体" w:cs="Times New Roman"/>
          <w:color w:val="auto"/>
          <w:highlight w:val="none"/>
          <w:vertAlign w:val="subscript"/>
        </w:rPr>
        <w:t>1</w:t>
      </w:r>
      <w:r>
        <w:rPr>
          <w:rFonts w:ascii="Times New Roman" w:hAnsi="Times New Roman" w:eastAsia="宋体" w:cs="Times New Roman"/>
          <w:color w:val="auto"/>
          <w:highlight w:val="none"/>
        </w:rPr>
        <w:t>，Q</w:t>
      </w:r>
      <w:r>
        <w:rPr>
          <w:rFonts w:ascii="Times New Roman" w:hAnsi="Times New Roman" w:eastAsia="宋体" w:cs="Times New Roman"/>
          <w:color w:val="auto"/>
          <w:highlight w:val="none"/>
          <w:vertAlign w:val="subscript"/>
        </w:rPr>
        <w:t>2</w:t>
      </w:r>
      <w:r>
        <w:rPr>
          <w:rFonts w:ascii="Times New Roman" w:hAnsi="Times New Roman" w:eastAsia="宋体" w:cs="Times New Roman"/>
          <w:color w:val="auto"/>
          <w:highlight w:val="none"/>
        </w:rPr>
        <w:t>，...，Q</w:t>
      </w:r>
      <w:r>
        <w:rPr>
          <w:rFonts w:ascii="Times New Roman" w:hAnsi="Times New Roman" w:eastAsia="宋体" w:cs="Times New Roman"/>
          <w:color w:val="auto"/>
          <w:highlight w:val="none"/>
          <w:vertAlign w:val="subscript"/>
        </w:rPr>
        <w:t>n</w:t>
      </w:r>
      <w:r>
        <w:rPr>
          <w:rFonts w:ascii="Times New Roman" w:hAnsi="Times New Roman" w:eastAsia="宋体" w:cs="Times New Roman"/>
          <w:color w:val="auto"/>
          <w:highlight w:val="none"/>
        </w:rPr>
        <w:t>--每种危险物质的临界量，t。</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当Q&lt;1时，该项目环境风险潜势为 Ⅰ。</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当Q≥1时，将Q值划分为（1）1≤Q&lt;10；（2）10≤Q&lt;100；（3）Q≥100。</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w:t>
      </w:r>
      <w:r>
        <w:rPr>
          <w:rFonts w:ascii="Times New Roman" w:hAnsi="Times New Roman" w:eastAsia="宋体" w:cs="Times New Roman"/>
          <w:color w:val="auto"/>
          <w:highlight w:val="none"/>
          <w:u w:val="single"/>
        </w:rPr>
        <w:t>Q=</w:t>
      </w:r>
      <w:r>
        <w:rPr>
          <w:rFonts w:hint="eastAsia" w:ascii="Times New Roman" w:hAnsi="Times New Roman" w:eastAsia="宋体" w:cs="Times New Roman"/>
          <w:color w:val="auto"/>
          <w:highlight w:val="none"/>
          <w:u w:val="single"/>
        </w:rPr>
        <w:t>2.304</w:t>
      </w:r>
      <w:r>
        <w:rPr>
          <w:rFonts w:ascii="Times New Roman" w:hAnsi="Times New Roman" w:eastAsia="宋体" w:cs="Times New Roman"/>
          <w:color w:val="auto"/>
          <w:highlight w:val="none"/>
          <w:u w:val="single"/>
        </w:rPr>
        <w:t>/50+</w:t>
      </w:r>
      <w:r>
        <w:rPr>
          <w:rFonts w:hint="eastAsia" w:ascii="Times New Roman" w:hAnsi="Times New Roman" w:eastAsia="宋体" w:cs="Times New Roman"/>
          <w:color w:val="auto"/>
          <w:highlight w:val="none"/>
          <w:u w:val="single"/>
        </w:rPr>
        <w:t>2</w:t>
      </w:r>
      <w:r>
        <w:rPr>
          <w:rFonts w:hint="eastAsia" w:ascii="Times New Roman" w:hAnsi="Times New Roman" w:eastAsia="宋体" w:cs="Times New Roman"/>
          <w:color w:val="auto"/>
          <w:highlight w:val="none"/>
          <w:u w:val="single"/>
          <w:lang w:val="en-US" w:eastAsia="zh-CN"/>
        </w:rPr>
        <w:t>0.4</w:t>
      </w:r>
      <w:r>
        <w:rPr>
          <w:rFonts w:ascii="Times New Roman" w:hAnsi="Times New Roman" w:eastAsia="宋体" w:cs="Times New Roman"/>
          <w:color w:val="auto"/>
          <w:highlight w:val="none"/>
          <w:u w:val="single"/>
        </w:rPr>
        <w:t>/2500=0.0</w:t>
      </w:r>
      <w:r>
        <w:rPr>
          <w:rFonts w:hint="eastAsia" w:ascii="Times New Roman" w:hAnsi="Times New Roman" w:eastAsia="宋体" w:cs="Times New Roman"/>
          <w:color w:val="auto"/>
          <w:highlight w:val="none"/>
          <w:u w:val="single"/>
        </w:rPr>
        <w:t>5</w:t>
      </w:r>
      <w:r>
        <w:rPr>
          <w:rFonts w:hint="eastAsia" w:ascii="Times New Roman" w:hAnsi="Times New Roman" w:eastAsia="宋体" w:cs="Times New Roman"/>
          <w:color w:val="auto"/>
          <w:highlight w:val="none"/>
          <w:u w:val="single"/>
          <w:lang w:val="en-US" w:eastAsia="zh-CN"/>
        </w:rPr>
        <w:t>424</w:t>
      </w:r>
      <w:r>
        <w:rPr>
          <w:rFonts w:ascii="Times New Roman" w:hAnsi="Times New Roman" w:eastAsia="宋体" w:cs="Times New Roman"/>
          <w:color w:val="auto"/>
          <w:highlight w:val="none"/>
          <w:u w:val="single"/>
        </w:rPr>
        <w:t>&lt;1</w:t>
      </w:r>
      <w:r>
        <w:rPr>
          <w:rFonts w:ascii="Times New Roman" w:hAnsi="Times New Roman" w:eastAsia="宋体" w:cs="Times New Roman"/>
          <w:color w:val="auto"/>
          <w:highlight w:val="none"/>
        </w:rPr>
        <w:t>，根据《建设项目环境风险评价技术导则》（HJ 169-2018）附录C，当Q&lt;1，直接判定项目环境风险潜势为 Ⅰ，故本项目环境风险潜势为 Ⅰ。</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根据《建设项目环境风险评价技术导则》（HJ 169-2018）表1评价工作等级划分，本评价环境风险评价等级为简单分析，具体见表1.5-1</w:t>
      </w:r>
      <w:r>
        <w:rPr>
          <w:rFonts w:hint="eastAsia" w:ascii="Times New Roman" w:hAnsi="Times New Roman" w:eastAsia="宋体" w:cs="Times New Roman"/>
          <w:color w:val="auto"/>
          <w:highlight w:val="none"/>
        </w:rPr>
        <w:t>2</w:t>
      </w:r>
      <w:r>
        <w:rPr>
          <w:rFonts w:ascii="Times New Roman" w:hAnsi="Times New Roman" w:eastAsia="宋体" w:cs="Times New Roman"/>
          <w:color w:val="auto"/>
          <w:highlight w:val="none"/>
        </w:rPr>
        <w:t>。</w:t>
      </w:r>
    </w:p>
    <w:p>
      <w:pPr>
        <w:pStyle w:val="87"/>
        <w:rPr>
          <w:rFonts w:ascii="Times New Roman" w:hAnsi="Times New Roman" w:eastAsia="宋体" w:cs="Times New Roman"/>
          <w:color w:val="auto"/>
          <w:highlight w:val="none"/>
        </w:rPr>
      </w:pPr>
      <w:r>
        <w:rPr>
          <w:rFonts w:ascii="Times New Roman" w:hAnsi="Times New Roman" w:eastAsia="宋体" w:cs="Times New Roman"/>
          <w:color w:val="auto"/>
          <w:highlight w:val="none"/>
        </w:rPr>
        <w:t>表1.5-1</w:t>
      </w:r>
      <w:r>
        <w:rPr>
          <w:rFonts w:hint="eastAsia" w:ascii="Times New Roman" w:hAnsi="Times New Roman" w:eastAsia="宋体" w:cs="Times New Roman"/>
          <w:color w:val="auto"/>
          <w:highlight w:val="none"/>
        </w:rPr>
        <w:t>2</w:t>
      </w:r>
      <w:r>
        <w:rPr>
          <w:rFonts w:ascii="Times New Roman" w:hAnsi="Times New Roman" w:eastAsia="宋体" w:cs="Times New Roman"/>
          <w:color w:val="auto"/>
          <w:highlight w:val="none"/>
        </w:rPr>
        <w:t xml:space="preserve"> 评价工作等级划分</w:t>
      </w:r>
    </w:p>
    <w:tbl>
      <w:tblPr>
        <w:tblStyle w:val="48"/>
        <w:tblW w:w="9093" w:type="dxa"/>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1627"/>
        <w:gridCol w:w="1813"/>
        <w:gridCol w:w="2016"/>
        <w:gridCol w:w="1818"/>
        <w:gridCol w:w="1819"/>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27" w:type="dxa"/>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环境风险潜势</w:t>
            </w:r>
          </w:p>
        </w:tc>
        <w:tc>
          <w:tcPr>
            <w:tcW w:w="1813" w:type="dxa"/>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Ⅳ、Ⅳ</w:t>
            </w:r>
            <w:r>
              <w:rPr>
                <w:rFonts w:ascii="Times New Roman" w:hAnsi="Times New Roman" w:eastAsia="宋体" w:cs="Times New Roman"/>
                <w:bCs/>
                <w:color w:val="auto"/>
                <w:highlight w:val="none"/>
                <w:vertAlign w:val="superscript"/>
              </w:rPr>
              <w:t>+</w:t>
            </w:r>
          </w:p>
        </w:tc>
        <w:tc>
          <w:tcPr>
            <w:tcW w:w="2016" w:type="dxa"/>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Ⅲ</w:t>
            </w:r>
          </w:p>
        </w:tc>
        <w:tc>
          <w:tcPr>
            <w:tcW w:w="1818" w:type="dxa"/>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Ⅱ</w:t>
            </w:r>
          </w:p>
        </w:tc>
        <w:tc>
          <w:tcPr>
            <w:tcW w:w="1819" w:type="dxa"/>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Ⅰ</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627" w:type="dxa"/>
            <w:noWrap w:val="0"/>
            <w:vAlign w:val="center"/>
          </w:tcPr>
          <w:p>
            <w:pPr>
              <w:pStyle w:val="86"/>
              <w:rPr>
                <w:rFonts w:ascii="Times New Roman" w:hAnsi="Times New Roman" w:eastAsia="宋体" w:cs="Times New Roman"/>
                <w:b w:val="0"/>
                <w:color w:val="auto"/>
                <w:highlight w:val="none"/>
              </w:rPr>
            </w:pPr>
            <w:r>
              <w:rPr>
                <w:rFonts w:ascii="Times New Roman" w:hAnsi="Times New Roman" w:eastAsia="宋体" w:cs="Times New Roman"/>
                <w:b w:val="0"/>
                <w:color w:val="auto"/>
                <w:highlight w:val="none"/>
              </w:rPr>
              <w:t>评价工作等级</w:t>
            </w:r>
          </w:p>
        </w:tc>
        <w:tc>
          <w:tcPr>
            <w:tcW w:w="1813" w:type="dxa"/>
            <w:noWrap w:val="0"/>
            <w:vAlign w:val="center"/>
          </w:tcPr>
          <w:p>
            <w:pPr>
              <w:pStyle w:val="86"/>
              <w:rPr>
                <w:rFonts w:ascii="Times New Roman" w:hAnsi="Times New Roman" w:eastAsia="宋体" w:cs="Times New Roman"/>
                <w:b w:val="0"/>
                <w:color w:val="auto"/>
                <w:highlight w:val="none"/>
              </w:rPr>
            </w:pPr>
            <w:r>
              <w:rPr>
                <w:rFonts w:ascii="Times New Roman" w:hAnsi="Times New Roman" w:eastAsia="宋体" w:cs="Times New Roman"/>
                <w:b w:val="0"/>
                <w:color w:val="auto"/>
                <w:highlight w:val="none"/>
              </w:rPr>
              <w:t>一</w:t>
            </w:r>
          </w:p>
        </w:tc>
        <w:tc>
          <w:tcPr>
            <w:tcW w:w="2016" w:type="dxa"/>
            <w:noWrap w:val="0"/>
            <w:vAlign w:val="center"/>
          </w:tcPr>
          <w:p>
            <w:pPr>
              <w:pStyle w:val="86"/>
              <w:rPr>
                <w:rFonts w:ascii="Times New Roman" w:hAnsi="Times New Roman" w:eastAsia="宋体" w:cs="Times New Roman"/>
                <w:b w:val="0"/>
                <w:color w:val="auto"/>
                <w:highlight w:val="none"/>
              </w:rPr>
            </w:pPr>
            <w:r>
              <w:rPr>
                <w:rFonts w:ascii="Times New Roman" w:hAnsi="Times New Roman" w:eastAsia="宋体" w:cs="Times New Roman"/>
                <w:b w:val="0"/>
                <w:color w:val="auto"/>
                <w:highlight w:val="none"/>
              </w:rPr>
              <w:t>二</w:t>
            </w:r>
          </w:p>
        </w:tc>
        <w:tc>
          <w:tcPr>
            <w:tcW w:w="1818" w:type="dxa"/>
            <w:noWrap w:val="0"/>
            <w:vAlign w:val="center"/>
          </w:tcPr>
          <w:p>
            <w:pPr>
              <w:pStyle w:val="86"/>
              <w:rPr>
                <w:rFonts w:ascii="Times New Roman" w:hAnsi="Times New Roman" w:eastAsia="宋体" w:cs="Times New Roman"/>
                <w:b w:val="0"/>
                <w:color w:val="auto"/>
                <w:highlight w:val="none"/>
              </w:rPr>
            </w:pPr>
            <w:r>
              <w:rPr>
                <w:rFonts w:ascii="Times New Roman" w:hAnsi="Times New Roman" w:eastAsia="宋体" w:cs="Times New Roman"/>
                <w:b w:val="0"/>
                <w:color w:val="auto"/>
                <w:highlight w:val="none"/>
              </w:rPr>
              <w:t>三</w:t>
            </w:r>
          </w:p>
        </w:tc>
        <w:tc>
          <w:tcPr>
            <w:tcW w:w="1819" w:type="dxa"/>
            <w:noWrap w:val="0"/>
            <w:vAlign w:val="center"/>
          </w:tcPr>
          <w:p>
            <w:pPr>
              <w:pStyle w:val="86"/>
              <w:rPr>
                <w:rFonts w:ascii="Times New Roman" w:hAnsi="Times New Roman" w:eastAsia="宋体" w:cs="Times New Roman"/>
                <w:b w:val="0"/>
                <w:color w:val="auto"/>
                <w:highlight w:val="none"/>
              </w:rPr>
            </w:pPr>
            <w:r>
              <w:rPr>
                <w:rFonts w:ascii="Times New Roman" w:hAnsi="Times New Roman" w:eastAsia="宋体" w:cs="Times New Roman"/>
                <w:b w:val="0"/>
                <w:color w:val="auto"/>
                <w:highlight w:val="none"/>
              </w:rPr>
              <w:t>简单分析</w:t>
            </w:r>
            <w:r>
              <w:rPr>
                <w:rFonts w:ascii="Times New Roman" w:hAnsi="Times New Roman" w:eastAsia="宋体" w:cs="Times New Roman"/>
                <w:b w:val="0"/>
                <w:color w:val="auto"/>
                <w:highlight w:val="none"/>
                <w:vertAlign w:val="superscript"/>
              </w:rPr>
              <w:t>a</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665" w:hRule="atLeast"/>
        </w:trPr>
        <w:tc>
          <w:tcPr>
            <w:tcW w:w="9093" w:type="dxa"/>
            <w:gridSpan w:val="5"/>
            <w:noWrap w:val="0"/>
            <w:vAlign w:val="center"/>
          </w:tcPr>
          <w:p>
            <w:pPr>
              <w:pStyle w:val="86"/>
              <w:jc w:val="left"/>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a是相对于详细评价工作内容而言，在描述危险物质、环境影响途径、环境危害后果、风险防范措施等方面给出定性的说明。</w:t>
            </w:r>
          </w:p>
        </w:tc>
      </w:tr>
    </w:tbl>
    <w:p>
      <w:pPr>
        <w:pStyle w:val="6"/>
        <w:rPr>
          <w:rFonts w:ascii="Times New Roman" w:hAnsi="Times New Roman" w:eastAsia="宋体"/>
          <w:color w:val="auto"/>
          <w:highlight w:val="none"/>
        </w:rPr>
      </w:pPr>
      <w:r>
        <w:rPr>
          <w:rFonts w:ascii="Times New Roman" w:hAnsi="Times New Roman" w:eastAsia="宋体"/>
          <w:color w:val="auto"/>
          <w:highlight w:val="none"/>
        </w:rPr>
        <w:t>1.5.1.</w:t>
      </w:r>
      <w:r>
        <w:rPr>
          <w:rFonts w:hint="eastAsia" w:ascii="Times New Roman" w:hAnsi="Times New Roman" w:eastAsia="宋体"/>
          <w:color w:val="auto"/>
          <w:highlight w:val="none"/>
        </w:rPr>
        <w:t>7</w:t>
      </w:r>
      <w:r>
        <w:rPr>
          <w:rFonts w:ascii="Times New Roman" w:hAnsi="Times New Roman" w:eastAsia="宋体"/>
          <w:color w:val="auto"/>
          <w:highlight w:val="none"/>
        </w:rPr>
        <w:t xml:space="preserve"> 生态环境</w:t>
      </w:r>
    </w:p>
    <w:p>
      <w:pPr>
        <w:ind w:firstLine="480"/>
        <w:rPr>
          <w:rFonts w:ascii="Times New Roman" w:hAnsi="Times New Roman" w:eastAsia="宋体"/>
          <w:color w:val="auto"/>
          <w:highlight w:val="none"/>
        </w:rPr>
      </w:pPr>
      <w:r>
        <w:rPr>
          <w:rFonts w:ascii="Times New Roman" w:hAnsi="Times New Roman" w:eastAsia="宋体"/>
          <w:color w:val="auto"/>
          <w:highlight w:val="none"/>
        </w:rPr>
        <w:t>《环境影响评价技术导则 生态影响》（HJ</w:t>
      </w:r>
      <w:r>
        <w:rPr>
          <w:rFonts w:hint="eastAsia" w:ascii="Times New Roman" w:hAnsi="Times New Roman" w:eastAsia="宋体"/>
          <w:color w:val="auto"/>
          <w:highlight w:val="none"/>
          <w:lang w:val="en-US" w:eastAsia="zh-CN"/>
        </w:rPr>
        <w:t xml:space="preserve"> </w:t>
      </w:r>
      <w:r>
        <w:rPr>
          <w:rFonts w:ascii="Times New Roman" w:hAnsi="Times New Roman" w:eastAsia="宋体"/>
          <w:color w:val="auto"/>
          <w:highlight w:val="none"/>
        </w:rPr>
        <w:t>19-2011）中的评价工作等级划分表如下。</w:t>
      </w:r>
    </w:p>
    <w:p>
      <w:pPr>
        <w:pStyle w:val="87"/>
        <w:rPr>
          <w:rFonts w:ascii="Times New Roman" w:hAnsi="Times New Roman" w:eastAsia="宋体" w:cs="Times New Roman"/>
          <w:color w:val="auto"/>
          <w:highlight w:val="none"/>
        </w:rPr>
      </w:pPr>
      <w:r>
        <w:rPr>
          <w:rFonts w:ascii="Times New Roman" w:hAnsi="Times New Roman" w:eastAsia="宋体" w:cs="Times New Roman"/>
          <w:color w:val="auto"/>
          <w:highlight w:val="none"/>
        </w:rPr>
        <w:t>表1.5-1</w:t>
      </w:r>
      <w:r>
        <w:rPr>
          <w:rFonts w:hint="eastAsia" w:ascii="Times New Roman" w:hAnsi="Times New Roman" w:eastAsia="宋体" w:cs="Times New Roman"/>
          <w:color w:val="auto"/>
          <w:highlight w:val="none"/>
        </w:rPr>
        <w:t>3</w:t>
      </w:r>
      <w:r>
        <w:rPr>
          <w:rFonts w:ascii="Times New Roman" w:hAnsi="Times New Roman" w:eastAsia="宋体" w:cs="Times New Roman"/>
          <w:color w:val="auto"/>
          <w:highlight w:val="none"/>
        </w:rPr>
        <w:t xml:space="preserve"> 生态环境影响评价工作等级划分表</w:t>
      </w:r>
    </w:p>
    <w:tbl>
      <w:tblPr>
        <w:tblStyle w:val="48"/>
        <w:tblW w:w="9093" w:type="dxa"/>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1877"/>
        <w:gridCol w:w="2429"/>
        <w:gridCol w:w="2514"/>
        <w:gridCol w:w="2273"/>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06" w:hRule="atLeast"/>
        </w:trPr>
        <w:tc>
          <w:tcPr>
            <w:tcW w:w="1877" w:type="dxa"/>
            <w:vMerge w:val="restart"/>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影响区域</w:t>
            </w:r>
          </w:p>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生态敏感性</w:t>
            </w:r>
          </w:p>
        </w:tc>
        <w:tc>
          <w:tcPr>
            <w:tcW w:w="7216" w:type="dxa"/>
            <w:gridSpan w:val="3"/>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工程占地（水域）范围</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06" w:hRule="atLeast"/>
        </w:trPr>
        <w:tc>
          <w:tcPr>
            <w:tcW w:w="1877" w:type="dxa"/>
            <w:vMerge w:val="continue"/>
            <w:noWrap w:val="0"/>
            <w:vAlign w:val="center"/>
          </w:tcPr>
          <w:p>
            <w:pPr>
              <w:pStyle w:val="86"/>
              <w:rPr>
                <w:rFonts w:ascii="Times New Roman" w:hAnsi="Times New Roman" w:eastAsia="宋体" w:cs="Times New Roman"/>
                <w:bCs/>
                <w:color w:val="auto"/>
                <w:highlight w:val="none"/>
              </w:rPr>
            </w:pPr>
          </w:p>
        </w:tc>
        <w:tc>
          <w:tcPr>
            <w:tcW w:w="2429" w:type="dxa"/>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面积≥20km</w:t>
            </w:r>
            <w:r>
              <w:rPr>
                <w:rFonts w:ascii="Times New Roman" w:hAnsi="Times New Roman" w:eastAsia="宋体" w:cs="Times New Roman"/>
                <w:bCs/>
                <w:color w:val="auto"/>
                <w:highlight w:val="none"/>
                <w:vertAlign w:val="superscript"/>
              </w:rPr>
              <w:t>2</w:t>
            </w:r>
            <w:r>
              <w:rPr>
                <w:rFonts w:ascii="Times New Roman" w:hAnsi="Times New Roman" w:eastAsia="宋体" w:cs="Times New Roman"/>
                <w:bCs/>
                <w:color w:val="auto"/>
                <w:highlight w:val="none"/>
              </w:rPr>
              <w:t>或</w:t>
            </w:r>
          </w:p>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长度≥100km</w:t>
            </w:r>
          </w:p>
        </w:tc>
        <w:tc>
          <w:tcPr>
            <w:tcW w:w="2514" w:type="dxa"/>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面积2km</w:t>
            </w:r>
            <w:r>
              <w:rPr>
                <w:rFonts w:ascii="Times New Roman" w:hAnsi="Times New Roman" w:eastAsia="宋体" w:cs="Times New Roman"/>
                <w:bCs/>
                <w:color w:val="auto"/>
                <w:highlight w:val="none"/>
                <w:vertAlign w:val="superscript"/>
              </w:rPr>
              <w:t>2</w:t>
            </w:r>
            <w:r>
              <w:rPr>
                <w:rFonts w:ascii="Times New Roman" w:hAnsi="Times New Roman" w:eastAsia="宋体" w:cs="Times New Roman"/>
                <w:bCs/>
                <w:color w:val="auto"/>
                <w:highlight w:val="none"/>
              </w:rPr>
              <w:t>～20km</w:t>
            </w:r>
            <w:r>
              <w:rPr>
                <w:rFonts w:ascii="Times New Roman" w:hAnsi="Times New Roman" w:eastAsia="宋体" w:cs="Times New Roman"/>
                <w:bCs/>
                <w:color w:val="auto"/>
                <w:highlight w:val="none"/>
                <w:vertAlign w:val="superscript"/>
              </w:rPr>
              <w:t>2</w:t>
            </w:r>
            <w:r>
              <w:rPr>
                <w:rFonts w:ascii="Times New Roman" w:hAnsi="Times New Roman" w:eastAsia="宋体" w:cs="Times New Roman"/>
                <w:bCs/>
                <w:color w:val="auto"/>
                <w:highlight w:val="none"/>
              </w:rPr>
              <w:t>或</w:t>
            </w:r>
          </w:p>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长度 50km～100km</w:t>
            </w:r>
          </w:p>
        </w:tc>
        <w:tc>
          <w:tcPr>
            <w:tcW w:w="2273" w:type="dxa"/>
            <w:noWrap w:val="0"/>
            <w:vAlign w:val="center"/>
          </w:tcPr>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面积≤2km</w:t>
            </w:r>
            <w:r>
              <w:rPr>
                <w:rFonts w:ascii="Times New Roman" w:hAnsi="Times New Roman" w:eastAsia="宋体" w:cs="Times New Roman"/>
                <w:bCs/>
                <w:color w:val="auto"/>
                <w:highlight w:val="none"/>
                <w:vertAlign w:val="superscript"/>
              </w:rPr>
              <w:t>2</w:t>
            </w:r>
            <w:r>
              <w:rPr>
                <w:rFonts w:ascii="Times New Roman" w:hAnsi="Times New Roman" w:eastAsia="宋体" w:cs="Times New Roman"/>
                <w:bCs/>
                <w:color w:val="auto"/>
                <w:highlight w:val="none"/>
              </w:rPr>
              <w:t>或</w:t>
            </w:r>
          </w:p>
          <w:p>
            <w:pPr>
              <w:pStyle w:val="86"/>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长度≤50km</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06" w:hRule="atLeast"/>
        </w:trPr>
        <w:tc>
          <w:tcPr>
            <w:tcW w:w="1877"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特殊生态敏感区</w:t>
            </w:r>
          </w:p>
        </w:tc>
        <w:tc>
          <w:tcPr>
            <w:tcW w:w="242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一级</w:t>
            </w:r>
          </w:p>
        </w:tc>
        <w:tc>
          <w:tcPr>
            <w:tcW w:w="251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一级</w:t>
            </w:r>
          </w:p>
        </w:tc>
        <w:tc>
          <w:tcPr>
            <w:tcW w:w="2273"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一级</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06" w:hRule="atLeast"/>
        </w:trPr>
        <w:tc>
          <w:tcPr>
            <w:tcW w:w="1877"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重要生态敏感区</w:t>
            </w:r>
          </w:p>
        </w:tc>
        <w:tc>
          <w:tcPr>
            <w:tcW w:w="242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一级</w:t>
            </w:r>
          </w:p>
        </w:tc>
        <w:tc>
          <w:tcPr>
            <w:tcW w:w="251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二级</w:t>
            </w:r>
          </w:p>
        </w:tc>
        <w:tc>
          <w:tcPr>
            <w:tcW w:w="2273"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三级</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06" w:hRule="atLeast"/>
        </w:trPr>
        <w:tc>
          <w:tcPr>
            <w:tcW w:w="1877"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 xml:space="preserve">一般区域 </w:t>
            </w:r>
          </w:p>
        </w:tc>
        <w:tc>
          <w:tcPr>
            <w:tcW w:w="242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二级</w:t>
            </w:r>
          </w:p>
        </w:tc>
        <w:tc>
          <w:tcPr>
            <w:tcW w:w="251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三级</w:t>
            </w:r>
          </w:p>
        </w:tc>
        <w:tc>
          <w:tcPr>
            <w:tcW w:w="2273"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color w:val="auto"/>
                <w:highlight w:val="none"/>
              </w:rPr>
              <w:t>三级</w:t>
            </w:r>
          </w:p>
        </w:tc>
      </w:tr>
    </w:tbl>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u w:val="single"/>
        </w:rPr>
        <w:t>项目矿区面积0.1</w:t>
      </w:r>
      <w:r>
        <w:rPr>
          <w:rFonts w:hint="eastAsia" w:ascii="Times New Roman" w:hAnsi="Times New Roman" w:eastAsia="宋体" w:cs="Times New Roman"/>
          <w:color w:val="auto"/>
          <w:szCs w:val="24"/>
          <w:highlight w:val="none"/>
          <w:u w:val="single"/>
        </w:rPr>
        <w:t>598</w:t>
      </w:r>
      <w:r>
        <w:rPr>
          <w:rFonts w:ascii="Times New Roman" w:hAnsi="Times New Roman" w:eastAsia="宋体" w:cs="Times New Roman"/>
          <w:color w:val="auto"/>
          <w:szCs w:val="24"/>
          <w:highlight w:val="none"/>
          <w:u w:val="single"/>
        </w:rPr>
        <w:t>km</w:t>
      </w:r>
      <w:r>
        <w:rPr>
          <w:rFonts w:ascii="Times New Roman" w:hAnsi="Times New Roman" w:eastAsia="宋体" w:cs="Times New Roman"/>
          <w:color w:val="auto"/>
          <w:szCs w:val="24"/>
          <w:highlight w:val="none"/>
          <w:u w:val="single"/>
          <w:vertAlign w:val="superscript"/>
        </w:rPr>
        <w:t>2</w:t>
      </w:r>
      <w:r>
        <w:rPr>
          <w:rFonts w:ascii="Times New Roman" w:hAnsi="Times New Roman" w:eastAsia="宋体" w:cs="Times New Roman"/>
          <w:color w:val="auto"/>
          <w:szCs w:val="24"/>
          <w:highlight w:val="none"/>
          <w:u w:val="single"/>
        </w:rPr>
        <w:t>，</w:t>
      </w:r>
      <w:r>
        <w:rPr>
          <w:rFonts w:hint="eastAsia" w:cs="Times New Roman"/>
          <w:color w:val="auto"/>
          <w:szCs w:val="24"/>
          <w:highlight w:val="none"/>
          <w:u w:val="single"/>
          <w:lang w:val="en-US" w:eastAsia="zh-CN"/>
        </w:rPr>
        <w:t>临时用地面积</w:t>
      </w:r>
      <w:r>
        <w:rPr>
          <w:rFonts w:hint="eastAsia" w:cs="Times New Roman"/>
          <w:color w:val="auto"/>
          <w:highlight w:val="none"/>
          <w:u w:val="single"/>
          <w:lang w:val="en-US" w:eastAsia="zh-CN"/>
        </w:rPr>
        <w:t>31663.89m</w:t>
      </w:r>
      <w:r>
        <w:rPr>
          <w:rFonts w:hint="eastAsia" w:cs="Times New Roman"/>
          <w:color w:val="auto"/>
          <w:highlight w:val="none"/>
          <w:u w:val="single"/>
          <w:vertAlign w:val="superscript"/>
          <w:lang w:val="en-US" w:eastAsia="zh-CN"/>
        </w:rPr>
        <w:t>2</w:t>
      </w:r>
      <w:r>
        <w:rPr>
          <w:rFonts w:ascii="Times New Roman" w:hAnsi="Times New Roman" w:eastAsia="宋体" w:cs="Times New Roman"/>
          <w:color w:val="auto"/>
          <w:szCs w:val="24"/>
          <w:highlight w:val="none"/>
          <w:u w:val="single"/>
        </w:rPr>
        <w:t>，</w:t>
      </w:r>
      <w:r>
        <w:rPr>
          <w:rFonts w:hint="eastAsia" w:cs="Times New Roman"/>
          <w:color w:val="auto"/>
          <w:szCs w:val="24"/>
          <w:highlight w:val="none"/>
          <w:u w:val="single"/>
          <w:lang w:val="en-US" w:eastAsia="zh-CN"/>
        </w:rPr>
        <w:t>总面积</w:t>
      </w:r>
      <w:r>
        <w:rPr>
          <w:rFonts w:ascii="Times New Roman" w:hAnsi="Times New Roman" w:eastAsia="宋体" w:cs="Times New Roman"/>
          <w:color w:val="auto"/>
          <w:szCs w:val="24"/>
          <w:highlight w:val="none"/>
          <w:u w:val="single"/>
        </w:rPr>
        <w:t>0.1</w:t>
      </w:r>
      <w:r>
        <w:rPr>
          <w:rFonts w:hint="eastAsia" w:cs="Times New Roman"/>
          <w:color w:val="auto"/>
          <w:szCs w:val="24"/>
          <w:highlight w:val="none"/>
          <w:u w:val="single"/>
          <w:lang w:val="en-US" w:eastAsia="zh-CN"/>
        </w:rPr>
        <w:t>915</w:t>
      </w:r>
      <w:r>
        <w:rPr>
          <w:rFonts w:ascii="Times New Roman" w:hAnsi="Times New Roman" w:eastAsia="宋体" w:cs="Times New Roman"/>
          <w:color w:val="auto"/>
          <w:szCs w:val="24"/>
          <w:highlight w:val="none"/>
          <w:u w:val="single"/>
        </w:rPr>
        <w:t>km</w:t>
      </w:r>
      <w:r>
        <w:rPr>
          <w:rFonts w:ascii="Times New Roman" w:hAnsi="Times New Roman" w:eastAsia="宋体" w:cs="Times New Roman"/>
          <w:color w:val="auto"/>
          <w:szCs w:val="24"/>
          <w:highlight w:val="none"/>
          <w:u w:val="single"/>
          <w:vertAlign w:val="superscript"/>
        </w:rPr>
        <w:t>2</w:t>
      </w:r>
      <w:r>
        <w:rPr>
          <w:rFonts w:ascii="Times New Roman" w:hAnsi="Times New Roman" w:eastAsia="宋体" w:cs="Times New Roman"/>
          <w:color w:val="auto"/>
          <w:szCs w:val="24"/>
          <w:highlight w:val="none"/>
          <w:u w:val="single"/>
        </w:rPr>
        <w:t>，</w:t>
      </w:r>
      <w:r>
        <w:rPr>
          <w:rFonts w:ascii="Times New Roman" w:hAnsi="Times New Roman" w:eastAsia="宋体" w:cs="Times New Roman"/>
          <w:color w:val="auto"/>
          <w:szCs w:val="24"/>
          <w:highlight w:val="none"/>
        </w:rPr>
        <w:t>项目所在区域为一般区域，由表1.5-</w:t>
      </w:r>
      <w:r>
        <w:rPr>
          <w:rFonts w:hint="eastAsia" w:ascii="Times New Roman" w:hAnsi="Times New Roman" w:eastAsia="宋体" w:cs="Times New Roman"/>
          <w:color w:val="auto"/>
          <w:szCs w:val="24"/>
          <w:highlight w:val="none"/>
        </w:rPr>
        <w:t>13</w:t>
      </w:r>
      <w:r>
        <w:rPr>
          <w:rFonts w:ascii="Times New Roman" w:hAnsi="Times New Roman" w:eastAsia="宋体" w:cs="Times New Roman"/>
          <w:color w:val="auto"/>
          <w:szCs w:val="24"/>
          <w:highlight w:val="none"/>
        </w:rPr>
        <w:t>划分依据判定项目生态环境评价等级为三级。根据</w:t>
      </w:r>
      <w:r>
        <w:rPr>
          <w:rFonts w:ascii="Times New Roman" w:hAnsi="Times New Roman" w:eastAsia="宋体" w:cs="Times New Roman"/>
          <w:color w:val="auto"/>
          <w:highlight w:val="none"/>
        </w:rPr>
        <w:t>《环境影响评价技术导则 生态影响》（HJ</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19-2011）第4.2.3条：“在矿山开采可能导致矿区土地利用类型明显改变，或拦河闸坝建设可能明显改变水文情势等情况下，评价工作等级应上调一级”。本项目属于矿山开采项目，根据现场调查，项目矿山地表植被较为茂盛，</w:t>
      </w:r>
      <w:r>
        <w:rPr>
          <w:rFonts w:hint="eastAsia" w:ascii="Times New Roman" w:hAnsi="Times New Roman" w:eastAsia="宋体" w:cs="Times New Roman"/>
          <w:color w:val="auto"/>
          <w:highlight w:val="none"/>
          <w:lang w:val="en-US" w:eastAsia="zh-CN"/>
        </w:rPr>
        <w:t>整合</w:t>
      </w:r>
      <w:r>
        <w:rPr>
          <w:rFonts w:ascii="Times New Roman" w:hAnsi="Times New Roman" w:eastAsia="宋体" w:cs="Times New Roman"/>
          <w:color w:val="auto"/>
          <w:highlight w:val="none"/>
        </w:rPr>
        <w:t>项目实施后可能导致矿区范围内土地利用类型变更为工矿用地，</w:t>
      </w:r>
      <w:r>
        <w:rPr>
          <w:rFonts w:ascii="Times New Roman" w:hAnsi="Times New Roman" w:eastAsia="宋体" w:cs="Times New Roman"/>
          <w:color w:val="auto"/>
          <w:szCs w:val="24"/>
          <w:highlight w:val="none"/>
        </w:rPr>
        <w:t>生态环境影响评价工作等级应上调一级，故生态环境评价等级确定为二级。</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综上所述，评价工作等级划分见表1.5-1</w:t>
      </w:r>
      <w:r>
        <w:rPr>
          <w:rFonts w:hint="eastAsia" w:ascii="Times New Roman" w:hAnsi="Times New Roman" w:eastAsia="宋体" w:cs="Times New Roman"/>
          <w:color w:val="auto"/>
          <w:szCs w:val="24"/>
          <w:highlight w:val="none"/>
        </w:rPr>
        <w:t>4</w:t>
      </w:r>
      <w:r>
        <w:rPr>
          <w:rFonts w:ascii="Times New Roman" w:hAnsi="Times New Roman" w:eastAsia="宋体" w:cs="Times New Roman"/>
          <w:color w:val="auto"/>
          <w:szCs w:val="24"/>
          <w:highlight w:val="none"/>
        </w:rPr>
        <w:t>。</w:t>
      </w:r>
    </w:p>
    <w:p>
      <w:pPr>
        <w:pStyle w:val="87"/>
        <w:rPr>
          <w:rFonts w:ascii="Times New Roman" w:hAnsi="Times New Roman" w:eastAsia="宋体" w:cs="Times New Roman"/>
          <w:color w:val="auto"/>
          <w:highlight w:val="none"/>
        </w:rPr>
      </w:pPr>
      <w:r>
        <w:rPr>
          <w:rFonts w:ascii="Times New Roman" w:hAnsi="Times New Roman" w:eastAsia="宋体" w:cs="Times New Roman"/>
          <w:color w:val="auto"/>
          <w:highlight w:val="none"/>
        </w:rPr>
        <w:t>表1.5-1</w:t>
      </w:r>
      <w:r>
        <w:rPr>
          <w:rFonts w:hint="eastAsia" w:ascii="Times New Roman" w:hAnsi="Times New Roman" w:eastAsia="宋体" w:cs="Times New Roman"/>
          <w:color w:val="auto"/>
          <w:highlight w:val="none"/>
        </w:rPr>
        <w:t>4</w:t>
      </w:r>
      <w:r>
        <w:rPr>
          <w:rFonts w:ascii="Times New Roman" w:hAnsi="Times New Roman" w:eastAsia="宋体" w:cs="Times New Roman"/>
          <w:color w:val="auto"/>
          <w:highlight w:val="none"/>
        </w:rPr>
        <w:t xml:space="preserve"> 评价工作等级划分表</w:t>
      </w:r>
    </w:p>
    <w:tbl>
      <w:tblPr>
        <w:tblStyle w:val="48"/>
        <w:tblW w:w="9093" w:type="dxa"/>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1353"/>
        <w:gridCol w:w="1178"/>
        <w:gridCol w:w="3300"/>
        <w:gridCol w:w="3262"/>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353" w:type="dxa"/>
            <w:noWrap w:val="0"/>
            <w:vAlign w:val="center"/>
          </w:tcPr>
          <w:p>
            <w:pPr>
              <w:pStyle w:val="89"/>
              <w:snapToGrid w:val="0"/>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评价内容</w:t>
            </w:r>
          </w:p>
        </w:tc>
        <w:tc>
          <w:tcPr>
            <w:tcW w:w="1178" w:type="dxa"/>
            <w:noWrap w:val="0"/>
            <w:vAlign w:val="center"/>
          </w:tcPr>
          <w:p>
            <w:pPr>
              <w:pStyle w:val="89"/>
              <w:snapToGrid w:val="0"/>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工作等级</w:t>
            </w:r>
          </w:p>
        </w:tc>
        <w:tc>
          <w:tcPr>
            <w:tcW w:w="3300" w:type="dxa"/>
            <w:noWrap w:val="0"/>
            <w:vAlign w:val="center"/>
          </w:tcPr>
          <w:p>
            <w:pPr>
              <w:pStyle w:val="89"/>
              <w:snapToGrid w:val="0"/>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判据</w:t>
            </w:r>
          </w:p>
        </w:tc>
        <w:tc>
          <w:tcPr>
            <w:tcW w:w="3262" w:type="dxa"/>
            <w:noWrap w:val="0"/>
            <w:vAlign w:val="center"/>
          </w:tcPr>
          <w:p>
            <w:pPr>
              <w:pStyle w:val="89"/>
              <w:snapToGrid w:val="0"/>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建设项目情况</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353" w:type="dxa"/>
            <w:noWrap w:val="0"/>
            <w:vAlign w:val="center"/>
          </w:tcPr>
          <w:p>
            <w:pPr>
              <w:pStyle w:val="89"/>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大气环境</w:t>
            </w:r>
          </w:p>
        </w:tc>
        <w:tc>
          <w:tcPr>
            <w:tcW w:w="1178" w:type="dxa"/>
            <w:noWrap w:val="0"/>
            <w:vAlign w:val="center"/>
          </w:tcPr>
          <w:p>
            <w:pPr>
              <w:pStyle w:val="89"/>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一级</w:t>
            </w:r>
          </w:p>
        </w:tc>
        <w:tc>
          <w:tcPr>
            <w:tcW w:w="3300" w:type="dxa"/>
            <w:noWrap w:val="0"/>
            <w:vAlign w:val="center"/>
          </w:tcPr>
          <w:p>
            <w:pPr>
              <w:pStyle w:val="89"/>
              <w:snapToGrid w:val="0"/>
              <w:jc w:val="both"/>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根据HJ</w:t>
            </w:r>
            <w:r>
              <w:rPr>
                <w:rFonts w:hint="eastAsia" w:ascii="Times New Roman" w:hAnsi="Times New Roman" w:eastAsia="宋体" w:cs="Times New Roman"/>
                <w:color w:val="auto"/>
                <w:sz w:val="21"/>
                <w:szCs w:val="21"/>
                <w:highlight w:val="none"/>
                <w:lang w:val="en-US" w:eastAsia="zh-CN"/>
              </w:rPr>
              <w:t xml:space="preserve"> </w:t>
            </w:r>
            <w:r>
              <w:rPr>
                <w:rFonts w:ascii="Times New Roman" w:hAnsi="Times New Roman" w:eastAsia="宋体" w:cs="Times New Roman"/>
                <w:color w:val="auto"/>
                <w:sz w:val="21"/>
                <w:szCs w:val="21"/>
                <w:highlight w:val="none"/>
              </w:rPr>
              <w:t>2.2-2018，</w:t>
            </w:r>
            <w:r>
              <w:rPr>
                <w:rFonts w:ascii="Times New Roman" w:hAnsi="Times New Roman" w:eastAsia="宋体" w:cs="Times New Roman"/>
                <w:bCs/>
                <w:snapToGrid w:val="0"/>
                <w:color w:val="auto"/>
                <w:kern w:val="24"/>
                <w:sz w:val="21"/>
                <w:szCs w:val="20"/>
                <w:highlight w:val="none"/>
              </w:rPr>
              <w:t>P</w:t>
            </w:r>
            <w:r>
              <w:rPr>
                <w:rFonts w:ascii="Times New Roman" w:hAnsi="Times New Roman" w:eastAsia="宋体" w:cs="Times New Roman"/>
                <w:bCs/>
                <w:snapToGrid w:val="0"/>
                <w:color w:val="auto"/>
                <w:kern w:val="24"/>
                <w:sz w:val="21"/>
                <w:szCs w:val="20"/>
                <w:highlight w:val="none"/>
                <w:vertAlign w:val="subscript"/>
              </w:rPr>
              <w:t>max</w:t>
            </w:r>
            <w:r>
              <w:rPr>
                <w:rFonts w:ascii="Times New Roman" w:hAnsi="Times New Roman" w:eastAsia="宋体" w:cs="Times New Roman"/>
                <w:bCs/>
                <w:snapToGrid w:val="0"/>
                <w:color w:val="auto"/>
                <w:kern w:val="24"/>
                <w:sz w:val="21"/>
                <w:szCs w:val="20"/>
                <w:highlight w:val="none"/>
              </w:rPr>
              <w:t>≥10%</w:t>
            </w:r>
            <w:r>
              <w:rPr>
                <w:rFonts w:ascii="Times New Roman" w:hAnsi="Times New Roman" w:eastAsia="宋体" w:cs="Times New Roman"/>
                <w:color w:val="auto"/>
                <w:sz w:val="21"/>
                <w:szCs w:val="21"/>
                <w:highlight w:val="none"/>
              </w:rPr>
              <w:t xml:space="preserve">，评价等级一级。 </w:t>
            </w:r>
          </w:p>
        </w:tc>
        <w:tc>
          <w:tcPr>
            <w:tcW w:w="3262" w:type="dxa"/>
            <w:noWrap w:val="0"/>
            <w:vAlign w:val="center"/>
          </w:tcPr>
          <w:p>
            <w:pPr>
              <w:pStyle w:val="89"/>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u w:val="single"/>
              </w:rPr>
              <w:t>最大占标率Pmax=</w:t>
            </w:r>
            <w:r>
              <w:rPr>
                <w:rFonts w:hint="eastAsia" w:ascii="Times New Roman" w:cs="Times New Roman"/>
                <w:color w:val="auto"/>
                <w:sz w:val="21"/>
                <w:szCs w:val="21"/>
                <w:highlight w:val="none"/>
                <w:u w:val="single"/>
                <w:lang w:val="en-US" w:eastAsia="zh-CN"/>
              </w:rPr>
              <w:t>230.33</w:t>
            </w:r>
            <w:r>
              <w:rPr>
                <w:rFonts w:ascii="Times New Roman" w:hAnsi="Times New Roman" w:eastAsia="宋体" w:cs="Times New Roman"/>
                <w:color w:val="auto"/>
                <w:sz w:val="21"/>
                <w:szCs w:val="21"/>
                <w:highlight w:val="none"/>
                <w:u w:val="single"/>
              </w:rPr>
              <w:t xml:space="preserve">%。 </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353" w:type="dxa"/>
            <w:noWrap w:val="0"/>
            <w:vAlign w:val="center"/>
          </w:tcPr>
          <w:p>
            <w:pPr>
              <w:pStyle w:val="89"/>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地表水环境</w:t>
            </w:r>
          </w:p>
        </w:tc>
        <w:tc>
          <w:tcPr>
            <w:tcW w:w="1178" w:type="dxa"/>
            <w:noWrap w:val="0"/>
            <w:vAlign w:val="center"/>
          </w:tcPr>
          <w:p>
            <w:pPr>
              <w:pStyle w:val="89"/>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三级B</w:t>
            </w:r>
          </w:p>
        </w:tc>
        <w:tc>
          <w:tcPr>
            <w:tcW w:w="3300" w:type="dxa"/>
            <w:noWrap w:val="0"/>
            <w:vAlign w:val="center"/>
          </w:tcPr>
          <w:p>
            <w:pPr>
              <w:pStyle w:val="89"/>
              <w:snapToGrid w:val="0"/>
              <w:jc w:val="both"/>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根据HJ 2.3-2018，建设项目生产工艺中有废水产生，但作为回水利用，不排放到外环境的，按三级B评价。</w:t>
            </w:r>
          </w:p>
        </w:tc>
        <w:tc>
          <w:tcPr>
            <w:tcW w:w="3262" w:type="dxa"/>
            <w:noWrap w:val="0"/>
            <w:vAlign w:val="center"/>
          </w:tcPr>
          <w:p>
            <w:pPr>
              <w:pStyle w:val="89"/>
              <w:snapToGrid w:val="0"/>
              <w:jc w:val="both"/>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项目开采过程洒水降尘用水</w:t>
            </w:r>
            <w:r>
              <w:rPr>
                <w:rFonts w:hint="eastAsia" w:ascii="Times New Roman" w:hAnsi="Times New Roman" w:eastAsia="宋体" w:cs="Times New Roman"/>
                <w:color w:val="auto"/>
                <w:sz w:val="21"/>
                <w:szCs w:val="21"/>
                <w:highlight w:val="none"/>
              </w:rPr>
              <w:t>全部自然蒸发或渗透入矿石堆中</w:t>
            </w: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rPr>
              <w:t>不</w:t>
            </w:r>
            <w:r>
              <w:rPr>
                <w:rFonts w:ascii="Times New Roman" w:hAnsi="Times New Roman" w:eastAsia="宋体" w:cs="Times New Roman"/>
                <w:color w:val="auto"/>
                <w:sz w:val="21"/>
                <w:szCs w:val="21"/>
                <w:highlight w:val="none"/>
              </w:rPr>
              <w:t>外排</w:t>
            </w:r>
            <w:r>
              <w:rPr>
                <w:rFonts w:hint="eastAsia" w:ascii="Times New Roman" w:hAnsi="Times New Roman" w:eastAsia="宋体" w:cs="Times New Roman"/>
                <w:color w:val="auto"/>
                <w:sz w:val="21"/>
                <w:szCs w:val="21"/>
                <w:highlight w:val="none"/>
              </w:rPr>
              <w:t>；</w:t>
            </w:r>
            <w:r>
              <w:rPr>
                <w:rFonts w:hint="eastAsia" w:ascii="Times New Roman" w:hAnsi="Times New Roman" w:eastAsia="宋体" w:cs="Times New Roman"/>
                <w:bCs/>
                <w:color w:val="auto"/>
                <w:sz w:val="21"/>
                <w:szCs w:val="21"/>
                <w:highlight w:val="none"/>
              </w:rPr>
              <w:t>车辆清洗废水和洗砂废水循环使用；</w:t>
            </w:r>
            <w:r>
              <w:rPr>
                <w:rFonts w:hint="eastAsia" w:ascii="Times New Roman" w:hAnsi="Times New Roman" w:eastAsia="宋体" w:cs="Times New Roman"/>
                <w:color w:val="auto"/>
                <w:sz w:val="21"/>
                <w:szCs w:val="21"/>
                <w:highlight w:val="none"/>
              </w:rPr>
              <w:t>采区和加工区</w:t>
            </w:r>
            <w:r>
              <w:rPr>
                <w:rFonts w:ascii="Times New Roman" w:hAnsi="Times New Roman" w:eastAsia="宋体" w:cs="Times New Roman"/>
                <w:color w:val="auto"/>
                <w:sz w:val="21"/>
                <w:szCs w:val="21"/>
                <w:highlight w:val="none"/>
              </w:rPr>
              <w:t>初期雨水经</w:t>
            </w:r>
            <w:r>
              <w:rPr>
                <w:rFonts w:hint="eastAsia" w:ascii="Times New Roman" w:hAnsi="Times New Roman" w:eastAsia="宋体" w:cs="Times New Roman"/>
                <w:color w:val="auto"/>
                <w:sz w:val="21"/>
                <w:szCs w:val="21"/>
                <w:highlight w:val="none"/>
              </w:rPr>
              <w:t>截排水沟汇入初期雨水沉砂池，</w:t>
            </w:r>
            <w:r>
              <w:rPr>
                <w:rFonts w:ascii="Times New Roman" w:hAnsi="Times New Roman" w:eastAsia="宋体" w:cs="Times New Roman"/>
                <w:color w:val="auto"/>
                <w:sz w:val="21"/>
                <w:szCs w:val="21"/>
                <w:highlight w:val="none"/>
              </w:rPr>
              <w:t>收集沉淀后回用</w:t>
            </w:r>
            <w:r>
              <w:rPr>
                <w:rFonts w:hint="eastAsia" w:ascii="Times New Roman" w:hAnsi="Times New Roman" w:eastAsia="宋体" w:cs="Times New Roman"/>
                <w:color w:val="auto"/>
                <w:sz w:val="21"/>
                <w:szCs w:val="21"/>
                <w:highlight w:val="none"/>
              </w:rPr>
              <w:t>于矿区洒水降尘</w:t>
            </w:r>
            <w:r>
              <w:rPr>
                <w:rFonts w:ascii="Times New Roman" w:hAnsi="Times New Roman" w:eastAsia="宋体" w:cs="Times New Roman"/>
                <w:color w:val="auto"/>
                <w:sz w:val="21"/>
                <w:szCs w:val="21"/>
                <w:highlight w:val="none"/>
              </w:rPr>
              <w:t>；隔油后的厨房废水与生活污水经化粪池处理</w:t>
            </w:r>
            <w:r>
              <w:rPr>
                <w:rFonts w:ascii="Times New Roman" w:hAnsi="Times New Roman" w:eastAsia="宋体" w:cs="Times New Roman"/>
                <w:bCs/>
                <w:color w:val="auto"/>
                <w:sz w:val="21"/>
                <w:szCs w:val="21"/>
                <w:highlight w:val="none"/>
              </w:rPr>
              <w:t>后用于周边旱地施肥，不外排。</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353" w:type="dxa"/>
            <w:noWrap w:val="0"/>
            <w:vAlign w:val="center"/>
          </w:tcPr>
          <w:p>
            <w:pPr>
              <w:pStyle w:val="89"/>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地下水环境</w:t>
            </w:r>
          </w:p>
        </w:tc>
        <w:tc>
          <w:tcPr>
            <w:tcW w:w="1178" w:type="dxa"/>
            <w:noWrap w:val="0"/>
            <w:vAlign w:val="center"/>
          </w:tcPr>
          <w:p>
            <w:pPr>
              <w:pStyle w:val="89"/>
              <w:snapToGrid w:val="0"/>
              <w:jc w:val="center"/>
              <w:rPr>
                <w:rFonts w:hint="eastAsia"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不</w:t>
            </w:r>
            <w:r>
              <w:rPr>
                <w:rFonts w:hint="eastAsia" w:ascii="Times New Roman" w:hAnsi="Times New Roman" w:eastAsia="宋体" w:cs="Times New Roman"/>
                <w:color w:val="auto"/>
                <w:sz w:val="21"/>
                <w:szCs w:val="21"/>
                <w:highlight w:val="none"/>
              </w:rPr>
              <w:t>开展</w:t>
            </w:r>
          </w:p>
        </w:tc>
        <w:tc>
          <w:tcPr>
            <w:tcW w:w="3300" w:type="dxa"/>
            <w:noWrap w:val="0"/>
            <w:vAlign w:val="center"/>
          </w:tcPr>
          <w:p>
            <w:pPr>
              <w:pStyle w:val="89"/>
              <w:snapToGrid w:val="0"/>
              <w:jc w:val="both"/>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根据HJ 610-2016，Ⅳ类建设项目不开展地下水环境影响评价。</w:t>
            </w:r>
          </w:p>
        </w:tc>
        <w:tc>
          <w:tcPr>
            <w:tcW w:w="3262" w:type="dxa"/>
            <w:noWrap w:val="0"/>
            <w:vAlign w:val="center"/>
          </w:tcPr>
          <w:p>
            <w:pPr>
              <w:pStyle w:val="89"/>
              <w:snapToGrid w:val="0"/>
              <w:jc w:val="both"/>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本项目属于土砂石开采，地下水环境影响评价项目类别为Ⅳ类，可不开展地下水环境影响评价。</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353" w:type="dxa"/>
            <w:noWrap w:val="0"/>
            <w:vAlign w:val="center"/>
          </w:tcPr>
          <w:p>
            <w:pPr>
              <w:pStyle w:val="89"/>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 xml:space="preserve">声环境 </w:t>
            </w:r>
          </w:p>
        </w:tc>
        <w:tc>
          <w:tcPr>
            <w:tcW w:w="1178" w:type="dxa"/>
            <w:noWrap w:val="0"/>
            <w:vAlign w:val="center"/>
          </w:tcPr>
          <w:p>
            <w:pPr>
              <w:pStyle w:val="89"/>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二级</w:t>
            </w:r>
          </w:p>
        </w:tc>
        <w:tc>
          <w:tcPr>
            <w:tcW w:w="3300" w:type="dxa"/>
            <w:noWrap w:val="0"/>
            <w:vAlign w:val="center"/>
          </w:tcPr>
          <w:p>
            <w:pPr>
              <w:pStyle w:val="89"/>
              <w:snapToGrid w:val="0"/>
              <w:jc w:val="both"/>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根据HJ</w:t>
            </w:r>
            <w:r>
              <w:rPr>
                <w:rFonts w:hint="eastAsia" w:ascii="Times New Roman" w:hAnsi="Times New Roman" w:eastAsia="宋体" w:cs="Times New Roman"/>
                <w:color w:val="auto"/>
                <w:sz w:val="21"/>
                <w:szCs w:val="21"/>
                <w:highlight w:val="none"/>
                <w:lang w:val="en-US" w:eastAsia="zh-CN"/>
              </w:rPr>
              <w:t xml:space="preserve"> </w:t>
            </w:r>
            <w:r>
              <w:rPr>
                <w:rFonts w:ascii="Times New Roman" w:hAnsi="Times New Roman" w:eastAsia="宋体" w:cs="Times New Roman"/>
                <w:color w:val="auto"/>
                <w:sz w:val="21"/>
                <w:szCs w:val="21"/>
                <w:highlight w:val="none"/>
              </w:rPr>
              <w:t>2.4-2009，建设项目所处的声环境功能区为GB</w:t>
            </w:r>
            <w:r>
              <w:rPr>
                <w:rFonts w:hint="eastAsia" w:ascii="Times New Roman" w:hAnsi="Times New Roman" w:eastAsia="宋体" w:cs="Times New Roman"/>
                <w:color w:val="auto"/>
                <w:sz w:val="21"/>
                <w:szCs w:val="21"/>
                <w:highlight w:val="none"/>
                <w:lang w:val="en-US" w:eastAsia="zh-CN"/>
              </w:rPr>
              <w:t xml:space="preserve"> </w:t>
            </w:r>
            <w:r>
              <w:rPr>
                <w:rFonts w:ascii="Times New Roman" w:hAnsi="Times New Roman" w:eastAsia="宋体" w:cs="Times New Roman"/>
                <w:color w:val="auto"/>
                <w:sz w:val="21"/>
                <w:szCs w:val="21"/>
                <w:highlight w:val="none"/>
              </w:rPr>
              <w:t xml:space="preserve">3096规定的2类区。 </w:t>
            </w:r>
          </w:p>
        </w:tc>
        <w:tc>
          <w:tcPr>
            <w:tcW w:w="3262" w:type="dxa"/>
            <w:noWrap w:val="0"/>
            <w:vAlign w:val="center"/>
          </w:tcPr>
          <w:p>
            <w:pPr>
              <w:pStyle w:val="89"/>
              <w:snapToGrid w:val="0"/>
              <w:jc w:val="both"/>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 xml:space="preserve">项目所处的声环境功能区2类区域，项目建成后评价范围内敏感目标噪声级增加小于3dB。 </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353" w:type="dxa"/>
            <w:noWrap w:val="0"/>
            <w:vAlign w:val="center"/>
          </w:tcPr>
          <w:p>
            <w:pPr>
              <w:pStyle w:val="89"/>
              <w:snapToGrid w:val="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土壤环境</w:t>
            </w:r>
          </w:p>
        </w:tc>
        <w:tc>
          <w:tcPr>
            <w:tcW w:w="1178" w:type="dxa"/>
            <w:noWrap w:val="0"/>
            <w:vAlign w:val="center"/>
          </w:tcPr>
          <w:p>
            <w:pPr>
              <w:pStyle w:val="89"/>
              <w:snapToGrid w:val="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不开展</w:t>
            </w:r>
          </w:p>
        </w:tc>
        <w:tc>
          <w:tcPr>
            <w:tcW w:w="3300" w:type="dxa"/>
            <w:noWrap w:val="0"/>
            <w:vAlign w:val="center"/>
          </w:tcPr>
          <w:p>
            <w:pPr>
              <w:pStyle w:val="89"/>
              <w:snapToGrid w:val="0"/>
              <w:jc w:val="both"/>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根据HJ 964-2018，不敏感区Ⅲ类项目可不开展土壤环境影响评价工作。</w:t>
            </w:r>
          </w:p>
        </w:tc>
        <w:tc>
          <w:tcPr>
            <w:tcW w:w="3262" w:type="dxa"/>
            <w:noWrap w:val="0"/>
            <w:vAlign w:val="center"/>
          </w:tcPr>
          <w:p>
            <w:pPr>
              <w:pStyle w:val="89"/>
              <w:snapToGrid w:val="0"/>
              <w:jc w:val="both"/>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本项目位于不敏感区，为Ⅲ类项目，可不开展土壤环境影响评价工作。</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353" w:type="dxa"/>
            <w:noWrap w:val="0"/>
            <w:vAlign w:val="center"/>
          </w:tcPr>
          <w:p>
            <w:pPr>
              <w:pStyle w:val="89"/>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环境风险</w:t>
            </w:r>
          </w:p>
        </w:tc>
        <w:tc>
          <w:tcPr>
            <w:tcW w:w="1178" w:type="dxa"/>
            <w:noWrap w:val="0"/>
            <w:vAlign w:val="center"/>
          </w:tcPr>
          <w:p>
            <w:pPr>
              <w:pStyle w:val="89"/>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简单分析</w:t>
            </w:r>
          </w:p>
        </w:tc>
        <w:tc>
          <w:tcPr>
            <w:tcW w:w="3300" w:type="dxa"/>
            <w:noWrap w:val="0"/>
            <w:vAlign w:val="center"/>
          </w:tcPr>
          <w:p>
            <w:pPr>
              <w:pStyle w:val="89"/>
              <w:snapToGrid w:val="0"/>
              <w:jc w:val="both"/>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根据HJ 169-2018，风险潜势为 Ⅰ，可开展简单分析。</w:t>
            </w:r>
          </w:p>
        </w:tc>
        <w:tc>
          <w:tcPr>
            <w:tcW w:w="3262" w:type="dxa"/>
            <w:noWrap w:val="0"/>
            <w:vAlign w:val="center"/>
          </w:tcPr>
          <w:p>
            <w:pPr>
              <w:pStyle w:val="89"/>
              <w:snapToGrid w:val="0"/>
              <w:jc w:val="both"/>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本项目环境风险潜势为 Ⅰ，开展简单分析。</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353" w:type="dxa"/>
            <w:noWrap w:val="0"/>
            <w:vAlign w:val="center"/>
          </w:tcPr>
          <w:p>
            <w:pPr>
              <w:pStyle w:val="89"/>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生态环境</w:t>
            </w:r>
          </w:p>
        </w:tc>
        <w:tc>
          <w:tcPr>
            <w:tcW w:w="1178" w:type="dxa"/>
            <w:noWrap w:val="0"/>
            <w:vAlign w:val="center"/>
          </w:tcPr>
          <w:p>
            <w:pPr>
              <w:pStyle w:val="89"/>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二级</w:t>
            </w:r>
          </w:p>
        </w:tc>
        <w:tc>
          <w:tcPr>
            <w:tcW w:w="3300" w:type="dxa"/>
            <w:noWrap w:val="0"/>
            <w:vAlign w:val="center"/>
          </w:tcPr>
          <w:p>
            <w:pPr>
              <w:pStyle w:val="81"/>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依据HJ 19-2011，影响区域生态敏感性为一般区域，影响范围面积</w:t>
            </w:r>
            <w:r>
              <w:rPr>
                <w:rFonts w:ascii="Times New Roman" w:hAnsi="Times New Roman" w:eastAsia="宋体"/>
                <w:bCs/>
                <w:color w:val="auto"/>
                <w:highlight w:val="none"/>
                <w:lang w:val="en-US" w:eastAsia="zh-CN"/>
              </w:rPr>
              <w:t>≤2km</w:t>
            </w:r>
            <w:r>
              <w:rPr>
                <w:rFonts w:ascii="Times New Roman" w:hAnsi="Times New Roman" w:eastAsia="宋体"/>
                <w:bCs/>
                <w:color w:val="auto"/>
                <w:highlight w:val="none"/>
                <w:vertAlign w:val="superscript"/>
                <w:lang w:val="en-US" w:eastAsia="zh-CN"/>
              </w:rPr>
              <w:t>2</w:t>
            </w:r>
            <w:r>
              <w:rPr>
                <w:rFonts w:ascii="Times New Roman" w:hAnsi="Times New Roman" w:eastAsia="宋体"/>
                <w:bCs/>
                <w:color w:val="auto"/>
                <w:highlight w:val="none"/>
                <w:lang w:val="en-US" w:eastAsia="zh-CN"/>
              </w:rPr>
              <w:t>或长度≤50km</w:t>
            </w:r>
            <w:r>
              <w:rPr>
                <w:rFonts w:ascii="Times New Roman" w:hAnsi="Times New Roman" w:eastAsia="宋体"/>
                <w:color w:val="auto"/>
                <w:szCs w:val="21"/>
                <w:highlight w:val="none"/>
                <w:lang w:val="en-US" w:eastAsia="zh-CN"/>
              </w:rPr>
              <w:t>，评价等级为三级。在矿山开采可能导致矿区土地利用类型明显改变，或拦河闸坝建设可能明显改变水文情势等情况下，评价工作等级应上调一级。</w:t>
            </w:r>
          </w:p>
        </w:tc>
        <w:tc>
          <w:tcPr>
            <w:tcW w:w="3262" w:type="dxa"/>
            <w:noWrap w:val="0"/>
            <w:vAlign w:val="center"/>
          </w:tcPr>
          <w:p>
            <w:pPr>
              <w:pStyle w:val="89"/>
              <w:snapToGrid w:val="0"/>
              <w:jc w:val="both"/>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项目影响区域生态敏感性为一般区域，</w:t>
            </w:r>
            <w:r>
              <w:rPr>
                <w:rFonts w:hint="default" w:ascii="Times New Roman" w:hAnsi="Times New Roman" w:eastAsia="宋体" w:cs="Times New Roman"/>
                <w:color w:val="auto"/>
                <w:sz w:val="21"/>
                <w:szCs w:val="21"/>
                <w:highlight w:val="none"/>
                <w:u w:val="single"/>
              </w:rPr>
              <w:t>矿区面积0.1598km</w:t>
            </w:r>
            <w:r>
              <w:rPr>
                <w:rFonts w:hint="default" w:ascii="Times New Roman" w:hAnsi="Times New Roman" w:eastAsia="宋体" w:cs="Times New Roman"/>
                <w:color w:val="auto"/>
                <w:sz w:val="21"/>
                <w:szCs w:val="21"/>
                <w:highlight w:val="none"/>
                <w:u w:val="single"/>
                <w:vertAlign w:val="superscript"/>
              </w:rPr>
              <w:t>2</w:t>
            </w:r>
            <w:r>
              <w:rPr>
                <w:rFonts w:hint="default" w:ascii="Times New Roman" w:hAnsi="Times New Roman" w:eastAsia="宋体" w:cs="Times New Roman"/>
                <w:color w:val="auto"/>
                <w:sz w:val="21"/>
                <w:szCs w:val="21"/>
                <w:highlight w:val="none"/>
                <w:u w:val="single"/>
              </w:rPr>
              <w:t>，</w:t>
            </w:r>
            <w:r>
              <w:rPr>
                <w:rFonts w:hint="default" w:ascii="Times New Roman" w:hAnsi="Times New Roman" w:cs="Times New Roman"/>
                <w:color w:val="auto"/>
                <w:sz w:val="21"/>
                <w:szCs w:val="21"/>
                <w:highlight w:val="none"/>
                <w:u w:val="single"/>
                <w:lang w:val="en-US" w:eastAsia="zh-CN"/>
              </w:rPr>
              <w:t>临时用地面积31663.89m</w:t>
            </w:r>
            <w:r>
              <w:rPr>
                <w:rFonts w:hint="default" w:ascii="Times New Roman" w:hAnsi="Times New Roman" w:cs="Times New Roman"/>
                <w:color w:val="auto"/>
                <w:sz w:val="21"/>
                <w:szCs w:val="21"/>
                <w:highlight w:val="none"/>
                <w:u w:val="single"/>
                <w:vertAlign w:val="superscript"/>
                <w:lang w:val="en-US" w:eastAsia="zh-CN"/>
              </w:rPr>
              <w:t>2</w:t>
            </w:r>
            <w:r>
              <w:rPr>
                <w:rFonts w:hint="default" w:ascii="Times New Roman" w:hAnsi="Times New Roman" w:eastAsia="宋体" w:cs="Times New Roman"/>
                <w:color w:val="auto"/>
                <w:sz w:val="21"/>
                <w:szCs w:val="21"/>
                <w:highlight w:val="none"/>
                <w:u w:val="single"/>
              </w:rPr>
              <w:t>，</w:t>
            </w:r>
            <w:r>
              <w:rPr>
                <w:rFonts w:hint="default" w:ascii="Times New Roman" w:hAnsi="Times New Roman" w:cs="Times New Roman"/>
                <w:color w:val="auto"/>
                <w:sz w:val="21"/>
                <w:szCs w:val="21"/>
                <w:highlight w:val="none"/>
                <w:u w:val="single"/>
                <w:lang w:val="en-US" w:eastAsia="zh-CN"/>
              </w:rPr>
              <w:t>总面积</w:t>
            </w:r>
            <w:r>
              <w:rPr>
                <w:rFonts w:hint="default" w:ascii="Times New Roman" w:hAnsi="Times New Roman" w:eastAsia="宋体" w:cs="Times New Roman"/>
                <w:color w:val="auto"/>
                <w:sz w:val="21"/>
                <w:szCs w:val="21"/>
                <w:highlight w:val="none"/>
                <w:u w:val="single"/>
              </w:rPr>
              <w:t>0.1</w:t>
            </w:r>
            <w:r>
              <w:rPr>
                <w:rFonts w:hint="default" w:ascii="Times New Roman" w:hAnsi="Times New Roman" w:cs="Times New Roman"/>
                <w:color w:val="auto"/>
                <w:sz w:val="21"/>
                <w:szCs w:val="21"/>
                <w:highlight w:val="none"/>
                <w:u w:val="single"/>
                <w:lang w:val="en-US" w:eastAsia="zh-CN"/>
              </w:rPr>
              <w:t>915</w:t>
            </w:r>
            <w:r>
              <w:rPr>
                <w:rFonts w:hint="default" w:ascii="Times New Roman" w:hAnsi="Times New Roman" w:eastAsia="宋体" w:cs="Times New Roman"/>
                <w:color w:val="auto"/>
                <w:sz w:val="21"/>
                <w:szCs w:val="21"/>
                <w:highlight w:val="none"/>
                <w:u w:val="single"/>
              </w:rPr>
              <w:t>km</w:t>
            </w:r>
            <w:r>
              <w:rPr>
                <w:rFonts w:hint="default" w:ascii="Times New Roman" w:hAnsi="Times New Roman" w:eastAsia="宋体" w:cs="Times New Roman"/>
                <w:color w:val="auto"/>
                <w:sz w:val="21"/>
                <w:szCs w:val="21"/>
                <w:highlight w:val="none"/>
                <w:u w:val="single"/>
                <w:vertAlign w:val="superscript"/>
              </w:rPr>
              <w:t>2</w:t>
            </w:r>
            <w:r>
              <w:rPr>
                <w:rFonts w:hint="default" w:ascii="Times New Roman" w:hAnsi="Times New Roman" w:eastAsia="宋体" w:cs="Times New Roman"/>
                <w:color w:val="auto"/>
                <w:sz w:val="21"/>
                <w:szCs w:val="21"/>
                <w:highlight w:val="none"/>
                <w:u w:val="single"/>
              </w:rPr>
              <w:t>，工程</w:t>
            </w:r>
            <w:r>
              <w:rPr>
                <w:rFonts w:hint="default" w:ascii="Times New Roman" w:hAnsi="Times New Roman" w:cs="Times New Roman"/>
                <w:color w:val="auto"/>
                <w:sz w:val="21"/>
                <w:szCs w:val="21"/>
                <w:highlight w:val="none"/>
                <w:u w:val="single"/>
                <w:lang w:val="en-US" w:eastAsia="zh-CN"/>
              </w:rPr>
              <w:t>影响范围总面积</w:t>
            </w:r>
            <w:r>
              <w:rPr>
                <w:rFonts w:hint="default" w:ascii="Times New Roman" w:hAnsi="Times New Roman" w:eastAsia="宋体" w:cs="Times New Roman"/>
                <w:bCs/>
                <w:color w:val="auto"/>
                <w:sz w:val="21"/>
                <w:szCs w:val="21"/>
                <w:highlight w:val="none"/>
                <w:u w:val="single"/>
              </w:rPr>
              <w:t>≤</w:t>
            </w:r>
            <w:r>
              <w:rPr>
                <w:rFonts w:hint="default" w:ascii="Times New Roman" w:hAnsi="Times New Roman" w:eastAsia="宋体" w:cs="Times New Roman"/>
                <w:color w:val="auto"/>
                <w:sz w:val="21"/>
                <w:szCs w:val="21"/>
                <w:highlight w:val="none"/>
                <w:u w:val="single"/>
              </w:rPr>
              <w:t>2km</w:t>
            </w:r>
            <w:r>
              <w:rPr>
                <w:rFonts w:hint="default" w:ascii="Times New Roman" w:hAnsi="Times New Roman" w:eastAsia="宋体" w:cs="Times New Roman"/>
                <w:color w:val="auto"/>
                <w:sz w:val="21"/>
                <w:szCs w:val="21"/>
                <w:highlight w:val="none"/>
                <w:u w:val="single"/>
                <w:vertAlign w:val="superscript"/>
              </w:rPr>
              <w:t>2</w:t>
            </w:r>
            <w:r>
              <w:rPr>
                <w:rFonts w:hint="default" w:ascii="Times New Roman" w:hAnsi="Times New Roman" w:eastAsia="宋体" w:cs="Times New Roman"/>
                <w:color w:val="auto"/>
                <w:sz w:val="21"/>
                <w:szCs w:val="21"/>
                <w:highlight w:val="none"/>
                <w:u w:val="single"/>
              </w:rPr>
              <w:t>，</w:t>
            </w:r>
            <w:r>
              <w:rPr>
                <w:rFonts w:ascii="Times New Roman" w:hAnsi="Times New Roman" w:eastAsia="宋体" w:cs="Times New Roman"/>
                <w:color w:val="auto"/>
                <w:sz w:val="21"/>
                <w:szCs w:val="21"/>
                <w:highlight w:val="none"/>
              </w:rPr>
              <w:t>项目为矿山开采，可能导致土地利用类型发生改变，生态环境评价工作等级应上调一级。</w:t>
            </w:r>
          </w:p>
        </w:tc>
      </w:tr>
    </w:tbl>
    <w:p>
      <w:pPr>
        <w:pStyle w:val="5"/>
        <w:rPr>
          <w:rFonts w:ascii="Times New Roman" w:hAnsi="Times New Roman" w:eastAsia="宋体"/>
          <w:color w:val="auto"/>
          <w:highlight w:val="none"/>
        </w:rPr>
      </w:pPr>
      <w:r>
        <w:rPr>
          <w:rFonts w:ascii="Times New Roman" w:hAnsi="Times New Roman" w:eastAsia="宋体"/>
          <w:color w:val="auto"/>
          <w:highlight w:val="none"/>
        </w:rPr>
        <w:t>1.5.2 评价范围</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（1）大气环境</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项目大气评价等级为一级。综合考虑评价区及其边界的地形、地理特征等情况，根据《环境影响评价技术导则 大气环境》（HJ 2.2-2018）的要求，以项目矿区红线范围为中心，评价范围边长取5.0km的</w:t>
      </w:r>
      <w:r>
        <w:rPr>
          <w:rFonts w:hint="eastAsia" w:ascii="Times New Roman" w:hAnsi="Times New Roman" w:eastAsia="宋体" w:cs="Times New Roman"/>
          <w:color w:val="auto"/>
          <w:highlight w:val="none"/>
        </w:rPr>
        <w:t>矩形</w:t>
      </w:r>
      <w:r>
        <w:rPr>
          <w:rFonts w:ascii="Times New Roman" w:hAnsi="Times New Roman" w:eastAsia="宋体" w:cs="Times New Roman"/>
          <w:color w:val="auto"/>
          <w:highlight w:val="none"/>
        </w:rPr>
        <w:t>区域。</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（2）地表水环境</w:t>
      </w:r>
    </w:p>
    <w:p>
      <w:pPr>
        <w:ind w:firstLine="472"/>
        <w:rPr>
          <w:rFonts w:ascii="Times New Roman" w:hAnsi="Times New Roman" w:eastAsia="宋体" w:cs="Times New Roman"/>
          <w:color w:val="auto"/>
          <w:highlight w:val="none"/>
        </w:rPr>
      </w:pPr>
      <w:r>
        <w:rPr>
          <w:rFonts w:ascii="Times New Roman" w:hAnsi="Times New Roman" w:eastAsia="宋体" w:cs="Times New Roman"/>
          <w:color w:val="auto"/>
          <w:spacing w:val="-2"/>
          <w:kern w:val="0"/>
          <w:szCs w:val="24"/>
          <w:highlight w:val="none"/>
        </w:rPr>
        <w:t>本项目地表水评价等级为三级B，根据HJ 610-2016，其评价范围应符合以下要求：a）应满足其依托污水处理设施环境可行性分析的要求；b）涉及地表水环境风险的，应覆盖环境风险影响范围所及的水环境保护目标水域。本项目没有依托相关污水处理设施，仅分析项目所在区域</w:t>
      </w:r>
      <w:r>
        <w:rPr>
          <w:rFonts w:hint="eastAsia" w:ascii="Times New Roman" w:hAnsi="Times New Roman" w:eastAsia="宋体" w:cs="Times New Roman"/>
          <w:color w:val="auto"/>
          <w:spacing w:val="-2"/>
          <w:kern w:val="0"/>
          <w:szCs w:val="24"/>
          <w:highlight w:val="none"/>
        </w:rPr>
        <w:t>和矿山南侧无名小沟上游500m至下游3000m地表</w:t>
      </w:r>
      <w:r>
        <w:rPr>
          <w:rFonts w:ascii="Times New Roman" w:hAnsi="Times New Roman" w:eastAsia="宋体" w:cs="Times New Roman"/>
          <w:color w:val="auto"/>
          <w:spacing w:val="-2"/>
          <w:kern w:val="0"/>
          <w:szCs w:val="24"/>
          <w:highlight w:val="none"/>
        </w:rPr>
        <w:t>水质现状情况。</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（3）地下水环境</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项目地下水评价等级为Ⅳ类，可不开展地下水环境影响分析。</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（4）声环境</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 xml:space="preserve"> </w:t>
      </w:r>
      <w:r>
        <w:rPr>
          <w:rFonts w:ascii="Times New Roman" w:hAnsi="Times New Roman" w:eastAsia="宋体" w:cs="Times New Roman"/>
          <w:color w:val="auto"/>
          <w:highlight w:val="none"/>
        </w:rPr>
        <w:t>根据项目建成后噪声可能影响的范围和程度，</w:t>
      </w:r>
      <w:r>
        <w:rPr>
          <w:rFonts w:ascii="Times New Roman" w:hAnsi="Times New Roman" w:eastAsia="宋体" w:cs="Times New Roman"/>
          <w:color w:val="auto"/>
          <w:highlight w:val="none"/>
          <w:u w:val="single"/>
        </w:rPr>
        <w:t>确定评价范围为</w:t>
      </w:r>
      <w:r>
        <w:rPr>
          <w:rFonts w:hint="eastAsia" w:cs="Times New Roman"/>
          <w:color w:val="auto"/>
          <w:highlight w:val="none"/>
          <w:u w:val="single"/>
          <w:lang w:val="en-US" w:eastAsia="zh-CN"/>
        </w:rPr>
        <w:t>矿区红线及临时用地</w:t>
      </w:r>
      <w:r>
        <w:rPr>
          <w:rFonts w:ascii="Times New Roman" w:hAnsi="Times New Roman" w:eastAsia="宋体" w:cs="Times New Roman"/>
          <w:color w:val="auto"/>
          <w:highlight w:val="none"/>
          <w:u w:val="single"/>
        </w:rPr>
        <w:t>厂界及厂界外</w:t>
      </w:r>
      <w:r>
        <w:rPr>
          <w:rFonts w:ascii="Times New Roman" w:hAnsi="Times New Roman" w:eastAsia="宋体" w:cs="Times New Roman"/>
          <w:color w:val="auto"/>
          <w:szCs w:val="24"/>
          <w:highlight w:val="none"/>
          <w:u w:val="single"/>
        </w:rPr>
        <w:t>200米的范围内。</w:t>
      </w:r>
    </w:p>
    <w:p>
      <w:pPr>
        <w:ind w:firstLine="480"/>
        <w:rPr>
          <w:rFonts w:hint="eastAsia" w:ascii="Times New Roman" w:hAnsi="Times New Roman" w:eastAsia="宋体" w:cs="Times New Roman"/>
          <w:color w:val="auto"/>
          <w:highlight w:val="none"/>
        </w:rPr>
      </w:pPr>
      <w:r>
        <w:rPr>
          <w:rFonts w:ascii="Times New Roman" w:hAnsi="Times New Roman" w:eastAsia="宋体" w:cs="Times New Roman"/>
          <w:color w:val="auto"/>
          <w:szCs w:val="24"/>
          <w:highlight w:val="none"/>
        </w:rPr>
        <w:t>（5）</w:t>
      </w:r>
      <w:r>
        <w:rPr>
          <w:rFonts w:hint="eastAsia" w:ascii="Times New Roman" w:hAnsi="Times New Roman" w:eastAsia="宋体" w:cs="Times New Roman"/>
          <w:color w:val="auto"/>
          <w:highlight w:val="none"/>
        </w:rPr>
        <w:t>土壤环境</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w:t>
      </w:r>
      <w:r>
        <w:rPr>
          <w:rFonts w:ascii="Times New Roman" w:hAnsi="Times New Roman" w:eastAsia="宋体" w:cs="Times New Roman"/>
          <w:color w:val="auto"/>
          <w:highlight w:val="none"/>
        </w:rPr>
        <w:t>可不开展土壤环境影响评价工作。</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highlight w:val="none"/>
        </w:rPr>
        <w:t>（6）</w:t>
      </w:r>
      <w:r>
        <w:rPr>
          <w:rFonts w:ascii="Times New Roman" w:hAnsi="Times New Roman" w:eastAsia="宋体" w:cs="Times New Roman"/>
          <w:color w:val="auto"/>
          <w:szCs w:val="24"/>
          <w:highlight w:val="none"/>
        </w:rPr>
        <w:t>环境风险</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 项目风险评价为简单分析，仅对项目环境敏感目标概况、环境风险识别、环境风险分析、环境风险防范措施及应急要求进行简单分析。评价范围主要为</w:t>
      </w:r>
      <w:r>
        <w:rPr>
          <w:rFonts w:hint="eastAsia" w:cs="Times New Roman"/>
          <w:color w:val="auto"/>
          <w:highlight w:val="none"/>
          <w:u w:val="single"/>
          <w:lang w:val="en-US" w:eastAsia="zh-CN"/>
        </w:rPr>
        <w:t>矿区红线及临时用地</w:t>
      </w:r>
      <w:r>
        <w:rPr>
          <w:rFonts w:ascii="Times New Roman" w:hAnsi="Times New Roman" w:eastAsia="宋体" w:cs="Times New Roman"/>
          <w:color w:val="auto"/>
          <w:highlight w:val="none"/>
          <w:u w:val="single"/>
        </w:rPr>
        <w:t>厂界</w:t>
      </w:r>
      <w:r>
        <w:rPr>
          <w:rFonts w:ascii="Times New Roman" w:hAnsi="Times New Roman" w:eastAsia="宋体" w:cs="Times New Roman"/>
          <w:color w:val="auto"/>
          <w:highlight w:val="none"/>
        </w:rPr>
        <w:t>周边500m范围内主要环境敏感目标。</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（7）</w:t>
      </w:r>
      <w:r>
        <w:rPr>
          <w:rFonts w:ascii="Times New Roman" w:hAnsi="Times New Roman" w:eastAsia="宋体" w:cs="Times New Roman"/>
          <w:color w:val="auto"/>
          <w:highlight w:val="none"/>
        </w:rPr>
        <w:t>生态环境</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项目生态环境评价为二级，生态影响评价范围为</w:t>
      </w:r>
      <w:r>
        <w:rPr>
          <w:rFonts w:hint="eastAsia" w:cs="Times New Roman"/>
          <w:color w:val="auto"/>
          <w:highlight w:val="none"/>
          <w:u w:val="single"/>
          <w:lang w:val="en-US" w:eastAsia="zh-CN"/>
        </w:rPr>
        <w:t>矿区红线及临时用地</w:t>
      </w:r>
      <w:r>
        <w:rPr>
          <w:rFonts w:ascii="Times New Roman" w:hAnsi="Times New Roman" w:eastAsia="宋体" w:cs="Times New Roman"/>
          <w:color w:val="auto"/>
          <w:highlight w:val="none"/>
        </w:rPr>
        <w:t>边界外200m的区域。</w:t>
      </w:r>
    </w:p>
    <w:p>
      <w:pPr>
        <w:pStyle w:val="87"/>
        <w:rPr>
          <w:rFonts w:ascii="Times New Roman" w:hAnsi="Times New Roman" w:eastAsia="宋体" w:cs="Times New Roman"/>
          <w:color w:val="auto"/>
          <w:highlight w:val="none"/>
        </w:rPr>
      </w:pPr>
      <w:r>
        <w:rPr>
          <w:rFonts w:ascii="Times New Roman" w:hAnsi="Times New Roman" w:eastAsia="宋体" w:cs="Times New Roman"/>
          <w:color w:val="auto"/>
          <w:highlight w:val="none"/>
        </w:rPr>
        <w:t>表1.5-1</w:t>
      </w:r>
      <w:r>
        <w:rPr>
          <w:rFonts w:hint="eastAsia" w:ascii="Times New Roman" w:hAnsi="Times New Roman" w:eastAsia="宋体" w:cs="Times New Roman"/>
          <w:color w:val="auto"/>
          <w:highlight w:val="none"/>
        </w:rPr>
        <w:t>5</w:t>
      </w:r>
      <w:r>
        <w:rPr>
          <w:rFonts w:ascii="Times New Roman" w:hAnsi="Times New Roman" w:eastAsia="宋体" w:cs="Times New Roman"/>
          <w:color w:val="auto"/>
          <w:highlight w:val="none"/>
        </w:rPr>
        <w:t xml:space="preserve"> 评价范围一览表</w:t>
      </w:r>
    </w:p>
    <w:tbl>
      <w:tblPr>
        <w:tblStyle w:val="48"/>
        <w:tblW w:w="9093"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1362"/>
        <w:gridCol w:w="1647"/>
        <w:gridCol w:w="1191"/>
        <w:gridCol w:w="4893"/>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362"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评价类别</w:t>
            </w:r>
          </w:p>
        </w:tc>
        <w:tc>
          <w:tcPr>
            <w:tcW w:w="1647"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环境功能级别</w:t>
            </w:r>
          </w:p>
        </w:tc>
        <w:tc>
          <w:tcPr>
            <w:tcW w:w="1191"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评价等级</w:t>
            </w:r>
          </w:p>
        </w:tc>
        <w:tc>
          <w:tcPr>
            <w:tcW w:w="4893"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评价范围</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36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大气</w:t>
            </w:r>
          </w:p>
        </w:tc>
        <w:tc>
          <w:tcPr>
            <w:tcW w:w="164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二类</w:t>
            </w:r>
          </w:p>
        </w:tc>
        <w:tc>
          <w:tcPr>
            <w:tcW w:w="119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一级</w:t>
            </w:r>
          </w:p>
        </w:tc>
        <w:tc>
          <w:tcPr>
            <w:tcW w:w="489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以</w:t>
            </w:r>
            <w:r>
              <w:rPr>
                <w:rFonts w:hint="eastAsia" w:cs="Times New Roman"/>
                <w:color w:val="auto"/>
                <w:sz w:val="21"/>
                <w:highlight w:val="none"/>
                <w:lang w:val="en-US" w:eastAsia="zh-CN"/>
              </w:rPr>
              <w:t>项目</w:t>
            </w:r>
            <w:r>
              <w:rPr>
                <w:rFonts w:ascii="Times New Roman" w:hAnsi="Times New Roman" w:eastAsia="宋体" w:cs="Times New Roman"/>
                <w:color w:val="auto"/>
                <w:sz w:val="21"/>
                <w:highlight w:val="none"/>
              </w:rPr>
              <w:t>矿区红线范围为中心边长5.0km的</w:t>
            </w:r>
            <w:r>
              <w:rPr>
                <w:rFonts w:hint="eastAsia" w:ascii="Times New Roman" w:hAnsi="Times New Roman" w:eastAsia="宋体" w:cs="Times New Roman"/>
                <w:color w:val="auto"/>
                <w:sz w:val="21"/>
                <w:highlight w:val="none"/>
              </w:rPr>
              <w:t>矩形</w:t>
            </w:r>
            <w:r>
              <w:rPr>
                <w:rFonts w:ascii="Times New Roman" w:hAnsi="Times New Roman" w:eastAsia="宋体" w:cs="Times New Roman"/>
                <w:color w:val="auto"/>
                <w:sz w:val="21"/>
                <w:highlight w:val="none"/>
              </w:rPr>
              <w:t>区域</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36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地表水</w:t>
            </w:r>
          </w:p>
        </w:tc>
        <w:tc>
          <w:tcPr>
            <w:tcW w:w="164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Ⅲ类</w:t>
            </w:r>
          </w:p>
        </w:tc>
        <w:tc>
          <w:tcPr>
            <w:tcW w:w="119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三级B</w:t>
            </w:r>
          </w:p>
        </w:tc>
        <w:tc>
          <w:tcPr>
            <w:tcW w:w="4893" w:type="dxa"/>
            <w:noWrap w:val="0"/>
            <w:vAlign w:val="center"/>
          </w:tcPr>
          <w:p>
            <w:pPr>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项目所在区域和矿山南侧</w:t>
            </w:r>
            <w:r>
              <w:rPr>
                <w:rFonts w:hint="eastAsia" w:ascii="Times New Roman" w:hAnsi="Times New Roman" w:eastAsia="宋体" w:cs="Times New Roman"/>
                <w:color w:val="auto"/>
                <w:sz w:val="21"/>
                <w:highlight w:val="none"/>
              </w:rPr>
              <w:t>无名小沟</w:t>
            </w:r>
            <w:r>
              <w:rPr>
                <w:rFonts w:ascii="Times New Roman" w:hAnsi="Times New Roman" w:eastAsia="宋体" w:cs="Times New Roman"/>
                <w:color w:val="auto"/>
                <w:sz w:val="21"/>
                <w:highlight w:val="none"/>
              </w:rPr>
              <w:t>上游500m至下游3000m</w:t>
            </w:r>
            <w:r>
              <w:rPr>
                <w:rFonts w:hint="eastAsia" w:ascii="Times New Roman" w:hAnsi="Times New Roman" w:eastAsia="宋体" w:cs="Times New Roman"/>
                <w:color w:val="auto"/>
                <w:sz w:val="21"/>
                <w:highlight w:val="none"/>
              </w:rPr>
              <w:t>地表</w:t>
            </w:r>
            <w:r>
              <w:rPr>
                <w:rFonts w:ascii="Times New Roman" w:hAnsi="Times New Roman" w:eastAsia="宋体" w:cs="Times New Roman"/>
                <w:color w:val="auto"/>
                <w:sz w:val="21"/>
                <w:highlight w:val="none"/>
              </w:rPr>
              <w:t>水质</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36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地下水</w:t>
            </w:r>
          </w:p>
        </w:tc>
        <w:tc>
          <w:tcPr>
            <w:tcW w:w="164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lang w:eastAsia="zh-CN"/>
              </w:rPr>
            </w:pPr>
            <w:r>
              <w:rPr>
                <w:rFonts w:hint="eastAsia" w:cs="Times New Roman"/>
                <w:color w:val="auto"/>
                <w:sz w:val="21"/>
                <w:highlight w:val="none"/>
                <w:lang w:val="en-US" w:eastAsia="zh-CN"/>
              </w:rPr>
              <w:t>/</w:t>
            </w:r>
          </w:p>
        </w:tc>
        <w:tc>
          <w:tcPr>
            <w:tcW w:w="1191"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不</w:t>
            </w:r>
            <w:r>
              <w:rPr>
                <w:rFonts w:hint="eastAsia" w:ascii="Times New Roman" w:hAnsi="Times New Roman" w:eastAsia="宋体" w:cs="Times New Roman"/>
                <w:color w:val="auto"/>
                <w:sz w:val="21"/>
                <w:highlight w:val="none"/>
              </w:rPr>
              <w:t>开展</w:t>
            </w:r>
          </w:p>
        </w:tc>
        <w:tc>
          <w:tcPr>
            <w:tcW w:w="4893" w:type="dxa"/>
            <w:noWrap w:val="0"/>
            <w:vAlign w:val="center"/>
          </w:tcPr>
          <w:p>
            <w:pPr>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36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声环境</w:t>
            </w:r>
          </w:p>
        </w:tc>
        <w:tc>
          <w:tcPr>
            <w:tcW w:w="164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2类</w:t>
            </w:r>
          </w:p>
        </w:tc>
        <w:tc>
          <w:tcPr>
            <w:tcW w:w="119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二级</w:t>
            </w:r>
          </w:p>
        </w:tc>
        <w:tc>
          <w:tcPr>
            <w:tcW w:w="4893" w:type="dxa"/>
            <w:noWrap w:val="0"/>
            <w:vAlign w:val="center"/>
          </w:tcPr>
          <w:p>
            <w:pPr>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lang w:val="en-US" w:eastAsia="zh-CN"/>
              </w:rPr>
              <w:t>矿区红线及临时用地</w:t>
            </w:r>
            <w:r>
              <w:rPr>
                <w:rFonts w:ascii="Times New Roman" w:hAnsi="Times New Roman" w:eastAsia="宋体" w:cs="Times New Roman"/>
                <w:color w:val="auto"/>
                <w:sz w:val="21"/>
                <w:highlight w:val="none"/>
                <w:u w:val="single"/>
              </w:rPr>
              <w:t>厂界及厂界外200m范围内</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36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土壤环境</w:t>
            </w:r>
          </w:p>
        </w:tc>
        <w:tc>
          <w:tcPr>
            <w:tcW w:w="164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p>
        </w:tc>
        <w:tc>
          <w:tcPr>
            <w:tcW w:w="1191"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不</w:t>
            </w:r>
            <w:r>
              <w:rPr>
                <w:rFonts w:hint="eastAsia" w:ascii="Times New Roman" w:hAnsi="Times New Roman" w:eastAsia="宋体" w:cs="Times New Roman"/>
                <w:color w:val="auto"/>
                <w:sz w:val="21"/>
                <w:highlight w:val="none"/>
              </w:rPr>
              <w:t>开展</w:t>
            </w:r>
          </w:p>
        </w:tc>
        <w:tc>
          <w:tcPr>
            <w:tcW w:w="489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36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环境风险</w:t>
            </w:r>
          </w:p>
        </w:tc>
        <w:tc>
          <w:tcPr>
            <w:tcW w:w="164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19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简单分析</w:t>
            </w:r>
          </w:p>
        </w:tc>
        <w:tc>
          <w:tcPr>
            <w:tcW w:w="4893" w:type="dxa"/>
            <w:noWrap w:val="0"/>
            <w:vAlign w:val="center"/>
          </w:tcPr>
          <w:p>
            <w:pPr>
              <w:spacing w:line="240" w:lineRule="auto"/>
              <w:ind w:firstLine="0" w:firstLineChars="0"/>
              <w:jc w:val="left"/>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u w:val="single"/>
                <w:lang w:val="en-US" w:eastAsia="zh-CN"/>
              </w:rPr>
              <w:t>矿区红线及临时用地</w:t>
            </w:r>
            <w:r>
              <w:rPr>
                <w:rFonts w:ascii="Times New Roman" w:hAnsi="Times New Roman" w:eastAsia="宋体" w:cs="Times New Roman"/>
                <w:color w:val="auto"/>
                <w:sz w:val="21"/>
                <w:highlight w:val="none"/>
                <w:u w:val="single"/>
              </w:rPr>
              <w:t>厂界</w:t>
            </w:r>
            <w:r>
              <w:rPr>
                <w:rFonts w:ascii="Times New Roman" w:hAnsi="Times New Roman" w:eastAsia="宋体" w:cs="Times New Roman"/>
                <w:color w:val="auto"/>
                <w:sz w:val="21"/>
                <w:highlight w:val="none"/>
              </w:rPr>
              <w:t>周边500m范围内主要环境敏感目标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36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生态环境</w:t>
            </w:r>
          </w:p>
        </w:tc>
        <w:tc>
          <w:tcPr>
            <w:tcW w:w="164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19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二级</w:t>
            </w:r>
          </w:p>
        </w:tc>
        <w:tc>
          <w:tcPr>
            <w:tcW w:w="489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u w:val="single"/>
                <w:lang w:val="en-US" w:eastAsia="zh-CN"/>
              </w:rPr>
              <w:t>矿区红线及临时用地</w:t>
            </w:r>
            <w:r>
              <w:rPr>
                <w:rFonts w:ascii="Times New Roman" w:hAnsi="Times New Roman" w:eastAsia="宋体" w:cs="Times New Roman"/>
                <w:color w:val="auto"/>
                <w:sz w:val="21"/>
                <w:highlight w:val="none"/>
              </w:rPr>
              <w:t>边界外200m</w:t>
            </w:r>
          </w:p>
        </w:tc>
      </w:tr>
    </w:tbl>
    <w:p>
      <w:pPr>
        <w:pStyle w:val="4"/>
        <w:rPr>
          <w:rFonts w:ascii="Times New Roman" w:hAnsi="Times New Roman" w:eastAsia="宋体"/>
          <w:color w:val="auto"/>
          <w:highlight w:val="none"/>
        </w:rPr>
      </w:pPr>
      <w:bookmarkStart w:id="57" w:name="_Toc425287066"/>
      <w:bookmarkStart w:id="58" w:name="_Toc272409492"/>
      <w:bookmarkStart w:id="59" w:name="_Toc475546390"/>
      <w:bookmarkStart w:id="60" w:name="_Toc335737100"/>
      <w:bookmarkStart w:id="61" w:name="_Toc260692063"/>
      <w:bookmarkStart w:id="62" w:name="_Toc258912221"/>
      <w:bookmarkStart w:id="63" w:name="_Toc417635410"/>
      <w:bookmarkStart w:id="64" w:name="_Toc294718682"/>
      <w:bookmarkStart w:id="65" w:name="_Toc15983"/>
      <w:bookmarkStart w:id="66" w:name="_Toc475546395"/>
      <w:r>
        <w:rPr>
          <w:rFonts w:ascii="Times New Roman" w:hAnsi="Times New Roman" w:eastAsia="宋体"/>
          <w:color w:val="auto"/>
          <w:highlight w:val="none"/>
        </w:rPr>
        <w:t>1.</w:t>
      </w:r>
      <w:bookmarkEnd w:id="57"/>
      <w:bookmarkEnd w:id="58"/>
      <w:bookmarkEnd w:id="59"/>
      <w:bookmarkEnd w:id="60"/>
      <w:bookmarkEnd w:id="61"/>
      <w:bookmarkEnd w:id="62"/>
      <w:bookmarkEnd w:id="63"/>
      <w:bookmarkEnd w:id="64"/>
      <w:bookmarkStart w:id="67" w:name="_Toc475546393"/>
      <w:bookmarkStart w:id="68" w:name="_Toc425287067"/>
      <w:bookmarkStart w:id="69" w:name="_Toc417635411"/>
      <w:r>
        <w:rPr>
          <w:rFonts w:ascii="Times New Roman" w:hAnsi="Times New Roman" w:eastAsia="宋体"/>
          <w:color w:val="auto"/>
          <w:highlight w:val="none"/>
        </w:rPr>
        <w:t>6 环境保护目标</w:t>
      </w:r>
      <w:bookmarkEnd w:id="65"/>
      <w:bookmarkEnd w:id="67"/>
      <w:bookmarkEnd w:id="68"/>
      <w:bookmarkEnd w:id="69"/>
    </w:p>
    <w:bookmarkEnd w:id="66"/>
    <w:p>
      <w:pPr>
        <w:adjustRightInd w:val="0"/>
        <w:snapToGrid w:val="0"/>
        <w:spacing w:line="48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以项目矿区红线范围中心坐标</w:t>
      </w:r>
      <w:r>
        <w:rPr>
          <w:rFonts w:hint="eastAsia" w:ascii="Times New Roman" w:hAnsi="Times New Roman" w:eastAsia="宋体" w:cs="Times New Roman"/>
          <w:color w:val="auto"/>
          <w:szCs w:val="24"/>
          <w:highlight w:val="none"/>
        </w:rPr>
        <w:t>109.704875</w:t>
      </w:r>
      <w:r>
        <w:rPr>
          <w:rFonts w:ascii="Times New Roman" w:hAnsi="Times New Roman" w:eastAsia="宋体" w:cs="Times New Roman"/>
          <w:color w:val="auto"/>
          <w:szCs w:val="24"/>
          <w:highlight w:val="none"/>
        </w:rPr>
        <w:t>°E，</w:t>
      </w:r>
      <w:r>
        <w:rPr>
          <w:rFonts w:hint="eastAsia" w:ascii="Times New Roman" w:hAnsi="Times New Roman" w:eastAsia="宋体" w:cs="Times New Roman"/>
          <w:color w:val="auto"/>
          <w:szCs w:val="24"/>
          <w:highlight w:val="none"/>
        </w:rPr>
        <w:t>25.757735</w:t>
      </w:r>
      <w:r>
        <w:rPr>
          <w:rFonts w:ascii="Times New Roman" w:hAnsi="Times New Roman" w:eastAsia="宋体" w:cs="Times New Roman"/>
          <w:color w:val="auto"/>
          <w:szCs w:val="24"/>
          <w:highlight w:val="none"/>
        </w:rPr>
        <w:t>°N</w:t>
      </w:r>
      <w:r>
        <w:rPr>
          <w:rFonts w:ascii="Times New Roman" w:hAnsi="Times New Roman" w:eastAsia="宋体" w:cs="Times New Roman"/>
          <w:color w:val="auto"/>
          <w:highlight w:val="none"/>
        </w:rPr>
        <w:t>为原点（X=0，Y=0），</w:t>
      </w:r>
      <w:r>
        <w:rPr>
          <w:rFonts w:hint="eastAsia" w:cs="Times New Roman"/>
          <w:color w:val="auto"/>
          <w:highlight w:val="none"/>
          <w:u w:val="single"/>
          <w:lang w:val="en-US" w:eastAsia="zh-CN"/>
        </w:rPr>
        <w:t>以矿区红线及临时用地厂界为边界，</w:t>
      </w:r>
      <w:r>
        <w:rPr>
          <w:rFonts w:hint="eastAsia" w:ascii="Times New Roman" w:hAnsi="Times New Roman" w:eastAsia="宋体"/>
          <w:color w:val="auto"/>
          <w:highlight w:val="none"/>
          <w:u w:val="single"/>
        </w:rPr>
        <w:t>本项目位于三江县县城饮用水源保护区上游</w:t>
      </w:r>
      <w:r>
        <w:rPr>
          <w:rFonts w:hint="eastAsia"/>
          <w:color w:val="auto"/>
          <w:highlight w:val="none"/>
          <w:u w:val="single"/>
          <w:lang w:eastAsia="zh-CN"/>
        </w:rPr>
        <w:t>，</w:t>
      </w:r>
      <w:r>
        <w:rPr>
          <w:rFonts w:hint="eastAsia"/>
          <w:color w:val="auto"/>
          <w:highlight w:val="none"/>
          <w:u w:val="single"/>
          <w:lang w:val="en-US" w:eastAsia="zh-CN"/>
        </w:rPr>
        <w:t>距其准保护区陆域</w:t>
      </w:r>
      <w:r>
        <w:rPr>
          <w:rFonts w:hint="eastAsia" w:ascii="Times New Roman" w:hAnsi="Times New Roman" w:eastAsia="宋体"/>
          <w:color w:val="auto"/>
          <w:highlight w:val="none"/>
          <w:u w:val="single"/>
        </w:rPr>
        <w:t>约1km</w:t>
      </w:r>
      <w:r>
        <w:rPr>
          <w:rFonts w:hint="eastAsia" w:ascii="Times New Roman" w:hAnsi="Times New Roman"/>
          <w:color w:val="auto"/>
          <w:highlight w:val="none"/>
          <w:u w:val="single"/>
          <w:lang w:eastAsia="zh-CN"/>
        </w:rPr>
        <w:t>。</w:t>
      </w:r>
      <w:r>
        <w:rPr>
          <w:rFonts w:hint="eastAsia" w:ascii="Times New Roman" w:hAnsi="Times New Roman" w:eastAsia="宋体"/>
          <w:color w:val="auto"/>
          <w:highlight w:val="none"/>
          <w:u w:val="single"/>
        </w:rPr>
        <w:t>本项目位于斗江镇饮用水水源地上游</w:t>
      </w:r>
      <w:r>
        <w:rPr>
          <w:rFonts w:hint="eastAsia"/>
          <w:color w:val="auto"/>
          <w:highlight w:val="none"/>
          <w:u w:val="single"/>
          <w:lang w:eastAsia="zh-CN"/>
        </w:rPr>
        <w:t>，</w:t>
      </w:r>
      <w:r>
        <w:rPr>
          <w:rFonts w:hint="eastAsia"/>
          <w:color w:val="auto"/>
          <w:highlight w:val="none"/>
          <w:u w:val="single"/>
          <w:lang w:val="en-US" w:eastAsia="zh-CN"/>
        </w:rPr>
        <w:t>距其二级保护区陆域</w:t>
      </w:r>
      <w:r>
        <w:rPr>
          <w:rFonts w:hint="eastAsia" w:ascii="Times New Roman" w:hAnsi="Times New Roman" w:eastAsia="宋体"/>
          <w:color w:val="auto"/>
          <w:highlight w:val="none"/>
          <w:u w:val="single"/>
        </w:rPr>
        <w:t>约550m</w:t>
      </w:r>
      <w:r>
        <w:rPr>
          <w:rFonts w:hint="eastAsia" w:ascii="Times New Roman" w:hAnsi="Times New Roman"/>
          <w:color w:val="auto"/>
          <w:highlight w:val="none"/>
          <w:u w:val="single"/>
          <w:lang w:eastAsia="zh-CN"/>
        </w:rPr>
        <w:t>。</w:t>
      </w:r>
      <w:r>
        <w:rPr>
          <w:rFonts w:hint="eastAsia" w:cs="Times New Roman"/>
          <w:color w:val="auto"/>
          <w:highlight w:val="none"/>
          <w:lang w:val="en-US" w:eastAsia="zh-CN"/>
        </w:rPr>
        <w:t>项目</w:t>
      </w:r>
      <w:r>
        <w:rPr>
          <w:rFonts w:ascii="Times New Roman" w:hAnsi="Times New Roman" w:eastAsia="宋体" w:cs="Times New Roman"/>
          <w:color w:val="auto"/>
          <w:highlight w:val="none"/>
        </w:rPr>
        <w:t>本项目环境保护目标见表1.6-1</w:t>
      </w:r>
      <w:r>
        <w:rPr>
          <w:rFonts w:ascii="Times New Roman" w:hAnsi="Times New Roman" w:eastAsia="宋体" w:cs="Times New Roman"/>
          <w:color w:val="auto"/>
          <w:szCs w:val="24"/>
          <w:highlight w:val="none"/>
        </w:rPr>
        <w:t>及附图7</w:t>
      </w:r>
      <w:r>
        <w:rPr>
          <w:rFonts w:ascii="Times New Roman" w:hAnsi="Times New Roman" w:eastAsia="宋体" w:cs="Times New Roman"/>
          <w:color w:val="auto"/>
          <w:highlight w:val="none"/>
        </w:rPr>
        <w:t>。</w:t>
      </w:r>
    </w:p>
    <w:p>
      <w:pPr>
        <w:adjustRightInd w:val="0"/>
        <w:snapToGrid w:val="0"/>
        <w:spacing w:line="240" w:lineRule="auto"/>
        <w:ind w:firstLine="0" w:firstLineChars="0"/>
        <w:jc w:val="center"/>
        <w:rPr>
          <w:rFonts w:ascii="Times New Roman" w:hAnsi="Times New Roman" w:eastAsia="宋体" w:cs="Times New Roman"/>
          <w:b/>
          <w:color w:val="auto"/>
          <w:kern w:val="0"/>
          <w:szCs w:val="24"/>
          <w:highlight w:val="none"/>
        </w:rPr>
      </w:pPr>
      <w:r>
        <w:rPr>
          <w:rFonts w:ascii="Times New Roman" w:hAnsi="Times New Roman" w:eastAsia="宋体" w:cs="Times New Roman"/>
          <w:b/>
          <w:color w:val="auto"/>
          <w:kern w:val="0"/>
          <w:szCs w:val="24"/>
          <w:highlight w:val="none"/>
        </w:rPr>
        <w:t>表1.6-1 环境保护目标一览表</w:t>
      </w:r>
    </w:p>
    <w:tbl>
      <w:tblPr>
        <w:tblStyle w:val="48"/>
        <w:tblW w:w="9207"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550"/>
        <w:gridCol w:w="965"/>
        <w:gridCol w:w="654"/>
        <w:gridCol w:w="667"/>
        <w:gridCol w:w="1746"/>
        <w:gridCol w:w="1282"/>
        <w:gridCol w:w="840"/>
        <w:gridCol w:w="795"/>
        <w:gridCol w:w="945"/>
        <w:gridCol w:w="763"/>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550" w:type="dxa"/>
            <w:vMerge w:val="restart"/>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序号</w:t>
            </w:r>
          </w:p>
        </w:tc>
        <w:tc>
          <w:tcPr>
            <w:tcW w:w="965" w:type="dxa"/>
            <w:vMerge w:val="restart"/>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名称</w:t>
            </w:r>
          </w:p>
        </w:tc>
        <w:tc>
          <w:tcPr>
            <w:tcW w:w="1321" w:type="dxa"/>
            <w:gridSpan w:val="2"/>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坐标/m</w:t>
            </w:r>
          </w:p>
        </w:tc>
        <w:tc>
          <w:tcPr>
            <w:tcW w:w="1746" w:type="dxa"/>
            <w:vMerge w:val="restart"/>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b/>
                <w:color w:val="auto"/>
                <w:kern w:val="0"/>
                <w:sz w:val="21"/>
                <w:highlight w:val="none"/>
              </w:rPr>
              <w:t>保护对象</w:t>
            </w:r>
          </w:p>
        </w:tc>
        <w:tc>
          <w:tcPr>
            <w:tcW w:w="1282" w:type="dxa"/>
            <w:vMerge w:val="restart"/>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保护内容</w:t>
            </w:r>
          </w:p>
        </w:tc>
        <w:tc>
          <w:tcPr>
            <w:tcW w:w="840" w:type="dxa"/>
            <w:vMerge w:val="restart"/>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环境</w:t>
            </w:r>
          </w:p>
          <w:p>
            <w:pPr>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功能区</w:t>
            </w:r>
          </w:p>
        </w:tc>
        <w:tc>
          <w:tcPr>
            <w:tcW w:w="795" w:type="dxa"/>
            <w:vMerge w:val="restart"/>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相对厂</w:t>
            </w:r>
          </w:p>
          <w:p>
            <w:pPr>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址方位</w:t>
            </w:r>
          </w:p>
        </w:tc>
        <w:tc>
          <w:tcPr>
            <w:tcW w:w="945" w:type="dxa"/>
            <w:vMerge w:val="restart"/>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相对厂界</w:t>
            </w:r>
          </w:p>
          <w:p>
            <w:pPr>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距离/m</w:t>
            </w:r>
          </w:p>
        </w:tc>
        <w:tc>
          <w:tcPr>
            <w:tcW w:w="763" w:type="dxa"/>
            <w:vMerge w:val="restart"/>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饮用水</w:t>
            </w:r>
          </w:p>
          <w:p>
            <w:pPr>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sz w:val="21"/>
                <w:highlight w:val="none"/>
              </w:rPr>
              <w:t>源情况</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55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965"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654"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X</w:t>
            </w:r>
          </w:p>
        </w:tc>
        <w:tc>
          <w:tcPr>
            <w:tcW w:w="667"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Y</w:t>
            </w:r>
          </w:p>
        </w:tc>
        <w:tc>
          <w:tcPr>
            <w:tcW w:w="1746"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82"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8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795"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945"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763" w:type="dxa"/>
            <w:vMerge w:val="continue"/>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b/>
                <w:color w:val="auto"/>
                <w:kern w:val="0"/>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55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96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东恒屯</w:t>
            </w:r>
          </w:p>
        </w:tc>
        <w:tc>
          <w:tcPr>
            <w:tcW w:w="654"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1093</w:t>
            </w:r>
          </w:p>
        </w:tc>
        <w:tc>
          <w:tcPr>
            <w:tcW w:w="667"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-71</w:t>
            </w:r>
          </w:p>
        </w:tc>
        <w:tc>
          <w:tcPr>
            <w:tcW w:w="1746"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居民约</w:t>
            </w:r>
            <w:r>
              <w:rPr>
                <w:rFonts w:hint="eastAsia" w:ascii="Times New Roman" w:hAnsi="Times New Roman" w:eastAsia="宋体" w:cs="Times New Roman"/>
                <w:color w:val="auto"/>
                <w:sz w:val="21"/>
                <w:highlight w:val="none"/>
              </w:rPr>
              <w:t>80</w:t>
            </w:r>
            <w:r>
              <w:rPr>
                <w:rFonts w:ascii="Times New Roman" w:hAnsi="Times New Roman" w:eastAsia="宋体" w:cs="Times New Roman"/>
                <w:color w:val="auto"/>
                <w:sz w:val="21"/>
                <w:highlight w:val="none"/>
              </w:rPr>
              <w:t>人</w:t>
            </w:r>
          </w:p>
        </w:tc>
        <w:tc>
          <w:tcPr>
            <w:tcW w:w="1282" w:type="dxa"/>
            <w:vMerge w:val="restart"/>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环境</w:t>
            </w:r>
          </w:p>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空气</w:t>
            </w:r>
          </w:p>
        </w:tc>
        <w:tc>
          <w:tcPr>
            <w:tcW w:w="84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2类</w:t>
            </w:r>
          </w:p>
        </w:tc>
        <w:tc>
          <w:tcPr>
            <w:tcW w:w="79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E</w:t>
            </w:r>
          </w:p>
        </w:tc>
        <w:tc>
          <w:tcPr>
            <w:tcW w:w="94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50</w:t>
            </w:r>
            <w:r>
              <w:rPr>
                <w:rFonts w:ascii="Times New Roman" w:hAnsi="Times New Roman" w:eastAsia="宋体" w:cs="Times New Roman"/>
                <w:color w:val="auto"/>
                <w:sz w:val="21"/>
                <w:highlight w:val="none"/>
              </w:rPr>
              <w:t>0</w:t>
            </w:r>
          </w:p>
        </w:tc>
        <w:tc>
          <w:tcPr>
            <w:tcW w:w="763" w:type="dxa"/>
            <w:vMerge w:val="restart"/>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山泉水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55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96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东坪村</w:t>
            </w:r>
          </w:p>
        </w:tc>
        <w:tc>
          <w:tcPr>
            <w:tcW w:w="654"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1777</w:t>
            </w:r>
          </w:p>
        </w:tc>
        <w:tc>
          <w:tcPr>
            <w:tcW w:w="667"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14</w:t>
            </w:r>
          </w:p>
        </w:tc>
        <w:tc>
          <w:tcPr>
            <w:tcW w:w="1746"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居民约200人</w:t>
            </w:r>
          </w:p>
        </w:tc>
        <w:tc>
          <w:tcPr>
            <w:tcW w:w="1282" w:type="dxa"/>
            <w:vMerge w:val="continue"/>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84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2类</w:t>
            </w:r>
          </w:p>
        </w:tc>
        <w:tc>
          <w:tcPr>
            <w:tcW w:w="79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E</w:t>
            </w:r>
          </w:p>
        </w:tc>
        <w:tc>
          <w:tcPr>
            <w:tcW w:w="94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25</w:t>
            </w:r>
            <w:r>
              <w:rPr>
                <w:rFonts w:ascii="Times New Roman" w:hAnsi="Times New Roman" w:eastAsia="宋体" w:cs="Times New Roman"/>
                <w:color w:val="auto"/>
                <w:sz w:val="21"/>
                <w:highlight w:val="none"/>
              </w:rPr>
              <w:t>0</w:t>
            </w:r>
          </w:p>
        </w:tc>
        <w:tc>
          <w:tcPr>
            <w:tcW w:w="763" w:type="dxa"/>
            <w:vMerge w:val="continue"/>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55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96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坡滚屯</w:t>
            </w:r>
          </w:p>
        </w:tc>
        <w:tc>
          <w:tcPr>
            <w:tcW w:w="654"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2418</w:t>
            </w:r>
          </w:p>
        </w:tc>
        <w:tc>
          <w:tcPr>
            <w:tcW w:w="667"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105</w:t>
            </w:r>
          </w:p>
        </w:tc>
        <w:tc>
          <w:tcPr>
            <w:tcW w:w="1746"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居民约</w:t>
            </w:r>
            <w:r>
              <w:rPr>
                <w:rFonts w:hint="eastAsia" w:ascii="Times New Roman" w:hAnsi="Times New Roman" w:eastAsia="宋体" w:cs="Times New Roman"/>
                <w:color w:val="auto"/>
                <w:sz w:val="21"/>
                <w:highlight w:val="none"/>
              </w:rPr>
              <w:t>60</w:t>
            </w:r>
            <w:r>
              <w:rPr>
                <w:rFonts w:ascii="Times New Roman" w:hAnsi="Times New Roman" w:eastAsia="宋体" w:cs="Times New Roman"/>
                <w:color w:val="auto"/>
                <w:sz w:val="21"/>
                <w:highlight w:val="none"/>
              </w:rPr>
              <w:t>人</w:t>
            </w:r>
          </w:p>
        </w:tc>
        <w:tc>
          <w:tcPr>
            <w:tcW w:w="1282" w:type="dxa"/>
            <w:vMerge w:val="continue"/>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84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2类</w:t>
            </w:r>
          </w:p>
        </w:tc>
        <w:tc>
          <w:tcPr>
            <w:tcW w:w="79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E</w:t>
            </w:r>
          </w:p>
        </w:tc>
        <w:tc>
          <w:tcPr>
            <w:tcW w:w="94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83</w:t>
            </w:r>
            <w:r>
              <w:rPr>
                <w:rFonts w:ascii="Times New Roman" w:hAnsi="Times New Roman" w:eastAsia="宋体" w:cs="Times New Roman"/>
                <w:color w:val="auto"/>
                <w:sz w:val="21"/>
                <w:highlight w:val="none"/>
              </w:rPr>
              <w:t>0</w:t>
            </w:r>
          </w:p>
        </w:tc>
        <w:tc>
          <w:tcPr>
            <w:tcW w:w="763" w:type="dxa"/>
            <w:vMerge w:val="continue"/>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55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96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拉决屯</w:t>
            </w:r>
          </w:p>
        </w:tc>
        <w:tc>
          <w:tcPr>
            <w:tcW w:w="654"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-1606</w:t>
            </w:r>
          </w:p>
        </w:tc>
        <w:tc>
          <w:tcPr>
            <w:tcW w:w="667"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-1089</w:t>
            </w:r>
          </w:p>
        </w:tc>
        <w:tc>
          <w:tcPr>
            <w:tcW w:w="1746"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居民约</w:t>
            </w:r>
            <w:r>
              <w:rPr>
                <w:rFonts w:hint="eastAsia" w:ascii="Times New Roman" w:hAnsi="Times New Roman" w:eastAsia="宋体" w:cs="Times New Roman"/>
                <w:color w:val="auto"/>
                <w:sz w:val="21"/>
                <w:highlight w:val="none"/>
              </w:rPr>
              <w:t>5</w:t>
            </w:r>
            <w:r>
              <w:rPr>
                <w:rFonts w:ascii="Times New Roman" w:hAnsi="Times New Roman" w:eastAsia="宋体" w:cs="Times New Roman"/>
                <w:color w:val="auto"/>
                <w:sz w:val="21"/>
                <w:highlight w:val="none"/>
              </w:rPr>
              <w:t>0人</w:t>
            </w:r>
          </w:p>
        </w:tc>
        <w:tc>
          <w:tcPr>
            <w:tcW w:w="1282" w:type="dxa"/>
            <w:vMerge w:val="continue"/>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84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2类</w:t>
            </w:r>
          </w:p>
        </w:tc>
        <w:tc>
          <w:tcPr>
            <w:tcW w:w="795"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w:t>
            </w:r>
            <w:r>
              <w:rPr>
                <w:rFonts w:hint="eastAsia" w:ascii="Times New Roman" w:hAnsi="Times New Roman" w:eastAsia="宋体" w:cs="Times New Roman"/>
                <w:color w:val="auto"/>
                <w:sz w:val="21"/>
                <w:highlight w:val="none"/>
              </w:rPr>
              <w:t>W</w:t>
            </w:r>
          </w:p>
        </w:tc>
        <w:tc>
          <w:tcPr>
            <w:tcW w:w="94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18</w:t>
            </w:r>
            <w:r>
              <w:rPr>
                <w:rFonts w:hint="eastAsia" w:ascii="Times New Roman" w:hAnsi="Times New Roman" w:eastAsia="宋体" w:cs="Times New Roman"/>
                <w:color w:val="auto"/>
                <w:sz w:val="21"/>
                <w:highlight w:val="none"/>
              </w:rPr>
              <w:t>0</w:t>
            </w:r>
            <w:r>
              <w:rPr>
                <w:rFonts w:ascii="Times New Roman" w:hAnsi="Times New Roman" w:eastAsia="宋体" w:cs="Times New Roman"/>
                <w:color w:val="auto"/>
                <w:sz w:val="21"/>
                <w:highlight w:val="none"/>
              </w:rPr>
              <w:t>0</w:t>
            </w:r>
          </w:p>
        </w:tc>
        <w:tc>
          <w:tcPr>
            <w:tcW w:w="763" w:type="dxa"/>
            <w:vMerge w:val="continue"/>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55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w:t>
            </w:r>
          </w:p>
        </w:tc>
        <w:tc>
          <w:tcPr>
            <w:tcW w:w="96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江口屯</w:t>
            </w:r>
          </w:p>
        </w:tc>
        <w:tc>
          <w:tcPr>
            <w:tcW w:w="654"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-1550</w:t>
            </w:r>
          </w:p>
        </w:tc>
        <w:tc>
          <w:tcPr>
            <w:tcW w:w="667"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-734</w:t>
            </w:r>
          </w:p>
        </w:tc>
        <w:tc>
          <w:tcPr>
            <w:tcW w:w="1746"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居民约</w:t>
            </w:r>
            <w:r>
              <w:rPr>
                <w:rFonts w:hint="eastAsia" w:ascii="Times New Roman" w:hAnsi="Times New Roman" w:eastAsia="宋体" w:cs="Times New Roman"/>
                <w:color w:val="auto"/>
                <w:sz w:val="21"/>
                <w:highlight w:val="none"/>
              </w:rPr>
              <w:t>8</w:t>
            </w:r>
            <w:r>
              <w:rPr>
                <w:rFonts w:ascii="Times New Roman" w:hAnsi="Times New Roman" w:eastAsia="宋体" w:cs="Times New Roman"/>
                <w:color w:val="auto"/>
                <w:sz w:val="21"/>
                <w:highlight w:val="none"/>
              </w:rPr>
              <w:t>0人</w:t>
            </w:r>
          </w:p>
        </w:tc>
        <w:tc>
          <w:tcPr>
            <w:tcW w:w="1282" w:type="dxa"/>
            <w:vMerge w:val="continue"/>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84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2类</w:t>
            </w:r>
          </w:p>
        </w:tc>
        <w:tc>
          <w:tcPr>
            <w:tcW w:w="79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SW</w:t>
            </w:r>
          </w:p>
        </w:tc>
        <w:tc>
          <w:tcPr>
            <w:tcW w:w="94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60</w:t>
            </w:r>
            <w:r>
              <w:rPr>
                <w:rFonts w:ascii="Times New Roman" w:hAnsi="Times New Roman" w:eastAsia="宋体" w:cs="Times New Roman"/>
                <w:color w:val="auto"/>
                <w:sz w:val="21"/>
                <w:highlight w:val="none"/>
              </w:rPr>
              <w:t>0</w:t>
            </w:r>
          </w:p>
        </w:tc>
        <w:tc>
          <w:tcPr>
            <w:tcW w:w="763" w:type="dxa"/>
            <w:vMerge w:val="continue"/>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55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w:t>
            </w:r>
          </w:p>
        </w:tc>
        <w:tc>
          <w:tcPr>
            <w:tcW w:w="96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大湴屯</w:t>
            </w:r>
          </w:p>
        </w:tc>
        <w:tc>
          <w:tcPr>
            <w:tcW w:w="654"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-1719</w:t>
            </w:r>
          </w:p>
        </w:tc>
        <w:tc>
          <w:tcPr>
            <w:tcW w:w="667"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-424</w:t>
            </w:r>
          </w:p>
        </w:tc>
        <w:tc>
          <w:tcPr>
            <w:tcW w:w="1746"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居民约</w:t>
            </w:r>
            <w:r>
              <w:rPr>
                <w:rFonts w:hint="eastAsia" w:ascii="Times New Roman" w:hAnsi="Times New Roman" w:eastAsia="宋体" w:cs="Times New Roman"/>
                <w:color w:val="auto"/>
                <w:sz w:val="21"/>
                <w:highlight w:val="none"/>
              </w:rPr>
              <w:t>3</w:t>
            </w:r>
            <w:r>
              <w:rPr>
                <w:rFonts w:ascii="Times New Roman" w:hAnsi="Times New Roman" w:eastAsia="宋体" w:cs="Times New Roman"/>
                <w:color w:val="auto"/>
                <w:sz w:val="21"/>
                <w:highlight w:val="none"/>
              </w:rPr>
              <w:t>20人</w:t>
            </w:r>
          </w:p>
        </w:tc>
        <w:tc>
          <w:tcPr>
            <w:tcW w:w="1282" w:type="dxa"/>
            <w:vMerge w:val="continue"/>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84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2类</w:t>
            </w:r>
          </w:p>
        </w:tc>
        <w:tc>
          <w:tcPr>
            <w:tcW w:w="79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SW</w:t>
            </w:r>
          </w:p>
        </w:tc>
        <w:tc>
          <w:tcPr>
            <w:tcW w:w="94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68</w:t>
            </w:r>
            <w:r>
              <w:rPr>
                <w:rFonts w:ascii="Times New Roman" w:hAnsi="Times New Roman" w:eastAsia="宋体" w:cs="Times New Roman"/>
                <w:color w:val="auto"/>
                <w:sz w:val="21"/>
                <w:highlight w:val="none"/>
              </w:rPr>
              <w:t>0</w:t>
            </w:r>
          </w:p>
        </w:tc>
        <w:tc>
          <w:tcPr>
            <w:tcW w:w="763" w:type="dxa"/>
            <w:vMerge w:val="continue"/>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55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w:t>
            </w:r>
          </w:p>
        </w:tc>
        <w:tc>
          <w:tcPr>
            <w:tcW w:w="96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斗江镇</w:t>
            </w:r>
          </w:p>
        </w:tc>
        <w:tc>
          <w:tcPr>
            <w:tcW w:w="654"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-1631</w:t>
            </w:r>
          </w:p>
        </w:tc>
        <w:tc>
          <w:tcPr>
            <w:tcW w:w="667"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642</w:t>
            </w:r>
          </w:p>
        </w:tc>
        <w:tc>
          <w:tcPr>
            <w:tcW w:w="1746"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居民约</w:t>
            </w:r>
            <w:r>
              <w:rPr>
                <w:rFonts w:hint="eastAsia" w:ascii="Times New Roman" w:hAnsi="Times New Roman" w:eastAsia="宋体" w:cs="Times New Roman"/>
                <w:color w:val="auto"/>
                <w:sz w:val="21"/>
                <w:highlight w:val="none"/>
              </w:rPr>
              <w:t>10</w:t>
            </w:r>
            <w:r>
              <w:rPr>
                <w:rFonts w:ascii="Times New Roman" w:hAnsi="Times New Roman" w:eastAsia="宋体" w:cs="Times New Roman"/>
                <w:color w:val="auto"/>
                <w:sz w:val="21"/>
                <w:highlight w:val="none"/>
              </w:rPr>
              <w:t>80人</w:t>
            </w:r>
          </w:p>
        </w:tc>
        <w:tc>
          <w:tcPr>
            <w:tcW w:w="1282" w:type="dxa"/>
            <w:vMerge w:val="continue"/>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84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2类</w:t>
            </w:r>
          </w:p>
        </w:tc>
        <w:tc>
          <w:tcPr>
            <w:tcW w:w="79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w:t>
            </w:r>
          </w:p>
        </w:tc>
        <w:tc>
          <w:tcPr>
            <w:tcW w:w="94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160</w:t>
            </w:r>
            <w:r>
              <w:rPr>
                <w:rFonts w:ascii="Times New Roman" w:hAnsi="Times New Roman" w:eastAsia="宋体" w:cs="Times New Roman"/>
                <w:color w:val="auto"/>
                <w:sz w:val="21"/>
                <w:highlight w:val="none"/>
              </w:rPr>
              <w:t>0</w:t>
            </w:r>
          </w:p>
        </w:tc>
        <w:tc>
          <w:tcPr>
            <w:tcW w:w="763"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自来水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55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w:t>
            </w:r>
          </w:p>
        </w:tc>
        <w:tc>
          <w:tcPr>
            <w:tcW w:w="96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木洞屯</w:t>
            </w:r>
          </w:p>
        </w:tc>
        <w:tc>
          <w:tcPr>
            <w:tcW w:w="654"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-1364</w:t>
            </w:r>
          </w:p>
        </w:tc>
        <w:tc>
          <w:tcPr>
            <w:tcW w:w="667"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1843</w:t>
            </w:r>
          </w:p>
        </w:tc>
        <w:tc>
          <w:tcPr>
            <w:tcW w:w="1746"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居民约7</w:t>
            </w:r>
            <w:r>
              <w:rPr>
                <w:rFonts w:hint="eastAsia" w:ascii="Times New Roman" w:hAnsi="Times New Roman" w:eastAsia="宋体" w:cs="Times New Roman"/>
                <w:color w:val="auto"/>
                <w:sz w:val="21"/>
                <w:highlight w:val="none"/>
              </w:rPr>
              <w:t>0</w:t>
            </w:r>
            <w:r>
              <w:rPr>
                <w:rFonts w:ascii="Times New Roman" w:hAnsi="Times New Roman" w:eastAsia="宋体" w:cs="Times New Roman"/>
                <w:color w:val="auto"/>
                <w:sz w:val="21"/>
                <w:highlight w:val="none"/>
              </w:rPr>
              <w:t>人</w:t>
            </w:r>
          </w:p>
        </w:tc>
        <w:tc>
          <w:tcPr>
            <w:tcW w:w="1282" w:type="dxa"/>
            <w:vMerge w:val="continue"/>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84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2类</w:t>
            </w:r>
          </w:p>
        </w:tc>
        <w:tc>
          <w:tcPr>
            <w:tcW w:w="795"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w:t>
            </w:r>
            <w:r>
              <w:rPr>
                <w:rFonts w:hint="eastAsia" w:ascii="Times New Roman" w:hAnsi="Times New Roman" w:eastAsia="宋体" w:cs="Times New Roman"/>
                <w:color w:val="auto"/>
                <w:sz w:val="21"/>
                <w:highlight w:val="none"/>
              </w:rPr>
              <w:t>W</w:t>
            </w:r>
          </w:p>
        </w:tc>
        <w:tc>
          <w:tcPr>
            <w:tcW w:w="94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22</w:t>
            </w:r>
            <w:r>
              <w:rPr>
                <w:rFonts w:ascii="Times New Roman" w:hAnsi="Times New Roman" w:eastAsia="宋体" w:cs="Times New Roman"/>
                <w:color w:val="auto"/>
                <w:sz w:val="21"/>
                <w:highlight w:val="none"/>
              </w:rPr>
              <w:t>60</w:t>
            </w:r>
          </w:p>
        </w:tc>
        <w:tc>
          <w:tcPr>
            <w:tcW w:w="763"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井水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55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9</w:t>
            </w:r>
          </w:p>
        </w:tc>
        <w:tc>
          <w:tcPr>
            <w:tcW w:w="2286" w:type="dxa"/>
            <w:gridSpan w:val="3"/>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无名小沟</w:t>
            </w:r>
          </w:p>
        </w:tc>
        <w:tc>
          <w:tcPr>
            <w:tcW w:w="1746"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小沟</w:t>
            </w:r>
          </w:p>
        </w:tc>
        <w:tc>
          <w:tcPr>
            <w:tcW w:w="1282" w:type="dxa"/>
            <w:vMerge w:val="restart"/>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地表水</w:t>
            </w:r>
          </w:p>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环境</w:t>
            </w:r>
          </w:p>
        </w:tc>
        <w:tc>
          <w:tcPr>
            <w:tcW w:w="84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pacing w:val="-4"/>
                <w:sz w:val="21"/>
                <w:highlight w:val="none"/>
              </w:rPr>
              <w:t>Ⅲ类</w:t>
            </w:r>
          </w:p>
        </w:tc>
        <w:tc>
          <w:tcPr>
            <w:tcW w:w="795"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S</w:t>
            </w:r>
          </w:p>
        </w:tc>
        <w:tc>
          <w:tcPr>
            <w:tcW w:w="945"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763"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55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c>
          <w:tcPr>
            <w:tcW w:w="2286" w:type="dxa"/>
            <w:gridSpan w:val="3"/>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rPr>
              <w:t>斗江</w:t>
            </w:r>
            <w:r>
              <w:rPr>
                <w:rFonts w:hint="eastAsia" w:ascii="Times New Roman" w:hAnsi="Times New Roman" w:eastAsia="宋体" w:cs="Times New Roman"/>
                <w:color w:val="auto"/>
                <w:sz w:val="21"/>
                <w:highlight w:val="none"/>
                <w:lang w:val="en-US" w:eastAsia="zh-CN"/>
              </w:rPr>
              <w:t>河</w:t>
            </w:r>
          </w:p>
        </w:tc>
        <w:tc>
          <w:tcPr>
            <w:tcW w:w="1746"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支流</w:t>
            </w:r>
          </w:p>
        </w:tc>
        <w:tc>
          <w:tcPr>
            <w:tcW w:w="1282" w:type="dxa"/>
            <w:vMerge w:val="continue"/>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84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pacing w:val="-4"/>
                <w:sz w:val="21"/>
                <w:highlight w:val="none"/>
              </w:rPr>
              <w:t>Ⅲ类</w:t>
            </w:r>
          </w:p>
        </w:tc>
        <w:tc>
          <w:tcPr>
            <w:tcW w:w="795"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w:t>
            </w:r>
            <w:r>
              <w:rPr>
                <w:rFonts w:hint="eastAsia" w:ascii="Times New Roman" w:hAnsi="Times New Roman" w:eastAsia="宋体" w:cs="Times New Roman"/>
                <w:color w:val="auto"/>
                <w:sz w:val="21"/>
                <w:highlight w:val="none"/>
              </w:rPr>
              <w:t>W</w:t>
            </w:r>
          </w:p>
        </w:tc>
        <w:tc>
          <w:tcPr>
            <w:tcW w:w="94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190</w:t>
            </w:r>
            <w:r>
              <w:rPr>
                <w:rFonts w:ascii="Times New Roman" w:hAnsi="Times New Roman" w:eastAsia="宋体" w:cs="Times New Roman"/>
                <w:color w:val="auto"/>
                <w:sz w:val="21"/>
                <w:highlight w:val="none"/>
              </w:rPr>
              <w:t>0</w:t>
            </w:r>
          </w:p>
        </w:tc>
        <w:tc>
          <w:tcPr>
            <w:tcW w:w="763"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55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11</w:t>
            </w:r>
          </w:p>
        </w:tc>
        <w:tc>
          <w:tcPr>
            <w:tcW w:w="2286" w:type="dxa"/>
            <w:gridSpan w:val="3"/>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古宜河</w:t>
            </w:r>
          </w:p>
        </w:tc>
        <w:tc>
          <w:tcPr>
            <w:tcW w:w="1746"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大河</w:t>
            </w:r>
          </w:p>
        </w:tc>
        <w:tc>
          <w:tcPr>
            <w:tcW w:w="1282" w:type="dxa"/>
            <w:vMerge w:val="continue"/>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84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pacing w:val="-4"/>
                <w:sz w:val="21"/>
                <w:highlight w:val="none"/>
              </w:rPr>
              <w:t>Ⅲ类</w:t>
            </w:r>
          </w:p>
        </w:tc>
        <w:tc>
          <w:tcPr>
            <w:tcW w:w="795"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w:t>
            </w:r>
            <w:r>
              <w:rPr>
                <w:rFonts w:hint="eastAsia" w:ascii="Times New Roman" w:hAnsi="Times New Roman" w:eastAsia="宋体" w:cs="Times New Roman"/>
                <w:color w:val="auto"/>
                <w:sz w:val="21"/>
                <w:highlight w:val="none"/>
              </w:rPr>
              <w:t>W</w:t>
            </w:r>
          </w:p>
        </w:tc>
        <w:tc>
          <w:tcPr>
            <w:tcW w:w="94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185</w:t>
            </w:r>
            <w:r>
              <w:rPr>
                <w:rFonts w:ascii="Times New Roman" w:hAnsi="Times New Roman" w:eastAsia="宋体" w:cs="Times New Roman"/>
                <w:color w:val="auto"/>
                <w:sz w:val="21"/>
                <w:highlight w:val="none"/>
              </w:rPr>
              <w:t>0</w:t>
            </w:r>
          </w:p>
        </w:tc>
        <w:tc>
          <w:tcPr>
            <w:tcW w:w="763"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55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12</w:t>
            </w:r>
          </w:p>
        </w:tc>
        <w:tc>
          <w:tcPr>
            <w:tcW w:w="4032" w:type="dxa"/>
            <w:gridSpan w:val="4"/>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三江县县城</w:t>
            </w:r>
            <w:r>
              <w:rPr>
                <w:rFonts w:ascii="Times New Roman" w:hAnsi="Times New Roman" w:eastAsia="宋体" w:cs="Times New Roman"/>
                <w:color w:val="auto"/>
                <w:sz w:val="21"/>
                <w:highlight w:val="none"/>
              </w:rPr>
              <w:t>饮用水水源保护区</w:t>
            </w:r>
          </w:p>
        </w:tc>
        <w:tc>
          <w:tcPr>
            <w:tcW w:w="1282"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饮用水水源</w:t>
            </w:r>
          </w:p>
        </w:tc>
        <w:tc>
          <w:tcPr>
            <w:tcW w:w="84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pacing w:val="-4"/>
                <w:sz w:val="21"/>
                <w:highlight w:val="none"/>
              </w:rPr>
              <w:t>Ⅱ~Ⅲ类</w:t>
            </w:r>
          </w:p>
        </w:tc>
        <w:tc>
          <w:tcPr>
            <w:tcW w:w="79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SW</w:t>
            </w:r>
          </w:p>
        </w:tc>
        <w:tc>
          <w:tcPr>
            <w:tcW w:w="94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r>
              <w:rPr>
                <w:rFonts w:ascii="Times New Roman" w:hAnsi="Times New Roman" w:eastAsia="宋体" w:cs="Times New Roman"/>
                <w:color w:val="auto"/>
                <w:sz w:val="21"/>
                <w:highlight w:val="none"/>
              </w:rPr>
              <w:t>00</w:t>
            </w:r>
          </w:p>
        </w:tc>
        <w:tc>
          <w:tcPr>
            <w:tcW w:w="763"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55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13</w:t>
            </w:r>
          </w:p>
        </w:tc>
        <w:tc>
          <w:tcPr>
            <w:tcW w:w="4032" w:type="dxa"/>
            <w:gridSpan w:val="4"/>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斗江镇饮用水源地保护区</w:t>
            </w:r>
          </w:p>
        </w:tc>
        <w:tc>
          <w:tcPr>
            <w:tcW w:w="1282"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饮用水水源</w:t>
            </w:r>
          </w:p>
        </w:tc>
        <w:tc>
          <w:tcPr>
            <w:tcW w:w="84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pacing w:val="-4"/>
                <w:sz w:val="21"/>
                <w:highlight w:val="none"/>
              </w:rPr>
              <w:t>Ⅱ~Ⅲ类</w:t>
            </w:r>
          </w:p>
        </w:tc>
        <w:tc>
          <w:tcPr>
            <w:tcW w:w="79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SW</w:t>
            </w:r>
          </w:p>
        </w:tc>
        <w:tc>
          <w:tcPr>
            <w:tcW w:w="945"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55</w:t>
            </w:r>
            <w:r>
              <w:rPr>
                <w:rFonts w:ascii="Times New Roman" w:hAnsi="Times New Roman" w:eastAsia="宋体" w:cs="Times New Roman"/>
                <w:color w:val="auto"/>
                <w:sz w:val="21"/>
                <w:highlight w:val="none"/>
              </w:rPr>
              <w:t>0</w:t>
            </w:r>
          </w:p>
        </w:tc>
        <w:tc>
          <w:tcPr>
            <w:tcW w:w="763"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55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14</w:t>
            </w:r>
          </w:p>
        </w:tc>
        <w:tc>
          <w:tcPr>
            <w:tcW w:w="2286" w:type="dxa"/>
            <w:gridSpan w:val="3"/>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厂界噪声</w:t>
            </w:r>
          </w:p>
        </w:tc>
        <w:tc>
          <w:tcPr>
            <w:tcW w:w="1746" w:type="dxa"/>
            <w:noWrap w:val="0"/>
            <w:tcMar>
              <w:top w:w="0" w:type="dxa"/>
              <w:left w:w="28" w:type="dxa"/>
              <w:bottom w:w="0" w:type="dxa"/>
              <w:right w:w="28" w:type="dxa"/>
            </w:tcMar>
            <w:vAlign w:val="center"/>
          </w:tcPr>
          <w:p>
            <w:pPr>
              <w:snapToGrid w:val="0"/>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矿山厂界外200m范围</w:t>
            </w:r>
          </w:p>
        </w:tc>
        <w:tc>
          <w:tcPr>
            <w:tcW w:w="1282"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声环境</w:t>
            </w:r>
          </w:p>
        </w:tc>
        <w:tc>
          <w:tcPr>
            <w:tcW w:w="84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pacing w:val="-4"/>
                <w:sz w:val="21"/>
                <w:highlight w:val="none"/>
              </w:rPr>
              <w:t>2类</w:t>
            </w:r>
          </w:p>
        </w:tc>
        <w:tc>
          <w:tcPr>
            <w:tcW w:w="79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94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763"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55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2286" w:type="dxa"/>
            <w:gridSpan w:val="3"/>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矿区周边用地</w:t>
            </w:r>
          </w:p>
        </w:tc>
        <w:tc>
          <w:tcPr>
            <w:tcW w:w="1746" w:type="dxa"/>
            <w:noWrap w:val="0"/>
            <w:tcMar>
              <w:top w:w="0" w:type="dxa"/>
              <w:left w:w="28" w:type="dxa"/>
              <w:bottom w:w="0" w:type="dxa"/>
              <w:right w:w="28" w:type="dxa"/>
            </w:tcMar>
            <w:vAlign w:val="center"/>
          </w:tcPr>
          <w:p>
            <w:pPr>
              <w:snapToGrid w:val="0"/>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矿山厂界外200m范围</w:t>
            </w:r>
          </w:p>
        </w:tc>
        <w:tc>
          <w:tcPr>
            <w:tcW w:w="1282"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生态环境</w:t>
            </w:r>
          </w:p>
        </w:tc>
        <w:tc>
          <w:tcPr>
            <w:tcW w:w="840"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79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94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763"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550" w:type="dxa"/>
            <w:noWrap w:val="0"/>
            <w:tcMar>
              <w:top w:w="0" w:type="dxa"/>
              <w:left w:w="28" w:type="dxa"/>
              <w:bottom w:w="0" w:type="dxa"/>
              <w:right w:w="28" w:type="dxa"/>
            </w:tcMar>
            <w:vAlign w:val="center"/>
          </w:tcPr>
          <w:p>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16</w:t>
            </w:r>
          </w:p>
        </w:tc>
        <w:tc>
          <w:tcPr>
            <w:tcW w:w="2286" w:type="dxa"/>
            <w:gridSpan w:val="3"/>
            <w:noWrap w:val="0"/>
            <w:tcMar>
              <w:top w:w="0" w:type="dxa"/>
              <w:left w:w="28" w:type="dxa"/>
              <w:bottom w:w="0" w:type="dxa"/>
              <w:right w:w="28" w:type="dxa"/>
            </w:tcMar>
            <w:vAlign w:val="center"/>
          </w:tcPr>
          <w:p>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基本农田</w:t>
            </w:r>
          </w:p>
        </w:tc>
        <w:tc>
          <w:tcPr>
            <w:tcW w:w="1746" w:type="dxa"/>
            <w:noWrap w:val="0"/>
            <w:tcMar>
              <w:top w:w="0" w:type="dxa"/>
              <w:left w:w="28" w:type="dxa"/>
              <w:bottom w:w="0" w:type="dxa"/>
              <w:right w:w="28" w:type="dxa"/>
            </w:tcMar>
            <w:vAlign w:val="center"/>
          </w:tcPr>
          <w:p>
            <w:pPr>
              <w:snapToGrid w:val="0"/>
              <w:spacing w:line="240" w:lineRule="auto"/>
              <w:ind w:firstLine="0" w:firstLineChars="0"/>
              <w:jc w:val="left"/>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矿山厂界外</w:t>
            </w:r>
            <w:r>
              <w:rPr>
                <w:rFonts w:hint="eastAsia" w:ascii="Times New Roman" w:hAnsi="Times New Roman" w:eastAsia="宋体" w:cs="Times New Roman"/>
                <w:color w:val="auto"/>
                <w:sz w:val="21"/>
                <w:highlight w:val="none"/>
                <w:lang w:val="en-US" w:eastAsia="zh-CN"/>
              </w:rPr>
              <w:t>5</w:t>
            </w:r>
            <w:r>
              <w:rPr>
                <w:rFonts w:ascii="Times New Roman" w:hAnsi="Times New Roman" w:eastAsia="宋体" w:cs="Times New Roman"/>
                <w:color w:val="auto"/>
                <w:sz w:val="21"/>
                <w:highlight w:val="none"/>
              </w:rPr>
              <w:t>0m范围</w:t>
            </w:r>
          </w:p>
        </w:tc>
        <w:tc>
          <w:tcPr>
            <w:tcW w:w="1282"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土壤环境</w:t>
            </w:r>
          </w:p>
        </w:tc>
        <w:tc>
          <w:tcPr>
            <w:tcW w:w="840"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795" w:type="dxa"/>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945" w:type="dxa"/>
            <w:noWrap w:val="0"/>
            <w:tcMar>
              <w:top w:w="0" w:type="dxa"/>
              <w:left w:w="28" w:type="dxa"/>
              <w:bottom w:w="0" w:type="dxa"/>
              <w:right w:w="28" w:type="dxa"/>
            </w:tcMar>
            <w:vAlign w:val="center"/>
          </w:tcPr>
          <w:p>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20</w:t>
            </w:r>
          </w:p>
        </w:tc>
        <w:tc>
          <w:tcPr>
            <w:tcW w:w="763" w:type="dxa"/>
            <w:noWrap w:val="0"/>
            <w:tcMar>
              <w:top w:w="0" w:type="dxa"/>
              <w:left w:w="28" w:type="dxa"/>
              <w:bottom w:w="0" w:type="dxa"/>
              <w:right w:w="28" w:type="dxa"/>
            </w:tcMar>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r>
    </w:tbl>
    <w:p>
      <w:pPr>
        <w:spacing w:line="240" w:lineRule="auto"/>
        <w:ind w:firstLine="480"/>
        <w:rPr>
          <w:rFonts w:hint="eastAsia" w:ascii="Times New Roman" w:hAnsi="Times New Roman" w:cs="Times New Roman"/>
          <w:color w:val="auto"/>
          <w:sz w:val="21"/>
          <w:szCs w:val="18"/>
          <w:highlight w:val="none"/>
          <w:u w:val="single"/>
          <w:lang w:eastAsia="zh-CN"/>
        </w:rPr>
      </w:pPr>
      <w:bookmarkStart w:id="70" w:name="_Toc19215"/>
      <w:r>
        <w:rPr>
          <w:rFonts w:hint="eastAsia" w:cs="Times New Roman"/>
          <w:color w:val="auto"/>
          <w:sz w:val="21"/>
          <w:szCs w:val="21"/>
          <w:highlight w:val="none"/>
          <w:u w:val="single"/>
          <w:lang w:val="en-US" w:eastAsia="zh-CN"/>
        </w:rPr>
        <w:t>注：厂界指</w:t>
      </w:r>
      <w:r>
        <w:rPr>
          <w:rFonts w:hint="eastAsia" w:cs="Times New Roman"/>
          <w:color w:val="auto"/>
          <w:sz w:val="21"/>
          <w:szCs w:val="18"/>
          <w:highlight w:val="none"/>
          <w:u w:val="single"/>
          <w:lang w:val="en-US" w:eastAsia="zh-CN"/>
        </w:rPr>
        <w:t>矿区红线及临时用地</w:t>
      </w:r>
      <w:r>
        <w:rPr>
          <w:rFonts w:ascii="Times New Roman" w:hAnsi="Times New Roman" w:eastAsia="宋体" w:cs="Times New Roman"/>
          <w:color w:val="auto"/>
          <w:sz w:val="21"/>
          <w:szCs w:val="18"/>
          <w:highlight w:val="none"/>
          <w:u w:val="single"/>
        </w:rPr>
        <w:t>厂界</w:t>
      </w:r>
      <w:r>
        <w:rPr>
          <w:rFonts w:hint="eastAsia" w:ascii="Times New Roman" w:hAnsi="Times New Roman" w:cs="Times New Roman"/>
          <w:color w:val="auto"/>
          <w:sz w:val="21"/>
          <w:szCs w:val="18"/>
          <w:highlight w:val="none"/>
          <w:u w:val="single"/>
          <w:lang w:eastAsia="zh-CN"/>
        </w:rPr>
        <w:t>。</w:t>
      </w:r>
    </w:p>
    <w:p>
      <w:pPr>
        <w:spacing w:line="240" w:lineRule="auto"/>
        <w:ind w:firstLine="480"/>
        <w:rPr>
          <w:rFonts w:hint="eastAsia" w:ascii="Times New Roman" w:hAnsi="Times New Roman" w:cs="Times New Roman"/>
          <w:color w:val="auto"/>
          <w:sz w:val="21"/>
          <w:szCs w:val="18"/>
          <w:highlight w:val="none"/>
          <w:u w:val="single"/>
          <w:lang w:val="en-US" w:eastAsia="zh-CN"/>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2"/>
        <w:rPr>
          <w:rFonts w:ascii="Times New Roman" w:hAnsi="Times New Roman" w:eastAsia="宋体"/>
          <w:color w:val="auto"/>
          <w:highlight w:val="none"/>
        </w:rPr>
      </w:pPr>
      <w:bookmarkStart w:id="71" w:name="_Toc19965"/>
      <w:r>
        <w:rPr>
          <w:rFonts w:ascii="Times New Roman" w:hAnsi="Times New Roman" w:eastAsia="宋体"/>
          <w:color w:val="auto"/>
          <w:highlight w:val="none"/>
        </w:rPr>
        <w:t>2 工程分析</w:t>
      </w:r>
      <w:bookmarkEnd w:id="70"/>
      <w:bookmarkEnd w:id="71"/>
    </w:p>
    <w:p>
      <w:pPr>
        <w:pStyle w:val="4"/>
        <w:rPr>
          <w:rFonts w:ascii="Times New Roman" w:hAnsi="Times New Roman" w:eastAsia="宋体"/>
          <w:color w:val="auto"/>
          <w:highlight w:val="none"/>
        </w:rPr>
      </w:pPr>
      <w:bookmarkStart w:id="72" w:name="_Toc505605487"/>
      <w:bookmarkStart w:id="73" w:name="_Toc27982"/>
      <w:bookmarkStart w:id="74" w:name="_Toc711"/>
      <w:r>
        <w:rPr>
          <w:rFonts w:ascii="Times New Roman" w:hAnsi="Times New Roman" w:eastAsia="宋体"/>
          <w:color w:val="auto"/>
          <w:highlight w:val="none"/>
        </w:rPr>
        <w:t xml:space="preserve">2.1 </w:t>
      </w:r>
      <w:r>
        <w:rPr>
          <w:rFonts w:hint="eastAsia" w:ascii="Times New Roman" w:hAnsi="Times New Roman" w:eastAsia="宋体"/>
          <w:color w:val="auto"/>
          <w:highlight w:val="none"/>
        </w:rPr>
        <w:t>矿山</w:t>
      </w:r>
      <w:r>
        <w:rPr>
          <w:rFonts w:ascii="Times New Roman" w:hAnsi="Times New Roman" w:eastAsia="宋体"/>
          <w:color w:val="auto"/>
          <w:highlight w:val="none"/>
        </w:rPr>
        <w:t>概况</w:t>
      </w:r>
      <w:bookmarkEnd w:id="72"/>
      <w:bookmarkEnd w:id="73"/>
    </w:p>
    <w:p>
      <w:pPr>
        <w:pStyle w:val="5"/>
        <w:rPr>
          <w:rFonts w:hint="eastAsia" w:ascii="Times New Roman" w:hAnsi="Times New Roman" w:eastAsia="宋体"/>
          <w:color w:val="auto"/>
          <w:highlight w:val="none"/>
        </w:rPr>
      </w:pPr>
      <w:r>
        <w:rPr>
          <w:rFonts w:hint="eastAsia" w:ascii="Times New Roman" w:hAnsi="Times New Roman" w:eastAsia="宋体"/>
          <w:color w:val="auto"/>
          <w:highlight w:val="none"/>
        </w:rPr>
        <w:t>2.1.1</w:t>
      </w:r>
      <w:r>
        <w:rPr>
          <w:rFonts w:ascii="Times New Roman" w:hAnsi="Times New Roman" w:eastAsia="宋体"/>
          <w:color w:val="auto"/>
          <w:highlight w:val="none"/>
        </w:rPr>
        <w:t xml:space="preserve"> </w:t>
      </w:r>
      <w:r>
        <w:rPr>
          <w:rFonts w:hint="eastAsia" w:ascii="Times New Roman" w:hAnsi="Times New Roman" w:eastAsia="宋体"/>
          <w:color w:val="auto"/>
          <w:highlight w:val="none"/>
          <w:lang w:val="en-US" w:eastAsia="zh-CN"/>
        </w:rPr>
        <w:t>矿山基本情况</w:t>
      </w:r>
    </w:p>
    <w:p>
      <w:pPr>
        <w:ind w:firstLine="480"/>
        <w:rPr>
          <w:rFonts w:hint="default"/>
          <w:color w:val="auto"/>
          <w:highlight w:val="none"/>
          <w:u w:val="single"/>
          <w:lang w:val="en-US" w:eastAsia="zh-CN"/>
        </w:rPr>
      </w:pPr>
      <w:r>
        <w:rPr>
          <w:rFonts w:ascii="Times New Roman" w:hAnsi="Times New Roman" w:eastAsia="宋体" w:cs="Times New Roman"/>
          <w:color w:val="auto"/>
          <w:highlight w:val="none"/>
          <w:u w:val="single"/>
        </w:rPr>
        <w:t>三江县宏源采石场</w:t>
      </w:r>
      <w:r>
        <w:rPr>
          <w:rFonts w:hint="eastAsia" w:ascii="Times New Roman" w:hAnsi="Times New Roman" w:eastAsia="宋体" w:cs="Times New Roman"/>
          <w:color w:val="auto"/>
          <w:highlight w:val="none"/>
          <w:u w:val="single"/>
        </w:rPr>
        <w:t>为</w:t>
      </w:r>
      <w:r>
        <w:rPr>
          <w:rFonts w:hint="eastAsia" w:ascii="Times New Roman" w:hAnsi="Times New Roman" w:eastAsia="宋体" w:cs="Times New Roman"/>
          <w:color w:val="auto"/>
          <w:kern w:val="0"/>
          <w:szCs w:val="24"/>
          <w:highlight w:val="none"/>
          <w:u w:val="single"/>
        </w:rPr>
        <w:t>原</w:t>
      </w:r>
      <w:r>
        <w:rPr>
          <w:rFonts w:hint="eastAsia" w:ascii="Times New Roman" w:hAnsi="Times New Roman" w:eastAsia="宋体" w:cs="Times New Roman"/>
          <w:color w:val="auto"/>
          <w:highlight w:val="none"/>
          <w:u w:val="single"/>
        </w:rPr>
        <w:t>海江采石场和</w:t>
      </w:r>
      <w:r>
        <w:rPr>
          <w:rFonts w:hint="eastAsia" w:ascii="Times New Roman" w:hAnsi="Times New Roman" w:eastAsia="宋体" w:cs="Times New Roman"/>
          <w:color w:val="auto"/>
          <w:kern w:val="0"/>
          <w:szCs w:val="24"/>
          <w:highlight w:val="none"/>
          <w:u w:val="single"/>
        </w:rPr>
        <w:t>原</w:t>
      </w:r>
      <w:r>
        <w:rPr>
          <w:rFonts w:hint="eastAsia" w:ascii="Times New Roman" w:hAnsi="Times New Roman" w:eastAsia="宋体" w:cs="Times New Roman"/>
          <w:color w:val="auto"/>
          <w:highlight w:val="none"/>
          <w:u w:val="single"/>
        </w:rPr>
        <w:t>宏保兴采石场2个采石场整合而成</w:t>
      </w:r>
      <w:r>
        <w:rPr>
          <w:rFonts w:hint="eastAsia" w:cs="Times New Roman"/>
          <w:color w:val="auto"/>
          <w:highlight w:val="none"/>
          <w:u w:val="single"/>
          <w:lang w:eastAsia="zh-CN"/>
        </w:rPr>
        <w:t>。</w:t>
      </w:r>
      <w:r>
        <w:rPr>
          <w:rFonts w:hint="eastAsia" w:ascii="Times New Roman" w:hAnsi="Times New Roman" w:eastAsia="宋体" w:cs="Times New Roman"/>
          <w:color w:val="auto"/>
          <w:kern w:val="0"/>
          <w:szCs w:val="24"/>
          <w:highlight w:val="none"/>
          <w:u w:val="single"/>
        </w:rPr>
        <w:t>原</w:t>
      </w:r>
      <w:r>
        <w:rPr>
          <w:rFonts w:hint="eastAsia" w:ascii="Times New Roman" w:hAnsi="Times New Roman" w:eastAsia="宋体"/>
          <w:color w:val="auto"/>
          <w:highlight w:val="none"/>
          <w:u w:val="single"/>
        </w:rPr>
        <w:t>海江采石场于2010年6月依法取得原三江县国土资源局颁发的采矿许可证，</w:t>
      </w:r>
      <w:r>
        <w:rPr>
          <w:rFonts w:hint="eastAsia" w:ascii="Times New Roman" w:hAnsi="Times New Roman" w:eastAsia="宋体"/>
          <w:color w:val="auto"/>
          <w:highlight w:val="none"/>
          <w:u w:val="single"/>
          <w:lang w:val="en-US" w:eastAsia="zh-CN"/>
        </w:rPr>
        <w:t>有效期自</w:t>
      </w:r>
      <w:r>
        <w:rPr>
          <w:rFonts w:ascii="Times New Roman" w:hAnsi="Times New Roman" w:eastAsia="宋体"/>
          <w:color w:val="auto"/>
          <w:highlight w:val="none"/>
          <w:u w:val="single"/>
        </w:rPr>
        <w:t>201</w:t>
      </w:r>
      <w:r>
        <w:rPr>
          <w:rFonts w:hint="eastAsia" w:ascii="Times New Roman" w:hAnsi="Times New Roman" w:eastAsia="宋体"/>
          <w:color w:val="auto"/>
          <w:highlight w:val="none"/>
          <w:u w:val="single"/>
        </w:rPr>
        <w:t>6</w:t>
      </w:r>
      <w:r>
        <w:rPr>
          <w:rFonts w:ascii="Times New Roman" w:hAnsi="Times New Roman" w:eastAsia="宋体"/>
          <w:color w:val="auto"/>
          <w:highlight w:val="none"/>
          <w:u w:val="single"/>
        </w:rPr>
        <w:t>年</w:t>
      </w:r>
      <w:r>
        <w:rPr>
          <w:rFonts w:hint="eastAsia" w:ascii="Times New Roman" w:hAnsi="Times New Roman" w:eastAsia="宋体"/>
          <w:color w:val="auto"/>
          <w:highlight w:val="none"/>
          <w:u w:val="single"/>
        </w:rPr>
        <w:t>6</w:t>
      </w:r>
      <w:r>
        <w:rPr>
          <w:rFonts w:ascii="Times New Roman" w:hAnsi="Times New Roman" w:eastAsia="宋体"/>
          <w:color w:val="auto"/>
          <w:highlight w:val="none"/>
          <w:u w:val="single"/>
        </w:rPr>
        <w:t>月</w:t>
      </w:r>
      <w:r>
        <w:rPr>
          <w:rFonts w:hint="eastAsia" w:ascii="Times New Roman" w:hAnsi="Times New Roman" w:eastAsia="宋体"/>
          <w:color w:val="auto"/>
          <w:highlight w:val="none"/>
          <w:u w:val="single"/>
        </w:rPr>
        <w:t>24</w:t>
      </w:r>
      <w:r>
        <w:rPr>
          <w:rFonts w:ascii="Times New Roman" w:hAnsi="Times New Roman" w:eastAsia="宋体"/>
          <w:color w:val="auto"/>
          <w:highlight w:val="none"/>
          <w:u w:val="single"/>
        </w:rPr>
        <w:t>日</w:t>
      </w:r>
      <w:r>
        <w:rPr>
          <w:rFonts w:hint="eastAsia" w:ascii="Times New Roman" w:hAnsi="Times New Roman" w:eastAsia="宋体"/>
          <w:color w:val="auto"/>
          <w:highlight w:val="none"/>
          <w:u w:val="single"/>
        </w:rPr>
        <w:t>至</w:t>
      </w:r>
      <w:r>
        <w:rPr>
          <w:rFonts w:ascii="Times New Roman" w:hAnsi="Times New Roman" w:eastAsia="宋体"/>
          <w:color w:val="auto"/>
          <w:highlight w:val="none"/>
          <w:u w:val="single"/>
        </w:rPr>
        <w:t>201</w:t>
      </w:r>
      <w:r>
        <w:rPr>
          <w:rFonts w:hint="eastAsia" w:ascii="Times New Roman" w:hAnsi="Times New Roman" w:eastAsia="宋体"/>
          <w:color w:val="auto"/>
          <w:highlight w:val="none"/>
          <w:u w:val="single"/>
        </w:rPr>
        <w:t>7</w:t>
      </w:r>
      <w:r>
        <w:rPr>
          <w:rFonts w:ascii="Times New Roman" w:hAnsi="Times New Roman" w:eastAsia="宋体"/>
          <w:color w:val="auto"/>
          <w:highlight w:val="none"/>
          <w:u w:val="single"/>
        </w:rPr>
        <w:t>年6月</w:t>
      </w:r>
      <w:r>
        <w:rPr>
          <w:rFonts w:hint="eastAsia" w:ascii="Times New Roman" w:hAnsi="Times New Roman" w:eastAsia="宋体"/>
          <w:color w:val="auto"/>
          <w:highlight w:val="none"/>
          <w:u w:val="single"/>
        </w:rPr>
        <w:t>24</w:t>
      </w:r>
      <w:r>
        <w:rPr>
          <w:rFonts w:ascii="Times New Roman" w:hAnsi="Times New Roman" w:eastAsia="宋体"/>
          <w:color w:val="auto"/>
          <w:highlight w:val="none"/>
          <w:u w:val="single"/>
        </w:rPr>
        <w:t>日</w:t>
      </w:r>
      <w:r>
        <w:rPr>
          <w:rFonts w:hint="eastAsia"/>
          <w:color w:val="auto"/>
          <w:highlight w:val="none"/>
          <w:u w:val="single"/>
          <w:lang w:eastAsia="zh-CN"/>
        </w:rPr>
        <w:t>。</w:t>
      </w:r>
      <w:r>
        <w:rPr>
          <w:rFonts w:hint="eastAsia" w:ascii="Times New Roman" w:hAnsi="Times New Roman" w:eastAsia="宋体" w:cs="Times New Roman"/>
          <w:bCs/>
          <w:color w:val="auto"/>
          <w:szCs w:val="24"/>
          <w:highlight w:val="none"/>
          <w:u w:val="single"/>
        </w:rPr>
        <w:t>原</w:t>
      </w:r>
      <w:r>
        <w:rPr>
          <w:rFonts w:hint="eastAsia" w:ascii="Times New Roman" w:hAnsi="Times New Roman" w:eastAsia="宋体"/>
          <w:color w:val="auto"/>
          <w:highlight w:val="none"/>
          <w:u w:val="single"/>
        </w:rPr>
        <w:t>宏保兴采石场于2009年11月依法取得原三江县国土资源局颁发的采矿许可证，</w:t>
      </w:r>
      <w:r>
        <w:rPr>
          <w:rFonts w:ascii="Times New Roman" w:hAnsi="Times New Roman" w:eastAsia="宋体"/>
          <w:color w:val="auto"/>
          <w:highlight w:val="none"/>
          <w:u w:val="single"/>
        </w:rPr>
        <w:t>有效期</w:t>
      </w:r>
      <w:r>
        <w:rPr>
          <w:rFonts w:hint="eastAsia" w:ascii="Times New Roman" w:hAnsi="Times New Roman" w:eastAsia="宋体"/>
          <w:color w:val="auto"/>
          <w:highlight w:val="none"/>
          <w:u w:val="single"/>
        </w:rPr>
        <w:t>自</w:t>
      </w:r>
      <w:r>
        <w:rPr>
          <w:rFonts w:ascii="Times New Roman" w:hAnsi="Times New Roman" w:eastAsia="宋体"/>
          <w:color w:val="auto"/>
          <w:highlight w:val="none"/>
          <w:u w:val="single"/>
        </w:rPr>
        <w:t>201</w:t>
      </w:r>
      <w:r>
        <w:rPr>
          <w:rFonts w:hint="eastAsia" w:ascii="Times New Roman" w:hAnsi="Times New Roman" w:eastAsia="宋体"/>
          <w:color w:val="auto"/>
          <w:highlight w:val="none"/>
          <w:u w:val="single"/>
        </w:rPr>
        <w:t>3</w:t>
      </w:r>
      <w:r>
        <w:rPr>
          <w:rFonts w:ascii="Times New Roman" w:hAnsi="Times New Roman" w:eastAsia="宋体"/>
          <w:color w:val="auto"/>
          <w:highlight w:val="none"/>
          <w:u w:val="single"/>
        </w:rPr>
        <w:t>年</w:t>
      </w:r>
      <w:r>
        <w:rPr>
          <w:rFonts w:hint="eastAsia" w:ascii="Times New Roman" w:hAnsi="Times New Roman" w:eastAsia="宋体"/>
          <w:color w:val="auto"/>
          <w:highlight w:val="none"/>
          <w:u w:val="single"/>
        </w:rPr>
        <w:t>11</w:t>
      </w:r>
      <w:r>
        <w:rPr>
          <w:rFonts w:ascii="Times New Roman" w:hAnsi="Times New Roman" w:eastAsia="宋体"/>
          <w:color w:val="auto"/>
          <w:highlight w:val="none"/>
          <w:u w:val="single"/>
        </w:rPr>
        <w:t>月</w:t>
      </w:r>
      <w:r>
        <w:rPr>
          <w:rFonts w:hint="eastAsia" w:ascii="Times New Roman" w:hAnsi="Times New Roman" w:eastAsia="宋体"/>
          <w:color w:val="auto"/>
          <w:highlight w:val="none"/>
          <w:u w:val="single"/>
        </w:rPr>
        <w:t>26</w:t>
      </w:r>
      <w:r>
        <w:rPr>
          <w:rFonts w:ascii="Times New Roman" w:hAnsi="Times New Roman" w:eastAsia="宋体"/>
          <w:color w:val="auto"/>
          <w:highlight w:val="none"/>
          <w:u w:val="single"/>
        </w:rPr>
        <w:t>日</w:t>
      </w:r>
      <w:r>
        <w:rPr>
          <w:rFonts w:hint="eastAsia" w:ascii="Times New Roman" w:hAnsi="Times New Roman" w:eastAsia="宋体"/>
          <w:color w:val="auto"/>
          <w:highlight w:val="none"/>
          <w:u w:val="single"/>
        </w:rPr>
        <w:t>至</w:t>
      </w:r>
      <w:r>
        <w:rPr>
          <w:rFonts w:ascii="Times New Roman" w:hAnsi="Times New Roman" w:eastAsia="宋体"/>
          <w:color w:val="auto"/>
          <w:highlight w:val="none"/>
          <w:u w:val="single"/>
        </w:rPr>
        <w:t>201</w:t>
      </w:r>
      <w:r>
        <w:rPr>
          <w:rFonts w:hint="eastAsia" w:ascii="Times New Roman" w:hAnsi="Times New Roman" w:eastAsia="宋体"/>
          <w:color w:val="auto"/>
          <w:highlight w:val="none"/>
          <w:u w:val="single"/>
        </w:rPr>
        <w:t>4</w:t>
      </w:r>
      <w:r>
        <w:rPr>
          <w:rFonts w:ascii="Times New Roman" w:hAnsi="Times New Roman" w:eastAsia="宋体"/>
          <w:color w:val="auto"/>
          <w:highlight w:val="none"/>
          <w:u w:val="single"/>
        </w:rPr>
        <w:t>年</w:t>
      </w:r>
      <w:r>
        <w:rPr>
          <w:rFonts w:hint="eastAsia" w:ascii="Times New Roman" w:hAnsi="Times New Roman" w:eastAsia="宋体"/>
          <w:color w:val="auto"/>
          <w:highlight w:val="none"/>
          <w:u w:val="single"/>
        </w:rPr>
        <w:t>11</w:t>
      </w:r>
      <w:r>
        <w:rPr>
          <w:rFonts w:ascii="Times New Roman" w:hAnsi="Times New Roman" w:eastAsia="宋体"/>
          <w:color w:val="auto"/>
          <w:highlight w:val="none"/>
          <w:u w:val="single"/>
        </w:rPr>
        <w:t>月</w:t>
      </w:r>
      <w:r>
        <w:rPr>
          <w:rFonts w:hint="eastAsia" w:ascii="Times New Roman" w:hAnsi="Times New Roman" w:eastAsia="宋体"/>
          <w:color w:val="auto"/>
          <w:highlight w:val="none"/>
          <w:u w:val="single"/>
        </w:rPr>
        <w:t>26</w:t>
      </w:r>
      <w:r>
        <w:rPr>
          <w:rFonts w:ascii="Times New Roman" w:hAnsi="Times New Roman" w:eastAsia="宋体"/>
          <w:color w:val="auto"/>
          <w:highlight w:val="none"/>
          <w:u w:val="single"/>
        </w:rPr>
        <w:t>日</w:t>
      </w:r>
      <w:r>
        <w:rPr>
          <w:rFonts w:hint="eastAsia"/>
          <w:color w:val="auto"/>
          <w:highlight w:val="none"/>
          <w:u w:val="single"/>
          <w:lang w:eastAsia="zh-CN"/>
        </w:rPr>
        <w:t>。</w:t>
      </w:r>
      <w:r>
        <w:rPr>
          <w:rFonts w:hint="eastAsia"/>
          <w:color w:val="auto"/>
          <w:highlight w:val="none"/>
          <w:u w:val="single"/>
          <w:lang w:val="en-US" w:eastAsia="zh-CN"/>
        </w:rPr>
        <w:t>采矿证到期后2处矿山均未延续，采矿权已取消。环评阶段处于停产状态。</w:t>
      </w:r>
    </w:p>
    <w:p>
      <w:pPr>
        <w:ind w:firstLine="480"/>
        <w:rPr>
          <w:rFonts w:ascii="Times New Roman" w:hAnsi="Times New Roman" w:eastAsia="宋体" w:cs="Times New Roman"/>
          <w:color w:val="auto"/>
          <w:highlight w:val="none"/>
          <w:u w:val="single"/>
        </w:rPr>
      </w:pPr>
      <w:r>
        <w:rPr>
          <w:rFonts w:ascii="Times New Roman" w:hAnsi="Times New Roman" w:eastAsia="宋体" w:cs="Times New Roman"/>
          <w:color w:val="auto"/>
          <w:szCs w:val="24"/>
          <w:highlight w:val="none"/>
          <w:u w:val="single"/>
        </w:rPr>
        <w:t>为规范矿产资源管理和实现资源优化配置，</w:t>
      </w:r>
      <w:r>
        <w:rPr>
          <w:rFonts w:hint="eastAsia" w:ascii="Times New Roman" w:hAnsi="Times New Roman" w:eastAsia="宋体" w:cs="Times New Roman"/>
          <w:color w:val="auto"/>
          <w:szCs w:val="24"/>
          <w:highlight w:val="none"/>
          <w:u w:val="single"/>
        </w:rPr>
        <w:t>三江侗族自治县</w:t>
      </w:r>
      <w:r>
        <w:rPr>
          <w:rFonts w:hint="eastAsia" w:ascii="Times New Roman" w:hAnsi="Times New Roman" w:cs="Times New Roman"/>
          <w:color w:val="auto"/>
          <w:szCs w:val="24"/>
          <w:highlight w:val="none"/>
          <w:u w:val="single"/>
          <w:lang w:val="en-US" w:eastAsia="zh-CN"/>
        </w:rPr>
        <w:t>自然资源和规划局</w:t>
      </w:r>
      <w:r>
        <w:rPr>
          <w:rFonts w:ascii="Times New Roman" w:hAnsi="Times New Roman" w:eastAsia="宋体" w:cs="Times New Roman"/>
          <w:color w:val="auto"/>
          <w:szCs w:val="24"/>
          <w:highlight w:val="none"/>
          <w:u w:val="single"/>
        </w:rPr>
        <w:t>拟对辖区内的矿产资源开发进行整合</w:t>
      </w:r>
      <w:r>
        <w:rPr>
          <w:rFonts w:hint="eastAsia" w:ascii="Times New Roman" w:hAnsi="Times New Roman" w:cs="Times New Roman"/>
          <w:color w:val="auto"/>
          <w:szCs w:val="24"/>
          <w:highlight w:val="none"/>
          <w:u w:val="single"/>
          <w:lang w:eastAsia="zh-CN"/>
        </w:rPr>
        <w:t>，</w:t>
      </w:r>
      <w:r>
        <w:rPr>
          <w:rFonts w:hint="eastAsia" w:ascii="Times New Roman" w:hAnsi="Times New Roman" w:cs="Times New Roman"/>
          <w:color w:val="auto"/>
          <w:szCs w:val="24"/>
          <w:highlight w:val="none"/>
          <w:u w:val="single"/>
          <w:lang w:val="en-US" w:eastAsia="zh-CN"/>
        </w:rPr>
        <w:t>将</w:t>
      </w:r>
      <w:r>
        <w:rPr>
          <w:rFonts w:hint="eastAsia" w:ascii="Times New Roman" w:hAnsi="Times New Roman" w:eastAsia="宋体" w:cs="Times New Roman"/>
          <w:color w:val="auto"/>
          <w:kern w:val="0"/>
          <w:szCs w:val="24"/>
          <w:highlight w:val="none"/>
          <w:u w:val="single"/>
        </w:rPr>
        <w:t>原</w:t>
      </w:r>
      <w:r>
        <w:rPr>
          <w:rFonts w:hint="eastAsia" w:ascii="Times New Roman" w:hAnsi="Times New Roman" w:eastAsia="宋体" w:cs="Times New Roman"/>
          <w:color w:val="auto"/>
          <w:highlight w:val="none"/>
          <w:u w:val="single"/>
        </w:rPr>
        <w:t>海江采石场和</w:t>
      </w:r>
      <w:r>
        <w:rPr>
          <w:rFonts w:hint="eastAsia" w:ascii="Times New Roman" w:hAnsi="Times New Roman" w:eastAsia="宋体" w:cs="Times New Roman"/>
          <w:color w:val="auto"/>
          <w:kern w:val="0"/>
          <w:szCs w:val="24"/>
          <w:highlight w:val="none"/>
          <w:u w:val="single"/>
        </w:rPr>
        <w:t>原</w:t>
      </w:r>
      <w:r>
        <w:rPr>
          <w:rFonts w:hint="eastAsia" w:ascii="Times New Roman" w:hAnsi="Times New Roman" w:eastAsia="宋体" w:cs="Times New Roman"/>
          <w:color w:val="auto"/>
          <w:highlight w:val="none"/>
          <w:u w:val="single"/>
        </w:rPr>
        <w:t>宏保兴采石场2个采石场整合</w:t>
      </w:r>
      <w:r>
        <w:rPr>
          <w:rFonts w:hint="eastAsia" w:cs="Times New Roman"/>
          <w:color w:val="auto"/>
          <w:highlight w:val="none"/>
          <w:u w:val="single"/>
          <w:lang w:val="en-US" w:eastAsia="zh-CN"/>
        </w:rPr>
        <w:t>为</w:t>
      </w:r>
      <w:r>
        <w:rPr>
          <w:rFonts w:hint="eastAsia"/>
          <w:color w:val="auto"/>
          <w:highlight w:val="none"/>
          <w:u w:val="single"/>
          <w:lang w:val="en-US" w:eastAsia="zh-CN"/>
        </w:rPr>
        <w:t>三江县宏源采石场</w:t>
      </w:r>
      <w:r>
        <w:rPr>
          <w:rFonts w:ascii="Times New Roman" w:hAnsi="Times New Roman" w:eastAsia="宋体" w:cs="Times New Roman"/>
          <w:color w:val="auto"/>
          <w:szCs w:val="24"/>
          <w:highlight w:val="none"/>
          <w:u w:val="single"/>
        </w:rPr>
        <w:t>。</w:t>
      </w:r>
      <w:r>
        <w:rPr>
          <w:rFonts w:hint="eastAsia"/>
          <w:color w:val="auto"/>
          <w:highlight w:val="none"/>
          <w:u w:val="single"/>
          <w:lang w:val="en-US" w:eastAsia="zh-CN"/>
        </w:rPr>
        <w:t>2019年1月三江县人民政府通过《三江侗族自治县人民政府关于三江县宏源采石场硅质岩矿采矿权挂牌出让方案的批复》（三政函〔2019〕45号）（附件12），三江县鑫贝矿业有限公司于2019年3月通过竞标获得三江县宏源采石场开采权。整合后</w:t>
      </w:r>
      <w:r>
        <w:rPr>
          <w:rFonts w:hint="eastAsia" w:ascii="Times New Roman" w:hAnsi="Times New Roman" w:eastAsia="宋体" w:cs="Times New Roman"/>
          <w:color w:val="auto"/>
          <w:highlight w:val="none"/>
          <w:u w:val="single"/>
        </w:rPr>
        <w:t>矿山</w:t>
      </w:r>
      <w:r>
        <w:rPr>
          <w:rFonts w:ascii="Times New Roman" w:hAnsi="Times New Roman" w:eastAsia="宋体" w:cs="Times New Roman"/>
          <w:color w:val="auto"/>
          <w:highlight w:val="none"/>
          <w:u w:val="single"/>
        </w:rPr>
        <w:t>位于三江县</w:t>
      </w:r>
      <w:r>
        <w:rPr>
          <w:rFonts w:hint="eastAsia" w:ascii="Times New Roman" w:hAnsi="Times New Roman" w:eastAsia="宋体" w:cs="Times New Roman"/>
          <w:color w:val="auto"/>
          <w:highlight w:val="none"/>
          <w:u w:val="single"/>
          <w:lang w:val="en-US" w:eastAsia="zh-CN"/>
        </w:rPr>
        <w:t>斗江镇东坪村东恒屯</w:t>
      </w:r>
      <w:r>
        <w:rPr>
          <w:rFonts w:ascii="Times New Roman" w:hAnsi="Times New Roman" w:eastAsia="宋体" w:cs="Times New Roman"/>
          <w:color w:val="auto"/>
          <w:highlight w:val="none"/>
          <w:u w:val="single"/>
        </w:rPr>
        <w:t>，行政区划隶属三江县斗江镇管辖。矿区已修建有简易公路与三江县乡村级公路相接，交通较为便利。</w:t>
      </w:r>
      <w:r>
        <w:rPr>
          <w:rFonts w:ascii="Times New Roman" w:hAnsi="Times New Roman" w:eastAsia="宋体" w:cs="Times New Roman"/>
          <w:color w:val="auto"/>
          <w:szCs w:val="24"/>
          <w:highlight w:val="none"/>
          <w:u w:val="single"/>
        </w:rPr>
        <w:t>矿区中心地理坐标：</w:t>
      </w:r>
      <w:r>
        <w:rPr>
          <w:rFonts w:hint="eastAsia" w:ascii="Times New Roman" w:hAnsi="Times New Roman" w:eastAsia="宋体" w:cs="Times New Roman"/>
          <w:color w:val="auto"/>
          <w:szCs w:val="24"/>
          <w:highlight w:val="none"/>
          <w:u w:val="single"/>
        </w:rPr>
        <w:t>109.704875</w:t>
      </w:r>
      <w:r>
        <w:rPr>
          <w:rFonts w:ascii="Times New Roman" w:hAnsi="Times New Roman" w:eastAsia="宋体" w:cs="Times New Roman"/>
          <w:color w:val="auto"/>
          <w:szCs w:val="24"/>
          <w:highlight w:val="none"/>
          <w:u w:val="single"/>
        </w:rPr>
        <w:t>°E，</w:t>
      </w:r>
      <w:r>
        <w:rPr>
          <w:rFonts w:hint="eastAsia" w:ascii="Times New Roman" w:hAnsi="Times New Roman" w:eastAsia="宋体" w:cs="Times New Roman"/>
          <w:color w:val="auto"/>
          <w:szCs w:val="24"/>
          <w:highlight w:val="none"/>
          <w:u w:val="single"/>
        </w:rPr>
        <w:t>25.757735</w:t>
      </w:r>
      <w:r>
        <w:rPr>
          <w:rFonts w:ascii="Times New Roman" w:hAnsi="Times New Roman" w:eastAsia="宋体" w:cs="Times New Roman"/>
          <w:color w:val="auto"/>
          <w:szCs w:val="24"/>
          <w:highlight w:val="none"/>
          <w:u w:val="single"/>
        </w:rPr>
        <w:t>°N</w:t>
      </w:r>
      <w:r>
        <w:rPr>
          <w:rFonts w:hint="eastAsia" w:ascii="Times New Roman" w:hAnsi="Times New Roman" w:eastAsia="宋体" w:cs="Times New Roman"/>
          <w:color w:val="auto"/>
          <w:szCs w:val="24"/>
          <w:highlight w:val="none"/>
          <w:u w:val="single"/>
        </w:rPr>
        <w:t>，</w:t>
      </w:r>
      <w:r>
        <w:rPr>
          <w:rFonts w:ascii="Times New Roman" w:hAnsi="Times New Roman" w:eastAsia="宋体" w:cs="Times New Roman"/>
          <w:color w:val="auto"/>
          <w:highlight w:val="none"/>
          <w:u w:val="single"/>
        </w:rPr>
        <w:t>面积为0.1598</w:t>
      </w:r>
      <w:r>
        <w:rPr>
          <w:rFonts w:hint="eastAsia" w:ascii="Times New Roman" w:hAnsi="Times New Roman" w:eastAsia="宋体" w:cs="Times New Roman"/>
          <w:color w:val="auto"/>
          <w:highlight w:val="none"/>
          <w:u w:val="single"/>
        </w:rPr>
        <w:t>k</w:t>
      </w:r>
      <w:r>
        <w:rPr>
          <w:rFonts w:ascii="Times New Roman" w:hAnsi="Times New Roman" w:eastAsia="宋体" w:cs="Times New Roman"/>
          <w:color w:val="auto"/>
          <w:highlight w:val="none"/>
          <w:u w:val="single"/>
        </w:rPr>
        <w:t>m</w:t>
      </w:r>
      <w:r>
        <w:rPr>
          <w:rFonts w:ascii="Times New Roman" w:hAnsi="Times New Roman" w:eastAsia="宋体" w:cs="Times New Roman"/>
          <w:color w:val="auto"/>
          <w:highlight w:val="none"/>
          <w:u w:val="single"/>
          <w:vertAlign w:val="superscript"/>
        </w:rPr>
        <w:t>2</w:t>
      </w:r>
      <w:r>
        <w:rPr>
          <w:rFonts w:ascii="Times New Roman" w:hAnsi="Times New Roman" w:eastAsia="宋体" w:cs="Times New Roman"/>
          <w:color w:val="auto"/>
          <w:highlight w:val="none"/>
          <w:u w:val="single"/>
        </w:rPr>
        <w:t>，项目地理位置见附图1。</w:t>
      </w:r>
    </w:p>
    <w:p>
      <w:pPr>
        <w:ind w:firstLine="480"/>
        <w:rPr>
          <w:rFonts w:hint="eastAsia" w:ascii="Times New Roman" w:hAnsi="Times New Roman" w:eastAsia="宋体"/>
          <w:color w:val="auto"/>
          <w:highlight w:val="none"/>
          <w:u w:val="single"/>
        </w:rPr>
      </w:pPr>
      <w:r>
        <w:rPr>
          <w:rFonts w:ascii="Times New Roman" w:hAnsi="Times New Roman" w:eastAsia="宋体" w:cs="Times New Roman"/>
          <w:color w:val="auto"/>
          <w:highlight w:val="none"/>
          <w:u w:val="single"/>
        </w:rPr>
        <w:t>矿区周围300m范围内无主干公路经过，无自然保护区</w:t>
      </w:r>
      <w:r>
        <w:rPr>
          <w:rFonts w:hint="eastAsia" w:ascii="Times New Roman" w:hAnsi="Times New Roman" w:eastAsia="宋体" w:cs="Times New Roman"/>
          <w:color w:val="auto"/>
          <w:highlight w:val="none"/>
          <w:u w:val="single"/>
        </w:rPr>
        <w:t>和</w:t>
      </w:r>
      <w:r>
        <w:rPr>
          <w:rFonts w:ascii="Times New Roman" w:hAnsi="Times New Roman" w:eastAsia="宋体" w:cs="Times New Roman"/>
          <w:color w:val="auto"/>
          <w:highlight w:val="none"/>
          <w:u w:val="single"/>
        </w:rPr>
        <w:t>风景</w:t>
      </w:r>
      <w:r>
        <w:rPr>
          <w:rFonts w:hint="eastAsia" w:ascii="Times New Roman" w:hAnsi="Times New Roman" w:eastAsia="宋体" w:cs="Times New Roman"/>
          <w:color w:val="auto"/>
          <w:highlight w:val="none"/>
          <w:u w:val="single"/>
        </w:rPr>
        <w:t>名胜</w:t>
      </w:r>
      <w:r>
        <w:rPr>
          <w:rFonts w:ascii="Times New Roman" w:hAnsi="Times New Roman" w:eastAsia="宋体" w:cs="Times New Roman"/>
          <w:color w:val="auto"/>
          <w:highlight w:val="none"/>
          <w:u w:val="single"/>
        </w:rPr>
        <w:t>区</w:t>
      </w:r>
      <w:r>
        <w:rPr>
          <w:rFonts w:hint="eastAsia" w:ascii="Times New Roman" w:hAnsi="Times New Roman" w:eastAsia="宋体" w:cs="Times New Roman"/>
          <w:color w:val="auto"/>
          <w:highlight w:val="none"/>
          <w:u w:val="single"/>
        </w:rPr>
        <w:t>等保护目标</w:t>
      </w:r>
      <w:r>
        <w:rPr>
          <w:rFonts w:ascii="Times New Roman" w:hAnsi="Times New Roman" w:eastAsia="宋体" w:cs="Times New Roman"/>
          <w:color w:val="auto"/>
          <w:highlight w:val="none"/>
          <w:u w:val="single"/>
        </w:rPr>
        <w:t>。矿区与周边其他矿权矿界清楚，无矿权、矿界纠纷。矿区范围内土地类别为旱地、灌木林地、采矿用地和裸地，矿山现状开采不占用基本农田，矿山建设不影响人畜饮水水源，不占用耕地，矿山自然环境较优越，矿山周边环境良好。</w:t>
      </w:r>
      <w:r>
        <w:rPr>
          <w:rFonts w:hint="eastAsia" w:ascii="Times New Roman" w:hAnsi="Times New Roman" w:eastAsia="宋体"/>
          <w:color w:val="auto"/>
          <w:highlight w:val="none"/>
          <w:u w:val="single"/>
        </w:rPr>
        <w:t xml:space="preserve"> </w:t>
      </w:r>
    </w:p>
    <w:p>
      <w:pPr>
        <w:pStyle w:val="5"/>
        <w:rPr>
          <w:rFonts w:hint="eastAsia" w:ascii="Times New Roman" w:hAnsi="Times New Roman" w:eastAsia="宋体"/>
          <w:color w:val="auto"/>
          <w:highlight w:val="none"/>
        </w:rPr>
      </w:pPr>
      <w:r>
        <w:rPr>
          <w:rFonts w:hint="eastAsia" w:ascii="Times New Roman" w:hAnsi="Times New Roman" w:eastAsia="宋体"/>
          <w:color w:val="auto"/>
          <w:highlight w:val="none"/>
        </w:rPr>
        <w:t xml:space="preserve">2.1.2 矿山勘查简史 </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 xml:space="preserve">（1）上世纪六十年代初广西区测队开展1：20万区域地质调查工作，并提供《中华人民共和国区域地质测量报告（三江幅）》（图幅编号G-49-XX），对该地区的地层及构造体系进行了系统研究，并对矿产进行了调查。 </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（2）八十年代贵州省地矿局九一〇水文工程地质大队开展过1:20万三江幅水文地质普查，为</w:t>
      </w:r>
      <w:r>
        <w:rPr>
          <w:rFonts w:hint="eastAsia" w:ascii="Times New Roman" w:hAnsi="Times New Roman" w:eastAsia="宋体" w:cs="Times New Roman"/>
          <w:color w:val="auto"/>
          <w:szCs w:val="24"/>
          <w:highlight w:val="none"/>
        </w:rPr>
        <w:t>后来</w:t>
      </w:r>
      <w:r>
        <w:rPr>
          <w:rFonts w:ascii="Times New Roman" w:hAnsi="Times New Roman" w:eastAsia="宋体" w:cs="Times New Roman"/>
          <w:color w:val="auto"/>
          <w:szCs w:val="24"/>
          <w:highlight w:val="none"/>
        </w:rPr>
        <w:t xml:space="preserve">的地质工作提供了基础资料。 </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（3）2014年10月，广西海林地质勘查有限公司编写提交了《三江县宏保兴采石场资源储量核实报告》，估算</w:t>
      </w:r>
      <w:r>
        <w:rPr>
          <w:rFonts w:hint="eastAsia" w:ascii="Times New Roman" w:hAnsi="Times New Roman" w:eastAsia="宋体" w:cs="Times New Roman"/>
          <w:bCs/>
          <w:color w:val="auto"/>
          <w:szCs w:val="24"/>
          <w:highlight w:val="none"/>
        </w:rPr>
        <w:t>原</w:t>
      </w:r>
      <w:r>
        <w:rPr>
          <w:rFonts w:ascii="Times New Roman" w:hAnsi="Times New Roman" w:eastAsia="宋体" w:cs="Times New Roman"/>
          <w:color w:val="auto"/>
          <w:szCs w:val="24"/>
          <w:highlight w:val="none"/>
        </w:rPr>
        <w:t>宏保兴采石场矿区范围内硅质岩矿保有资源储量（333）为616593m</w:t>
      </w:r>
      <w:r>
        <w:rPr>
          <w:rFonts w:ascii="Times New Roman" w:hAnsi="Times New Roman" w:eastAsia="宋体" w:cs="Times New Roman"/>
          <w:color w:val="auto"/>
          <w:szCs w:val="24"/>
          <w:highlight w:val="none"/>
          <w:vertAlign w:val="superscript"/>
        </w:rPr>
        <w:t>3</w:t>
      </w:r>
      <w:r>
        <w:rPr>
          <w:rFonts w:ascii="Times New Roman" w:hAnsi="Times New Roman" w:eastAsia="宋体" w:cs="Times New Roman"/>
          <w:color w:val="auto"/>
          <w:szCs w:val="24"/>
          <w:highlight w:val="none"/>
        </w:rPr>
        <w:t>（1479823t）。</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（4）2017年1月，广西海林地质勘查有限公司对</w:t>
      </w:r>
      <w:r>
        <w:rPr>
          <w:rFonts w:hint="eastAsia" w:ascii="Times New Roman" w:hAnsi="Times New Roman" w:eastAsia="宋体" w:cs="Times New Roman"/>
          <w:color w:val="auto"/>
          <w:kern w:val="0"/>
          <w:szCs w:val="24"/>
          <w:highlight w:val="none"/>
        </w:rPr>
        <w:t>原</w:t>
      </w:r>
      <w:r>
        <w:rPr>
          <w:rFonts w:ascii="Times New Roman" w:hAnsi="Times New Roman" w:eastAsia="宋体" w:cs="Times New Roman"/>
          <w:color w:val="auto"/>
          <w:szCs w:val="24"/>
          <w:highlight w:val="none"/>
        </w:rPr>
        <w:t>海江采石场硅质岩矿进行了储量核实工作，并提交《三江县海江采石场硅质岩矿储量核实报告》，保有的硅质岩矿控制的内蕴经济储量（333）为214576m</w:t>
      </w:r>
      <w:r>
        <w:rPr>
          <w:rFonts w:ascii="Times New Roman" w:hAnsi="Times New Roman" w:eastAsia="宋体" w:cs="Times New Roman"/>
          <w:color w:val="auto"/>
          <w:szCs w:val="24"/>
          <w:highlight w:val="none"/>
          <w:vertAlign w:val="superscript"/>
        </w:rPr>
        <w:t>3</w:t>
      </w:r>
      <w:r>
        <w:rPr>
          <w:rFonts w:ascii="Times New Roman" w:hAnsi="Times New Roman" w:eastAsia="宋体" w:cs="Times New Roman"/>
          <w:color w:val="auto"/>
          <w:szCs w:val="24"/>
          <w:highlight w:val="none"/>
        </w:rPr>
        <w:t>（514982t）。</w:t>
      </w:r>
      <w:r>
        <w:rPr>
          <w:rFonts w:hint="eastAsia" w:ascii="Times New Roman" w:hAnsi="Times New Roman" w:eastAsia="宋体" w:cs="Times New Roman"/>
          <w:color w:val="auto"/>
          <w:kern w:val="0"/>
          <w:szCs w:val="24"/>
          <w:highlight w:val="none"/>
        </w:rPr>
        <w:t>原</w:t>
      </w:r>
      <w:r>
        <w:rPr>
          <w:rFonts w:ascii="Times New Roman" w:hAnsi="Times New Roman" w:eastAsia="宋体" w:cs="Times New Roman"/>
          <w:color w:val="auto"/>
          <w:szCs w:val="24"/>
          <w:highlight w:val="none"/>
        </w:rPr>
        <w:t>海江采石场硅质岩矿矿区范围是</w:t>
      </w:r>
      <w:r>
        <w:rPr>
          <w:rFonts w:hint="eastAsia" w:ascii="Times New Roman" w:hAnsi="Times New Roman" w:eastAsia="宋体" w:cs="Times New Roman"/>
          <w:color w:val="auto"/>
          <w:szCs w:val="24"/>
          <w:highlight w:val="none"/>
        </w:rPr>
        <w:t>本项目</w:t>
      </w:r>
      <w:r>
        <w:rPr>
          <w:rFonts w:ascii="Times New Roman" w:hAnsi="Times New Roman" w:eastAsia="宋体" w:cs="Times New Roman"/>
          <w:color w:val="auto"/>
          <w:szCs w:val="24"/>
          <w:highlight w:val="none"/>
        </w:rPr>
        <w:t>设立的宏源采石场</w:t>
      </w:r>
      <w:r>
        <w:rPr>
          <w:rFonts w:hint="eastAsia" w:ascii="Times New Roman" w:hAnsi="Times New Roman" w:eastAsia="宋体" w:cs="Times New Roman"/>
          <w:color w:val="auto"/>
          <w:szCs w:val="24"/>
          <w:highlight w:val="none"/>
        </w:rPr>
        <w:t>矿区范围</w:t>
      </w:r>
      <w:r>
        <w:rPr>
          <w:rFonts w:ascii="Times New Roman" w:hAnsi="Times New Roman" w:eastAsia="宋体" w:cs="Times New Roman"/>
          <w:color w:val="auto"/>
          <w:szCs w:val="24"/>
          <w:highlight w:val="none"/>
        </w:rPr>
        <w:t xml:space="preserve">的一部分。 </w:t>
      </w:r>
    </w:p>
    <w:p>
      <w:pPr>
        <w:ind w:firstLine="480"/>
        <w:rPr>
          <w:rFonts w:ascii="Times New Roman" w:hAnsi="Times New Roman" w:eastAsia="宋体" w:cs="Times New Roman"/>
          <w:color w:val="auto"/>
          <w:szCs w:val="24"/>
          <w:highlight w:val="none"/>
          <w:u w:val="single"/>
        </w:rPr>
      </w:pPr>
      <w:r>
        <w:rPr>
          <w:rFonts w:ascii="Times New Roman" w:hAnsi="Times New Roman" w:eastAsia="宋体" w:cs="Times New Roman"/>
          <w:color w:val="auto"/>
          <w:szCs w:val="24"/>
          <w:highlight w:val="none"/>
        </w:rPr>
        <w:t>（5）2017年12月中国冶金地质总局广西地质勘察院对整合变更矿区范围后的三江县宏源采石场硅质岩矿进行了地质储量核实工作，并提交了《广西三江县宏源采石场硅质岩矿资源储量简测报告》，估算在矿区范围+445m~+227m标高段内，内蕴经济资源量(333) 962.19万m</w:t>
      </w:r>
      <w:r>
        <w:rPr>
          <w:rFonts w:ascii="Times New Roman" w:hAnsi="Times New Roman" w:eastAsia="宋体" w:cs="Times New Roman"/>
          <w:color w:val="auto"/>
          <w:szCs w:val="24"/>
          <w:highlight w:val="none"/>
          <w:vertAlign w:val="superscript"/>
        </w:rPr>
        <w:t>3</w:t>
      </w:r>
      <w:r>
        <w:rPr>
          <w:rFonts w:ascii="Times New Roman" w:hAnsi="Times New Roman" w:eastAsia="宋体" w:cs="Times New Roman"/>
          <w:color w:val="auto"/>
          <w:szCs w:val="24"/>
          <w:highlight w:val="none"/>
        </w:rPr>
        <w:t>(折合2309.26万t)。其中保有（333）可利用硅质岩矿资源量939.53万m</w:t>
      </w:r>
      <w:r>
        <w:rPr>
          <w:rFonts w:ascii="Times New Roman" w:hAnsi="Times New Roman" w:eastAsia="宋体" w:cs="Times New Roman"/>
          <w:color w:val="auto"/>
          <w:szCs w:val="24"/>
          <w:highlight w:val="none"/>
          <w:vertAlign w:val="superscript"/>
        </w:rPr>
        <w:t>3</w:t>
      </w:r>
      <w:r>
        <w:rPr>
          <w:rFonts w:ascii="Times New Roman" w:hAnsi="Times New Roman" w:eastAsia="宋体" w:cs="Times New Roman"/>
          <w:color w:val="auto"/>
          <w:szCs w:val="24"/>
          <w:highlight w:val="none"/>
        </w:rPr>
        <w:t>(合2254.87万t)。该报告于2017年12月8日由原三江县国土资源局组织评审，</w:t>
      </w:r>
      <w:r>
        <w:rPr>
          <w:rFonts w:ascii="Times New Roman" w:hAnsi="Times New Roman" w:eastAsia="宋体" w:cs="Times New Roman"/>
          <w:color w:val="auto"/>
          <w:szCs w:val="24"/>
          <w:highlight w:val="none"/>
          <w:u w:val="none"/>
        </w:rPr>
        <w:t>并通过了评审。</w:t>
      </w:r>
    </w:p>
    <w:p>
      <w:pPr>
        <w:pStyle w:val="5"/>
        <w:bidi w:val="0"/>
        <w:rPr>
          <w:rFonts w:hint="eastAsia"/>
          <w:color w:val="auto"/>
          <w:highlight w:val="none"/>
          <w:u w:val="single"/>
        </w:rPr>
      </w:pPr>
      <w:r>
        <w:rPr>
          <w:rFonts w:hint="eastAsia"/>
          <w:color w:val="auto"/>
          <w:highlight w:val="none"/>
          <w:u w:val="single"/>
        </w:rPr>
        <w:t>2.1.</w:t>
      </w:r>
      <w:r>
        <w:rPr>
          <w:rFonts w:hint="eastAsia"/>
          <w:color w:val="auto"/>
          <w:highlight w:val="none"/>
          <w:u w:val="single"/>
          <w:lang w:val="en-US" w:eastAsia="zh-CN"/>
        </w:rPr>
        <w:t>3</w:t>
      </w:r>
      <w:r>
        <w:rPr>
          <w:rFonts w:hint="eastAsia"/>
          <w:color w:val="auto"/>
          <w:highlight w:val="none"/>
          <w:u w:val="single"/>
        </w:rPr>
        <w:t xml:space="preserve"> 矿山</w:t>
      </w:r>
      <w:r>
        <w:rPr>
          <w:rFonts w:hint="eastAsia"/>
          <w:color w:val="auto"/>
          <w:highlight w:val="none"/>
          <w:u w:val="single"/>
          <w:lang w:val="en-US" w:eastAsia="zh-CN"/>
        </w:rPr>
        <w:t>开采</w:t>
      </w:r>
      <w:r>
        <w:rPr>
          <w:rFonts w:hint="eastAsia"/>
          <w:color w:val="auto"/>
          <w:highlight w:val="none"/>
          <w:u w:val="single"/>
        </w:rPr>
        <w:t>现状</w:t>
      </w:r>
    </w:p>
    <w:p>
      <w:pPr>
        <w:ind w:firstLine="480"/>
        <w:rPr>
          <w:rFonts w:hint="eastAsia" w:cs="Times New Roman"/>
          <w:color w:val="auto"/>
          <w:szCs w:val="24"/>
          <w:highlight w:val="none"/>
          <w:u w:val="single"/>
          <w:lang w:val="en-US" w:eastAsia="zh-CN"/>
        </w:rPr>
      </w:pPr>
      <w:r>
        <w:rPr>
          <w:rFonts w:hint="eastAsia"/>
          <w:color w:val="auto"/>
          <w:highlight w:val="none"/>
          <w:u w:val="single"/>
          <w:lang w:val="en-US" w:eastAsia="zh-CN"/>
        </w:rPr>
        <w:t>根据</w:t>
      </w:r>
      <w:r>
        <w:rPr>
          <w:rFonts w:ascii="Times New Roman" w:hAnsi="Times New Roman" w:eastAsia="宋体" w:cs="Times New Roman"/>
          <w:color w:val="auto"/>
          <w:szCs w:val="24"/>
          <w:highlight w:val="none"/>
          <w:u w:val="single"/>
        </w:rPr>
        <w:t>《三江县宏源采石场硅质岩矿矿产资源开发利用方案》</w:t>
      </w:r>
      <w:r>
        <w:rPr>
          <w:rFonts w:hint="eastAsia" w:cs="Times New Roman"/>
          <w:color w:val="auto"/>
          <w:szCs w:val="24"/>
          <w:highlight w:val="none"/>
          <w:u w:val="single"/>
          <w:lang w:val="en-US" w:eastAsia="zh-CN"/>
        </w:rPr>
        <w:t>及评审意见书，整合矿山为老矿山，发证机关为三江县国土资源局，属露天矿山。矿山现状开采区有两处，分别位于矿区东面和西面，主要为过去的老采区，采空区长约200m，平均宽约80m，采区高度20～45m。</w:t>
      </w:r>
    </w:p>
    <w:p>
      <w:pPr>
        <w:ind w:firstLine="480"/>
        <w:rPr>
          <w:rFonts w:hint="eastAsia" w:cs="Times New Roman"/>
          <w:color w:val="auto"/>
          <w:szCs w:val="24"/>
          <w:highlight w:val="none"/>
          <w:u w:val="single"/>
          <w:lang w:val="en-US" w:eastAsia="zh-CN"/>
        </w:rPr>
      </w:pPr>
      <w:r>
        <w:rPr>
          <w:rFonts w:hint="eastAsia" w:cs="Times New Roman"/>
          <w:color w:val="auto"/>
          <w:szCs w:val="24"/>
          <w:highlight w:val="none"/>
          <w:u w:val="single"/>
          <w:lang w:val="en-US" w:eastAsia="zh-CN"/>
        </w:rPr>
        <w:t>根据现场调查，整合矿山实际开采现状如下：</w:t>
      </w:r>
    </w:p>
    <w:p>
      <w:pPr>
        <w:ind w:firstLine="480"/>
        <w:rPr>
          <w:rFonts w:ascii="Times New Roman" w:hAnsi="Times New Roman" w:eastAsia="宋体" w:cs="Times New Roman"/>
          <w:color w:val="auto"/>
          <w:highlight w:val="none"/>
          <w:u w:val="single"/>
        </w:rPr>
      </w:pPr>
      <w:r>
        <w:rPr>
          <w:rFonts w:hint="eastAsia" w:cs="Times New Roman"/>
          <w:color w:val="auto"/>
          <w:szCs w:val="24"/>
          <w:highlight w:val="none"/>
          <w:u w:val="single"/>
          <w:lang w:val="en-US" w:eastAsia="zh-CN"/>
        </w:rPr>
        <w:t>原海江采石场于2017年6月停采，形成了1个采空区</w:t>
      </w:r>
      <w:r>
        <w:rPr>
          <w:rFonts w:hint="eastAsia"/>
          <w:color w:val="auto"/>
          <w:highlight w:val="none"/>
          <w:u w:val="single"/>
          <w:lang w:val="en-US" w:eastAsia="zh-CN"/>
        </w:rPr>
        <w:t>，采空区超出采矿权红线范围，</w:t>
      </w:r>
      <w:r>
        <w:rPr>
          <w:rFonts w:ascii="Times New Roman" w:hAnsi="Times New Roman" w:eastAsia="宋体" w:cs="Times New Roman"/>
          <w:color w:val="auto"/>
          <w:highlight w:val="none"/>
          <w:u w:val="single"/>
        </w:rPr>
        <w:t>采空区底板</w:t>
      </w:r>
      <w:r>
        <w:rPr>
          <w:rFonts w:hint="eastAsia" w:cs="Times New Roman"/>
          <w:color w:val="auto"/>
          <w:highlight w:val="none"/>
          <w:u w:val="single"/>
          <w:lang w:val="en-US" w:eastAsia="zh-CN"/>
        </w:rPr>
        <w:t>最低</w:t>
      </w:r>
      <w:r>
        <w:rPr>
          <w:rFonts w:ascii="Times New Roman" w:hAnsi="Times New Roman" w:eastAsia="宋体" w:cs="Times New Roman"/>
          <w:color w:val="auto"/>
          <w:highlight w:val="none"/>
          <w:u w:val="single"/>
        </w:rPr>
        <w:t>标高+2</w:t>
      </w:r>
      <w:r>
        <w:rPr>
          <w:rFonts w:hint="eastAsia" w:cs="Times New Roman"/>
          <w:color w:val="auto"/>
          <w:highlight w:val="none"/>
          <w:u w:val="single"/>
          <w:lang w:val="en-US" w:eastAsia="zh-CN"/>
        </w:rPr>
        <w:t>3</w:t>
      </w:r>
      <w:r>
        <w:rPr>
          <w:rFonts w:ascii="Times New Roman" w:hAnsi="Times New Roman" w:eastAsia="宋体" w:cs="Times New Roman"/>
          <w:color w:val="auto"/>
          <w:highlight w:val="none"/>
          <w:u w:val="single"/>
        </w:rPr>
        <w:t>6m，采空区</w:t>
      </w:r>
      <w:r>
        <w:rPr>
          <w:rFonts w:hint="eastAsia" w:cs="Times New Roman"/>
          <w:color w:val="auto"/>
          <w:highlight w:val="none"/>
          <w:u w:val="single"/>
          <w:lang w:val="en-US" w:eastAsia="zh-CN"/>
        </w:rPr>
        <w:t>东西向</w:t>
      </w:r>
      <w:r>
        <w:rPr>
          <w:rFonts w:ascii="Times New Roman" w:hAnsi="Times New Roman" w:eastAsia="宋体" w:cs="Times New Roman"/>
          <w:color w:val="auto"/>
          <w:highlight w:val="none"/>
          <w:u w:val="single"/>
        </w:rPr>
        <w:t>长</w:t>
      </w:r>
      <w:r>
        <w:rPr>
          <w:rFonts w:hint="eastAsia" w:cs="Times New Roman"/>
          <w:color w:val="auto"/>
          <w:highlight w:val="none"/>
          <w:u w:val="single"/>
          <w:lang w:val="en-US" w:eastAsia="zh-CN"/>
        </w:rPr>
        <w:t>245</w:t>
      </w:r>
      <w:r>
        <w:rPr>
          <w:rFonts w:ascii="Times New Roman" w:hAnsi="Times New Roman" w:eastAsia="宋体" w:cs="Times New Roman"/>
          <w:color w:val="auto"/>
          <w:highlight w:val="none"/>
          <w:u w:val="single"/>
        </w:rPr>
        <w:t>m，</w:t>
      </w:r>
      <w:r>
        <w:rPr>
          <w:rFonts w:hint="eastAsia" w:cs="Times New Roman"/>
          <w:color w:val="auto"/>
          <w:highlight w:val="none"/>
          <w:u w:val="single"/>
          <w:lang w:val="en-US" w:eastAsia="zh-CN"/>
        </w:rPr>
        <w:t>南北</w:t>
      </w:r>
      <w:r>
        <w:rPr>
          <w:rFonts w:ascii="Times New Roman" w:hAnsi="Times New Roman" w:eastAsia="宋体" w:cs="Times New Roman"/>
          <w:color w:val="auto"/>
          <w:highlight w:val="none"/>
          <w:u w:val="single"/>
        </w:rPr>
        <w:t>宽</w:t>
      </w:r>
      <w:r>
        <w:rPr>
          <w:rFonts w:hint="eastAsia" w:cs="Times New Roman"/>
          <w:color w:val="auto"/>
          <w:highlight w:val="none"/>
          <w:u w:val="single"/>
          <w:lang w:val="en-US" w:eastAsia="zh-CN"/>
        </w:rPr>
        <w:t>150</w:t>
      </w:r>
      <w:r>
        <w:rPr>
          <w:rFonts w:ascii="Times New Roman" w:hAnsi="Times New Roman" w:eastAsia="宋体" w:cs="Times New Roman"/>
          <w:color w:val="auto"/>
          <w:highlight w:val="none"/>
          <w:u w:val="single"/>
        </w:rPr>
        <w:t>m，</w:t>
      </w:r>
      <w:r>
        <w:rPr>
          <w:rFonts w:hint="eastAsia" w:cs="Times New Roman"/>
          <w:color w:val="auto"/>
          <w:highlight w:val="none"/>
          <w:u w:val="single"/>
          <w:lang w:val="en-US" w:eastAsia="zh-CN"/>
        </w:rPr>
        <w:t>采面边坡</w:t>
      </w:r>
      <w:r>
        <w:rPr>
          <w:rFonts w:ascii="Times New Roman" w:hAnsi="Times New Roman" w:eastAsia="宋体" w:cs="Times New Roman"/>
          <w:color w:val="auto"/>
          <w:highlight w:val="none"/>
          <w:u w:val="single"/>
        </w:rPr>
        <w:t>高度</w:t>
      </w:r>
      <w:r>
        <w:rPr>
          <w:rFonts w:hint="eastAsia" w:cs="Times New Roman"/>
          <w:color w:val="auto"/>
          <w:highlight w:val="none"/>
          <w:u w:val="single"/>
          <w:lang w:val="en-US" w:eastAsia="zh-CN"/>
        </w:rPr>
        <w:t>5</w:t>
      </w:r>
      <w:r>
        <w:rPr>
          <w:rFonts w:hint="default" w:ascii="Times New Roman" w:hAnsi="Times New Roman" w:cs="Times New Roman"/>
          <w:color w:val="auto"/>
          <w:highlight w:val="none"/>
          <w:u w:val="single"/>
          <w:lang w:val="en-US" w:eastAsia="zh-CN"/>
        </w:rPr>
        <w:t>~</w:t>
      </w:r>
      <w:r>
        <w:rPr>
          <w:rFonts w:hint="eastAsia" w:cs="Times New Roman"/>
          <w:color w:val="auto"/>
          <w:highlight w:val="none"/>
          <w:u w:val="single"/>
          <w:lang w:val="en-US" w:eastAsia="zh-CN"/>
        </w:rPr>
        <w:t>8</w:t>
      </w:r>
      <w:r>
        <w:rPr>
          <w:rFonts w:ascii="Times New Roman" w:hAnsi="Times New Roman" w:eastAsia="宋体" w:cs="Times New Roman"/>
          <w:color w:val="auto"/>
          <w:highlight w:val="none"/>
          <w:u w:val="single"/>
        </w:rPr>
        <w:t>5m，</w:t>
      </w:r>
      <w:r>
        <w:rPr>
          <w:rFonts w:hint="eastAsia" w:cs="Times New Roman"/>
          <w:color w:val="auto"/>
          <w:highlight w:val="none"/>
          <w:u w:val="single"/>
          <w:lang w:val="en-US" w:eastAsia="zh-CN"/>
        </w:rPr>
        <w:t>边坡倾角40</w:t>
      </w:r>
      <w:r>
        <w:rPr>
          <w:rFonts w:hint="default" w:ascii="Times New Roman" w:hAnsi="Times New Roman" w:cs="Times New Roman"/>
          <w:color w:val="auto"/>
          <w:highlight w:val="none"/>
          <w:u w:val="single"/>
          <w:lang w:val="en-US" w:eastAsia="zh-CN"/>
        </w:rPr>
        <w:t>~</w:t>
      </w:r>
      <w:r>
        <w:rPr>
          <w:rFonts w:hint="eastAsia" w:cs="Times New Roman"/>
          <w:color w:val="auto"/>
          <w:highlight w:val="none"/>
          <w:u w:val="single"/>
          <w:lang w:val="en-US" w:eastAsia="zh-CN"/>
        </w:rPr>
        <w:t>75</w:t>
      </w:r>
      <w:r>
        <w:rPr>
          <w:rFonts w:ascii="Times New Roman" w:hAnsi="Times New Roman" w:eastAsia="宋体" w:cs="Times New Roman"/>
          <w:color w:val="auto"/>
          <w:highlight w:val="none"/>
          <w:u w:val="single"/>
        </w:rPr>
        <w:t>°</w:t>
      </w:r>
      <w:r>
        <w:rPr>
          <w:rFonts w:hint="eastAsia" w:cs="Times New Roman"/>
          <w:color w:val="auto"/>
          <w:highlight w:val="none"/>
          <w:u w:val="single"/>
          <w:lang w:eastAsia="zh-CN"/>
        </w:rPr>
        <w:t>，</w:t>
      </w:r>
      <w:r>
        <w:rPr>
          <w:rFonts w:hint="eastAsia" w:cs="Times New Roman"/>
          <w:color w:val="auto"/>
          <w:highlight w:val="none"/>
          <w:u w:val="single"/>
          <w:lang w:val="en-US" w:eastAsia="zh-CN"/>
        </w:rPr>
        <w:t>局部较陡。整合后</w:t>
      </w:r>
      <w:r>
        <w:rPr>
          <w:rFonts w:hint="eastAsia" w:cs="Times New Roman"/>
          <w:color w:val="auto"/>
          <w:szCs w:val="24"/>
          <w:highlight w:val="none"/>
          <w:u w:val="single"/>
          <w:lang w:val="en-US" w:eastAsia="zh-CN"/>
        </w:rPr>
        <w:t>原海江采石场</w:t>
      </w:r>
      <w:r>
        <w:rPr>
          <w:rFonts w:hint="eastAsia" w:cs="Times New Roman"/>
          <w:color w:val="auto"/>
          <w:highlight w:val="none"/>
          <w:u w:val="single"/>
          <w:lang w:val="en-US" w:eastAsia="zh-CN"/>
        </w:rPr>
        <w:t>采空区均位于采矿权红线范围内</w:t>
      </w:r>
      <w:r>
        <w:rPr>
          <w:rFonts w:ascii="Times New Roman" w:hAnsi="Times New Roman" w:eastAsia="宋体" w:cs="Times New Roman"/>
          <w:color w:val="auto"/>
          <w:highlight w:val="none"/>
          <w:u w:val="single"/>
        </w:rPr>
        <w:t>。</w:t>
      </w:r>
    </w:p>
    <w:p>
      <w:pPr>
        <w:ind w:firstLine="480"/>
        <w:rPr>
          <w:rFonts w:hint="eastAsia" w:ascii="Times New Roman" w:hAnsi="Times New Roman" w:eastAsia="宋体"/>
          <w:color w:val="auto"/>
          <w:highlight w:val="none"/>
          <w:u w:val="single"/>
        </w:rPr>
      </w:pPr>
      <w:r>
        <w:rPr>
          <w:rFonts w:hint="eastAsia" w:ascii="Times New Roman" w:hAnsi="Times New Roman" w:eastAsia="宋体"/>
          <w:color w:val="auto"/>
          <w:highlight w:val="none"/>
          <w:u w:val="single"/>
          <w:lang w:val="en-US" w:eastAsia="zh-CN"/>
        </w:rPr>
        <w:t>原宏保兴采石场在2013年11月前包括</w:t>
      </w:r>
      <w:r>
        <w:rPr>
          <w:rFonts w:hint="eastAsia" w:ascii="Times New Roman" w:hAnsi="Times New Roman" w:eastAsia="宋体"/>
          <w:color w:val="auto"/>
          <w:highlight w:val="none"/>
          <w:u w:val="single"/>
        </w:rPr>
        <w:t>A采区</w:t>
      </w:r>
      <w:r>
        <w:rPr>
          <w:rFonts w:hint="eastAsia" w:ascii="Times New Roman" w:hAnsi="Times New Roman" w:eastAsia="宋体"/>
          <w:color w:val="auto"/>
          <w:highlight w:val="none"/>
          <w:u w:val="single"/>
          <w:lang w:val="en-US" w:eastAsia="zh-CN"/>
        </w:rPr>
        <w:t>和B采区，2013年11月</w:t>
      </w:r>
      <w:r>
        <w:rPr>
          <w:rFonts w:hint="eastAsia" w:ascii="Times New Roman" w:hAnsi="Times New Roman" w:eastAsia="宋体"/>
          <w:color w:val="auto"/>
          <w:highlight w:val="none"/>
          <w:u w:val="single"/>
        </w:rPr>
        <w:t>申请变更矿区范围</w:t>
      </w:r>
      <w:r>
        <w:rPr>
          <w:rFonts w:hint="eastAsia" w:ascii="Times New Roman" w:hAnsi="Times New Roman" w:eastAsia="宋体"/>
          <w:color w:val="auto"/>
          <w:highlight w:val="none"/>
          <w:u w:val="single"/>
          <w:lang w:val="en-US" w:eastAsia="zh-CN"/>
        </w:rPr>
        <w:t>后仅保留B采区（见附图20）。</w:t>
      </w:r>
      <w:r>
        <w:rPr>
          <w:rFonts w:hint="eastAsia"/>
          <w:color w:val="auto"/>
          <w:highlight w:val="none"/>
          <w:u w:val="single"/>
          <w:lang w:val="en-US" w:eastAsia="zh-CN"/>
        </w:rPr>
        <w:t>由于采矿许可证划定矿区范围位于半山腰，开采不便，</w:t>
      </w:r>
      <w:r>
        <w:rPr>
          <w:rFonts w:hint="eastAsia" w:ascii="Times New Roman" w:hAnsi="Times New Roman" w:eastAsia="宋体"/>
          <w:color w:val="auto"/>
          <w:highlight w:val="none"/>
          <w:u w:val="single"/>
        </w:rPr>
        <w:t>原宏保兴采石场</w:t>
      </w:r>
      <w:r>
        <w:rPr>
          <w:rFonts w:hint="eastAsia" w:ascii="Times New Roman" w:hAnsi="Times New Roman" w:eastAsia="宋体"/>
          <w:color w:val="auto"/>
          <w:highlight w:val="none"/>
          <w:u w:val="single"/>
          <w:lang w:val="en-US" w:eastAsia="zh-CN"/>
        </w:rPr>
        <w:t>现状仅开采至A采区</w:t>
      </w:r>
      <w:r>
        <w:rPr>
          <w:rFonts w:hint="eastAsia"/>
          <w:color w:val="auto"/>
          <w:highlight w:val="none"/>
          <w:u w:val="single"/>
          <w:lang w:val="en-US" w:eastAsia="zh-CN"/>
        </w:rPr>
        <w:t>矿体</w:t>
      </w:r>
      <w:r>
        <w:rPr>
          <w:rFonts w:hint="eastAsia" w:ascii="Times New Roman" w:hAnsi="Times New Roman" w:eastAsia="宋体"/>
          <w:color w:val="auto"/>
          <w:highlight w:val="none"/>
          <w:u w:val="single"/>
          <w:lang w:val="en-US" w:eastAsia="zh-CN"/>
        </w:rPr>
        <w:t>，B采区尚未开采，生产线、设备及堆料场均位于A采区。</w:t>
      </w:r>
      <w:r>
        <w:rPr>
          <w:rFonts w:hint="eastAsia" w:cs="Times New Roman"/>
          <w:color w:val="auto"/>
          <w:highlight w:val="none"/>
          <w:u w:val="single"/>
          <w:lang w:val="en-US" w:eastAsia="zh-CN"/>
        </w:rPr>
        <w:t>原宏保兴采石场于2014年11月停产，形成一个采坑，</w:t>
      </w:r>
      <w:r>
        <w:rPr>
          <w:rFonts w:hint="eastAsia"/>
          <w:color w:val="auto"/>
          <w:highlight w:val="none"/>
          <w:u w:val="single"/>
          <w:lang w:val="en-US" w:eastAsia="zh-CN"/>
        </w:rPr>
        <w:t>采坑</w:t>
      </w:r>
      <w:r>
        <w:rPr>
          <w:rFonts w:ascii="Times New Roman" w:hAnsi="Times New Roman" w:eastAsia="宋体" w:cs="Times New Roman"/>
          <w:color w:val="auto"/>
          <w:highlight w:val="none"/>
          <w:u w:val="single"/>
        </w:rPr>
        <w:t>底板</w:t>
      </w:r>
      <w:r>
        <w:rPr>
          <w:rFonts w:hint="eastAsia" w:cs="Times New Roman"/>
          <w:color w:val="auto"/>
          <w:highlight w:val="none"/>
          <w:u w:val="single"/>
          <w:lang w:val="en-US" w:eastAsia="zh-CN"/>
        </w:rPr>
        <w:t>最低</w:t>
      </w:r>
      <w:r>
        <w:rPr>
          <w:rFonts w:ascii="Times New Roman" w:hAnsi="Times New Roman" w:eastAsia="宋体" w:cs="Times New Roman"/>
          <w:color w:val="auto"/>
          <w:highlight w:val="none"/>
          <w:u w:val="single"/>
        </w:rPr>
        <w:t>标高+2</w:t>
      </w:r>
      <w:r>
        <w:rPr>
          <w:rFonts w:hint="eastAsia" w:cs="Times New Roman"/>
          <w:color w:val="auto"/>
          <w:highlight w:val="none"/>
          <w:u w:val="single"/>
          <w:lang w:val="en-US" w:eastAsia="zh-CN"/>
        </w:rPr>
        <w:t>30</w:t>
      </w:r>
      <w:r>
        <w:rPr>
          <w:rFonts w:ascii="Times New Roman" w:hAnsi="Times New Roman" w:eastAsia="宋体" w:cs="Times New Roman"/>
          <w:color w:val="auto"/>
          <w:highlight w:val="none"/>
          <w:u w:val="single"/>
        </w:rPr>
        <w:t>m，</w:t>
      </w:r>
      <w:r>
        <w:rPr>
          <w:rFonts w:hint="eastAsia" w:ascii="Times New Roman" w:hAnsi="Times New Roman" w:eastAsia="宋体"/>
          <w:color w:val="auto"/>
          <w:highlight w:val="none"/>
          <w:u w:val="single"/>
        </w:rPr>
        <w:t>采</w:t>
      </w:r>
      <w:r>
        <w:rPr>
          <w:rFonts w:hint="eastAsia"/>
          <w:color w:val="auto"/>
          <w:highlight w:val="none"/>
          <w:u w:val="single"/>
          <w:lang w:val="en-US" w:eastAsia="zh-CN"/>
        </w:rPr>
        <w:t>坑南北向长510</w:t>
      </w:r>
      <w:r>
        <w:rPr>
          <w:rFonts w:hint="eastAsia" w:ascii="Times New Roman" w:hAnsi="Times New Roman" w:eastAsia="宋体"/>
          <w:color w:val="auto"/>
          <w:highlight w:val="none"/>
          <w:u w:val="single"/>
        </w:rPr>
        <w:t>m，</w:t>
      </w:r>
      <w:r>
        <w:rPr>
          <w:rFonts w:hint="eastAsia"/>
          <w:color w:val="auto"/>
          <w:highlight w:val="none"/>
          <w:u w:val="single"/>
          <w:lang w:val="en-US" w:eastAsia="zh-CN"/>
        </w:rPr>
        <w:t>东西向</w:t>
      </w:r>
      <w:r>
        <w:rPr>
          <w:rFonts w:hint="eastAsia" w:ascii="Times New Roman" w:hAnsi="Times New Roman" w:eastAsia="宋体"/>
          <w:color w:val="auto"/>
          <w:highlight w:val="none"/>
          <w:u w:val="single"/>
        </w:rPr>
        <w:t>宽</w:t>
      </w:r>
      <w:r>
        <w:rPr>
          <w:rFonts w:hint="eastAsia"/>
          <w:color w:val="auto"/>
          <w:highlight w:val="none"/>
          <w:u w:val="single"/>
          <w:lang w:val="en-US" w:eastAsia="zh-CN"/>
        </w:rPr>
        <w:t>8</w:t>
      </w:r>
      <w:r>
        <w:rPr>
          <w:rFonts w:hint="eastAsia" w:ascii="Times New Roman" w:hAnsi="Times New Roman" w:eastAsia="宋体"/>
          <w:color w:val="auto"/>
          <w:highlight w:val="none"/>
          <w:u w:val="single"/>
        </w:rPr>
        <w:t>0m，</w:t>
      </w:r>
      <w:r>
        <w:rPr>
          <w:rFonts w:hint="eastAsia"/>
          <w:color w:val="auto"/>
          <w:highlight w:val="none"/>
          <w:u w:val="single"/>
          <w:lang w:val="en-US" w:eastAsia="zh-CN"/>
        </w:rPr>
        <w:t>采面边坡</w:t>
      </w:r>
      <w:r>
        <w:rPr>
          <w:rFonts w:hint="eastAsia" w:ascii="Times New Roman" w:hAnsi="Times New Roman" w:eastAsia="宋体"/>
          <w:color w:val="auto"/>
          <w:highlight w:val="none"/>
          <w:u w:val="single"/>
        </w:rPr>
        <w:t>高度</w:t>
      </w:r>
      <w:r>
        <w:rPr>
          <w:rFonts w:hint="eastAsia"/>
          <w:color w:val="auto"/>
          <w:highlight w:val="none"/>
          <w:u w:val="single"/>
          <w:lang w:val="en-US" w:eastAsia="zh-CN"/>
        </w:rPr>
        <w:t>10</w:t>
      </w:r>
      <w:r>
        <w:rPr>
          <w:rFonts w:hint="default" w:ascii="Times New Roman" w:hAnsi="Times New Roman" w:cs="Times New Roman"/>
          <w:color w:val="auto"/>
          <w:highlight w:val="none"/>
          <w:u w:val="single"/>
          <w:lang w:val="en-US" w:eastAsia="zh-CN"/>
        </w:rPr>
        <w:t>~</w:t>
      </w:r>
      <w:r>
        <w:rPr>
          <w:rFonts w:hint="eastAsia" w:ascii="Times New Roman" w:hAnsi="Times New Roman" w:cs="Times New Roman"/>
          <w:color w:val="auto"/>
          <w:highlight w:val="none"/>
          <w:u w:val="single"/>
          <w:lang w:val="en-US" w:eastAsia="zh-CN"/>
        </w:rPr>
        <w:t>45</w:t>
      </w:r>
      <w:r>
        <w:rPr>
          <w:rFonts w:hint="eastAsia" w:ascii="Times New Roman" w:hAnsi="Times New Roman" w:eastAsia="宋体"/>
          <w:color w:val="auto"/>
          <w:highlight w:val="none"/>
          <w:u w:val="single"/>
        </w:rPr>
        <w:t>m</w:t>
      </w:r>
      <w:r>
        <w:rPr>
          <w:rFonts w:hint="eastAsia"/>
          <w:color w:val="auto"/>
          <w:highlight w:val="none"/>
          <w:u w:val="single"/>
          <w:lang w:eastAsia="zh-CN"/>
        </w:rPr>
        <w:t>，</w:t>
      </w:r>
      <w:r>
        <w:rPr>
          <w:rFonts w:hint="eastAsia"/>
          <w:color w:val="auto"/>
          <w:highlight w:val="none"/>
          <w:u w:val="single"/>
          <w:lang w:val="en-US" w:eastAsia="zh-CN"/>
        </w:rPr>
        <w:t>边坡倾角45</w:t>
      </w:r>
      <w:r>
        <w:rPr>
          <w:rFonts w:hint="default" w:ascii="Times New Roman" w:hAnsi="Times New Roman" w:cs="Times New Roman"/>
          <w:color w:val="auto"/>
          <w:highlight w:val="none"/>
          <w:u w:val="single"/>
          <w:lang w:val="en-US" w:eastAsia="zh-CN"/>
        </w:rPr>
        <w:t>~</w:t>
      </w:r>
      <w:r>
        <w:rPr>
          <w:rFonts w:hint="eastAsia"/>
          <w:color w:val="auto"/>
          <w:highlight w:val="none"/>
          <w:u w:val="single"/>
          <w:lang w:val="en-US" w:eastAsia="zh-CN"/>
        </w:rPr>
        <w:t>8</w:t>
      </w:r>
      <w:r>
        <w:rPr>
          <w:rFonts w:hint="eastAsia" w:cs="Times New Roman"/>
          <w:color w:val="auto"/>
          <w:highlight w:val="none"/>
          <w:u w:val="single"/>
          <w:lang w:val="en-US" w:eastAsia="zh-CN"/>
        </w:rPr>
        <w:t>0</w:t>
      </w:r>
      <w:r>
        <w:rPr>
          <w:rFonts w:ascii="Times New Roman" w:hAnsi="Times New Roman" w:eastAsia="宋体" w:cs="Times New Roman"/>
          <w:color w:val="auto"/>
          <w:highlight w:val="none"/>
          <w:u w:val="single"/>
        </w:rPr>
        <w:t>°</w:t>
      </w:r>
      <w:r>
        <w:rPr>
          <w:rFonts w:hint="eastAsia" w:cs="Times New Roman"/>
          <w:color w:val="auto"/>
          <w:highlight w:val="none"/>
          <w:u w:val="single"/>
          <w:lang w:eastAsia="zh-CN"/>
        </w:rPr>
        <w:t>，</w:t>
      </w:r>
      <w:r>
        <w:rPr>
          <w:rFonts w:hint="eastAsia" w:cs="Times New Roman"/>
          <w:color w:val="auto"/>
          <w:highlight w:val="none"/>
          <w:u w:val="single"/>
          <w:lang w:val="en-US" w:eastAsia="zh-CN"/>
        </w:rPr>
        <w:t>局部较陡。</w:t>
      </w:r>
      <w:r>
        <w:rPr>
          <w:rStyle w:val="61"/>
          <w:rFonts w:ascii="Times New Roman" w:hAnsi="Times New Roman" w:eastAsia="宋体" w:cs="Times New Roman"/>
          <w:color w:val="auto"/>
          <w:kern w:val="0"/>
          <w:sz w:val="24"/>
          <w:szCs w:val="24"/>
          <w:highlight w:val="none"/>
          <w:u w:val="single"/>
        </w:rPr>
        <w:t>整合后</w:t>
      </w:r>
      <w:r>
        <w:rPr>
          <w:rStyle w:val="61"/>
          <w:rFonts w:hint="eastAsia" w:cs="Times New Roman"/>
          <w:color w:val="auto"/>
          <w:kern w:val="0"/>
          <w:sz w:val="24"/>
          <w:szCs w:val="24"/>
          <w:highlight w:val="none"/>
          <w:u w:val="single"/>
          <w:lang w:val="en-US" w:eastAsia="zh-CN"/>
        </w:rPr>
        <w:t>原宏保兴采石场</w:t>
      </w:r>
      <w:r>
        <w:rPr>
          <w:rFonts w:hint="eastAsia" w:cs="Times New Roman"/>
          <w:color w:val="auto"/>
          <w:highlight w:val="none"/>
          <w:u w:val="single"/>
          <w:lang w:val="en-US" w:eastAsia="zh-CN"/>
        </w:rPr>
        <w:t>采空区均位于采矿权红线范围内</w:t>
      </w:r>
      <w:r>
        <w:rPr>
          <w:rStyle w:val="61"/>
          <w:rFonts w:hint="eastAsia" w:ascii="Times New Roman" w:hAnsi="Times New Roman" w:eastAsia="宋体" w:cs="Times New Roman"/>
          <w:color w:val="auto"/>
          <w:kern w:val="0"/>
          <w:sz w:val="24"/>
          <w:szCs w:val="24"/>
          <w:highlight w:val="none"/>
          <w:u w:val="single"/>
          <w:lang w:val="en-US" w:eastAsia="zh-CN"/>
        </w:rPr>
        <w:t>。</w:t>
      </w:r>
    </w:p>
    <w:p>
      <w:pPr>
        <w:pStyle w:val="5"/>
        <w:rPr>
          <w:rFonts w:hint="eastAsia" w:ascii="Times New Roman" w:hAnsi="Times New Roman" w:eastAsia="宋体"/>
          <w:color w:val="auto"/>
          <w:highlight w:val="none"/>
          <w:u w:val="single"/>
        </w:rPr>
      </w:pPr>
      <w:r>
        <w:rPr>
          <w:rFonts w:hint="eastAsia" w:ascii="Times New Roman" w:hAnsi="Times New Roman" w:eastAsia="宋体"/>
          <w:color w:val="auto"/>
          <w:highlight w:val="none"/>
          <w:u w:val="single"/>
        </w:rPr>
        <w:t>2.1.</w:t>
      </w:r>
      <w:r>
        <w:rPr>
          <w:rFonts w:hint="eastAsia" w:ascii="Times New Roman" w:hAnsi="Times New Roman" w:eastAsia="宋体"/>
          <w:color w:val="auto"/>
          <w:highlight w:val="none"/>
          <w:u w:val="single"/>
          <w:lang w:val="en-US" w:eastAsia="zh-CN"/>
        </w:rPr>
        <w:t>4</w:t>
      </w:r>
      <w:r>
        <w:rPr>
          <w:rFonts w:hint="eastAsia" w:ascii="Times New Roman" w:hAnsi="Times New Roman" w:eastAsia="宋体"/>
          <w:color w:val="auto"/>
          <w:highlight w:val="none"/>
          <w:u w:val="single"/>
        </w:rPr>
        <w:t xml:space="preserve"> 环评及竣工环境保护验收情况</w:t>
      </w:r>
    </w:p>
    <w:p>
      <w:pPr>
        <w:ind w:firstLine="480"/>
        <w:rPr>
          <w:rFonts w:ascii="Times New Roman" w:hAnsi="Times New Roman" w:eastAsia="宋体"/>
          <w:color w:val="auto"/>
          <w:highlight w:val="none"/>
          <w:u w:val="single"/>
        </w:rPr>
      </w:pPr>
      <w:r>
        <w:rPr>
          <w:rFonts w:hint="eastAsia" w:ascii="Times New Roman" w:hAnsi="Times New Roman" w:eastAsia="宋体" w:cs="Times New Roman"/>
          <w:color w:val="auto"/>
          <w:kern w:val="0"/>
          <w:szCs w:val="24"/>
          <w:highlight w:val="none"/>
          <w:u w:val="single"/>
        </w:rPr>
        <w:t>原</w:t>
      </w:r>
      <w:r>
        <w:rPr>
          <w:rFonts w:hint="eastAsia" w:ascii="Times New Roman" w:hAnsi="Times New Roman" w:eastAsia="宋体"/>
          <w:color w:val="auto"/>
          <w:highlight w:val="none"/>
          <w:u w:val="single"/>
        </w:rPr>
        <w:t>海江采石场为小型露天矿山，于2010年6月依法取得原三江县国土资源局颁发的采矿许可证，同时委托来宾市环境保护科学研究所于2010年6月编制完成《三江县海江采石场年开采建筑用石料3万m</w:t>
      </w:r>
      <w:r>
        <w:rPr>
          <w:rFonts w:hint="eastAsia" w:ascii="Times New Roman" w:hAnsi="Times New Roman" w:eastAsia="宋体"/>
          <w:color w:val="auto"/>
          <w:highlight w:val="none"/>
          <w:u w:val="single"/>
          <w:vertAlign w:val="superscript"/>
        </w:rPr>
        <w:t>3</w:t>
      </w:r>
      <w:r>
        <w:rPr>
          <w:rFonts w:hint="eastAsia" w:ascii="Times New Roman" w:hAnsi="Times New Roman" w:eastAsia="宋体"/>
          <w:color w:val="auto"/>
          <w:highlight w:val="none"/>
          <w:u w:val="single"/>
        </w:rPr>
        <w:t>项目环境影响报告表》，并于2010年6月28日获得原三江县环境保护局下发《关于三江县海江采石场年开采建筑用石料3万立方米项目环境影响报告表的批复》。</w:t>
      </w:r>
      <w:r>
        <w:rPr>
          <w:rFonts w:hint="eastAsia"/>
          <w:color w:val="auto"/>
          <w:highlight w:val="none"/>
          <w:u w:val="single"/>
          <w:lang w:val="en-US" w:eastAsia="zh-CN"/>
        </w:rPr>
        <w:t>项目未办理竣工环境保护验收手续</w:t>
      </w:r>
      <w:r>
        <w:rPr>
          <w:rFonts w:hint="eastAsia" w:ascii="Times New Roman" w:hAnsi="Times New Roman" w:eastAsia="宋体"/>
          <w:color w:val="auto"/>
          <w:highlight w:val="none"/>
          <w:u w:val="single"/>
        </w:rPr>
        <w:t>。</w:t>
      </w:r>
    </w:p>
    <w:p>
      <w:pPr>
        <w:ind w:firstLine="480"/>
        <w:rPr>
          <w:rFonts w:ascii="Times New Roman" w:hAnsi="Times New Roman" w:eastAsia="宋体"/>
          <w:color w:val="auto"/>
          <w:highlight w:val="none"/>
          <w:u w:val="single"/>
        </w:rPr>
      </w:pPr>
      <w:r>
        <w:rPr>
          <w:rFonts w:hint="eastAsia" w:ascii="Times New Roman" w:hAnsi="Times New Roman" w:eastAsia="宋体" w:cs="Times New Roman"/>
          <w:bCs/>
          <w:color w:val="auto"/>
          <w:szCs w:val="24"/>
          <w:highlight w:val="none"/>
          <w:u w:val="single"/>
        </w:rPr>
        <w:t>原</w:t>
      </w:r>
      <w:r>
        <w:rPr>
          <w:rFonts w:hint="eastAsia" w:ascii="Times New Roman" w:hAnsi="Times New Roman" w:eastAsia="宋体"/>
          <w:color w:val="auto"/>
          <w:highlight w:val="none"/>
          <w:u w:val="single"/>
        </w:rPr>
        <w:t>宏保兴采石场于2009年11月委托重庆市环保工程设计研究院有限公司编制《</w:t>
      </w:r>
      <w:r>
        <w:rPr>
          <w:rFonts w:hint="eastAsia" w:ascii="Times New Roman" w:hAnsi="Times New Roman" w:eastAsia="宋体"/>
          <w:bCs/>
          <w:color w:val="auto"/>
          <w:highlight w:val="none"/>
          <w:u w:val="single"/>
        </w:rPr>
        <w:t>三江县宏保兴采石场年开采8万立方米灰岩矿</w:t>
      </w:r>
      <w:r>
        <w:rPr>
          <w:rFonts w:hint="eastAsia" w:ascii="Times New Roman" w:hAnsi="Times New Roman" w:eastAsia="宋体"/>
          <w:color w:val="auto"/>
          <w:highlight w:val="none"/>
          <w:u w:val="single"/>
        </w:rPr>
        <w:t>项目环境影响评价报告表》，并于2009年11月19日获得原三江县环境保护局下发《关于</w:t>
      </w:r>
      <w:r>
        <w:rPr>
          <w:rFonts w:hint="eastAsia" w:ascii="Times New Roman" w:hAnsi="Times New Roman" w:eastAsia="宋体"/>
          <w:bCs/>
          <w:color w:val="auto"/>
          <w:highlight w:val="none"/>
          <w:u w:val="single"/>
        </w:rPr>
        <w:t>三江县宏保兴采石场年开采8万立方米灰岩矿</w:t>
      </w:r>
      <w:r>
        <w:rPr>
          <w:rFonts w:hint="eastAsia" w:ascii="Times New Roman" w:hAnsi="Times New Roman" w:eastAsia="宋体"/>
          <w:color w:val="auto"/>
          <w:highlight w:val="none"/>
          <w:u w:val="single"/>
        </w:rPr>
        <w:t>项目环境影响评价报告表的批复》（三环管字</w:t>
      </w:r>
      <w:r>
        <w:rPr>
          <w:rFonts w:hint="eastAsia" w:ascii="Times New Roman" w:hAnsi="Times New Roman" w:eastAsia="宋体" w:cs="Times New Roman"/>
          <w:color w:val="auto"/>
          <w:szCs w:val="24"/>
          <w:highlight w:val="none"/>
          <w:u w:val="single"/>
        </w:rPr>
        <w:t>〔200</w:t>
      </w:r>
      <w:r>
        <w:rPr>
          <w:rFonts w:hint="eastAsia" w:ascii="Times New Roman" w:hAnsi="Times New Roman" w:eastAsia="宋体" w:cs="Times New Roman"/>
          <w:color w:val="auto"/>
          <w:szCs w:val="24"/>
          <w:highlight w:val="none"/>
          <w:u w:val="single"/>
          <w:lang w:val="en-US" w:eastAsia="zh-CN"/>
        </w:rPr>
        <w:t>9</w:t>
      </w:r>
      <w:r>
        <w:rPr>
          <w:rFonts w:hint="eastAsia" w:ascii="Times New Roman" w:hAnsi="Times New Roman" w:eastAsia="宋体" w:cs="Times New Roman"/>
          <w:color w:val="auto"/>
          <w:szCs w:val="24"/>
          <w:highlight w:val="none"/>
          <w:u w:val="single"/>
        </w:rPr>
        <w:t>〕</w:t>
      </w:r>
      <w:r>
        <w:rPr>
          <w:rFonts w:hint="eastAsia" w:ascii="Times New Roman" w:hAnsi="Times New Roman" w:eastAsia="宋体"/>
          <w:color w:val="auto"/>
          <w:highlight w:val="none"/>
          <w:u w:val="single"/>
        </w:rPr>
        <w:t>35号）（附件6-2）。</w:t>
      </w:r>
      <w:r>
        <w:rPr>
          <w:rFonts w:hint="eastAsia"/>
          <w:color w:val="auto"/>
          <w:highlight w:val="none"/>
          <w:u w:val="single"/>
          <w:lang w:val="en-US" w:eastAsia="zh-CN"/>
        </w:rPr>
        <w:t>项目未办理竣工环境保护验收手续</w:t>
      </w:r>
      <w:r>
        <w:rPr>
          <w:rFonts w:hint="eastAsia" w:ascii="Times New Roman" w:hAnsi="Times New Roman" w:eastAsia="宋体"/>
          <w:color w:val="auto"/>
          <w:highlight w:val="none"/>
          <w:u w:val="single"/>
        </w:rPr>
        <w:t>。</w:t>
      </w:r>
    </w:p>
    <w:p>
      <w:pPr>
        <w:pStyle w:val="4"/>
        <w:rPr>
          <w:rFonts w:hint="eastAsia" w:ascii="Times New Roman" w:hAnsi="Times New Roman" w:eastAsia="宋体"/>
          <w:color w:val="auto"/>
          <w:highlight w:val="none"/>
          <w:u w:val="single"/>
        </w:rPr>
      </w:pPr>
      <w:bookmarkStart w:id="75" w:name="_Toc16156"/>
      <w:r>
        <w:rPr>
          <w:rFonts w:hint="eastAsia" w:ascii="Times New Roman" w:hAnsi="Times New Roman" w:eastAsia="宋体"/>
          <w:color w:val="auto"/>
          <w:highlight w:val="none"/>
          <w:u w:val="single"/>
        </w:rPr>
        <w:t>2.2 整合前</w:t>
      </w:r>
      <w:r>
        <w:rPr>
          <w:rFonts w:hint="eastAsia" w:ascii="Times New Roman" w:hAnsi="Times New Roman" w:eastAsia="宋体"/>
          <w:color w:val="auto"/>
          <w:highlight w:val="none"/>
          <w:u w:val="single"/>
          <w:lang w:val="en-US" w:eastAsia="zh-CN"/>
        </w:rPr>
        <w:t>原有项目</w:t>
      </w:r>
      <w:r>
        <w:rPr>
          <w:rFonts w:hint="eastAsia" w:ascii="Times New Roman" w:hAnsi="Times New Roman" w:eastAsia="宋体"/>
          <w:color w:val="auto"/>
          <w:highlight w:val="none"/>
          <w:u w:val="single"/>
        </w:rPr>
        <w:t>概况</w:t>
      </w:r>
      <w:bookmarkEnd w:id="75"/>
    </w:p>
    <w:p>
      <w:pPr>
        <w:pStyle w:val="5"/>
        <w:bidi w:val="0"/>
        <w:rPr>
          <w:color w:val="auto"/>
          <w:highlight w:val="none"/>
          <w:u w:val="single"/>
        </w:rPr>
      </w:pPr>
      <w:r>
        <w:rPr>
          <w:color w:val="auto"/>
          <w:highlight w:val="none"/>
          <w:u w:val="single"/>
        </w:rPr>
        <w:t>2.</w:t>
      </w:r>
      <w:r>
        <w:rPr>
          <w:rFonts w:hint="eastAsia"/>
          <w:color w:val="auto"/>
          <w:highlight w:val="none"/>
          <w:u w:val="single"/>
        </w:rPr>
        <w:t>2</w:t>
      </w:r>
      <w:r>
        <w:rPr>
          <w:color w:val="auto"/>
          <w:highlight w:val="none"/>
          <w:u w:val="single"/>
        </w:rPr>
        <w:t xml:space="preserve">.1 </w:t>
      </w:r>
      <w:r>
        <w:rPr>
          <w:rFonts w:hint="eastAsia"/>
          <w:color w:val="auto"/>
          <w:highlight w:val="none"/>
          <w:u w:val="single"/>
          <w:lang w:val="en-US" w:eastAsia="zh-CN"/>
        </w:rPr>
        <w:t>原有矿区采矿权设置</w:t>
      </w:r>
      <w:r>
        <w:rPr>
          <w:color w:val="auto"/>
          <w:highlight w:val="none"/>
          <w:u w:val="single"/>
        </w:rPr>
        <w:t>情况</w:t>
      </w:r>
    </w:p>
    <w:p>
      <w:pPr>
        <w:ind w:firstLine="480"/>
        <w:rPr>
          <w:rFonts w:hint="default" w:ascii="Times New Roman" w:hAnsi="Times New Roman" w:eastAsia="宋体"/>
          <w:color w:val="auto"/>
          <w:highlight w:val="none"/>
          <w:u w:val="single"/>
          <w:lang w:val="en-US" w:eastAsia="zh-CN"/>
        </w:rPr>
      </w:pPr>
      <w:r>
        <w:rPr>
          <w:rFonts w:hint="eastAsia" w:ascii="Times New Roman" w:hAnsi="Times New Roman" w:eastAsia="宋体"/>
          <w:color w:val="auto"/>
          <w:highlight w:val="none"/>
          <w:u w:val="single"/>
          <w:lang w:val="en-US" w:eastAsia="zh-CN"/>
        </w:rPr>
        <w:t>根据</w:t>
      </w:r>
      <w:r>
        <w:rPr>
          <w:rFonts w:ascii="Times New Roman" w:hAnsi="Times New Roman" w:eastAsia="宋体" w:cs="Times New Roman"/>
          <w:color w:val="auto"/>
          <w:szCs w:val="24"/>
          <w:highlight w:val="none"/>
          <w:u w:val="single"/>
        </w:rPr>
        <w:t>《三江县宏源采石场硅质岩矿矿产资源开发利用方案》</w:t>
      </w:r>
      <w:r>
        <w:rPr>
          <w:rFonts w:hint="eastAsia" w:ascii="Times New Roman" w:hAnsi="Times New Roman" w:eastAsia="宋体" w:cs="Times New Roman"/>
          <w:color w:val="auto"/>
          <w:szCs w:val="24"/>
          <w:highlight w:val="none"/>
          <w:u w:val="single"/>
          <w:lang w:val="en-US" w:eastAsia="zh-CN"/>
        </w:rPr>
        <w:t>、</w:t>
      </w:r>
      <w:r>
        <w:rPr>
          <w:rFonts w:ascii="Times New Roman" w:hAnsi="Times New Roman" w:eastAsia="宋体" w:cs="Times New Roman"/>
          <w:color w:val="auto"/>
          <w:highlight w:val="none"/>
          <w:u w:val="single"/>
        </w:rPr>
        <w:t>《</w:t>
      </w:r>
      <w:r>
        <w:rPr>
          <w:rFonts w:ascii="Times New Roman" w:hAnsi="Times New Roman" w:eastAsia="宋体" w:cs="Times New Roman"/>
          <w:color w:val="auto"/>
          <w:szCs w:val="24"/>
          <w:highlight w:val="none"/>
          <w:u w:val="single"/>
        </w:rPr>
        <w:t>三江县宏源采石场硅质岩矿</w:t>
      </w:r>
      <w:r>
        <w:rPr>
          <w:rFonts w:ascii="Times New Roman" w:hAnsi="Times New Roman" w:eastAsia="宋体" w:cs="Times New Roman"/>
          <w:color w:val="auto"/>
          <w:highlight w:val="none"/>
          <w:u w:val="single"/>
        </w:rPr>
        <w:t>矿山地质环境保护与土地复垦方案》</w:t>
      </w:r>
      <w:r>
        <w:rPr>
          <w:rFonts w:hint="eastAsia" w:ascii="Times New Roman" w:hAnsi="Times New Roman" w:eastAsia="宋体" w:cs="Times New Roman"/>
          <w:color w:val="auto"/>
          <w:highlight w:val="none"/>
          <w:u w:val="single"/>
          <w:lang w:val="en-US" w:eastAsia="zh-CN"/>
        </w:rPr>
        <w:t>及相关资料，拟整合的原三江县海江采石场和原三江县宏保兴采石场2个矿区的采矿权要素见下表2.2-1。</w:t>
      </w:r>
    </w:p>
    <w:p>
      <w:pPr>
        <w:spacing w:line="240" w:lineRule="auto"/>
        <w:ind w:firstLine="0" w:firstLineChars="0"/>
        <w:jc w:val="center"/>
        <w:rPr>
          <w:rFonts w:ascii="Times New Roman" w:hAnsi="Times New Roman" w:eastAsia="宋体" w:cs="Times New Roman"/>
          <w:b/>
          <w:bCs/>
          <w:color w:val="auto"/>
          <w:highlight w:val="none"/>
          <w:u w:val="single"/>
        </w:rPr>
      </w:pPr>
      <w:r>
        <w:rPr>
          <w:rFonts w:ascii="Times New Roman" w:hAnsi="Times New Roman" w:eastAsia="宋体" w:cs="Times New Roman"/>
          <w:b/>
          <w:bCs/>
          <w:color w:val="auto"/>
          <w:highlight w:val="none"/>
          <w:u w:val="single"/>
        </w:rPr>
        <w:t>表2.</w:t>
      </w:r>
      <w:r>
        <w:rPr>
          <w:rFonts w:hint="eastAsia" w:ascii="Times New Roman" w:hAnsi="Times New Roman" w:eastAsia="宋体" w:cs="Times New Roman"/>
          <w:b/>
          <w:bCs/>
          <w:color w:val="auto"/>
          <w:highlight w:val="none"/>
          <w:u w:val="single"/>
        </w:rPr>
        <w:t>2-1</w:t>
      </w:r>
      <w:r>
        <w:rPr>
          <w:rFonts w:ascii="Times New Roman" w:hAnsi="Times New Roman" w:eastAsia="宋体" w:cs="Times New Roman"/>
          <w:b/>
          <w:bCs/>
          <w:color w:val="auto"/>
          <w:highlight w:val="none"/>
          <w:u w:val="single"/>
        </w:rPr>
        <w:t xml:space="preserve">  </w:t>
      </w:r>
      <w:r>
        <w:rPr>
          <w:rFonts w:hint="eastAsia" w:ascii="Times New Roman" w:hAnsi="Times New Roman" w:eastAsia="宋体" w:cs="Times New Roman"/>
          <w:b/>
          <w:bCs/>
          <w:color w:val="auto"/>
          <w:highlight w:val="none"/>
          <w:u w:val="single"/>
        </w:rPr>
        <w:t>原</w:t>
      </w:r>
      <w:r>
        <w:rPr>
          <w:rFonts w:hint="eastAsia" w:ascii="Times New Roman" w:hAnsi="Times New Roman" w:eastAsia="宋体" w:cs="Times New Roman"/>
          <w:b/>
          <w:bCs/>
          <w:color w:val="auto"/>
          <w:highlight w:val="none"/>
          <w:u w:val="single"/>
          <w:lang w:val="en-US" w:eastAsia="zh-CN"/>
        </w:rPr>
        <w:t>矿区采矿权要素一览表</w:t>
      </w:r>
    </w:p>
    <w:tbl>
      <w:tblPr>
        <w:tblStyle w:val="48"/>
        <w:tblW w:w="9167"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
      <w:tblGrid>
        <w:gridCol w:w="635"/>
        <w:gridCol w:w="1770"/>
        <w:gridCol w:w="735"/>
        <w:gridCol w:w="1245"/>
        <w:gridCol w:w="1350"/>
        <w:gridCol w:w="735"/>
        <w:gridCol w:w="1095"/>
        <w:gridCol w:w="810"/>
        <w:gridCol w:w="792"/>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283" w:hRule="atLeast"/>
          <w:tblHeader/>
          <w:jc w:val="center"/>
        </w:trPr>
        <w:tc>
          <w:tcPr>
            <w:tcW w:w="635" w:type="dxa"/>
            <w:vMerge w:val="restart"/>
            <w:noWrap w:val="0"/>
            <w:vAlign w:val="center"/>
          </w:tcPr>
          <w:p>
            <w:pPr>
              <w:spacing w:line="240" w:lineRule="atLeast"/>
              <w:ind w:firstLine="0" w:firstLineChars="0"/>
              <w:jc w:val="center"/>
              <w:rPr>
                <w:rFonts w:hint="default" w:ascii="Times New Roman" w:hAnsi="Times New Roman" w:eastAsia="宋体" w:cs="Times New Roman"/>
                <w:b/>
                <w:color w:val="auto"/>
                <w:sz w:val="21"/>
                <w:szCs w:val="21"/>
                <w:highlight w:val="none"/>
                <w:u w:val="single"/>
                <w:lang w:val="en-US" w:eastAsia="zh-CN"/>
              </w:rPr>
            </w:pPr>
            <w:r>
              <w:rPr>
                <w:rFonts w:hint="default" w:ascii="Times New Roman" w:hAnsi="Times New Roman" w:eastAsia="宋体" w:cs="Times New Roman"/>
                <w:b/>
                <w:color w:val="auto"/>
                <w:sz w:val="21"/>
                <w:szCs w:val="21"/>
                <w:highlight w:val="none"/>
                <w:u w:val="single"/>
                <w:lang w:val="en-US" w:eastAsia="zh-CN"/>
              </w:rPr>
              <w:t>名称</w:t>
            </w:r>
          </w:p>
        </w:tc>
        <w:tc>
          <w:tcPr>
            <w:tcW w:w="1770" w:type="dxa"/>
            <w:vMerge w:val="restart"/>
            <w:noWrap w:val="0"/>
            <w:vAlign w:val="center"/>
          </w:tcPr>
          <w:p>
            <w:pPr>
              <w:spacing w:line="240" w:lineRule="atLeast"/>
              <w:ind w:firstLine="0" w:firstLineChars="0"/>
              <w:jc w:val="center"/>
              <w:rPr>
                <w:rFonts w:hint="default" w:ascii="Times New Roman" w:hAnsi="Times New Roman" w:eastAsia="宋体" w:cs="Times New Roman"/>
                <w:b/>
                <w:color w:val="auto"/>
                <w:sz w:val="21"/>
                <w:szCs w:val="21"/>
                <w:highlight w:val="none"/>
                <w:u w:val="single"/>
                <w:lang w:val="en-US" w:eastAsia="zh-CN"/>
              </w:rPr>
            </w:pPr>
            <w:r>
              <w:rPr>
                <w:rFonts w:hint="default" w:ascii="Times New Roman" w:hAnsi="Times New Roman" w:eastAsia="宋体" w:cs="Times New Roman"/>
                <w:b/>
                <w:color w:val="auto"/>
                <w:sz w:val="21"/>
                <w:szCs w:val="21"/>
                <w:highlight w:val="none"/>
                <w:u w:val="single"/>
                <w:lang w:val="en-US" w:eastAsia="zh-CN"/>
              </w:rPr>
              <w:t>采矿权人</w:t>
            </w:r>
          </w:p>
          <w:p>
            <w:pPr>
              <w:spacing w:line="240" w:lineRule="atLeast"/>
              <w:ind w:firstLine="0" w:firstLineChars="0"/>
              <w:jc w:val="center"/>
              <w:rPr>
                <w:rFonts w:hint="default" w:ascii="Times New Roman" w:hAnsi="Times New Roman" w:eastAsia="宋体" w:cs="Times New Roman"/>
                <w:b/>
                <w:color w:val="auto"/>
                <w:sz w:val="21"/>
                <w:szCs w:val="21"/>
                <w:highlight w:val="none"/>
                <w:u w:val="single"/>
                <w:lang w:val="en-US" w:eastAsia="zh-CN"/>
              </w:rPr>
            </w:pPr>
            <w:r>
              <w:rPr>
                <w:rFonts w:hint="default" w:ascii="Times New Roman" w:hAnsi="Times New Roman" w:eastAsia="宋体" w:cs="Times New Roman"/>
                <w:b/>
                <w:color w:val="auto"/>
                <w:sz w:val="21"/>
                <w:szCs w:val="21"/>
                <w:highlight w:val="none"/>
                <w:u w:val="single"/>
                <w:lang w:val="en-US" w:eastAsia="zh-CN"/>
              </w:rPr>
              <w:t>（采矿许可证号）</w:t>
            </w:r>
          </w:p>
        </w:tc>
        <w:tc>
          <w:tcPr>
            <w:tcW w:w="3330" w:type="dxa"/>
            <w:gridSpan w:val="3"/>
            <w:noWrap w:val="0"/>
            <w:vAlign w:val="center"/>
          </w:tcPr>
          <w:p>
            <w:pPr>
              <w:spacing w:line="240" w:lineRule="atLeast"/>
              <w:ind w:firstLine="0" w:firstLineChars="0"/>
              <w:jc w:val="center"/>
              <w:rPr>
                <w:rFonts w:hint="default" w:ascii="Times New Roman" w:hAnsi="Times New Roman" w:eastAsia="宋体" w:cs="Times New Roman"/>
                <w:b/>
                <w:color w:val="auto"/>
                <w:sz w:val="21"/>
                <w:szCs w:val="21"/>
                <w:highlight w:val="none"/>
                <w:u w:val="single"/>
                <w:lang w:val="en-US" w:eastAsia="zh-CN"/>
              </w:rPr>
            </w:pPr>
            <w:r>
              <w:rPr>
                <w:rFonts w:hint="default" w:ascii="Times New Roman" w:hAnsi="Times New Roman" w:eastAsia="宋体" w:cs="Times New Roman"/>
                <w:b/>
                <w:color w:val="auto"/>
                <w:sz w:val="21"/>
                <w:szCs w:val="21"/>
                <w:highlight w:val="none"/>
                <w:u w:val="single"/>
                <w:lang w:val="en-US" w:eastAsia="zh-CN"/>
              </w:rPr>
              <w:t>矿区范围拐点坐标</w:t>
            </w:r>
          </w:p>
          <w:p>
            <w:pPr>
              <w:spacing w:line="240" w:lineRule="atLeast"/>
              <w:ind w:firstLine="0" w:firstLineChars="0"/>
              <w:jc w:val="center"/>
              <w:rPr>
                <w:rFonts w:hint="default" w:ascii="Times New Roman" w:hAnsi="Times New Roman" w:eastAsia="宋体" w:cs="Times New Roman"/>
                <w:b/>
                <w:color w:val="auto"/>
                <w:sz w:val="21"/>
                <w:szCs w:val="21"/>
                <w:highlight w:val="none"/>
                <w:u w:val="single"/>
                <w:lang w:val="en-US" w:eastAsia="zh-CN"/>
              </w:rPr>
            </w:pPr>
            <w:r>
              <w:rPr>
                <w:rFonts w:hint="default" w:ascii="Times New Roman" w:hAnsi="Times New Roman" w:eastAsia="宋体" w:cs="Times New Roman"/>
                <w:b/>
                <w:color w:val="auto"/>
                <w:sz w:val="21"/>
                <w:szCs w:val="21"/>
                <w:highlight w:val="none"/>
                <w:u w:val="single"/>
                <w:lang w:val="en-US" w:eastAsia="zh-CN"/>
              </w:rPr>
              <w:t>（1980西安坐标系）</w:t>
            </w:r>
          </w:p>
        </w:tc>
        <w:tc>
          <w:tcPr>
            <w:tcW w:w="735" w:type="dxa"/>
            <w:vMerge w:val="restart"/>
            <w:noWrap w:val="0"/>
            <w:vAlign w:val="center"/>
          </w:tcPr>
          <w:p>
            <w:pPr>
              <w:spacing w:line="240" w:lineRule="atLeast"/>
              <w:ind w:firstLine="0" w:firstLineChars="0"/>
              <w:jc w:val="center"/>
              <w:rPr>
                <w:rFonts w:hint="default" w:ascii="Times New Roman" w:hAnsi="Times New Roman" w:eastAsia="宋体" w:cs="Times New Roman"/>
                <w:b/>
                <w:color w:val="auto"/>
                <w:sz w:val="21"/>
                <w:szCs w:val="21"/>
                <w:highlight w:val="none"/>
                <w:u w:val="single"/>
                <w:lang w:val="en-US" w:eastAsia="zh-CN"/>
              </w:rPr>
            </w:pPr>
            <w:r>
              <w:rPr>
                <w:rFonts w:hint="default" w:ascii="Times New Roman" w:hAnsi="Times New Roman" w:eastAsia="宋体" w:cs="Times New Roman"/>
                <w:b/>
                <w:color w:val="auto"/>
                <w:sz w:val="21"/>
                <w:szCs w:val="21"/>
                <w:highlight w:val="none"/>
                <w:u w:val="single"/>
                <w:lang w:val="en-US" w:eastAsia="zh-CN"/>
              </w:rPr>
              <w:t>开采</w:t>
            </w:r>
          </w:p>
          <w:p>
            <w:pPr>
              <w:spacing w:line="240" w:lineRule="atLeast"/>
              <w:ind w:firstLine="0" w:firstLineChars="0"/>
              <w:jc w:val="center"/>
              <w:rPr>
                <w:rFonts w:hint="default" w:ascii="Times New Roman" w:hAnsi="Times New Roman" w:eastAsia="宋体" w:cs="Times New Roman"/>
                <w:b/>
                <w:color w:val="auto"/>
                <w:sz w:val="21"/>
                <w:szCs w:val="21"/>
                <w:highlight w:val="none"/>
                <w:u w:val="single"/>
                <w:lang w:val="en-US" w:eastAsia="zh-CN"/>
              </w:rPr>
            </w:pPr>
            <w:r>
              <w:rPr>
                <w:rFonts w:hint="default" w:ascii="Times New Roman" w:hAnsi="Times New Roman" w:eastAsia="宋体" w:cs="Times New Roman"/>
                <w:b/>
                <w:color w:val="auto"/>
                <w:sz w:val="21"/>
                <w:szCs w:val="21"/>
                <w:highlight w:val="none"/>
                <w:u w:val="single"/>
                <w:lang w:val="en-US" w:eastAsia="zh-CN"/>
              </w:rPr>
              <w:t>方式</w:t>
            </w:r>
          </w:p>
        </w:tc>
        <w:tc>
          <w:tcPr>
            <w:tcW w:w="1095" w:type="dxa"/>
            <w:vMerge w:val="restart"/>
            <w:noWrap w:val="0"/>
            <w:vAlign w:val="center"/>
          </w:tcPr>
          <w:p>
            <w:pPr>
              <w:spacing w:line="240" w:lineRule="atLeast"/>
              <w:ind w:firstLine="0" w:firstLineChars="0"/>
              <w:jc w:val="center"/>
              <w:rPr>
                <w:rFonts w:hint="default" w:ascii="Times New Roman" w:hAnsi="Times New Roman" w:eastAsia="宋体" w:cs="Times New Roman"/>
                <w:b/>
                <w:color w:val="auto"/>
                <w:sz w:val="21"/>
                <w:szCs w:val="21"/>
                <w:highlight w:val="none"/>
                <w:u w:val="single"/>
                <w:lang w:val="en-US" w:eastAsia="zh-CN"/>
              </w:rPr>
            </w:pPr>
            <w:r>
              <w:rPr>
                <w:rFonts w:hint="default" w:ascii="Times New Roman" w:hAnsi="Times New Roman" w:eastAsia="宋体" w:cs="Times New Roman"/>
                <w:b/>
                <w:color w:val="auto"/>
                <w:sz w:val="21"/>
                <w:szCs w:val="21"/>
                <w:highlight w:val="none"/>
                <w:u w:val="single"/>
                <w:lang w:val="en-US" w:eastAsia="zh-CN"/>
              </w:rPr>
              <w:t>矿区</w:t>
            </w:r>
          </w:p>
          <w:p>
            <w:pPr>
              <w:spacing w:line="240" w:lineRule="atLeast"/>
              <w:ind w:firstLine="0" w:firstLineChars="0"/>
              <w:jc w:val="center"/>
              <w:rPr>
                <w:rFonts w:hint="default" w:ascii="Times New Roman" w:hAnsi="Times New Roman" w:eastAsia="宋体" w:cs="Times New Roman"/>
                <w:b/>
                <w:color w:val="auto"/>
                <w:sz w:val="21"/>
                <w:szCs w:val="21"/>
                <w:highlight w:val="none"/>
                <w:u w:val="single"/>
                <w:lang w:val="en-US" w:eastAsia="zh-CN"/>
              </w:rPr>
            </w:pPr>
            <w:r>
              <w:rPr>
                <w:rFonts w:hint="default" w:ascii="Times New Roman" w:hAnsi="Times New Roman" w:eastAsia="宋体" w:cs="Times New Roman"/>
                <w:b/>
                <w:color w:val="auto"/>
                <w:sz w:val="21"/>
                <w:szCs w:val="21"/>
                <w:highlight w:val="none"/>
                <w:u w:val="single"/>
                <w:lang w:val="en-US" w:eastAsia="zh-CN"/>
              </w:rPr>
              <w:t>面积</w:t>
            </w:r>
          </w:p>
        </w:tc>
        <w:tc>
          <w:tcPr>
            <w:tcW w:w="810" w:type="dxa"/>
            <w:vMerge w:val="restart"/>
            <w:noWrap w:val="0"/>
            <w:vAlign w:val="center"/>
          </w:tcPr>
          <w:p>
            <w:pPr>
              <w:spacing w:line="240" w:lineRule="atLeast"/>
              <w:ind w:firstLine="0" w:firstLineChars="0"/>
              <w:jc w:val="center"/>
              <w:rPr>
                <w:rFonts w:hint="default" w:ascii="Times New Roman" w:hAnsi="Times New Roman" w:eastAsia="宋体" w:cs="Times New Roman"/>
                <w:b/>
                <w:color w:val="auto"/>
                <w:sz w:val="21"/>
                <w:szCs w:val="21"/>
                <w:highlight w:val="none"/>
                <w:u w:val="single"/>
                <w:lang w:val="en-US" w:eastAsia="zh-CN"/>
              </w:rPr>
            </w:pPr>
            <w:r>
              <w:rPr>
                <w:rFonts w:hint="default" w:ascii="Times New Roman" w:hAnsi="Times New Roman" w:eastAsia="宋体" w:cs="Times New Roman"/>
                <w:b/>
                <w:color w:val="auto"/>
                <w:sz w:val="21"/>
                <w:szCs w:val="21"/>
                <w:highlight w:val="none"/>
                <w:u w:val="single"/>
                <w:lang w:val="en-US" w:eastAsia="zh-CN"/>
              </w:rPr>
              <w:t>生产</w:t>
            </w:r>
          </w:p>
          <w:p>
            <w:pPr>
              <w:spacing w:line="240" w:lineRule="atLeast"/>
              <w:ind w:firstLine="0" w:firstLineChars="0"/>
              <w:jc w:val="center"/>
              <w:rPr>
                <w:rFonts w:hint="default" w:ascii="Times New Roman" w:hAnsi="Times New Roman" w:eastAsia="宋体" w:cs="Times New Roman"/>
                <w:b/>
                <w:color w:val="auto"/>
                <w:sz w:val="21"/>
                <w:szCs w:val="21"/>
                <w:highlight w:val="none"/>
                <w:u w:val="single"/>
                <w:lang w:val="en-US" w:eastAsia="zh-CN"/>
              </w:rPr>
            </w:pPr>
            <w:r>
              <w:rPr>
                <w:rFonts w:hint="default" w:ascii="Times New Roman" w:hAnsi="Times New Roman" w:eastAsia="宋体" w:cs="Times New Roman"/>
                <w:b/>
                <w:color w:val="auto"/>
                <w:sz w:val="21"/>
                <w:szCs w:val="21"/>
                <w:highlight w:val="none"/>
                <w:u w:val="single"/>
                <w:lang w:val="en-US" w:eastAsia="zh-CN"/>
              </w:rPr>
              <w:t>规模</w:t>
            </w:r>
          </w:p>
        </w:tc>
        <w:tc>
          <w:tcPr>
            <w:tcW w:w="792" w:type="dxa"/>
            <w:vMerge w:val="restart"/>
            <w:noWrap w:val="0"/>
            <w:vAlign w:val="center"/>
          </w:tcPr>
          <w:p>
            <w:pPr>
              <w:spacing w:line="240" w:lineRule="atLeast"/>
              <w:ind w:firstLine="0" w:firstLineChars="0"/>
              <w:jc w:val="center"/>
              <w:rPr>
                <w:rFonts w:hint="default" w:ascii="Times New Roman" w:hAnsi="Times New Roman" w:eastAsia="宋体" w:cs="Times New Roman"/>
                <w:b/>
                <w:color w:val="auto"/>
                <w:sz w:val="21"/>
                <w:szCs w:val="21"/>
                <w:highlight w:val="none"/>
                <w:u w:val="single"/>
                <w:lang w:val="en-US" w:eastAsia="zh-CN"/>
              </w:rPr>
            </w:pPr>
            <w:r>
              <w:rPr>
                <w:rFonts w:hint="default" w:ascii="Times New Roman" w:hAnsi="Times New Roman" w:eastAsia="宋体" w:cs="Times New Roman"/>
                <w:b/>
                <w:color w:val="auto"/>
                <w:sz w:val="21"/>
                <w:szCs w:val="21"/>
                <w:highlight w:val="none"/>
                <w:u w:val="single"/>
                <w:lang w:val="en-US" w:eastAsia="zh-CN"/>
              </w:rPr>
              <w:t>开采</w:t>
            </w:r>
          </w:p>
          <w:p>
            <w:pPr>
              <w:spacing w:line="240" w:lineRule="atLeast"/>
              <w:ind w:firstLine="0" w:firstLineChars="0"/>
              <w:jc w:val="center"/>
              <w:rPr>
                <w:rFonts w:hint="default" w:ascii="Times New Roman" w:hAnsi="Times New Roman" w:eastAsia="宋体" w:cs="Times New Roman"/>
                <w:b/>
                <w:color w:val="auto"/>
                <w:sz w:val="21"/>
                <w:szCs w:val="21"/>
                <w:highlight w:val="none"/>
                <w:u w:val="single"/>
                <w:lang w:val="en-US" w:eastAsia="zh-CN"/>
              </w:rPr>
            </w:pPr>
            <w:r>
              <w:rPr>
                <w:rFonts w:hint="default" w:ascii="Times New Roman" w:hAnsi="Times New Roman" w:eastAsia="宋体" w:cs="Times New Roman"/>
                <w:b/>
                <w:color w:val="auto"/>
                <w:sz w:val="21"/>
                <w:szCs w:val="21"/>
                <w:highlight w:val="none"/>
                <w:u w:val="single"/>
                <w:lang w:val="en-US" w:eastAsia="zh-CN"/>
              </w:rPr>
              <w:t>深度</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283" w:hRule="atLeast"/>
          <w:tblHeader/>
          <w:jc w:val="center"/>
        </w:trPr>
        <w:tc>
          <w:tcPr>
            <w:tcW w:w="635" w:type="dxa"/>
            <w:vMerge w:val="continue"/>
            <w:noWrap w:val="0"/>
            <w:vAlign w:val="center"/>
          </w:tcPr>
          <w:p>
            <w:pPr>
              <w:spacing w:line="240" w:lineRule="atLeast"/>
              <w:ind w:firstLine="0" w:firstLineChars="0"/>
              <w:jc w:val="center"/>
              <w:rPr>
                <w:rFonts w:hint="default" w:ascii="Times New Roman" w:hAnsi="Times New Roman" w:eastAsia="宋体" w:cs="Times New Roman"/>
                <w:b/>
                <w:color w:val="auto"/>
                <w:sz w:val="21"/>
                <w:szCs w:val="21"/>
                <w:highlight w:val="none"/>
                <w:u w:val="single"/>
              </w:rPr>
            </w:pPr>
          </w:p>
        </w:tc>
        <w:tc>
          <w:tcPr>
            <w:tcW w:w="1770" w:type="dxa"/>
            <w:vMerge w:val="continue"/>
            <w:noWrap w:val="0"/>
            <w:vAlign w:val="center"/>
          </w:tcPr>
          <w:p>
            <w:pPr>
              <w:spacing w:line="240" w:lineRule="atLeast"/>
              <w:ind w:firstLine="0" w:firstLineChars="0"/>
              <w:jc w:val="center"/>
              <w:rPr>
                <w:rFonts w:hint="default" w:ascii="Times New Roman" w:hAnsi="Times New Roman" w:eastAsia="宋体" w:cs="Times New Roman"/>
                <w:b/>
                <w:color w:val="auto"/>
                <w:sz w:val="21"/>
                <w:szCs w:val="21"/>
                <w:highlight w:val="none"/>
                <w:u w:val="single"/>
              </w:rPr>
            </w:pPr>
          </w:p>
        </w:tc>
        <w:tc>
          <w:tcPr>
            <w:tcW w:w="735"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编号</w:t>
            </w:r>
          </w:p>
        </w:tc>
        <w:tc>
          <w:tcPr>
            <w:tcW w:w="1245"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X</w:t>
            </w:r>
          </w:p>
        </w:tc>
        <w:tc>
          <w:tcPr>
            <w:tcW w:w="1350"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Y</w:t>
            </w:r>
          </w:p>
        </w:tc>
        <w:tc>
          <w:tcPr>
            <w:tcW w:w="735" w:type="dxa"/>
            <w:vMerge w:val="continue"/>
            <w:noWrap w:val="0"/>
            <w:vAlign w:val="center"/>
          </w:tcPr>
          <w:p>
            <w:pPr>
              <w:spacing w:line="240" w:lineRule="atLeast"/>
              <w:ind w:firstLine="0" w:firstLineChars="0"/>
              <w:jc w:val="center"/>
              <w:rPr>
                <w:rFonts w:hint="default" w:ascii="Times New Roman" w:hAnsi="Times New Roman" w:eastAsia="宋体" w:cs="Times New Roman"/>
                <w:b/>
                <w:color w:val="auto"/>
                <w:sz w:val="21"/>
                <w:szCs w:val="21"/>
                <w:highlight w:val="none"/>
                <w:u w:val="single"/>
                <w:lang w:val="en-US" w:eastAsia="zh-CN"/>
              </w:rPr>
            </w:pPr>
          </w:p>
        </w:tc>
        <w:tc>
          <w:tcPr>
            <w:tcW w:w="1095" w:type="dxa"/>
            <w:vMerge w:val="continue"/>
            <w:noWrap w:val="0"/>
            <w:vAlign w:val="center"/>
          </w:tcPr>
          <w:p>
            <w:pPr>
              <w:spacing w:line="240" w:lineRule="atLeast"/>
              <w:ind w:firstLine="0" w:firstLineChars="0"/>
              <w:jc w:val="center"/>
              <w:rPr>
                <w:rFonts w:hint="default" w:ascii="Times New Roman" w:hAnsi="Times New Roman" w:eastAsia="宋体" w:cs="Times New Roman"/>
                <w:b/>
                <w:color w:val="auto"/>
                <w:sz w:val="21"/>
                <w:szCs w:val="21"/>
                <w:highlight w:val="none"/>
                <w:u w:val="single"/>
                <w:lang w:val="en-US" w:eastAsia="zh-CN"/>
              </w:rPr>
            </w:pPr>
          </w:p>
        </w:tc>
        <w:tc>
          <w:tcPr>
            <w:tcW w:w="810" w:type="dxa"/>
            <w:vMerge w:val="continue"/>
            <w:noWrap w:val="0"/>
            <w:vAlign w:val="center"/>
          </w:tcPr>
          <w:p>
            <w:pPr>
              <w:spacing w:line="240" w:lineRule="atLeast"/>
              <w:ind w:firstLine="0" w:firstLineChars="0"/>
              <w:jc w:val="center"/>
              <w:rPr>
                <w:rFonts w:hint="default" w:ascii="Times New Roman" w:hAnsi="Times New Roman" w:eastAsia="宋体" w:cs="Times New Roman"/>
                <w:b/>
                <w:color w:val="auto"/>
                <w:sz w:val="21"/>
                <w:szCs w:val="21"/>
                <w:highlight w:val="none"/>
                <w:u w:val="single"/>
                <w:lang w:val="en-US" w:eastAsia="zh-CN"/>
              </w:rPr>
            </w:pPr>
          </w:p>
        </w:tc>
        <w:tc>
          <w:tcPr>
            <w:tcW w:w="792" w:type="dxa"/>
            <w:vMerge w:val="continue"/>
            <w:noWrap w:val="0"/>
            <w:vAlign w:val="center"/>
          </w:tcPr>
          <w:p>
            <w:pPr>
              <w:spacing w:line="240" w:lineRule="atLeast"/>
              <w:ind w:firstLine="0" w:firstLineChars="0"/>
              <w:jc w:val="center"/>
              <w:rPr>
                <w:rFonts w:hint="default" w:ascii="Times New Roman" w:hAnsi="Times New Roman" w:eastAsia="宋体" w:cs="Times New Roman"/>
                <w:b/>
                <w:color w:val="auto"/>
                <w:sz w:val="21"/>
                <w:szCs w:val="21"/>
                <w:highlight w:val="none"/>
                <w:u w:val="singl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283" w:hRule="atLeast"/>
          <w:jc w:val="center"/>
        </w:trPr>
        <w:tc>
          <w:tcPr>
            <w:tcW w:w="635" w:type="dxa"/>
            <w:vMerge w:val="restart"/>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三江县海江采石场</w:t>
            </w:r>
          </w:p>
        </w:tc>
        <w:tc>
          <w:tcPr>
            <w:tcW w:w="1770" w:type="dxa"/>
            <w:vMerge w:val="restart"/>
            <w:noWrap w:val="0"/>
            <w:vAlign w:val="center"/>
          </w:tcPr>
          <w:p>
            <w:pPr>
              <w:spacing w:line="240" w:lineRule="atLeast"/>
              <w:ind w:firstLine="0" w:firstLineChars="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u w:val="single"/>
              </w:rPr>
              <w:t>三江县海江采石场</w:t>
            </w:r>
            <w:r>
              <w:rPr>
                <w:rFonts w:hint="default" w:ascii="Times New Roman" w:hAnsi="Times New Roman" w:eastAsia="宋体" w:cs="Times New Roman"/>
                <w:color w:val="auto"/>
                <w:sz w:val="21"/>
                <w:szCs w:val="21"/>
                <w:highlight w:val="none"/>
                <w:u w:val="single"/>
                <w:lang w:eastAsia="zh-CN"/>
              </w:rPr>
              <w:t>（C4502262010077130070974）</w:t>
            </w:r>
          </w:p>
        </w:tc>
        <w:tc>
          <w:tcPr>
            <w:tcW w:w="73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1</w:t>
            </w:r>
          </w:p>
        </w:tc>
        <w:tc>
          <w:tcPr>
            <w:tcW w:w="12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2851102.66</w:t>
            </w:r>
          </w:p>
        </w:tc>
        <w:tc>
          <w:tcPr>
            <w:tcW w:w="13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37369692.90</w:t>
            </w:r>
          </w:p>
        </w:tc>
        <w:tc>
          <w:tcPr>
            <w:tcW w:w="735" w:type="dxa"/>
            <w:vMerge w:val="restart"/>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露天</w:t>
            </w:r>
          </w:p>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开采</w:t>
            </w:r>
          </w:p>
        </w:tc>
        <w:tc>
          <w:tcPr>
            <w:tcW w:w="1095" w:type="dxa"/>
            <w:vMerge w:val="restart"/>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0.014km</w:t>
            </w:r>
            <w:r>
              <w:rPr>
                <w:rFonts w:hint="default" w:ascii="Times New Roman" w:hAnsi="Times New Roman" w:eastAsia="宋体" w:cs="Times New Roman"/>
                <w:color w:val="auto"/>
                <w:sz w:val="21"/>
                <w:szCs w:val="21"/>
                <w:highlight w:val="none"/>
                <w:u w:val="single"/>
                <w:vertAlign w:val="superscript"/>
              </w:rPr>
              <w:t>2</w:t>
            </w:r>
          </w:p>
        </w:tc>
        <w:tc>
          <w:tcPr>
            <w:tcW w:w="810" w:type="dxa"/>
            <w:vMerge w:val="restart"/>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TimesNewRoman" w:cs="Times New Roman"/>
                <w:color w:val="auto"/>
                <w:sz w:val="21"/>
                <w:szCs w:val="21"/>
                <w:highlight w:val="none"/>
                <w:u w:val="single"/>
              </w:rPr>
              <w:t>5</w:t>
            </w:r>
            <w:r>
              <w:rPr>
                <w:rFonts w:hint="default" w:ascii="Times New Roman" w:hAnsi="Times New Roman" w:eastAsia="宋体" w:cs="Times New Roman"/>
                <w:color w:val="auto"/>
                <w:sz w:val="21"/>
                <w:szCs w:val="21"/>
                <w:highlight w:val="none"/>
                <w:u w:val="single"/>
              </w:rPr>
              <w:t>万</w:t>
            </w:r>
            <w:r>
              <w:rPr>
                <w:rFonts w:hint="default" w:ascii="Times New Roman" w:hAnsi="Times New Roman" w:eastAsia="TimesNewRoman" w:cs="Times New Roman"/>
                <w:color w:val="auto"/>
                <w:sz w:val="21"/>
                <w:szCs w:val="21"/>
                <w:highlight w:val="none"/>
                <w:u w:val="single"/>
              </w:rPr>
              <w:t>t/a</w:t>
            </w:r>
          </w:p>
        </w:tc>
        <w:tc>
          <w:tcPr>
            <w:tcW w:w="792" w:type="dxa"/>
            <w:vMerge w:val="restart"/>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338m~260m</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283" w:hRule="atLeast"/>
          <w:jc w:val="center"/>
        </w:trPr>
        <w:tc>
          <w:tcPr>
            <w:tcW w:w="635"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c>
          <w:tcPr>
            <w:tcW w:w="1770" w:type="dxa"/>
            <w:vMerge w:val="continue"/>
            <w:noWrap w:val="0"/>
            <w:vAlign w:val="center"/>
          </w:tcPr>
          <w:p>
            <w:pPr>
              <w:pStyle w:val="23"/>
              <w:adjustRightInd w:val="0"/>
              <w:snapToGrid w:val="0"/>
              <w:spacing w:line="240" w:lineRule="atLeast"/>
              <w:ind w:firstLine="0" w:firstLineChars="0"/>
              <w:jc w:val="left"/>
              <w:rPr>
                <w:rFonts w:hint="default" w:ascii="Times New Roman" w:hAnsi="Times New Roman" w:eastAsia="宋体" w:cs="Times New Roman"/>
                <w:color w:val="auto"/>
                <w:sz w:val="21"/>
                <w:szCs w:val="21"/>
                <w:highlight w:val="none"/>
                <w:u w:val="single"/>
                <w:lang w:val="en-US" w:eastAsia="zh-CN"/>
              </w:rPr>
            </w:pPr>
          </w:p>
        </w:tc>
        <w:tc>
          <w:tcPr>
            <w:tcW w:w="73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w:t>
            </w:r>
          </w:p>
        </w:tc>
        <w:tc>
          <w:tcPr>
            <w:tcW w:w="12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2851127.30</w:t>
            </w:r>
          </w:p>
        </w:tc>
        <w:tc>
          <w:tcPr>
            <w:tcW w:w="13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37369763.69</w:t>
            </w:r>
          </w:p>
        </w:tc>
        <w:tc>
          <w:tcPr>
            <w:tcW w:w="735"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c>
          <w:tcPr>
            <w:tcW w:w="1095"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c>
          <w:tcPr>
            <w:tcW w:w="810"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c>
          <w:tcPr>
            <w:tcW w:w="792"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283" w:hRule="atLeast"/>
          <w:jc w:val="center"/>
        </w:trPr>
        <w:tc>
          <w:tcPr>
            <w:tcW w:w="635"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c>
          <w:tcPr>
            <w:tcW w:w="1770"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c>
          <w:tcPr>
            <w:tcW w:w="73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3</w:t>
            </w:r>
          </w:p>
        </w:tc>
        <w:tc>
          <w:tcPr>
            <w:tcW w:w="12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2851034.12</w:t>
            </w:r>
          </w:p>
        </w:tc>
        <w:tc>
          <w:tcPr>
            <w:tcW w:w="13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37369777.43</w:t>
            </w:r>
          </w:p>
        </w:tc>
        <w:tc>
          <w:tcPr>
            <w:tcW w:w="735"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c>
          <w:tcPr>
            <w:tcW w:w="1095"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c>
          <w:tcPr>
            <w:tcW w:w="810"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c>
          <w:tcPr>
            <w:tcW w:w="792"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283" w:hRule="atLeast"/>
          <w:jc w:val="center"/>
        </w:trPr>
        <w:tc>
          <w:tcPr>
            <w:tcW w:w="635"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c>
          <w:tcPr>
            <w:tcW w:w="1770"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c>
          <w:tcPr>
            <w:tcW w:w="73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4</w:t>
            </w:r>
          </w:p>
        </w:tc>
        <w:tc>
          <w:tcPr>
            <w:tcW w:w="12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2850959.41</w:t>
            </w:r>
          </w:p>
        </w:tc>
        <w:tc>
          <w:tcPr>
            <w:tcW w:w="13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37369702.28</w:t>
            </w:r>
          </w:p>
        </w:tc>
        <w:tc>
          <w:tcPr>
            <w:tcW w:w="735"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c>
          <w:tcPr>
            <w:tcW w:w="1095"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c>
          <w:tcPr>
            <w:tcW w:w="810"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c>
          <w:tcPr>
            <w:tcW w:w="792"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283" w:hRule="atLeast"/>
          <w:jc w:val="center"/>
        </w:trPr>
        <w:tc>
          <w:tcPr>
            <w:tcW w:w="635"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c>
          <w:tcPr>
            <w:tcW w:w="1770"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c>
          <w:tcPr>
            <w:tcW w:w="73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5</w:t>
            </w:r>
          </w:p>
        </w:tc>
        <w:tc>
          <w:tcPr>
            <w:tcW w:w="12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2851022.19</w:t>
            </w:r>
          </w:p>
        </w:tc>
        <w:tc>
          <w:tcPr>
            <w:tcW w:w="13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37369631.20</w:t>
            </w:r>
          </w:p>
        </w:tc>
        <w:tc>
          <w:tcPr>
            <w:tcW w:w="735"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c>
          <w:tcPr>
            <w:tcW w:w="1095"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c>
          <w:tcPr>
            <w:tcW w:w="810"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c>
          <w:tcPr>
            <w:tcW w:w="792"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283" w:hRule="atLeast"/>
          <w:jc w:val="center"/>
        </w:trPr>
        <w:tc>
          <w:tcPr>
            <w:tcW w:w="635" w:type="dxa"/>
            <w:vMerge w:val="restart"/>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三江县宏保兴采石场</w:t>
            </w:r>
          </w:p>
        </w:tc>
        <w:tc>
          <w:tcPr>
            <w:tcW w:w="1770" w:type="dxa"/>
            <w:vMerge w:val="restart"/>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u w:val="single"/>
              </w:rPr>
              <w:t>三江县宏保兴采石场</w:t>
            </w:r>
            <w:r>
              <w:rPr>
                <w:rFonts w:hint="default" w:ascii="Times New Roman" w:hAnsi="Times New Roman" w:eastAsia="宋体" w:cs="Times New Roman"/>
                <w:color w:val="auto"/>
                <w:sz w:val="21"/>
                <w:szCs w:val="21"/>
                <w:highlight w:val="none"/>
                <w:u w:val="single"/>
                <w:lang w:eastAsia="zh-CN"/>
              </w:rPr>
              <w:t>（</w:t>
            </w:r>
            <w:r>
              <w:rPr>
                <w:rFonts w:hint="default" w:ascii="Times New Roman" w:hAnsi="Times New Roman" w:eastAsia="宋体" w:cs="Times New Roman"/>
                <w:color w:val="auto"/>
                <w:sz w:val="21"/>
                <w:szCs w:val="21"/>
                <w:highlight w:val="none"/>
                <w:u w:val="single"/>
              </w:rPr>
              <w:t>C4502262009117130045216</w:t>
            </w:r>
            <w:r>
              <w:rPr>
                <w:rFonts w:hint="default" w:ascii="Times New Roman" w:hAnsi="Times New Roman" w:eastAsia="宋体" w:cs="Times New Roman"/>
                <w:color w:val="auto"/>
                <w:sz w:val="21"/>
                <w:szCs w:val="21"/>
                <w:highlight w:val="none"/>
                <w:u w:val="single"/>
                <w:lang w:eastAsia="zh-CN"/>
              </w:rPr>
              <w:t>）</w:t>
            </w:r>
          </w:p>
        </w:tc>
        <w:tc>
          <w:tcPr>
            <w:tcW w:w="73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1</w:t>
            </w:r>
          </w:p>
        </w:tc>
        <w:tc>
          <w:tcPr>
            <w:tcW w:w="12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2851657.12</w:t>
            </w:r>
          </w:p>
        </w:tc>
        <w:tc>
          <w:tcPr>
            <w:tcW w:w="13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37369627.77</w:t>
            </w:r>
          </w:p>
        </w:tc>
        <w:tc>
          <w:tcPr>
            <w:tcW w:w="735" w:type="dxa"/>
            <w:vMerge w:val="restart"/>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露天</w:t>
            </w:r>
          </w:p>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开采</w:t>
            </w:r>
          </w:p>
        </w:tc>
        <w:tc>
          <w:tcPr>
            <w:tcW w:w="1095" w:type="dxa"/>
            <w:vMerge w:val="restart"/>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18"/>
                <w:highlight w:val="none"/>
                <w:u w:val="single"/>
              </w:rPr>
              <w:t>0.</w:t>
            </w:r>
            <w:r>
              <w:rPr>
                <w:rFonts w:hint="eastAsia" w:ascii="Times New Roman" w:hAnsi="Times New Roman" w:eastAsia="宋体" w:cs="Times New Roman"/>
                <w:color w:val="auto"/>
                <w:sz w:val="21"/>
                <w:szCs w:val="18"/>
                <w:highlight w:val="none"/>
                <w:u w:val="single"/>
              </w:rPr>
              <w:t>0401</w:t>
            </w:r>
            <w:r>
              <w:rPr>
                <w:rFonts w:ascii="Times New Roman" w:hAnsi="Times New Roman" w:eastAsia="宋体" w:cs="Times New Roman"/>
                <w:color w:val="auto"/>
                <w:sz w:val="21"/>
                <w:szCs w:val="18"/>
                <w:highlight w:val="none"/>
                <w:u w:val="single"/>
              </w:rPr>
              <w:t>km</w:t>
            </w:r>
            <w:r>
              <w:rPr>
                <w:rFonts w:ascii="Times New Roman" w:hAnsi="Times New Roman" w:eastAsia="宋体" w:cs="Times New Roman"/>
                <w:color w:val="auto"/>
                <w:sz w:val="21"/>
                <w:szCs w:val="18"/>
                <w:highlight w:val="none"/>
                <w:u w:val="single"/>
                <w:vertAlign w:val="superscript"/>
              </w:rPr>
              <w:t>2</w:t>
            </w:r>
          </w:p>
        </w:tc>
        <w:tc>
          <w:tcPr>
            <w:tcW w:w="810" w:type="dxa"/>
            <w:vMerge w:val="restart"/>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TimesNewRoman" w:cs="Times New Roman"/>
                <w:color w:val="auto"/>
                <w:sz w:val="21"/>
                <w:szCs w:val="21"/>
                <w:highlight w:val="none"/>
                <w:u w:val="single"/>
              </w:rPr>
              <w:t>5</w:t>
            </w:r>
            <w:r>
              <w:rPr>
                <w:rFonts w:hint="default" w:ascii="Times New Roman" w:hAnsi="Times New Roman" w:eastAsia="宋体" w:cs="Times New Roman"/>
                <w:color w:val="auto"/>
                <w:sz w:val="21"/>
                <w:szCs w:val="21"/>
                <w:highlight w:val="none"/>
                <w:u w:val="single"/>
              </w:rPr>
              <w:t>万</w:t>
            </w:r>
            <w:r>
              <w:rPr>
                <w:rFonts w:hint="default" w:ascii="Times New Roman" w:hAnsi="Times New Roman" w:eastAsia="TimesNewRoman" w:cs="Times New Roman"/>
                <w:color w:val="auto"/>
                <w:sz w:val="21"/>
                <w:szCs w:val="21"/>
                <w:highlight w:val="none"/>
                <w:u w:val="single"/>
              </w:rPr>
              <w:t>t/a</w:t>
            </w:r>
          </w:p>
        </w:tc>
        <w:tc>
          <w:tcPr>
            <w:tcW w:w="792" w:type="dxa"/>
            <w:vMerge w:val="restart"/>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400m~255m</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283" w:hRule="atLeast"/>
          <w:jc w:val="center"/>
        </w:trPr>
        <w:tc>
          <w:tcPr>
            <w:tcW w:w="635"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c>
          <w:tcPr>
            <w:tcW w:w="1770"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c>
          <w:tcPr>
            <w:tcW w:w="73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w:t>
            </w:r>
          </w:p>
        </w:tc>
        <w:tc>
          <w:tcPr>
            <w:tcW w:w="12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2851618.12</w:t>
            </w:r>
          </w:p>
        </w:tc>
        <w:tc>
          <w:tcPr>
            <w:tcW w:w="13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37369765.77</w:t>
            </w:r>
          </w:p>
        </w:tc>
        <w:tc>
          <w:tcPr>
            <w:tcW w:w="735"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c>
          <w:tcPr>
            <w:tcW w:w="1095"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c>
          <w:tcPr>
            <w:tcW w:w="810"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c>
          <w:tcPr>
            <w:tcW w:w="792"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283" w:hRule="atLeast"/>
          <w:jc w:val="center"/>
        </w:trPr>
        <w:tc>
          <w:tcPr>
            <w:tcW w:w="635"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c>
          <w:tcPr>
            <w:tcW w:w="1770"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c>
          <w:tcPr>
            <w:tcW w:w="73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3</w:t>
            </w:r>
          </w:p>
        </w:tc>
        <w:tc>
          <w:tcPr>
            <w:tcW w:w="12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2851418.10</w:t>
            </w:r>
          </w:p>
        </w:tc>
        <w:tc>
          <w:tcPr>
            <w:tcW w:w="13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37369701.80</w:t>
            </w:r>
          </w:p>
        </w:tc>
        <w:tc>
          <w:tcPr>
            <w:tcW w:w="735"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c>
          <w:tcPr>
            <w:tcW w:w="1095"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c>
          <w:tcPr>
            <w:tcW w:w="810"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c>
          <w:tcPr>
            <w:tcW w:w="792"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283" w:hRule="atLeast"/>
          <w:jc w:val="center"/>
        </w:trPr>
        <w:tc>
          <w:tcPr>
            <w:tcW w:w="635"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c>
          <w:tcPr>
            <w:tcW w:w="1770"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c>
          <w:tcPr>
            <w:tcW w:w="73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4</w:t>
            </w:r>
          </w:p>
        </w:tc>
        <w:tc>
          <w:tcPr>
            <w:tcW w:w="12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2851404.22</w:t>
            </w:r>
          </w:p>
        </w:tc>
        <w:tc>
          <w:tcPr>
            <w:tcW w:w="13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37369647.24</w:t>
            </w:r>
          </w:p>
        </w:tc>
        <w:tc>
          <w:tcPr>
            <w:tcW w:w="735"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c>
          <w:tcPr>
            <w:tcW w:w="1095"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c>
          <w:tcPr>
            <w:tcW w:w="810"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c>
          <w:tcPr>
            <w:tcW w:w="792"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283" w:hRule="atLeast"/>
          <w:jc w:val="center"/>
        </w:trPr>
        <w:tc>
          <w:tcPr>
            <w:tcW w:w="635"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c>
          <w:tcPr>
            <w:tcW w:w="1770"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c>
          <w:tcPr>
            <w:tcW w:w="73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5</w:t>
            </w:r>
          </w:p>
        </w:tc>
        <w:tc>
          <w:tcPr>
            <w:tcW w:w="12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2851372.12</w:t>
            </w:r>
          </w:p>
        </w:tc>
        <w:tc>
          <w:tcPr>
            <w:tcW w:w="13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37369643.77</w:t>
            </w:r>
          </w:p>
        </w:tc>
        <w:tc>
          <w:tcPr>
            <w:tcW w:w="735"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c>
          <w:tcPr>
            <w:tcW w:w="1095"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c>
          <w:tcPr>
            <w:tcW w:w="810"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c>
          <w:tcPr>
            <w:tcW w:w="792"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283" w:hRule="atLeast"/>
          <w:jc w:val="center"/>
        </w:trPr>
        <w:tc>
          <w:tcPr>
            <w:tcW w:w="635" w:type="dxa"/>
            <w:vMerge w:val="continue"/>
            <w:noWrap w:val="0"/>
            <w:vAlign w:val="center"/>
          </w:tcPr>
          <w:p>
            <w:pPr>
              <w:spacing w:line="240" w:lineRule="atLeast"/>
              <w:ind w:firstLine="0" w:firstLineChars="0"/>
              <w:jc w:val="center"/>
              <w:rPr>
                <w:rFonts w:hint="default" w:ascii="Times New Roman" w:hAnsi="Times New Roman" w:eastAsia="宋体" w:cs="Times New Roman"/>
                <w:color w:val="auto"/>
                <w:sz w:val="21"/>
                <w:szCs w:val="21"/>
                <w:highlight w:val="none"/>
                <w:u w:val="single"/>
              </w:rPr>
            </w:pPr>
          </w:p>
        </w:tc>
        <w:tc>
          <w:tcPr>
            <w:tcW w:w="1770"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c>
          <w:tcPr>
            <w:tcW w:w="73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6</w:t>
            </w:r>
          </w:p>
        </w:tc>
        <w:tc>
          <w:tcPr>
            <w:tcW w:w="12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2851372.12</w:t>
            </w:r>
          </w:p>
        </w:tc>
        <w:tc>
          <w:tcPr>
            <w:tcW w:w="13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37369522.77</w:t>
            </w:r>
          </w:p>
        </w:tc>
        <w:tc>
          <w:tcPr>
            <w:tcW w:w="735"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c>
          <w:tcPr>
            <w:tcW w:w="1095"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c>
          <w:tcPr>
            <w:tcW w:w="810"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c>
          <w:tcPr>
            <w:tcW w:w="792" w:type="dxa"/>
            <w:vMerge w:val="continue"/>
            <w:noWrap w:val="0"/>
            <w:vAlign w:val="center"/>
          </w:tcPr>
          <w:p>
            <w:pPr>
              <w:spacing w:line="240" w:lineRule="atLeast"/>
              <w:ind w:firstLine="0" w:firstLineChars="0"/>
              <w:jc w:val="left"/>
              <w:rPr>
                <w:rFonts w:hint="default" w:ascii="Times New Roman" w:hAnsi="Times New Roman" w:eastAsia="宋体" w:cs="Times New Roman"/>
                <w:color w:val="auto"/>
                <w:sz w:val="21"/>
                <w:szCs w:val="21"/>
                <w:highlight w:val="none"/>
                <w:u w:val="single"/>
              </w:rPr>
            </w:pPr>
          </w:p>
        </w:tc>
      </w:tr>
    </w:tbl>
    <w:p>
      <w:pPr>
        <w:bidi w:val="0"/>
        <w:rPr>
          <w:rFonts w:hint="default" w:eastAsia="宋体"/>
          <w:color w:val="auto"/>
          <w:highlight w:val="none"/>
          <w:u w:val="single"/>
          <w:lang w:val="en-US" w:eastAsia="zh-CN"/>
        </w:rPr>
      </w:pPr>
      <w:r>
        <w:rPr>
          <w:rFonts w:hint="eastAsia" w:ascii="Times New Roman" w:hAnsi="Times New Roman" w:eastAsia="宋体" w:cs="Times New Roman"/>
          <w:color w:val="auto"/>
          <w:kern w:val="0"/>
          <w:szCs w:val="24"/>
          <w:highlight w:val="none"/>
          <w:u w:val="single"/>
        </w:rPr>
        <w:t>原</w:t>
      </w:r>
      <w:r>
        <w:rPr>
          <w:rFonts w:hint="eastAsia" w:ascii="Times New Roman" w:hAnsi="Times New Roman" w:eastAsia="宋体"/>
          <w:color w:val="auto"/>
          <w:highlight w:val="none"/>
          <w:u w:val="single"/>
        </w:rPr>
        <w:t>海江采石场</w:t>
      </w:r>
      <w:r>
        <w:rPr>
          <w:rFonts w:hint="eastAsia" w:ascii="Times New Roman" w:hAnsi="Times New Roman" w:eastAsia="宋体"/>
          <w:color w:val="auto"/>
          <w:highlight w:val="none"/>
          <w:u w:val="single"/>
          <w:lang w:val="en-US" w:eastAsia="zh-CN"/>
        </w:rPr>
        <w:t>采矿许可证有效期自</w:t>
      </w:r>
      <w:r>
        <w:rPr>
          <w:rFonts w:ascii="Times New Roman" w:hAnsi="Times New Roman" w:eastAsia="宋体"/>
          <w:color w:val="auto"/>
          <w:highlight w:val="none"/>
          <w:u w:val="single"/>
        </w:rPr>
        <w:t>201</w:t>
      </w:r>
      <w:r>
        <w:rPr>
          <w:rFonts w:hint="eastAsia" w:ascii="Times New Roman" w:hAnsi="Times New Roman" w:eastAsia="宋体"/>
          <w:color w:val="auto"/>
          <w:highlight w:val="none"/>
          <w:u w:val="single"/>
        </w:rPr>
        <w:t>6</w:t>
      </w:r>
      <w:r>
        <w:rPr>
          <w:rFonts w:ascii="Times New Roman" w:hAnsi="Times New Roman" w:eastAsia="宋体"/>
          <w:color w:val="auto"/>
          <w:highlight w:val="none"/>
          <w:u w:val="single"/>
        </w:rPr>
        <w:t>年</w:t>
      </w:r>
      <w:r>
        <w:rPr>
          <w:rFonts w:hint="eastAsia" w:ascii="Times New Roman" w:hAnsi="Times New Roman" w:eastAsia="宋体"/>
          <w:color w:val="auto"/>
          <w:highlight w:val="none"/>
          <w:u w:val="single"/>
        </w:rPr>
        <w:t>6</w:t>
      </w:r>
      <w:r>
        <w:rPr>
          <w:rFonts w:ascii="Times New Roman" w:hAnsi="Times New Roman" w:eastAsia="宋体"/>
          <w:color w:val="auto"/>
          <w:highlight w:val="none"/>
          <w:u w:val="single"/>
        </w:rPr>
        <w:t>月</w:t>
      </w:r>
      <w:r>
        <w:rPr>
          <w:rFonts w:hint="eastAsia" w:ascii="Times New Roman" w:hAnsi="Times New Roman" w:eastAsia="宋体"/>
          <w:color w:val="auto"/>
          <w:highlight w:val="none"/>
          <w:u w:val="single"/>
        </w:rPr>
        <w:t>24</w:t>
      </w:r>
      <w:r>
        <w:rPr>
          <w:rFonts w:ascii="Times New Roman" w:hAnsi="Times New Roman" w:eastAsia="宋体"/>
          <w:color w:val="auto"/>
          <w:highlight w:val="none"/>
          <w:u w:val="single"/>
        </w:rPr>
        <w:t>日</w:t>
      </w:r>
      <w:r>
        <w:rPr>
          <w:rFonts w:hint="eastAsia" w:ascii="Times New Roman" w:hAnsi="Times New Roman" w:eastAsia="宋体"/>
          <w:color w:val="auto"/>
          <w:highlight w:val="none"/>
          <w:u w:val="single"/>
        </w:rPr>
        <w:t>至</w:t>
      </w:r>
      <w:r>
        <w:rPr>
          <w:rFonts w:ascii="Times New Roman" w:hAnsi="Times New Roman" w:eastAsia="宋体"/>
          <w:color w:val="auto"/>
          <w:highlight w:val="none"/>
          <w:u w:val="single"/>
        </w:rPr>
        <w:t>201</w:t>
      </w:r>
      <w:r>
        <w:rPr>
          <w:rFonts w:hint="eastAsia" w:ascii="Times New Roman" w:hAnsi="Times New Roman" w:eastAsia="宋体"/>
          <w:color w:val="auto"/>
          <w:highlight w:val="none"/>
          <w:u w:val="single"/>
        </w:rPr>
        <w:t>7</w:t>
      </w:r>
      <w:r>
        <w:rPr>
          <w:rFonts w:ascii="Times New Roman" w:hAnsi="Times New Roman" w:eastAsia="宋体"/>
          <w:color w:val="auto"/>
          <w:highlight w:val="none"/>
          <w:u w:val="single"/>
        </w:rPr>
        <w:t>年6月</w:t>
      </w:r>
      <w:r>
        <w:rPr>
          <w:rFonts w:hint="eastAsia" w:ascii="Times New Roman" w:hAnsi="Times New Roman" w:eastAsia="宋体"/>
          <w:color w:val="auto"/>
          <w:highlight w:val="none"/>
          <w:u w:val="single"/>
        </w:rPr>
        <w:t>24</w:t>
      </w:r>
      <w:r>
        <w:rPr>
          <w:rFonts w:ascii="Times New Roman" w:hAnsi="Times New Roman" w:eastAsia="宋体"/>
          <w:color w:val="auto"/>
          <w:highlight w:val="none"/>
          <w:u w:val="single"/>
        </w:rPr>
        <w:t>日</w:t>
      </w:r>
      <w:r>
        <w:rPr>
          <w:rFonts w:hint="eastAsia" w:ascii="Times New Roman" w:hAnsi="Times New Roman" w:eastAsia="宋体"/>
          <w:color w:val="auto"/>
          <w:highlight w:val="none"/>
          <w:u w:val="single"/>
          <w:lang w:eastAsia="zh-CN"/>
        </w:rPr>
        <w:t>，</w:t>
      </w:r>
      <w:r>
        <w:rPr>
          <w:rFonts w:hint="eastAsia" w:ascii="Times New Roman" w:hAnsi="Times New Roman" w:eastAsia="宋体"/>
          <w:color w:val="auto"/>
          <w:highlight w:val="none"/>
          <w:u w:val="single"/>
          <w:lang w:val="en-US" w:eastAsia="zh-CN"/>
        </w:rPr>
        <w:t>原宏保兴采石场采矿许可证</w:t>
      </w:r>
      <w:r>
        <w:rPr>
          <w:rFonts w:ascii="Times New Roman" w:hAnsi="Times New Roman" w:eastAsia="宋体"/>
          <w:color w:val="auto"/>
          <w:highlight w:val="none"/>
          <w:u w:val="single"/>
        </w:rPr>
        <w:t>有效期</w:t>
      </w:r>
      <w:r>
        <w:rPr>
          <w:rFonts w:hint="eastAsia" w:ascii="Times New Roman" w:hAnsi="Times New Roman" w:eastAsia="宋体"/>
          <w:color w:val="auto"/>
          <w:highlight w:val="none"/>
          <w:u w:val="single"/>
        </w:rPr>
        <w:t>自</w:t>
      </w:r>
      <w:r>
        <w:rPr>
          <w:rFonts w:ascii="Times New Roman" w:hAnsi="Times New Roman" w:eastAsia="宋体"/>
          <w:color w:val="auto"/>
          <w:highlight w:val="none"/>
          <w:u w:val="single"/>
        </w:rPr>
        <w:t>201</w:t>
      </w:r>
      <w:r>
        <w:rPr>
          <w:rFonts w:hint="eastAsia" w:ascii="Times New Roman" w:hAnsi="Times New Roman" w:eastAsia="宋体"/>
          <w:color w:val="auto"/>
          <w:highlight w:val="none"/>
          <w:u w:val="single"/>
        </w:rPr>
        <w:t>3</w:t>
      </w:r>
      <w:r>
        <w:rPr>
          <w:rFonts w:ascii="Times New Roman" w:hAnsi="Times New Roman" w:eastAsia="宋体"/>
          <w:color w:val="auto"/>
          <w:highlight w:val="none"/>
          <w:u w:val="single"/>
        </w:rPr>
        <w:t>年</w:t>
      </w:r>
      <w:r>
        <w:rPr>
          <w:rFonts w:hint="eastAsia" w:ascii="Times New Roman" w:hAnsi="Times New Roman" w:eastAsia="宋体"/>
          <w:color w:val="auto"/>
          <w:highlight w:val="none"/>
          <w:u w:val="single"/>
        </w:rPr>
        <w:t>11</w:t>
      </w:r>
      <w:r>
        <w:rPr>
          <w:rFonts w:ascii="Times New Roman" w:hAnsi="Times New Roman" w:eastAsia="宋体"/>
          <w:color w:val="auto"/>
          <w:highlight w:val="none"/>
          <w:u w:val="single"/>
        </w:rPr>
        <w:t>月</w:t>
      </w:r>
      <w:r>
        <w:rPr>
          <w:rFonts w:hint="eastAsia" w:ascii="Times New Roman" w:hAnsi="Times New Roman" w:eastAsia="宋体"/>
          <w:color w:val="auto"/>
          <w:highlight w:val="none"/>
          <w:u w:val="single"/>
        </w:rPr>
        <w:t>26</w:t>
      </w:r>
      <w:r>
        <w:rPr>
          <w:rFonts w:ascii="Times New Roman" w:hAnsi="Times New Roman" w:eastAsia="宋体"/>
          <w:color w:val="auto"/>
          <w:highlight w:val="none"/>
          <w:u w:val="single"/>
        </w:rPr>
        <w:t>日</w:t>
      </w:r>
      <w:r>
        <w:rPr>
          <w:rFonts w:hint="eastAsia" w:ascii="Times New Roman" w:hAnsi="Times New Roman" w:eastAsia="宋体"/>
          <w:color w:val="auto"/>
          <w:highlight w:val="none"/>
          <w:u w:val="single"/>
        </w:rPr>
        <w:t>至</w:t>
      </w:r>
      <w:r>
        <w:rPr>
          <w:rFonts w:ascii="Times New Roman" w:hAnsi="Times New Roman" w:eastAsia="宋体"/>
          <w:color w:val="auto"/>
          <w:highlight w:val="none"/>
          <w:u w:val="single"/>
        </w:rPr>
        <w:t>201</w:t>
      </w:r>
      <w:r>
        <w:rPr>
          <w:rFonts w:hint="eastAsia" w:ascii="Times New Roman" w:hAnsi="Times New Roman" w:eastAsia="宋体"/>
          <w:color w:val="auto"/>
          <w:highlight w:val="none"/>
          <w:u w:val="single"/>
        </w:rPr>
        <w:t>4</w:t>
      </w:r>
      <w:r>
        <w:rPr>
          <w:rFonts w:ascii="Times New Roman" w:hAnsi="Times New Roman" w:eastAsia="宋体"/>
          <w:color w:val="auto"/>
          <w:highlight w:val="none"/>
          <w:u w:val="single"/>
        </w:rPr>
        <w:t>年</w:t>
      </w:r>
      <w:r>
        <w:rPr>
          <w:rFonts w:hint="eastAsia" w:ascii="Times New Roman" w:hAnsi="Times New Roman" w:eastAsia="宋体"/>
          <w:color w:val="auto"/>
          <w:highlight w:val="none"/>
          <w:u w:val="single"/>
        </w:rPr>
        <w:t>11</w:t>
      </w:r>
      <w:r>
        <w:rPr>
          <w:rFonts w:ascii="Times New Roman" w:hAnsi="Times New Roman" w:eastAsia="宋体"/>
          <w:color w:val="auto"/>
          <w:highlight w:val="none"/>
          <w:u w:val="single"/>
        </w:rPr>
        <w:t>月</w:t>
      </w:r>
      <w:r>
        <w:rPr>
          <w:rFonts w:hint="eastAsia" w:ascii="Times New Roman" w:hAnsi="Times New Roman" w:eastAsia="宋体"/>
          <w:color w:val="auto"/>
          <w:highlight w:val="none"/>
          <w:u w:val="single"/>
        </w:rPr>
        <w:t>26</w:t>
      </w:r>
      <w:r>
        <w:rPr>
          <w:rFonts w:ascii="Times New Roman" w:hAnsi="Times New Roman" w:eastAsia="宋体"/>
          <w:color w:val="auto"/>
          <w:highlight w:val="none"/>
          <w:u w:val="single"/>
        </w:rPr>
        <w:t>日</w:t>
      </w:r>
      <w:r>
        <w:rPr>
          <w:rFonts w:hint="eastAsia" w:ascii="Times New Roman" w:hAnsi="Times New Roman" w:eastAsia="宋体"/>
          <w:color w:val="auto"/>
          <w:highlight w:val="none"/>
          <w:u w:val="single"/>
          <w:lang w:eastAsia="zh-CN"/>
        </w:rPr>
        <w:t>。</w:t>
      </w:r>
      <w:r>
        <w:rPr>
          <w:rFonts w:hint="eastAsia" w:ascii="Times New Roman" w:hAnsi="Times New Roman" w:eastAsia="宋体"/>
          <w:color w:val="auto"/>
          <w:highlight w:val="none"/>
          <w:u w:val="single"/>
          <w:lang w:val="en-US" w:eastAsia="zh-CN"/>
        </w:rPr>
        <w:t>环评阶段2个矿山均已停产。原有矿山采矿权情况可见附件10-1、附件10-2。</w:t>
      </w:r>
    </w:p>
    <w:p>
      <w:pPr>
        <w:pStyle w:val="5"/>
        <w:bidi w:val="0"/>
        <w:rPr>
          <w:color w:val="auto"/>
          <w:highlight w:val="none"/>
          <w:u w:val="single"/>
        </w:rPr>
      </w:pPr>
      <w:r>
        <w:rPr>
          <w:color w:val="auto"/>
          <w:highlight w:val="none"/>
          <w:u w:val="single"/>
        </w:rPr>
        <w:t>2.</w:t>
      </w:r>
      <w:r>
        <w:rPr>
          <w:rFonts w:hint="eastAsia"/>
          <w:color w:val="auto"/>
          <w:highlight w:val="none"/>
          <w:u w:val="single"/>
        </w:rPr>
        <w:t>2</w:t>
      </w:r>
      <w:r>
        <w:rPr>
          <w:color w:val="auto"/>
          <w:highlight w:val="none"/>
          <w:u w:val="single"/>
        </w:rPr>
        <w:t xml:space="preserve">.2 </w:t>
      </w:r>
      <w:r>
        <w:rPr>
          <w:rFonts w:hint="eastAsia"/>
          <w:color w:val="auto"/>
          <w:highlight w:val="none"/>
          <w:u w:val="single"/>
          <w:lang w:val="en-US" w:eastAsia="zh-CN"/>
        </w:rPr>
        <w:t>原有项目</w:t>
      </w:r>
      <w:r>
        <w:rPr>
          <w:color w:val="auto"/>
          <w:highlight w:val="none"/>
          <w:u w:val="single"/>
        </w:rPr>
        <w:t>工程组成</w:t>
      </w:r>
    </w:p>
    <w:p>
      <w:pPr>
        <w:ind w:firstLine="480"/>
        <w:rPr>
          <w:rFonts w:ascii="Times New Roman" w:hAnsi="Times New Roman" w:eastAsia="宋体"/>
          <w:color w:val="auto"/>
          <w:highlight w:val="none"/>
          <w:u w:val="single"/>
        </w:rPr>
      </w:pPr>
      <w:r>
        <w:rPr>
          <w:rFonts w:hint="eastAsia" w:ascii="Times New Roman" w:hAnsi="Times New Roman" w:eastAsia="宋体"/>
          <w:color w:val="auto"/>
          <w:highlight w:val="none"/>
          <w:u w:val="single"/>
          <w:lang w:val="en-US" w:eastAsia="zh-CN"/>
        </w:rPr>
        <w:t>原有项目</w:t>
      </w:r>
      <w:r>
        <w:rPr>
          <w:rFonts w:ascii="Times New Roman" w:hAnsi="Times New Roman" w:eastAsia="宋体"/>
          <w:color w:val="auto"/>
          <w:highlight w:val="none"/>
          <w:u w:val="single"/>
        </w:rPr>
        <w:t>主要工程组成内容见表2.</w:t>
      </w:r>
      <w:r>
        <w:rPr>
          <w:rFonts w:hint="eastAsia" w:ascii="Times New Roman" w:hAnsi="Times New Roman" w:eastAsia="宋体"/>
          <w:color w:val="auto"/>
          <w:highlight w:val="none"/>
          <w:u w:val="single"/>
        </w:rPr>
        <w:t>2-</w:t>
      </w:r>
      <w:r>
        <w:rPr>
          <w:rFonts w:hint="eastAsia" w:ascii="Times New Roman" w:hAnsi="Times New Roman" w:eastAsia="宋体"/>
          <w:color w:val="auto"/>
          <w:highlight w:val="none"/>
          <w:u w:val="single"/>
          <w:lang w:val="en-US" w:eastAsia="zh-CN"/>
        </w:rPr>
        <w:t>2</w:t>
      </w:r>
      <w:r>
        <w:rPr>
          <w:rFonts w:ascii="Times New Roman" w:hAnsi="Times New Roman" w:eastAsia="宋体"/>
          <w:color w:val="auto"/>
          <w:highlight w:val="none"/>
          <w:u w:val="single"/>
        </w:rPr>
        <w:t>。</w:t>
      </w:r>
    </w:p>
    <w:p>
      <w:pPr>
        <w:spacing w:line="240" w:lineRule="auto"/>
        <w:ind w:firstLine="0" w:firstLineChars="0"/>
        <w:jc w:val="center"/>
        <w:rPr>
          <w:rFonts w:ascii="Times New Roman" w:hAnsi="Times New Roman" w:eastAsia="宋体" w:cs="Times New Roman"/>
          <w:b/>
          <w:bCs/>
          <w:color w:val="auto"/>
          <w:highlight w:val="none"/>
          <w:u w:val="single"/>
        </w:rPr>
      </w:pPr>
      <w:r>
        <w:rPr>
          <w:rFonts w:ascii="Times New Roman" w:hAnsi="Times New Roman" w:eastAsia="宋体" w:cs="Times New Roman"/>
          <w:b/>
          <w:bCs/>
          <w:color w:val="auto"/>
          <w:highlight w:val="none"/>
          <w:u w:val="single"/>
        </w:rPr>
        <w:t>表2.</w:t>
      </w:r>
      <w:r>
        <w:rPr>
          <w:rFonts w:hint="eastAsia" w:ascii="Times New Roman" w:hAnsi="Times New Roman" w:eastAsia="宋体" w:cs="Times New Roman"/>
          <w:b/>
          <w:bCs/>
          <w:color w:val="auto"/>
          <w:highlight w:val="none"/>
          <w:u w:val="single"/>
        </w:rPr>
        <w:t>2</w:t>
      </w:r>
      <w:r>
        <w:rPr>
          <w:rFonts w:ascii="Times New Roman" w:hAnsi="Times New Roman" w:eastAsia="宋体" w:cs="Times New Roman"/>
          <w:b/>
          <w:bCs/>
          <w:color w:val="auto"/>
          <w:highlight w:val="none"/>
          <w:u w:val="single"/>
        </w:rPr>
        <w:t>-</w:t>
      </w:r>
      <w:r>
        <w:rPr>
          <w:rFonts w:hint="eastAsia" w:ascii="Times New Roman" w:hAnsi="Times New Roman" w:eastAsia="宋体" w:cs="Times New Roman"/>
          <w:b/>
          <w:bCs/>
          <w:color w:val="auto"/>
          <w:highlight w:val="none"/>
          <w:u w:val="single"/>
          <w:lang w:val="en-US" w:eastAsia="zh-CN"/>
        </w:rPr>
        <w:t>2</w:t>
      </w:r>
      <w:r>
        <w:rPr>
          <w:rFonts w:ascii="Times New Roman" w:hAnsi="Times New Roman" w:eastAsia="宋体" w:cs="Times New Roman"/>
          <w:b/>
          <w:bCs/>
          <w:color w:val="auto"/>
          <w:highlight w:val="none"/>
          <w:u w:val="single"/>
        </w:rPr>
        <w:t xml:space="preserve"> </w:t>
      </w:r>
      <w:r>
        <w:rPr>
          <w:rFonts w:hint="eastAsia" w:ascii="Times New Roman" w:hAnsi="Times New Roman" w:eastAsia="宋体" w:cs="Times New Roman"/>
          <w:b/>
          <w:bCs/>
          <w:color w:val="auto"/>
          <w:highlight w:val="none"/>
          <w:u w:val="single"/>
          <w:lang w:val="en-US" w:eastAsia="zh-CN"/>
        </w:rPr>
        <w:t>原有项目</w:t>
      </w:r>
      <w:r>
        <w:rPr>
          <w:rFonts w:ascii="Times New Roman" w:hAnsi="Times New Roman" w:eastAsia="宋体" w:cs="Times New Roman"/>
          <w:b/>
          <w:bCs/>
          <w:color w:val="auto"/>
          <w:highlight w:val="none"/>
          <w:u w:val="single"/>
        </w:rPr>
        <w:t>主要工程组成内容一览表</w:t>
      </w:r>
    </w:p>
    <w:tbl>
      <w:tblPr>
        <w:tblStyle w:val="48"/>
        <w:tblW w:w="9071"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152"/>
        <w:gridCol w:w="3281"/>
        <w:gridCol w:w="3921"/>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17" w:type="dxa"/>
            <w:vMerge w:val="restart"/>
            <w:noWrap w:val="0"/>
            <w:vAlign w:val="center"/>
          </w:tcPr>
          <w:p>
            <w:pPr>
              <w:snapToGrid w:val="0"/>
              <w:spacing w:line="240" w:lineRule="auto"/>
              <w:ind w:firstLine="0" w:firstLineChars="0"/>
              <w:jc w:val="center"/>
              <w:rPr>
                <w:rFonts w:hint="eastAsia" w:ascii="Times New Roman" w:hAnsi="Times New Roman" w:eastAsia="宋体" w:cs="Times New Roman"/>
                <w:b/>
                <w:color w:val="auto"/>
                <w:sz w:val="21"/>
                <w:highlight w:val="none"/>
                <w:u w:val="single"/>
                <w:lang w:eastAsia="zh-CN"/>
              </w:rPr>
            </w:pPr>
            <w:r>
              <w:rPr>
                <w:rFonts w:hint="eastAsia" w:ascii="Times New Roman" w:hAnsi="Times New Roman" w:eastAsia="宋体" w:cs="Times New Roman"/>
                <w:b/>
                <w:color w:val="auto"/>
                <w:sz w:val="21"/>
                <w:highlight w:val="none"/>
                <w:u w:val="single"/>
                <w:lang w:val="en-US" w:eastAsia="zh-CN"/>
              </w:rPr>
              <w:t>分类</w:t>
            </w:r>
          </w:p>
        </w:tc>
        <w:tc>
          <w:tcPr>
            <w:tcW w:w="1152" w:type="dxa"/>
            <w:vMerge w:val="restart"/>
            <w:noWrap w:val="0"/>
            <w:vAlign w:val="center"/>
          </w:tcPr>
          <w:p>
            <w:pPr>
              <w:snapToGrid w:val="0"/>
              <w:spacing w:line="240" w:lineRule="auto"/>
              <w:ind w:firstLine="0" w:firstLineChars="0"/>
              <w:jc w:val="center"/>
              <w:rPr>
                <w:rFonts w:hint="eastAsia" w:ascii="Times New Roman" w:hAnsi="Times New Roman" w:eastAsia="宋体" w:cs="Times New Roman"/>
                <w:b/>
                <w:color w:val="auto"/>
                <w:sz w:val="21"/>
                <w:highlight w:val="none"/>
                <w:u w:val="single"/>
                <w:lang w:eastAsia="zh-CN"/>
              </w:rPr>
            </w:pPr>
            <w:r>
              <w:rPr>
                <w:rFonts w:hint="eastAsia" w:ascii="Times New Roman" w:hAnsi="Times New Roman" w:eastAsia="宋体" w:cs="Times New Roman"/>
                <w:b/>
                <w:color w:val="auto"/>
                <w:sz w:val="21"/>
                <w:highlight w:val="none"/>
                <w:u w:val="single"/>
                <w:lang w:val="en-US" w:eastAsia="zh-CN"/>
              </w:rPr>
              <w:t>工程名称</w:t>
            </w:r>
          </w:p>
        </w:tc>
        <w:tc>
          <w:tcPr>
            <w:tcW w:w="7202" w:type="dxa"/>
            <w:gridSpan w:val="2"/>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u w:val="single"/>
              </w:rPr>
            </w:pPr>
            <w:r>
              <w:rPr>
                <w:rFonts w:hint="eastAsia" w:ascii="Times New Roman" w:hAnsi="Times New Roman" w:eastAsia="宋体" w:cs="Times New Roman"/>
                <w:b/>
                <w:color w:val="auto"/>
                <w:sz w:val="21"/>
                <w:highlight w:val="none"/>
                <w:u w:val="single"/>
                <w:lang w:val="en-US" w:eastAsia="zh-CN"/>
              </w:rPr>
              <w:t>主要工程</w:t>
            </w:r>
            <w:r>
              <w:rPr>
                <w:rFonts w:ascii="Times New Roman" w:hAnsi="Times New Roman" w:eastAsia="宋体" w:cs="Times New Roman"/>
                <w:b/>
                <w:color w:val="auto"/>
                <w:sz w:val="21"/>
                <w:highlight w:val="none"/>
                <w:u w:val="single"/>
              </w:rPr>
              <w:t>内容</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17" w:type="dxa"/>
            <w:vMerge w:val="continue"/>
            <w:noWrap w:val="0"/>
            <w:vAlign w:val="center"/>
          </w:tcPr>
          <w:p>
            <w:pPr>
              <w:snapToGrid w:val="0"/>
              <w:spacing w:line="240" w:lineRule="auto"/>
              <w:ind w:firstLine="0" w:firstLineChars="0"/>
              <w:jc w:val="center"/>
              <w:rPr>
                <w:rFonts w:hint="eastAsia" w:ascii="Times New Roman" w:hAnsi="Times New Roman" w:eastAsia="宋体" w:cs="Times New Roman"/>
                <w:b/>
                <w:color w:val="auto"/>
                <w:sz w:val="21"/>
                <w:highlight w:val="none"/>
                <w:u w:val="single"/>
                <w:lang w:val="en-US" w:eastAsia="zh-CN"/>
              </w:rPr>
            </w:pPr>
          </w:p>
        </w:tc>
        <w:tc>
          <w:tcPr>
            <w:tcW w:w="1152" w:type="dxa"/>
            <w:vMerge w:val="continue"/>
            <w:noWrap w:val="0"/>
            <w:vAlign w:val="center"/>
          </w:tcPr>
          <w:p>
            <w:pPr>
              <w:snapToGrid w:val="0"/>
              <w:spacing w:line="240" w:lineRule="auto"/>
              <w:ind w:firstLine="0" w:firstLineChars="0"/>
              <w:jc w:val="center"/>
              <w:rPr>
                <w:rFonts w:hint="eastAsia" w:ascii="Times New Roman" w:hAnsi="Times New Roman" w:eastAsia="宋体" w:cs="Times New Roman"/>
                <w:b/>
                <w:color w:val="auto"/>
                <w:sz w:val="21"/>
                <w:highlight w:val="none"/>
                <w:u w:val="single"/>
                <w:lang w:val="en-US" w:eastAsia="zh-CN"/>
              </w:rPr>
            </w:pPr>
          </w:p>
        </w:tc>
        <w:tc>
          <w:tcPr>
            <w:tcW w:w="3281"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u w:val="single"/>
              </w:rPr>
            </w:pPr>
            <w:r>
              <w:rPr>
                <w:rFonts w:hint="eastAsia" w:ascii="Times New Roman" w:hAnsi="Times New Roman" w:eastAsia="宋体" w:cs="Times New Roman"/>
                <w:b/>
                <w:color w:val="auto"/>
                <w:sz w:val="21"/>
                <w:highlight w:val="none"/>
                <w:u w:val="single"/>
              </w:rPr>
              <w:t>原海江采石场</w:t>
            </w:r>
          </w:p>
        </w:tc>
        <w:tc>
          <w:tcPr>
            <w:tcW w:w="3921" w:type="dxa"/>
            <w:noWrap w:val="0"/>
            <w:vAlign w:val="center"/>
          </w:tcPr>
          <w:p>
            <w:pPr>
              <w:snapToGrid w:val="0"/>
              <w:spacing w:line="240" w:lineRule="auto"/>
              <w:ind w:firstLine="0" w:firstLineChars="0"/>
              <w:jc w:val="center"/>
              <w:rPr>
                <w:rFonts w:hint="eastAsia" w:ascii="Times New Roman" w:hAnsi="Times New Roman" w:eastAsia="宋体" w:cs="Times New Roman"/>
                <w:b/>
                <w:color w:val="auto"/>
                <w:sz w:val="21"/>
                <w:highlight w:val="none"/>
                <w:u w:val="single"/>
              </w:rPr>
            </w:pPr>
            <w:r>
              <w:rPr>
                <w:rFonts w:hint="eastAsia" w:ascii="Times New Roman" w:hAnsi="Times New Roman" w:eastAsia="宋体" w:cs="Times New Roman"/>
                <w:b/>
                <w:color w:val="auto"/>
                <w:sz w:val="21"/>
                <w:highlight w:val="none"/>
                <w:u w:val="single"/>
              </w:rPr>
              <w:t>原宏保兴采石场</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1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b/>
                <w:color w:val="auto"/>
                <w:sz w:val="21"/>
                <w:highlight w:val="none"/>
                <w:u w:val="single"/>
              </w:rPr>
              <w:t>主体工程</w:t>
            </w:r>
          </w:p>
        </w:tc>
        <w:tc>
          <w:tcPr>
            <w:tcW w:w="115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开采工程</w:t>
            </w:r>
          </w:p>
        </w:tc>
        <w:tc>
          <w:tcPr>
            <w:tcW w:w="3281" w:type="dxa"/>
            <w:noWrap w:val="0"/>
            <w:vAlign w:val="center"/>
          </w:tcPr>
          <w:p>
            <w:pPr>
              <w:snapToGrid w:val="0"/>
              <w:spacing w:line="240" w:lineRule="auto"/>
              <w:ind w:firstLine="0" w:firstLineChars="0"/>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矿区面积0.</w:t>
            </w:r>
            <w:r>
              <w:rPr>
                <w:rFonts w:hint="eastAsia" w:ascii="Times New Roman" w:hAnsi="Times New Roman" w:eastAsia="宋体" w:cs="Times New Roman"/>
                <w:color w:val="auto"/>
                <w:sz w:val="21"/>
                <w:highlight w:val="none"/>
                <w:u w:val="single"/>
              </w:rPr>
              <w:t>014</w:t>
            </w:r>
            <w:r>
              <w:rPr>
                <w:rFonts w:ascii="Times New Roman" w:hAnsi="Times New Roman" w:eastAsia="宋体" w:cs="Times New Roman"/>
                <w:color w:val="auto"/>
                <w:sz w:val="21"/>
                <w:highlight w:val="none"/>
                <w:u w:val="single"/>
              </w:rPr>
              <w:t>km</w:t>
            </w:r>
            <w:r>
              <w:rPr>
                <w:rFonts w:ascii="Times New Roman" w:hAnsi="Times New Roman" w:eastAsia="宋体" w:cs="Times New Roman"/>
                <w:color w:val="auto"/>
                <w:sz w:val="21"/>
                <w:highlight w:val="none"/>
                <w:u w:val="single"/>
                <w:vertAlign w:val="superscript"/>
              </w:rPr>
              <w:t>2</w:t>
            </w:r>
            <w:r>
              <w:rPr>
                <w:rFonts w:ascii="Times New Roman" w:hAnsi="Times New Roman" w:eastAsia="宋体" w:cs="Times New Roman"/>
                <w:color w:val="auto"/>
                <w:sz w:val="21"/>
                <w:highlight w:val="none"/>
                <w:u w:val="single"/>
              </w:rPr>
              <w:t>；矿山采场开采标高：+</w:t>
            </w:r>
            <w:r>
              <w:rPr>
                <w:rFonts w:hint="eastAsia" w:ascii="Times New Roman" w:hAnsi="Times New Roman" w:eastAsia="宋体" w:cs="Times New Roman"/>
                <w:color w:val="auto"/>
                <w:sz w:val="21"/>
                <w:highlight w:val="none"/>
                <w:u w:val="single"/>
              </w:rPr>
              <w:t>338</w:t>
            </w:r>
            <w:r>
              <w:rPr>
                <w:rFonts w:ascii="Times New Roman" w:hAnsi="Times New Roman" w:eastAsia="宋体" w:cs="Times New Roman"/>
                <w:color w:val="auto"/>
                <w:sz w:val="21"/>
                <w:highlight w:val="none"/>
                <w:u w:val="single"/>
              </w:rPr>
              <w:t>m 至+</w:t>
            </w:r>
            <w:r>
              <w:rPr>
                <w:rFonts w:hint="eastAsia" w:ascii="Times New Roman" w:hAnsi="Times New Roman" w:eastAsia="宋体" w:cs="Times New Roman"/>
                <w:color w:val="auto"/>
                <w:sz w:val="21"/>
                <w:highlight w:val="none"/>
                <w:u w:val="single"/>
              </w:rPr>
              <w:t>26</w:t>
            </w:r>
            <w:r>
              <w:rPr>
                <w:rFonts w:ascii="Times New Roman" w:hAnsi="Times New Roman" w:eastAsia="宋体" w:cs="Times New Roman"/>
                <w:color w:val="auto"/>
                <w:sz w:val="21"/>
                <w:highlight w:val="none"/>
                <w:u w:val="single"/>
              </w:rPr>
              <w:t>0m</w:t>
            </w:r>
            <w:r>
              <w:rPr>
                <w:rFonts w:hint="eastAsia" w:ascii="Times New Roman" w:hAnsi="Times New Roman" w:eastAsia="宋体" w:cs="Times New Roman"/>
                <w:color w:val="auto"/>
                <w:sz w:val="21"/>
                <w:highlight w:val="none"/>
                <w:u w:val="single"/>
              </w:rPr>
              <w:t>，设置1个开采面，自东南向西北</w:t>
            </w:r>
            <w:r>
              <w:rPr>
                <w:rFonts w:ascii="Times New Roman" w:hAnsi="Times New Roman" w:eastAsia="宋体" w:cs="Times New Roman"/>
                <w:color w:val="auto"/>
                <w:sz w:val="21"/>
                <w:highlight w:val="none"/>
                <w:u w:val="single"/>
              </w:rPr>
              <w:t>开拓，</w:t>
            </w:r>
            <w:r>
              <w:rPr>
                <w:rFonts w:hint="eastAsia" w:ascii="Times New Roman" w:hAnsi="Times New Roman" w:eastAsia="宋体" w:cs="Times New Roman"/>
                <w:color w:val="auto"/>
                <w:sz w:val="21"/>
                <w:highlight w:val="none"/>
                <w:u w:val="single"/>
              </w:rPr>
              <w:t>形成1个</w:t>
            </w:r>
            <w:r>
              <w:rPr>
                <w:rFonts w:ascii="Times New Roman" w:hAnsi="Times New Roman" w:eastAsia="宋体" w:cs="Times New Roman"/>
                <w:color w:val="auto"/>
                <w:sz w:val="21"/>
                <w:highlight w:val="none"/>
                <w:u w:val="single"/>
              </w:rPr>
              <w:t>采空区</w:t>
            </w:r>
            <w:r>
              <w:rPr>
                <w:rFonts w:hint="eastAsia" w:ascii="Times New Roman" w:hAnsi="Times New Roman" w:eastAsia="宋体" w:cs="Times New Roman"/>
                <w:color w:val="auto"/>
                <w:sz w:val="21"/>
                <w:highlight w:val="none"/>
                <w:u w:val="single"/>
              </w:rPr>
              <w:t>，其</w:t>
            </w:r>
            <w:r>
              <w:rPr>
                <w:rFonts w:ascii="Times New Roman" w:hAnsi="Times New Roman" w:eastAsia="宋体" w:cs="Times New Roman"/>
                <w:color w:val="auto"/>
                <w:sz w:val="21"/>
                <w:highlight w:val="none"/>
                <w:u w:val="single"/>
              </w:rPr>
              <w:t>底板平均标高+260.0m，矿区范围内采空区平均长度 106m，平均宽度34m，平均高度约50m，平均坡面角59°</w:t>
            </w:r>
            <w:r>
              <w:rPr>
                <w:rFonts w:hint="eastAsia" w:ascii="Times New Roman" w:hAnsi="Times New Roman" w:eastAsia="宋体" w:cs="Times New Roman"/>
                <w:color w:val="auto"/>
                <w:sz w:val="21"/>
                <w:highlight w:val="none"/>
                <w:u w:val="single"/>
              </w:rPr>
              <w:t>，</w:t>
            </w:r>
            <w:r>
              <w:rPr>
                <w:rFonts w:hint="eastAsia" w:ascii="Times New Roman" w:hAnsi="Times New Roman" w:eastAsia="宋体"/>
                <w:color w:val="auto"/>
                <w:sz w:val="21"/>
                <w:highlight w:val="none"/>
                <w:u w:val="single"/>
              </w:rPr>
              <w:t>开采建筑石料5万t/a。</w:t>
            </w:r>
          </w:p>
        </w:tc>
        <w:tc>
          <w:tcPr>
            <w:tcW w:w="3921" w:type="dxa"/>
            <w:noWrap w:val="0"/>
            <w:vAlign w:val="center"/>
          </w:tcPr>
          <w:p>
            <w:pPr>
              <w:snapToGrid w:val="0"/>
              <w:spacing w:line="240" w:lineRule="auto"/>
              <w:ind w:firstLine="0" w:firstLineChars="0"/>
              <w:jc w:val="left"/>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矿区面积0.</w:t>
            </w:r>
            <w:r>
              <w:rPr>
                <w:rFonts w:hint="eastAsia" w:ascii="Times New Roman" w:hAnsi="Times New Roman" w:eastAsia="宋体" w:cs="Times New Roman"/>
                <w:color w:val="auto"/>
                <w:sz w:val="21"/>
                <w:highlight w:val="none"/>
                <w:u w:val="single"/>
              </w:rPr>
              <w:t>0401</w:t>
            </w:r>
            <w:r>
              <w:rPr>
                <w:rFonts w:ascii="Times New Roman" w:hAnsi="Times New Roman" w:eastAsia="宋体" w:cs="Times New Roman"/>
                <w:color w:val="auto"/>
                <w:sz w:val="21"/>
                <w:highlight w:val="none"/>
                <w:u w:val="single"/>
              </w:rPr>
              <w:t>km</w:t>
            </w:r>
            <w:r>
              <w:rPr>
                <w:rFonts w:ascii="Times New Roman" w:hAnsi="Times New Roman" w:eastAsia="宋体" w:cs="Times New Roman"/>
                <w:color w:val="auto"/>
                <w:sz w:val="21"/>
                <w:highlight w:val="none"/>
                <w:u w:val="single"/>
                <w:vertAlign w:val="superscript"/>
              </w:rPr>
              <w:t>2</w:t>
            </w:r>
            <w:r>
              <w:rPr>
                <w:rFonts w:ascii="Times New Roman" w:hAnsi="Times New Roman" w:eastAsia="宋体" w:cs="Times New Roman"/>
                <w:color w:val="auto"/>
                <w:sz w:val="21"/>
                <w:highlight w:val="none"/>
                <w:u w:val="single"/>
              </w:rPr>
              <w:t>；矿山采场开采标高：</w:t>
            </w:r>
            <w:r>
              <w:rPr>
                <w:rFonts w:ascii="Times New Roman" w:hAnsi="Times New Roman" w:eastAsia="宋体"/>
                <w:color w:val="auto"/>
                <w:kern w:val="0"/>
                <w:sz w:val="21"/>
                <w:highlight w:val="none"/>
                <w:u w:val="single"/>
              </w:rPr>
              <w:t>+</w:t>
            </w:r>
            <w:r>
              <w:rPr>
                <w:rFonts w:hint="eastAsia" w:ascii="Times New Roman" w:hAnsi="Times New Roman" w:eastAsia="宋体"/>
                <w:color w:val="auto"/>
                <w:kern w:val="0"/>
                <w:sz w:val="21"/>
                <w:highlight w:val="none"/>
                <w:u w:val="single"/>
              </w:rPr>
              <w:t>400</w:t>
            </w:r>
            <w:r>
              <w:rPr>
                <w:rFonts w:ascii="Times New Roman" w:hAnsi="Times New Roman" w:eastAsia="宋体"/>
                <w:color w:val="auto"/>
                <w:kern w:val="0"/>
                <w:sz w:val="21"/>
                <w:highlight w:val="none"/>
                <w:u w:val="single"/>
              </w:rPr>
              <w:t>m～+</w:t>
            </w:r>
            <w:r>
              <w:rPr>
                <w:rFonts w:hint="eastAsia" w:ascii="Times New Roman" w:hAnsi="Times New Roman" w:eastAsia="宋体"/>
                <w:color w:val="auto"/>
                <w:kern w:val="0"/>
                <w:sz w:val="21"/>
                <w:highlight w:val="none"/>
                <w:u w:val="single"/>
              </w:rPr>
              <w:t>255</w:t>
            </w:r>
            <w:r>
              <w:rPr>
                <w:rFonts w:ascii="Times New Roman" w:hAnsi="Times New Roman" w:eastAsia="宋体"/>
                <w:color w:val="auto"/>
                <w:kern w:val="0"/>
                <w:sz w:val="21"/>
                <w:highlight w:val="none"/>
                <w:u w:val="single"/>
              </w:rPr>
              <w:t>m</w:t>
            </w:r>
            <w:r>
              <w:rPr>
                <w:rFonts w:hint="eastAsia" w:ascii="Times New Roman" w:hAnsi="Times New Roman" w:eastAsia="宋体" w:cs="Times New Roman"/>
                <w:color w:val="auto"/>
                <w:sz w:val="21"/>
                <w:highlight w:val="none"/>
                <w:u w:val="single"/>
              </w:rPr>
              <w:t>，设置1个开采面，</w:t>
            </w:r>
            <w:r>
              <w:rPr>
                <w:rFonts w:hint="eastAsia" w:ascii="Times New Roman" w:hAnsi="Times New Roman" w:eastAsia="宋体"/>
                <w:color w:val="auto"/>
                <w:sz w:val="21"/>
                <w:highlight w:val="none"/>
                <w:u w:val="single"/>
              </w:rPr>
              <w:t>年开采建筑石料5万t。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17"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p>
        </w:tc>
        <w:tc>
          <w:tcPr>
            <w:tcW w:w="115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破碎场</w:t>
            </w:r>
          </w:p>
        </w:tc>
        <w:tc>
          <w:tcPr>
            <w:tcW w:w="3281" w:type="dxa"/>
            <w:noWrap w:val="0"/>
            <w:vAlign w:val="center"/>
          </w:tcPr>
          <w:p>
            <w:pPr>
              <w:snapToGrid w:val="0"/>
              <w:spacing w:line="240" w:lineRule="auto"/>
              <w:ind w:firstLine="0" w:firstLineChars="0"/>
              <w:rPr>
                <w:rFonts w:hint="eastAsia" w:ascii="Times New Roman" w:hAnsi="Times New Roman" w:eastAsia="宋体" w:cs="Times New Roman"/>
                <w:color w:val="auto"/>
                <w:sz w:val="21"/>
                <w:highlight w:val="none"/>
                <w:u w:val="single"/>
                <w:lang w:eastAsia="zh-CN"/>
              </w:rPr>
            </w:pPr>
            <w:r>
              <w:rPr>
                <w:rFonts w:ascii="Times New Roman" w:hAnsi="Times New Roman" w:eastAsia="宋体" w:cs="Times New Roman"/>
                <w:color w:val="auto"/>
                <w:sz w:val="21"/>
                <w:highlight w:val="none"/>
                <w:u w:val="single"/>
              </w:rPr>
              <w:t>设置一条破碎筛分生产线，</w:t>
            </w:r>
            <w:r>
              <w:rPr>
                <w:rFonts w:hint="eastAsia" w:ascii="Times New Roman" w:hAnsi="Times New Roman" w:eastAsia="宋体" w:cs="Times New Roman"/>
                <w:color w:val="auto"/>
                <w:sz w:val="21"/>
                <w:highlight w:val="none"/>
                <w:u w:val="single"/>
              </w:rPr>
              <w:t>位于矿区南面靠近矿区边界的位置，布设破碎设备1套</w:t>
            </w:r>
            <w:r>
              <w:rPr>
                <w:rFonts w:hint="eastAsia" w:ascii="Times New Roman" w:hAnsi="Times New Roman" w:eastAsia="宋体" w:cs="Times New Roman"/>
                <w:color w:val="auto"/>
                <w:sz w:val="21"/>
                <w:highlight w:val="none"/>
                <w:u w:val="single"/>
                <w:lang w:eastAsia="zh-CN"/>
              </w:rPr>
              <w:t>。</w:t>
            </w:r>
          </w:p>
        </w:tc>
        <w:tc>
          <w:tcPr>
            <w:tcW w:w="3921" w:type="dxa"/>
            <w:noWrap w:val="0"/>
            <w:vAlign w:val="center"/>
          </w:tcPr>
          <w:p>
            <w:pPr>
              <w:snapToGrid w:val="0"/>
              <w:spacing w:line="240" w:lineRule="auto"/>
              <w:ind w:firstLine="0" w:firstLineChars="0"/>
              <w:jc w:val="left"/>
              <w:rPr>
                <w:rFonts w:hint="eastAsia" w:ascii="Times New Roman" w:hAnsi="Times New Roman" w:eastAsia="宋体" w:cs="Times New Roman"/>
                <w:color w:val="auto"/>
                <w:sz w:val="21"/>
                <w:highlight w:val="none"/>
                <w:u w:val="single"/>
                <w:lang w:eastAsia="zh-CN"/>
              </w:rPr>
            </w:pPr>
            <w:r>
              <w:rPr>
                <w:rFonts w:ascii="Times New Roman" w:hAnsi="Times New Roman" w:eastAsia="宋体" w:cs="Times New Roman"/>
                <w:color w:val="auto"/>
                <w:sz w:val="21"/>
                <w:highlight w:val="none"/>
                <w:u w:val="single"/>
              </w:rPr>
              <w:t>设置一条破碎筛分生产线</w:t>
            </w:r>
            <w:r>
              <w:rPr>
                <w:rFonts w:hint="eastAsia" w:ascii="Times New Roman" w:hAnsi="Times New Roman" w:eastAsia="宋体" w:cs="Times New Roman"/>
                <w:color w:val="auto"/>
                <w:sz w:val="21"/>
                <w:highlight w:val="none"/>
                <w:u w:val="single"/>
              </w:rPr>
              <w:t>，布设破碎设备1套</w:t>
            </w:r>
            <w:r>
              <w:rPr>
                <w:rFonts w:hint="eastAsia" w:ascii="Times New Roman" w:hAnsi="Times New Roman" w:eastAsia="宋体" w:cs="Times New Roman"/>
                <w:color w:val="auto"/>
                <w:sz w:val="21"/>
                <w:highlight w:val="none"/>
                <w:u w:val="single"/>
                <w:lang w:eastAsia="zh-CN"/>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17" w:type="dxa"/>
            <w:vMerge w:val="continue"/>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u w:val="single"/>
              </w:rPr>
            </w:pPr>
          </w:p>
        </w:tc>
        <w:tc>
          <w:tcPr>
            <w:tcW w:w="115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洗砂区</w:t>
            </w:r>
          </w:p>
        </w:tc>
        <w:tc>
          <w:tcPr>
            <w:tcW w:w="3281" w:type="dxa"/>
            <w:noWrap w:val="0"/>
            <w:vAlign w:val="center"/>
          </w:tcPr>
          <w:p>
            <w:pPr>
              <w:snapToGrid w:val="0"/>
              <w:spacing w:line="240" w:lineRule="auto"/>
              <w:ind w:firstLine="0" w:firstLineChars="0"/>
              <w:jc w:val="left"/>
              <w:rPr>
                <w:rFonts w:hint="eastAsia"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建设1个沉砂池，容积80m</w:t>
            </w:r>
            <w:r>
              <w:rPr>
                <w:rFonts w:hint="eastAsia" w:ascii="Times New Roman" w:hAnsi="Times New Roman" w:eastAsia="宋体" w:cs="Times New Roman"/>
                <w:color w:val="auto"/>
                <w:sz w:val="21"/>
                <w:highlight w:val="none"/>
                <w:u w:val="single"/>
                <w:vertAlign w:val="superscript"/>
              </w:rPr>
              <w:t>3</w:t>
            </w:r>
            <w:r>
              <w:rPr>
                <w:rFonts w:hint="eastAsia" w:ascii="Times New Roman" w:hAnsi="Times New Roman" w:eastAsia="宋体" w:cs="Times New Roman"/>
                <w:color w:val="auto"/>
                <w:sz w:val="21"/>
                <w:highlight w:val="none"/>
                <w:u w:val="single"/>
              </w:rPr>
              <w:t>，1个清水池，容积100</w:t>
            </w:r>
            <w:r>
              <w:rPr>
                <w:rFonts w:hint="eastAsia" w:ascii="Times New Roman" w:hAnsi="Times New Roman" w:eastAsia="宋体"/>
                <w:color w:val="auto"/>
                <w:sz w:val="21"/>
                <w:highlight w:val="none"/>
                <w:u w:val="single"/>
              </w:rPr>
              <w:t>m</w:t>
            </w:r>
            <w:r>
              <w:rPr>
                <w:rFonts w:hint="eastAsia" w:ascii="Times New Roman" w:hAnsi="Times New Roman" w:eastAsia="宋体"/>
                <w:color w:val="auto"/>
                <w:sz w:val="21"/>
                <w:highlight w:val="none"/>
                <w:u w:val="single"/>
                <w:vertAlign w:val="superscript"/>
              </w:rPr>
              <w:t>3</w:t>
            </w:r>
            <w:r>
              <w:rPr>
                <w:rFonts w:hint="eastAsia" w:ascii="Times New Roman" w:hAnsi="Times New Roman" w:eastAsia="宋体" w:cs="Times New Roman"/>
                <w:color w:val="auto"/>
                <w:sz w:val="21"/>
                <w:highlight w:val="none"/>
                <w:u w:val="single"/>
              </w:rPr>
              <w:t>。</w:t>
            </w:r>
          </w:p>
        </w:tc>
        <w:tc>
          <w:tcPr>
            <w:tcW w:w="3921"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u w:val="single"/>
                <w:lang w:val="en-US" w:eastAsia="zh-CN"/>
              </w:rPr>
            </w:pPr>
            <w:r>
              <w:rPr>
                <w:rFonts w:hint="eastAsia" w:ascii="Times New Roman" w:hAnsi="Times New Roman" w:eastAsia="宋体" w:cs="Times New Roman"/>
                <w:color w:val="auto"/>
                <w:sz w:val="21"/>
                <w:highlight w:val="none"/>
                <w:u w:val="singl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1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b/>
                <w:bCs/>
                <w:color w:val="auto"/>
                <w:sz w:val="21"/>
                <w:highlight w:val="none"/>
                <w:u w:val="single"/>
              </w:rPr>
              <w:t>辅助工程</w:t>
            </w:r>
          </w:p>
        </w:tc>
        <w:tc>
          <w:tcPr>
            <w:tcW w:w="115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办公生活</w:t>
            </w:r>
          </w:p>
        </w:tc>
        <w:tc>
          <w:tcPr>
            <w:tcW w:w="3281"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占地面积</w:t>
            </w:r>
            <w:r>
              <w:rPr>
                <w:rFonts w:hint="eastAsia" w:ascii="Times New Roman" w:hAnsi="Times New Roman" w:eastAsia="宋体" w:cs="Times New Roman"/>
                <w:color w:val="auto"/>
                <w:sz w:val="21"/>
                <w:highlight w:val="none"/>
                <w:u w:val="single"/>
              </w:rPr>
              <w:t>2</w:t>
            </w:r>
            <w:r>
              <w:rPr>
                <w:rFonts w:ascii="Times New Roman" w:hAnsi="Times New Roman" w:eastAsia="宋体" w:cs="Times New Roman"/>
                <w:color w:val="auto"/>
                <w:sz w:val="21"/>
                <w:highlight w:val="none"/>
                <w:u w:val="single"/>
              </w:rPr>
              <w:t>00m</w:t>
            </w:r>
            <w:r>
              <w:rPr>
                <w:rFonts w:ascii="Times New Roman" w:hAnsi="Times New Roman" w:eastAsia="宋体" w:cs="Times New Roman"/>
                <w:color w:val="auto"/>
                <w:sz w:val="21"/>
                <w:highlight w:val="none"/>
                <w:u w:val="single"/>
                <w:vertAlign w:val="superscript"/>
              </w:rPr>
              <w:t>2</w:t>
            </w:r>
            <w:r>
              <w:rPr>
                <w:rFonts w:ascii="Times New Roman" w:hAnsi="Times New Roman" w:eastAsia="宋体" w:cs="Times New Roman"/>
                <w:color w:val="auto"/>
                <w:sz w:val="21"/>
                <w:highlight w:val="none"/>
                <w:u w:val="single"/>
              </w:rPr>
              <w:t>，</w:t>
            </w:r>
            <w:r>
              <w:rPr>
                <w:rFonts w:hint="eastAsia" w:ascii="Times New Roman" w:hAnsi="Times New Roman" w:eastAsia="宋体" w:cs="Times New Roman"/>
                <w:color w:val="auto"/>
                <w:sz w:val="21"/>
                <w:highlight w:val="none"/>
                <w:u w:val="single"/>
              </w:rPr>
              <w:t>位于</w:t>
            </w:r>
            <w:r>
              <w:rPr>
                <w:rFonts w:ascii="Times New Roman" w:hAnsi="Times New Roman" w:eastAsia="宋体" w:cs="Times New Roman"/>
                <w:color w:val="auto"/>
                <w:sz w:val="21"/>
                <w:highlight w:val="none"/>
                <w:u w:val="single"/>
              </w:rPr>
              <w:t>矿区东面</w:t>
            </w:r>
          </w:p>
        </w:tc>
        <w:tc>
          <w:tcPr>
            <w:tcW w:w="3921" w:type="dxa"/>
            <w:noWrap w:val="0"/>
            <w:vAlign w:val="center"/>
          </w:tcPr>
          <w:p>
            <w:pPr>
              <w:snapToGrid w:val="0"/>
              <w:spacing w:line="240" w:lineRule="auto"/>
              <w:ind w:firstLine="0" w:firstLineChars="0"/>
              <w:jc w:val="left"/>
              <w:rPr>
                <w:rFonts w:ascii="Times New Roman" w:hAnsi="Times New Roman" w:eastAsia="宋体" w:cs="Times New Roman"/>
                <w:color w:val="auto"/>
                <w:sz w:val="21"/>
                <w:highlight w:val="none"/>
                <w:u w:val="single"/>
              </w:rPr>
            </w:pPr>
            <w:r>
              <w:rPr>
                <w:rFonts w:ascii="Times New Roman" w:hAnsi="Times New Roman" w:eastAsia="宋体"/>
                <w:color w:val="auto"/>
                <w:sz w:val="21"/>
                <w:highlight w:val="none"/>
                <w:u w:val="single"/>
              </w:rPr>
              <w:t>位于</w:t>
            </w:r>
            <w:r>
              <w:rPr>
                <w:rFonts w:hint="eastAsia" w:ascii="Times New Roman" w:hAnsi="Times New Roman" w:eastAsia="宋体"/>
                <w:color w:val="auto"/>
                <w:sz w:val="21"/>
                <w:highlight w:val="none"/>
                <w:u w:val="single"/>
              </w:rPr>
              <w:t>开采</w:t>
            </w:r>
            <w:r>
              <w:rPr>
                <w:rFonts w:ascii="Times New Roman" w:hAnsi="Times New Roman" w:eastAsia="宋体"/>
                <w:color w:val="auto"/>
                <w:sz w:val="21"/>
                <w:highlight w:val="none"/>
                <w:u w:val="single"/>
              </w:rPr>
              <w:t>区</w:t>
            </w:r>
            <w:r>
              <w:rPr>
                <w:rFonts w:hint="eastAsia" w:ascii="Times New Roman" w:hAnsi="Times New Roman" w:eastAsia="宋体"/>
                <w:color w:val="auto"/>
                <w:sz w:val="21"/>
                <w:highlight w:val="none"/>
                <w:u w:val="single"/>
              </w:rPr>
              <w:t>南面约90m处，</w:t>
            </w:r>
            <w:r>
              <w:rPr>
                <w:rFonts w:ascii="Times New Roman" w:hAnsi="Times New Roman" w:eastAsia="宋体"/>
                <w:color w:val="auto"/>
                <w:sz w:val="21"/>
                <w:highlight w:val="none"/>
                <w:u w:val="single"/>
              </w:rPr>
              <w:t>占地面积</w:t>
            </w:r>
            <w:r>
              <w:rPr>
                <w:rFonts w:hint="eastAsia" w:ascii="Times New Roman" w:hAnsi="Times New Roman" w:eastAsia="宋体"/>
                <w:color w:val="auto"/>
                <w:sz w:val="21"/>
                <w:highlight w:val="none"/>
                <w:u w:val="single"/>
              </w:rPr>
              <w:t>约800</w:t>
            </w:r>
            <w:r>
              <w:rPr>
                <w:rFonts w:ascii="Times New Roman" w:hAnsi="Times New Roman" w:eastAsia="宋体"/>
                <w:color w:val="auto"/>
                <w:sz w:val="21"/>
                <w:highlight w:val="none"/>
                <w:u w:val="single"/>
              </w:rPr>
              <w:t>m</w:t>
            </w:r>
            <w:r>
              <w:rPr>
                <w:rFonts w:ascii="Times New Roman" w:hAnsi="Times New Roman" w:eastAsia="宋体"/>
                <w:color w:val="auto"/>
                <w:sz w:val="21"/>
                <w:highlight w:val="none"/>
                <w:u w:val="single"/>
                <w:vertAlign w:val="superscript"/>
              </w:rPr>
              <w:t>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17"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p>
        </w:tc>
        <w:tc>
          <w:tcPr>
            <w:tcW w:w="115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机修房</w:t>
            </w:r>
          </w:p>
        </w:tc>
        <w:tc>
          <w:tcPr>
            <w:tcW w:w="328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位于矿区</w:t>
            </w:r>
            <w:r>
              <w:rPr>
                <w:rFonts w:hint="eastAsia" w:ascii="Times New Roman" w:hAnsi="Times New Roman" w:eastAsia="宋体" w:cs="Times New Roman"/>
                <w:color w:val="auto"/>
                <w:sz w:val="21"/>
                <w:highlight w:val="none"/>
                <w:u w:val="single"/>
              </w:rPr>
              <w:t>东</w:t>
            </w:r>
            <w:r>
              <w:rPr>
                <w:rFonts w:ascii="Times New Roman" w:hAnsi="Times New Roman" w:eastAsia="宋体" w:cs="Times New Roman"/>
                <w:color w:val="auto"/>
                <w:sz w:val="21"/>
                <w:highlight w:val="none"/>
                <w:u w:val="single"/>
              </w:rPr>
              <w:t>面，面积</w:t>
            </w:r>
            <w:r>
              <w:rPr>
                <w:rFonts w:hint="eastAsia" w:ascii="Times New Roman" w:hAnsi="Times New Roman" w:eastAsia="宋体" w:cs="Times New Roman"/>
                <w:color w:val="auto"/>
                <w:sz w:val="21"/>
                <w:highlight w:val="none"/>
                <w:u w:val="single"/>
              </w:rPr>
              <w:t>1</w:t>
            </w:r>
            <w:r>
              <w:rPr>
                <w:rFonts w:ascii="Times New Roman" w:hAnsi="Times New Roman" w:eastAsia="宋体" w:cs="Times New Roman"/>
                <w:color w:val="auto"/>
                <w:sz w:val="21"/>
                <w:highlight w:val="none"/>
                <w:u w:val="single"/>
              </w:rPr>
              <w:t>0m</w:t>
            </w:r>
            <w:r>
              <w:rPr>
                <w:rFonts w:ascii="Times New Roman" w:hAnsi="Times New Roman" w:eastAsia="宋体" w:cs="Times New Roman"/>
                <w:color w:val="auto"/>
                <w:sz w:val="21"/>
                <w:highlight w:val="none"/>
                <w:u w:val="single"/>
                <w:vertAlign w:val="superscript"/>
              </w:rPr>
              <w:t>2</w:t>
            </w:r>
          </w:p>
        </w:tc>
        <w:tc>
          <w:tcPr>
            <w:tcW w:w="392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位于矿区</w:t>
            </w:r>
            <w:r>
              <w:rPr>
                <w:rFonts w:hint="eastAsia" w:ascii="Times New Roman" w:hAnsi="Times New Roman" w:eastAsia="宋体" w:cs="Times New Roman"/>
                <w:color w:val="auto"/>
                <w:sz w:val="21"/>
                <w:highlight w:val="none"/>
                <w:u w:val="single"/>
              </w:rPr>
              <w:t>南</w:t>
            </w:r>
            <w:r>
              <w:rPr>
                <w:rFonts w:ascii="Times New Roman" w:hAnsi="Times New Roman" w:eastAsia="宋体" w:cs="Times New Roman"/>
                <w:color w:val="auto"/>
                <w:sz w:val="21"/>
                <w:highlight w:val="none"/>
                <w:u w:val="single"/>
              </w:rPr>
              <w:t>面，面积</w:t>
            </w:r>
            <w:r>
              <w:rPr>
                <w:rFonts w:hint="eastAsia" w:ascii="Times New Roman" w:hAnsi="Times New Roman" w:eastAsia="宋体" w:cs="Times New Roman"/>
                <w:color w:val="auto"/>
                <w:sz w:val="21"/>
                <w:highlight w:val="none"/>
                <w:u w:val="single"/>
              </w:rPr>
              <w:t>1</w:t>
            </w:r>
            <w:r>
              <w:rPr>
                <w:rFonts w:ascii="Times New Roman" w:hAnsi="Times New Roman" w:eastAsia="宋体" w:cs="Times New Roman"/>
                <w:color w:val="auto"/>
                <w:sz w:val="21"/>
                <w:highlight w:val="none"/>
                <w:u w:val="single"/>
              </w:rPr>
              <w:t>0m</w:t>
            </w:r>
            <w:r>
              <w:rPr>
                <w:rFonts w:ascii="Times New Roman" w:hAnsi="Times New Roman" w:eastAsia="宋体" w:cs="Times New Roman"/>
                <w:color w:val="auto"/>
                <w:sz w:val="21"/>
                <w:highlight w:val="none"/>
                <w:u w:val="single"/>
                <w:vertAlign w:val="superscript"/>
              </w:rPr>
              <w:t>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17"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p>
        </w:tc>
        <w:tc>
          <w:tcPr>
            <w:tcW w:w="115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变压器</w:t>
            </w:r>
          </w:p>
        </w:tc>
        <w:tc>
          <w:tcPr>
            <w:tcW w:w="328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630</w:t>
            </w:r>
            <w:r>
              <w:rPr>
                <w:rFonts w:ascii="Times New Roman" w:hAnsi="Times New Roman" w:eastAsia="宋体" w:cs="Times New Roman"/>
                <w:color w:val="auto"/>
                <w:sz w:val="21"/>
                <w:highlight w:val="none"/>
                <w:u w:val="single"/>
              </w:rPr>
              <w:t>kVA变压器一座</w:t>
            </w:r>
          </w:p>
        </w:tc>
        <w:tc>
          <w:tcPr>
            <w:tcW w:w="392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160</w:t>
            </w:r>
            <w:r>
              <w:rPr>
                <w:rFonts w:ascii="Times New Roman" w:hAnsi="Times New Roman" w:eastAsia="宋体" w:cs="Times New Roman"/>
                <w:color w:val="auto"/>
                <w:sz w:val="21"/>
                <w:highlight w:val="none"/>
                <w:u w:val="single"/>
              </w:rPr>
              <w:t>kVA变压器一座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17"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p>
        </w:tc>
        <w:tc>
          <w:tcPr>
            <w:tcW w:w="115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地磅</w:t>
            </w:r>
          </w:p>
        </w:tc>
        <w:tc>
          <w:tcPr>
            <w:tcW w:w="3281" w:type="dxa"/>
            <w:noWrap w:val="0"/>
            <w:vAlign w:val="center"/>
          </w:tcPr>
          <w:p>
            <w:pPr>
              <w:snapToGrid w:val="0"/>
              <w:spacing w:line="240" w:lineRule="auto"/>
              <w:ind w:firstLine="0" w:firstLineChars="0"/>
              <w:jc w:val="left"/>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设置150t地磅一个，位于矿区东面</w:t>
            </w:r>
          </w:p>
        </w:tc>
        <w:tc>
          <w:tcPr>
            <w:tcW w:w="3921"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u w:val="single"/>
                <w:lang w:val="en-US" w:eastAsia="zh-CN"/>
              </w:rPr>
            </w:pPr>
            <w:r>
              <w:rPr>
                <w:rFonts w:hint="eastAsia" w:ascii="Times New Roman" w:hAnsi="Times New Roman" w:eastAsia="宋体" w:cs="Times New Roman"/>
                <w:color w:val="auto"/>
                <w:sz w:val="21"/>
                <w:highlight w:val="none"/>
                <w:u w:val="singl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1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b/>
                <w:bCs/>
                <w:color w:val="auto"/>
                <w:sz w:val="21"/>
                <w:highlight w:val="none"/>
                <w:u w:val="single"/>
              </w:rPr>
              <w:t>公用工程</w:t>
            </w:r>
          </w:p>
        </w:tc>
        <w:tc>
          <w:tcPr>
            <w:tcW w:w="115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给水工程</w:t>
            </w:r>
          </w:p>
        </w:tc>
        <w:tc>
          <w:tcPr>
            <w:tcW w:w="3281" w:type="dxa"/>
            <w:noWrap w:val="0"/>
            <w:vAlign w:val="center"/>
          </w:tcPr>
          <w:p>
            <w:pPr>
              <w:snapToGrid w:val="0"/>
              <w:spacing w:line="240" w:lineRule="auto"/>
              <w:ind w:firstLine="0" w:firstLineChars="0"/>
              <w:jc w:val="left"/>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使用矿区西南面约400m处山泉水</w:t>
            </w:r>
          </w:p>
        </w:tc>
        <w:tc>
          <w:tcPr>
            <w:tcW w:w="3921" w:type="dxa"/>
            <w:noWrap w:val="0"/>
            <w:vAlign w:val="center"/>
          </w:tcPr>
          <w:p>
            <w:pPr>
              <w:snapToGrid w:val="0"/>
              <w:spacing w:line="240" w:lineRule="auto"/>
              <w:ind w:firstLine="0" w:firstLineChars="0"/>
              <w:jc w:val="left"/>
              <w:rPr>
                <w:rFonts w:ascii="Times New Roman" w:hAnsi="Times New Roman" w:eastAsia="宋体" w:cs="Times New Roman"/>
                <w:color w:val="auto"/>
                <w:sz w:val="21"/>
                <w:highlight w:val="none"/>
                <w:u w:val="single"/>
              </w:rPr>
            </w:pPr>
            <w:r>
              <w:rPr>
                <w:rFonts w:hint="eastAsia" w:ascii="Times New Roman" w:hAnsi="Times New Roman" w:eastAsia="宋体"/>
                <w:color w:val="auto"/>
                <w:sz w:val="21"/>
                <w:highlight w:val="none"/>
                <w:u w:val="single"/>
              </w:rPr>
              <w:t>生产降尘及生活用水均取</w:t>
            </w:r>
            <w:r>
              <w:rPr>
                <w:rFonts w:ascii="Times New Roman" w:hAnsi="Times New Roman" w:eastAsia="宋体"/>
                <w:color w:val="auto"/>
                <w:sz w:val="21"/>
                <w:highlight w:val="none"/>
                <w:u w:val="single"/>
              </w:rPr>
              <w:t>自</w:t>
            </w:r>
            <w:r>
              <w:rPr>
                <w:rFonts w:hint="eastAsia" w:ascii="Times New Roman" w:hAnsi="Times New Roman" w:eastAsia="宋体"/>
                <w:color w:val="auto"/>
                <w:sz w:val="21"/>
                <w:highlight w:val="none"/>
                <w:u w:val="single"/>
              </w:rPr>
              <w:t>山泉水，配备水泵提压供应矿区及生活区</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17"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p>
        </w:tc>
        <w:tc>
          <w:tcPr>
            <w:tcW w:w="115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排水工程</w:t>
            </w:r>
          </w:p>
        </w:tc>
        <w:tc>
          <w:tcPr>
            <w:tcW w:w="3281"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配套建设生活污水处理设施</w:t>
            </w:r>
          </w:p>
        </w:tc>
        <w:tc>
          <w:tcPr>
            <w:tcW w:w="392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配套建设生活污水处理设施</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17"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p>
        </w:tc>
        <w:tc>
          <w:tcPr>
            <w:tcW w:w="115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供电工程</w:t>
            </w:r>
          </w:p>
        </w:tc>
        <w:tc>
          <w:tcPr>
            <w:tcW w:w="328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斗江</w:t>
            </w:r>
            <w:r>
              <w:rPr>
                <w:rFonts w:ascii="Times New Roman" w:hAnsi="Times New Roman" w:eastAsia="宋体" w:cs="Times New Roman"/>
                <w:color w:val="auto"/>
                <w:sz w:val="21"/>
                <w:highlight w:val="none"/>
                <w:u w:val="single"/>
              </w:rPr>
              <w:t>镇10kV电网接入</w:t>
            </w:r>
          </w:p>
        </w:tc>
        <w:tc>
          <w:tcPr>
            <w:tcW w:w="392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斗江</w:t>
            </w:r>
            <w:r>
              <w:rPr>
                <w:rFonts w:ascii="Times New Roman" w:hAnsi="Times New Roman" w:eastAsia="宋体" w:cs="Times New Roman"/>
                <w:color w:val="auto"/>
                <w:sz w:val="21"/>
                <w:highlight w:val="none"/>
                <w:u w:val="single"/>
              </w:rPr>
              <w:t>镇10kV电网接入</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1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b/>
                <w:bCs/>
                <w:color w:val="auto"/>
                <w:sz w:val="21"/>
                <w:highlight w:val="none"/>
                <w:u w:val="single"/>
              </w:rPr>
              <w:t>储运工程</w:t>
            </w:r>
          </w:p>
        </w:tc>
        <w:tc>
          <w:tcPr>
            <w:tcW w:w="115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堆料场</w:t>
            </w:r>
          </w:p>
        </w:tc>
        <w:tc>
          <w:tcPr>
            <w:tcW w:w="328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4</w:t>
            </w:r>
            <w:r>
              <w:rPr>
                <w:rFonts w:ascii="Times New Roman" w:hAnsi="Times New Roman" w:eastAsia="宋体" w:cs="Times New Roman"/>
                <w:color w:val="auto"/>
                <w:sz w:val="21"/>
                <w:highlight w:val="none"/>
                <w:u w:val="single"/>
              </w:rPr>
              <w:t>个，</w:t>
            </w:r>
            <w:r>
              <w:rPr>
                <w:rFonts w:hint="eastAsia" w:ascii="Times New Roman" w:hAnsi="Times New Roman" w:eastAsia="宋体" w:cs="Times New Roman"/>
                <w:color w:val="auto"/>
                <w:sz w:val="21"/>
                <w:highlight w:val="none"/>
                <w:u w:val="single"/>
              </w:rPr>
              <w:t>堆</w:t>
            </w:r>
            <w:r>
              <w:rPr>
                <w:rFonts w:ascii="Times New Roman" w:hAnsi="Times New Roman" w:eastAsia="宋体" w:cs="Times New Roman"/>
                <w:color w:val="auto"/>
                <w:sz w:val="21"/>
                <w:highlight w:val="none"/>
                <w:u w:val="single"/>
              </w:rPr>
              <w:t>料场①②</w:t>
            </w:r>
            <w:r>
              <w:rPr>
                <w:rFonts w:hint="eastAsia" w:ascii="Times New Roman" w:hAnsi="Times New Roman" w:eastAsia="宋体"/>
                <w:color w:val="auto"/>
                <w:sz w:val="21"/>
                <w:highlight w:val="none"/>
                <w:u w:val="single"/>
              </w:rPr>
              <w:t>③④</w:t>
            </w:r>
            <w:r>
              <w:rPr>
                <w:rFonts w:ascii="Times New Roman" w:hAnsi="Times New Roman" w:eastAsia="宋体" w:cs="Times New Roman"/>
                <w:color w:val="auto"/>
                <w:sz w:val="21"/>
                <w:highlight w:val="none"/>
                <w:u w:val="single"/>
              </w:rPr>
              <w:t>占地面积分别为</w:t>
            </w:r>
            <w:r>
              <w:rPr>
                <w:rFonts w:hint="eastAsia" w:ascii="Times New Roman" w:hAnsi="Times New Roman" w:eastAsia="宋体" w:cs="Times New Roman"/>
                <w:color w:val="auto"/>
                <w:sz w:val="21"/>
                <w:highlight w:val="none"/>
                <w:u w:val="single"/>
              </w:rPr>
              <w:t>10</w:t>
            </w:r>
            <w:r>
              <w:rPr>
                <w:rFonts w:ascii="Times New Roman" w:hAnsi="Times New Roman" w:eastAsia="宋体" w:cs="Times New Roman"/>
                <w:color w:val="auto"/>
                <w:sz w:val="21"/>
                <w:highlight w:val="none"/>
                <w:u w:val="single"/>
              </w:rPr>
              <w:t>00m</w:t>
            </w:r>
            <w:r>
              <w:rPr>
                <w:rFonts w:ascii="Times New Roman" w:hAnsi="Times New Roman" w:eastAsia="宋体" w:cs="Times New Roman"/>
                <w:color w:val="auto"/>
                <w:sz w:val="21"/>
                <w:highlight w:val="none"/>
                <w:u w:val="single"/>
                <w:vertAlign w:val="superscript"/>
              </w:rPr>
              <w:t>2</w:t>
            </w:r>
            <w:r>
              <w:rPr>
                <w:rFonts w:ascii="Times New Roman" w:hAnsi="Times New Roman" w:eastAsia="宋体" w:cs="Times New Roman"/>
                <w:color w:val="auto"/>
                <w:sz w:val="21"/>
                <w:highlight w:val="none"/>
                <w:u w:val="single"/>
              </w:rPr>
              <w:t>、</w:t>
            </w:r>
            <w:r>
              <w:rPr>
                <w:rFonts w:hint="eastAsia" w:ascii="Times New Roman" w:hAnsi="Times New Roman" w:eastAsia="宋体" w:cs="Times New Roman"/>
                <w:color w:val="auto"/>
                <w:sz w:val="21"/>
                <w:highlight w:val="none"/>
                <w:u w:val="single"/>
              </w:rPr>
              <w:t>5</w:t>
            </w:r>
            <w:r>
              <w:rPr>
                <w:rFonts w:ascii="Times New Roman" w:hAnsi="Times New Roman" w:eastAsia="宋体" w:cs="Times New Roman"/>
                <w:color w:val="auto"/>
                <w:sz w:val="21"/>
                <w:highlight w:val="none"/>
                <w:u w:val="single"/>
              </w:rPr>
              <w:t>00m</w:t>
            </w:r>
            <w:r>
              <w:rPr>
                <w:rFonts w:ascii="Times New Roman" w:hAnsi="Times New Roman" w:eastAsia="宋体" w:cs="Times New Roman"/>
                <w:color w:val="auto"/>
                <w:sz w:val="21"/>
                <w:highlight w:val="none"/>
                <w:u w:val="single"/>
                <w:vertAlign w:val="superscript"/>
              </w:rPr>
              <w:t>2</w:t>
            </w:r>
            <w:r>
              <w:rPr>
                <w:rFonts w:ascii="Times New Roman" w:hAnsi="Times New Roman" w:eastAsia="宋体" w:cs="Times New Roman"/>
                <w:color w:val="auto"/>
                <w:sz w:val="21"/>
                <w:highlight w:val="none"/>
                <w:u w:val="single"/>
              </w:rPr>
              <w:t>、</w:t>
            </w:r>
            <w:r>
              <w:rPr>
                <w:rFonts w:hint="eastAsia" w:ascii="Times New Roman" w:hAnsi="Times New Roman" w:eastAsia="宋体" w:cs="Times New Roman"/>
                <w:color w:val="auto"/>
                <w:sz w:val="21"/>
                <w:highlight w:val="none"/>
                <w:u w:val="single"/>
              </w:rPr>
              <w:t>5</w:t>
            </w:r>
            <w:r>
              <w:rPr>
                <w:rFonts w:ascii="Times New Roman" w:hAnsi="Times New Roman" w:eastAsia="宋体" w:cs="Times New Roman"/>
                <w:color w:val="auto"/>
                <w:sz w:val="21"/>
                <w:highlight w:val="none"/>
                <w:u w:val="single"/>
              </w:rPr>
              <w:t>00m</w:t>
            </w:r>
            <w:r>
              <w:rPr>
                <w:rFonts w:ascii="Times New Roman" w:hAnsi="Times New Roman" w:eastAsia="宋体" w:cs="Times New Roman"/>
                <w:color w:val="auto"/>
                <w:sz w:val="21"/>
                <w:highlight w:val="none"/>
                <w:u w:val="single"/>
                <w:vertAlign w:val="superscript"/>
              </w:rPr>
              <w:t>2</w:t>
            </w:r>
            <w:r>
              <w:rPr>
                <w:rFonts w:ascii="Times New Roman" w:hAnsi="Times New Roman" w:eastAsia="宋体" w:cs="Times New Roman"/>
                <w:color w:val="auto"/>
                <w:sz w:val="21"/>
                <w:highlight w:val="none"/>
                <w:u w:val="single"/>
              </w:rPr>
              <w:t>、</w:t>
            </w:r>
            <w:r>
              <w:rPr>
                <w:rFonts w:hint="eastAsia" w:ascii="Times New Roman" w:hAnsi="Times New Roman" w:eastAsia="宋体" w:cs="Times New Roman"/>
                <w:color w:val="auto"/>
                <w:sz w:val="21"/>
                <w:highlight w:val="none"/>
                <w:u w:val="single"/>
              </w:rPr>
              <w:t>3</w:t>
            </w:r>
            <w:r>
              <w:rPr>
                <w:rFonts w:ascii="Times New Roman" w:hAnsi="Times New Roman" w:eastAsia="宋体" w:cs="Times New Roman"/>
                <w:color w:val="auto"/>
                <w:sz w:val="21"/>
                <w:highlight w:val="none"/>
                <w:u w:val="single"/>
              </w:rPr>
              <w:t>00m</w:t>
            </w:r>
            <w:r>
              <w:rPr>
                <w:rFonts w:ascii="Times New Roman" w:hAnsi="Times New Roman" w:eastAsia="宋体" w:cs="Times New Roman"/>
                <w:color w:val="auto"/>
                <w:sz w:val="21"/>
                <w:highlight w:val="none"/>
                <w:u w:val="single"/>
                <w:vertAlign w:val="superscript"/>
              </w:rPr>
              <w:t>2</w:t>
            </w:r>
          </w:p>
        </w:tc>
        <w:tc>
          <w:tcPr>
            <w:tcW w:w="3921" w:type="dxa"/>
            <w:noWrap w:val="0"/>
            <w:vAlign w:val="center"/>
          </w:tcPr>
          <w:p>
            <w:pPr>
              <w:snapToGrid w:val="0"/>
              <w:spacing w:line="240" w:lineRule="auto"/>
              <w:ind w:firstLine="0" w:firstLineChars="0"/>
              <w:jc w:val="left"/>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4</w:t>
            </w:r>
            <w:r>
              <w:rPr>
                <w:rFonts w:ascii="Times New Roman" w:hAnsi="Times New Roman" w:eastAsia="宋体" w:cs="Times New Roman"/>
                <w:color w:val="auto"/>
                <w:sz w:val="21"/>
                <w:highlight w:val="none"/>
                <w:u w:val="single"/>
              </w:rPr>
              <w:t>个，</w:t>
            </w:r>
            <w:r>
              <w:rPr>
                <w:rFonts w:hint="eastAsia" w:ascii="Times New Roman" w:hAnsi="Times New Roman" w:eastAsia="宋体" w:cs="Times New Roman"/>
                <w:color w:val="auto"/>
                <w:sz w:val="21"/>
                <w:highlight w:val="none"/>
                <w:u w:val="single"/>
              </w:rPr>
              <w:t>堆</w:t>
            </w:r>
            <w:r>
              <w:rPr>
                <w:rFonts w:ascii="Times New Roman" w:hAnsi="Times New Roman" w:eastAsia="宋体" w:cs="Times New Roman"/>
                <w:color w:val="auto"/>
                <w:sz w:val="21"/>
                <w:highlight w:val="none"/>
                <w:u w:val="single"/>
              </w:rPr>
              <w:t>料场</w:t>
            </w:r>
            <w:r>
              <w:rPr>
                <w:rFonts w:hint="eastAsia" w:ascii="宋体" w:hAnsi="宋体" w:eastAsia="宋体" w:cs="宋体"/>
                <w:color w:val="auto"/>
                <w:sz w:val="21"/>
                <w:highlight w:val="none"/>
                <w:u w:val="single"/>
              </w:rPr>
              <w:t>⑤⑥⑦⑧</w:t>
            </w:r>
            <w:r>
              <w:rPr>
                <w:rFonts w:ascii="Times New Roman" w:hAnsi="Times New Roman" w:eastAsia="宋体" w:cs="Times New Roman"/>
                <w:color w:val="auto"/>
                <w:sz w:val="21"/>
                <w:highlight w:val="none"/>
                <w:u w:val="single"/>
              </w:rPr>
              <w:t>占地面积分别为</w:t>
            </w:r>
            <w:r>
              <w:rPr>
                <w:rFonts w:hint="eastAsia" w:ascii="Times New Roman" w:hAnsi="Times New Roman" w:eastAsia="宋体" w:cs="Times New Roman"/>
                <w:color w:val="auto"/>
                <w:sz w:val="21"/>
                <w:highlight w:val="none"/>
                <w:u w:val="single"/>
              </w:rPr>
              <w:t>10</w:t>
            </w:r>
            <w:r>
              <w:rPr>
                <w:rFonts w:ascii="Times New Roman" w:hAnsi="Times New Roman" w:eastAsia="宋体" w:cs="Times New Roman"/>
                <w:color w:val="auto"/>
                <w:sz w:val="21"/>
                <w:highlight w:val="none"/>
                <w:u w:val="single"/>
              </w:rPr>
              <w:t>00m</w:t>
            </w:r>
            <w:r>
              <w:rPr>
                <w:rFonts w:ascii="Times New Roman" w:hAnsi="Times New Roman" w:eastAsia="宋体" w:cs="Times New Roman"/>
                <w:color w:val="auto"/>
                <w:sz w:val="21"/>
                <w:highlight w:val="none"/>
                <w:u w:val="single"/>
                <w:vertAlign w:val="superscript"/>
              </w:rPr>
              <w:t>2</w:t>
            </w:r>
            <w:r>
              <w:rPr>
                <w:rFonts w:ascii="Times New Roman" w:hAnsi="Times New Roman" w:eastAsia="宋体" w:cs="Times New Roman"/>
                <w:color w:val="auto"/>
                <w:sz w:val="21"/>
                <w:highlight w:val="none"/>
                <w:u w:val="single"/>
              </w:rPr>
              <w:t>、</w:t>
            </w:r>
            <w:r>
              <w:rPr>
                <w:rFonts w:hint="eastAsia" w:ascii="Times New Roman" w:hAnsi="Times New Roman" w:eastAsia="宋体" w:cs="Times New Roman"/>
                <w:color w:val="auto"/>
                <w:sz w:val="21"/>
                <w:highlight w:val="none"/>
                <w:u w:val="single"/>
              </w:rPr>
              <w:t>5</w:t>
            </w:r>
            <w:r>
              <w:rPr>
                <w:rFonts w:ascii="Times New Roman" w:hAnsi="Times New Roman" w:eastAsia="宋体" w:cs="Times New Roman"/>
                <w:color w:val="auto"/>
                <w:sz w:val="21"/>
                <w:highlight w:val="none"/>
                <w:u w:val="single"/>
              </w:rPr>
              <w:t>00m</w:t>
            </w:r>
            <w:r>
              <w:rPr>
                <w:rFonts w:ascii="Times New Roman" w:hAnsi="Times New Roman" w:eastAsia="宋体" w:cs="Times New Roman"/>
                <w:color w:val="auto"/>
                <w:sz w:val="21"/>
                <w:highlight w:val="none"/>
                <w:u w:val="single"/>
                <w:vertAlign w:val="superscript"/>
              </w:rPr>
              <w:t>2</w:t>
            </w:r>
            <w:r>
              <w:rPr>
                <w:rFonts w:ascii="Times New Roman" w:hAnsi="Times New Roman" w:eastAsia="宋体" w:cs="Times New Roman"/>
                <w:color w:val="auto"/>
                <w:sz w:val="21"/>
                <w:highlight w:val="none"/>
                <w:u w:val="single"/>
              </w:rPr>
              <w:t>、</w:t>
            </w:r>
            <w:r>
              <w:rPr>
                <w:rFonts w:hint="eastAsia" w:ascii="Times New Roman" w:hAnsi="Times New Roman" w:eastAsia="宋体" w:cs="Times New Roman"/>
                <w:color w:val="auto"/>
                <w:sz w:val="21"/>
                <w:highlight w:val="none"/>
                <w:u w:val="single"/>
              </w:rPr>
              <w:t>5</w:t>
            </w:r>
            <w:r>
              <w:rPr>
                <w:rFonts w:ascii="Times New Roman" w:hAnsi="Times New Roman" w:eastAsia="宋体" w:cs="Times New Roman"/>
                <w:color w:val="auto"/>
                <w:sz w:val="21"/>
                <w:highlight w:val="none"/>
                <w:u w:val="single"/>
              </w:rPr>
              <w:t>00m</w:t>
            </w:r>
            <w:r>
              <w:rPr>
                <w:rFonts w:ascii="Times New Roman" w:hAnsi="Times New Roman" w:eastAsia="宋体" w:cs="Times New Roman"/>
                <w:color w:val="auto"/>
                <w:sz w:val="21"/>
                <w:highlight w:val="none"/>
                <w:u w:val="single"/>
                <w:vertAlign w:val="superscript"/>
              </w:rPr>
              <w:t>2</w:t>
            </w:r>
            <w:r>
              <w:rPr>
                <w:rFonts w:ascii="Times New Roman" w:hAnsi="Times New Roman" w:eastAsia="宋体" w:cs="Times New Roman"/>
                <w:color w:val="auto"/>
                <w:sz w:val="21"/>
                <w:highlight w:val="none"/>
                <w:u w:val="single"/>
              </w:rPr>
              <w:t>、</w:t>
            </w:r>
            <w:r>
              <w:rPr>
                <w:rFonts w:hint="eastAsia" w:ascii="Times New Roman" w:hAnsi="Times New Roman" w:eastAsia="宋体" w:cs="Times New Roman"/>
                <w:color w:val="auto"/>
                <w:sz w:val="21"/>
                <w:highlight w:val="none"/>
                <w:u w:val="single"/>
              </w:rPr>
              <w:t>3</w:t>
            </w:r>
            <w:r>
              <w:rPr>
                <w:rFonts w:ascii="Times New Roman" w:hAnsi="Times New Roman" w:eastAsia="宋体" w:cs="Times New Roman"/>
                <w:color w:val="auto"/>
                <w:sz w:val="21"/>
                <w:highlight w:val="none"/>
                <w:u w:val="single"/>
              </w:rPr>
              <w:t>00m</w:t>
            </w:r>
            <w:r>
              <w:rPr>
                <w:rFonts w:ascii="Times New Roman" w:hAnsi="Times New Roman" w:eastAsia="宋体" w:cs="Times New Roman"/>
                <w:color w:val="auto"/>
                <w:sz w:val="21"/>
                <w:highlight w:val="none"/>
                <w:u w:val="single"/>
                <w:vertAlign w:val="superscript"/>
              </w:rPr>
              <w:t>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17"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p>
        </w:tc>
        <w:tc>
          <w:tcPr>
            <w:tcW w:w="1152"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排土场</w:t>
            </w:r>
          </w:p>
        </w:tc>
        <w:tc>
          <w:tcPr>
            <w:tcW w:w="3281" w:type="dxa"/>
            <w:noWrap w:val="0"/>
            <w:vAlign w:val="center"/>
          </w:tcPr>
          <w:p>
            <w:pPr>
              <w:snapToGrid w:val="0"/>
              <w:spacing w:line="240" w:lineRule="auto"/>
              <w:ind w:firstLine="0" w:firstLineChars="0"/>
              <w:jc w:val="left"/>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1个，位于矿区</w:t>
            </w:r>
            <w:r>
              <w:rPr>
                <w:rFonts w:hint="eastAsia" w:ascii="Times New Roman" w:hAnsi="Times New Roman" w:eastAsia="宋体" w:cs="Times New Roman"/>
                <w:color w:val="auto"/>
                <w:sz w:val="21"/>
                <w:highlight w:val="none"/>
                <w:u w:val="single"/>
              </w:rPr>
              <w:t>东南</w:t>
            </w:r>
            <w:r>
              <w:rPr>
                <w:rFonts w:ascii="Times New Roman" w:hAnsi="Times New Roman" w:eastAsia="宋体" w:cs="Times New Roman"/>
                <w:color w:val="auto"/>
                <w:sz w:val="21"/>
                <w:highlight w:val="none"/>
                <w:u w:val="single"/>
              </w:rPr>
              <w:t>面，占地面积300m</w:t>
            </w:r>
            <w:r>
              <w:rPr>
                <w:rFonts w:ascii="Times New Roman" w:hAnsi="Times New Roman" w:eastAsia="宋体" w:cs="Times New Roman"/>
                <w:color w:val="auto"/>
                <w:sz w:val="21"/>
                <w:highlight w:val="none"/>
                <w:u w:val="single"/>
                <w:vertAlign w:val="superscript"/>
              </w:rPr>
              <w:t>2</w:t>
            </w:r>
          </w:p>
        </w:tc>
        <w:tc>
          <w:tcPr>
            <w:tcW w:w="392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1个，位于矿区</w:t>
            </w:r>
            <w:r>
              <w:rPr>
                <w:rFonts w:hint="eastAsia" w:ascii="Times New Roman" w:hAnsi="Times New Roman" w:eastAsia="宋体" w:cs="Times New Roman"/>
                <w:color w:val="auto"/>
                <w:sz w:val="21"/>
                <w:highlight w:val="none"/>
                <w:u w:val="single"/>
              </w:rPr>
              <w:t>西</w:t>
            </w:r>
            <w:r>
              <w:rPr>
                <w:rFonts w:ascii="Times New Roman" w:hAnsi="Times New Roman" w:eastAsia="宋体" w:cs="Times New Roman"/>
                <w:color w:val="auto"/>
                <w:sz w:val="21"/>
                <w:highlight w:val="none"/>
                <w:u w:val="single"/>
              </w:rPr>
              <w:t>面，占地面积300m</w:t>
            </w:r>
            <w:r>
              <w:rPr>
                <w:rFonts w:ascii="Times New Roman" w:hAnsi="Times New Roman" w:eastAsia="宋体" w:cs="Times New Roman"/>
                <w:color w:val="auto"/>
                <w:sz w:val="21"/>
                <w:highlight w:val="none"/>
                <w:u w:val="single"/>
                <w:vertAlign w:val="superscript"/>
              </w:rPr>
              <w:t>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17"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p>
        </w:tc>
        <w:tc>
          <w:tcPr>
            <w:tcW w:w="115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场内运输</w:t>
            </w:r>
          </w:p>
        </w:tc>
        <w:tc>
          <w:tcPr>
            <w:tcW w:w="328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采用公路开拓-汽车运输方案</w:t>
            </w:r>
          </w:p>
        </w:tc>
        <w:tc>
          <w:tcPr>
            <w:tcW w:w="392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采用公路开拓-汽车运输方案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17"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p>
        </w:tc>
        <w:tc>
          <w:tcPr>
            <w:tcW w:w="115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场外运输</w:t>
            </w:r>
          </w:p>
        </w:tc>
        <w:tc>
          <w:tcPr>
            <w:tcW w:w="328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采用汽车运输</w:t>
            </w:r>
          </w:p>
        </w:tc>
        <w:tc>
          <w:tcPr>
            <w:tcW w:w="392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采用汽车运输</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1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b/>
                <w:bCs/>
                <w:color w:val="auto"/>
                <w:sz w:val="21"/>
                <w:highlight w:val="none"/>
                <w:u w:val="single"/>
              </w:rPr>
              <w:t>环保工程</w:t>
            </w:r>
          </w:p>
        </w:tc>
        <w:tc>
          <w:tcPr>
            <w:tcW w:w="115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废水治理</w:t>
            </w:r>
          </w:p>
        </w:tc>
        <w:tc>
          <w:tcPr>
            <w:tcW w:w="3281" w:type="dxa"/>
            <w:noWrap w:val="0"/>
            <w:vAlign w:val="center"/>
          </w:tcPr>
          <w:p>
            <w:pPr>
              <w:snapToGrid w:val="0"/>
              <w:spacing w:line="240" w:lineRule="auto"/>
              <w:ind w:firstLine="0" w:firstLineChars="0"/>
              <w:jc w:val="left"/>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生活污水经化粪池处理后用于</w:t>
            </w:r>
            <w:r>
              <w:rPr>
                <w:rFonts w:hint="eastAsia" w:ascii="Times New Roman" w:hAnsi="Times New Roman" w:eastAsia="宋体" w:cs="Times New Roman"/>
                <w:color w:val="auto"/>
                <w:sz w:val="21"/>
                <w:highlight w:val="none"/>
                <w:u w:val="single"/>
              </w:rPr>
              <w:t>浇灌旱地</w:t>
            </w:r>
            <w:r>
              <w:rPr>
                <w:rFonts w:hint="eastAsia" w:ascii="Times New Roman" w:hAnsi="Times New Roman" w:eastAsia="宋体" w:cs="Times New Roman"/>
                <w:color w:val="auto"/>
                <w:sz w:val="21"/>
                <w:highlight w:val="none"/>
                <w:u w:val="single"/>
                <w:lang w:eastAsia="zh-CN"/>
              </w:rPr>
              <w:t>，</w:t>
            </w:r>
            <w:r>
              <w:rPr>
                <w:rFonts w:hint="eastAsia" w:ascii="Times New Roman" w:hAnsi="Times New Roman" w:eastAsia="宋体" w:cs="Times New Roman"/>
                <w:color w:val="auto"/>
                <w:sz w:val="21"/>
                <w:highlight w:val="none"/>
                <w:u w:val="single"/>
              </w:rPr>
              <w:t>洗砂废水循环使用</w:t>
            </w:r>
          </w:p>
        </w:tc>
        <w:tc>
          <w:tcPr>
            <w:tcW w:w="392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生活污水经化粪池处理后用于</w:t>
            </w:r>
            <w:r>
              <w:rPr>
                <w:rFonts w:hint="eastAsia" w:ascii="Times New Roman" w:hAnsi="Times New Roman" w:eastAsia="宋体" w:cs="Times New Roman"/>
                <w:color w:val="auto"/>
                <w:sz w:val="21"/>
                <w:highlight w:val="none"/>
                <w:u w:val="single"/>
              </w:rPr>
              <w:t>浇灌旱地</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17"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p>
        </w:tc>
        <w:tc>
          <w:tcPr>
            <w:tcW w:w="115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废气治理</w:t>
            </w:r>
          </w:p>
        </w:tc>
        <w:tc>
          <w:tcPr>
            <w:tcW w:w="3281" w:type="dxa"/>
            <w:noWrap w:val="0"/>
            <w:vAlign w:val="center"/>
          </w:tcPr>
          <w:p>
            <w:pPr>
              <w:snapToGrid w:val="0"/>
              <w:spacing w:line="240" w:lineRule="auto"/>
              <w:ind w:firstLine="0" w:firstLineChars="0"/>
              <w:jc w:val="left"/>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凿岩钻孔采用湿式作业</w:t>
            </w:r>
            <w:r>
              <w:rPr>
                <w:rFonts w:hint="eastAsia" w:ascii="Times New Roman" w:hAnsi="Times New Roman" w:eastAsia="宋体" w:cs="Times New Roman"/>
                <w:color w:val="auto"/>
                <w:sz w:val="21"/>
                <w:highlight w:val="none"/>
                <w:u w:val="single"/>
              </w:rPr>
              <w:t>，</w:t>
            </w:r>
            <w:r>
              <w:rPr>
                <w:rFonts w:ascii="Times New Roman" w:hAnsi="Times New Roman" w:eastAsia="宋体" w:cs="Times New Roman"/>
                <w:color w:val="auto"/>
                <w:sz w:val="21"/>
                <w:highlight w:val="none"/>
                <w:u w:val="single"/>
              </w:rPr>
              <w:t>矿石运输车辆应采取防扬尘、防撒漏等措施</w:t>
            </w:r>
          </w:p>
        </w:tc>
        <w:tc>
          <w:tcPr>
            <w:tcW w:w="392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凿岩钻孔采用湿式作业</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17"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p>
        </w:tc>
        <w:tc>
          <w:tcPr>
            <w:tcW w:w="115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噪声治理</w:t>
            </w:r>
          </w:p>
        </w:tc>
        <w:tc>
          <w:tcPr>
            <w:tcW w:w="3281" w:type="dxa"/>
            <w:noWrap w:val="0"/>
            <w:vAlign w:val="center"/>
          </w:tcPr>
          <w:p>
            <w:pPr>
              <w:snapToGrid w:val="0"/>
              <w:spacing w:line="240" w:lineRule="auto"/>
              <w:ind w:firstLine="0" w:firstLineChars="0"/>
              <w:jc w:val="left"/>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严格控制交通运输、装卸作业和爆破作业时间</w:t>
            </w:r>
            <w:r>
              <w:rPr>
                <w:rFonts w:hint="eastAsia" w:ascii="Times New Roman" w:hAnsi="Times New Roman" w:eastAsia="宋体" w:cs="Times New Roman"/>
                <w:color w:val="auto"/>
                <w:sz w:val="21"/>
                <w:highlight w:val="none"/>
                <w:u w:val="single"/>
              </w:rPr>
              <w:t>，</w:t>
            </w:r>
            <w:r>
              <w:rPr>
                <w:rFonts w:ascii="Times New Roman" w:hAnsi="Times New Roman" w:eastAsia="宋体" w:cs="Times New Roman"/>
                <w:color w:val="auto"/>
                <w:sz w:val="21"/>
                <w:highlight w:val="none"/>
                <w:u w:val="single"/>
              </w:rPr>
              <w:t>选择低噪声设备</w:t>
            </w:r>
          </w:p>
        </w:tc>
        <w:tc>
          <w:tcPr>
            <w:tcW w:w="3921" w:type="dxa"/>
            <w:noWrap w:val="0"/>
            <w:vAlign w:val="center"/>
          </w:tcPr>
          <w:p>
            <w:pPr>
              <w:snapToGrid w:val="0"/>
              <w:spacing w:line="240" w:lineRule="auto"/>
              <w:ind w:firstLine="0" w:firstLineChars="0"/>
              <w:jc w:val="left"/>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严格控制交通运输、装卸作业和爆破作业时间</w:t>
            </w:r>
            <w:r>
              <w:rPr>
                <w:rFonts w:hint="eastAsia" w:ascii="Times New Roman" w:hAnsi="Times New Roman" w:eastAsia="宋体" w:cs="Times New Roman"/>
                <w:color w:val="auto"/>
                <w:sz w:val="21"/>
                <w:highlight w:val="none"/>
                <w:u w:val="single"/>
              </w:rPr>
              <w:t>，</w:t>
            </w:r>
            <w:r>
              <w:rPr>
                <w:rFonts w:ascii="Times New Roman" w:hAnsi="Times New Roman" w:eastAsia="宋体" w:cs="Times New Roman"/>
                <w:color w:val="auto"/>
                <w:sz w:val="21"/>
                <w:highlight w:val="none"/>
                <w:u w:val="single"/>
              </w:rPr>
              <w:t>选择低噪声设备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1175" w:hRule="atLeast"/>
          <w:jc w:val="center"/>
        </w:trPr>
        <w:tc>
          <w:tcPr>
            <w:tcW w:w="717"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p>
        </w:tc>
        <w:tc>
          <w:tcPr>
            <w:tcW w:w="115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固体废物</w:t>
            </w:r>
          </w:p>
        </w:tc>
        <w:tc>
          <w:tcPr>
            <w:tcW w:w="3281" w:type="dxa"/>
            <w:noWrap w:val="0"/>
            <w:vAlign w:val="center"/>
          </w:tcPr>
          <w:p>
            <w:pPr>
              <w:spacing w:line="240" w:lineRule="atLeast"/>
              <w:ind w:firstLine="0" w:firstLineChars="0"/>
              <w:jc w:val="left"/>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废土石料全部堆放在矿区东南面的排土场内，</w:t>
            </w:r>
            <w:r>
              <w:rPr>
                <w:rFonts w:ascii="Times New Roman" w:hAnsi="Times New Roman" w:eastAsia="宋体" w:cs="Times New Roman"/>
                <w:color w:val="auto"/>
                <w:sz w:val="21"/>
                <w:highlight w:val="none"/>
                <w:u w:val="single"/>
              </w:rPr>
              <w:t>职工生活垃圾集中收集后运往乡镇垃圾场处理和填埋。</w:t>
            </w:r>
          </w:p>
        </w:tc>
        <w:tc>
          <w:tcPr>
            <w:tcW w:w="3921" w:type="dxa"/>
            <w:noWrap w:val="0"/>
            <w:vAlign w:val="center"/>
          </w:tcPr>
          <w:p>
            <w:pPr>
              <w:spacing w:line="240" w:lineRule="atLeast"/>
              <w:ind w:firstLine="0" w:firstLineChars="0"/>
              <w:jc w:val="left"/>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废土石料全部堆放在矿区西面的排土场内，</w:t>
            </w:r>
            <w:r>
              <w:rPr>
                <w:rFonts w:ascii="Times New Roman" w:hAnsi="Times New Roman" w:eastAsia="宋体" w:cs="Times New Roman"/>
                <w:color w:val="auto"/>
                <w:sz w:val="21"/>
                <w:highlight w:val="none"/>
                <w:u w:val="single"/>
              </w:rPr>
              <w:t>职工生活垃圾集中收集后运往乡镇垃圾场处理和填埋。</w:t>
            </w:r>
          </w:p>
        </w:tc>
      </w:tr>
    </w:tbl>
    <w:p>
      <w:pPr>
        <w:pStyle w:val="5"/>
        <w:bidi w:val="0"/>
        <w:rPr>
          <w:color w:val="auto"/>
          <w:highlight w:val="none"/>
          <w:u w:val="single"/>
        </w:rPr>
      </w:pPr>
      <w:r>
        <w:rPr>
          <w:color w:val="auto"/>
          <w:highlight w:val="none"/>
          <w:u w:val="single"/>
        </w:rPr>
        <w:t>2.</w:t>
      </w:r>
      <w:r>
        <w:rPr>
          <w:rFonts w:hint="eastAsia"/>
          <w:color w:val="auto"/>
          <w:highlight w:val="none"/>
          <w:u w:val="single"/>
        </w:rPr>
        <w:t>2</w:t>
      </w:r>
      <w:r>
        <w:rPr>
          <w:color w:val="auto"/>
          <w:highlight w:val="none"/>
          <w:u w:val="single"/>
        </w:rPr>
        <w:t xml:space="preserve">.3 </w:t>
      </w:r>
      <w:r>
        <w:rPr>
          <w:rFonts w:hint="eastAsia"/>
          <w:color w:val="auto"/>
          <w:highlight w:val="none"/>
          <w:u w:val="single"/>
          <w:lang w:val="en-US" w:eastAsia="zh-CN"/>
        </w:rPr>
        <w:t>原有项目</w:t>
      </w:r>
      <w:r>
        <w:rPr>
          <w:color w:val="auto"/>
          <w:highlight w:val="none"/>
          <w:u w:val="single"/>
        </w:rPr>
        <w:t>主要生产设备</w:t>
      </w:r>
    </w:p>
    <w:p>
      <w:pPr>
        <w:ind w:firstLine="0" w:firstLineChars="0"/>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u w:val="single"/>
        </w:rPr>
        <w:t xml:space="preserve">    </w:t>
      </w:r>
      <w:r>
        <w:rPr>
          <w:rFonts w:hint="eastAsia"/>
          <w:color w:val="auto"/>
          <w:highlight w:val="none"/>
          <w:u w:val="single"/>
          <w:lang w:val="en-US" w:eastAsia="zh-CN"/>
        </w:rPr>
        <w:t>原有项目</w:t>
      </w:r>
      <w:r>
        <w:rPr>
          <w:rFonts w:ascii="Times New Roman" w:hAnsi="Times New Roman" w:eastAsia="宋体" w:cs="Times New Roman"/>
          <w:color w:val="auto"/>
          <w:highlight w:val="none"/>
          <w:u w:val="single"/>
        </w:rPr>
        <w:t>生产使用的主要设备见表2.</w:t>
      </w:r>
      <w:r>
        <w:rPr>
          <w:rFonts w:hint="eastAsia" w:ascii="Times New Roman" w:hAnsi="Times New Roman" w:eastAsia="宋体" w:cs="Times New Roman"/>
          <w:color w:val="auto"/>
          <w:highlight w:val="none"/>
          <w:u w:val="single"/>
        </w:rPr>
        <w:t>2</w:t>
      </w:r>
      <w:r>
        <w:rPr>
          <w:rFonts w:ascii="Times New Roman" w:hAnsi="Times New Roman" w:eastAsia="宋体" w:cs="Times New Roman"/>
          <w:color w:val="auto"/>
          <w:highlight w:val="none"/>
          <w:u w:val="single"/>
        </w:rPr>
        <w:t>-</w:t>
      </w:r>
      <w:r>
        <w:rPr>
          <w:rFonts w:hint="eastAsia" w:ascii="Times New Roman" w:hAnsi="Times New Roman" w:eastAsia="宋体" w:cs="Times New Roman"/>
          <w:color w:val="auto"/>
          <w:highlight w:val="none"/>
          <w:u w:val="single"/>
          <w:lang w:val="en-US" w:eastAsia="zh-CN"/>
        </w:rPr>
        <w:t>3</w:t>
      </w:r>
      <w:r>
        <w:rPr>
          <w:rFonts w:ascii="Times New Roman" w:hAnsi="Times New Roman" w:eastAsia="宋体" w:cs="Times New Roman"/>
          <w:color w:val="auto"/>
          <w:highlight w:val="none"/>
          <w:u w:val="single"/>
        </w:rPr>
        <w:t>所示。</w:t>
      </w:r>
    </w:p>
    <w:p>
      <w:pPr>
        <w:tabs>
          <w:tab w:val="left" w:pos="1418"/>
        </w:tabs>
        <w:spacing w:line="240" w:lineRule="auto"/>
        <w:ind w:firstLine="0" w:firstLineChars="0"/>
        <w:jc w:val="center"/>
        <w:rPr>
          <w:rFonts w:ascii="Times New Roman" w:hAnsi="Times New Roman" w:eastAsia="宋体" w:cs="Times New Roman"/>
          <w:b/>
          <w:bCs/>
          <w:color w:val="auto"/>
          <w:highlight w:val="none"/>
          <w:u w:val="single"/>
        </w:rPr>
      </w:pPr>
      <w:r>
        <w:rPr>
          <w:rFonts w:ascii="Times New Roman" w:hAnsi="Times New Roman" w:eastAsia="宋体" w:cs="Times New Roman"/>
          <w:b/>
          <w:bCs/>
          <w:color w:val="auto"/>
          <w:highlight w:val="none"/>
          <w:u w:val="single"/>
        </w:rPr>
        <w:t>表2.</w:t>
      </w:r>
      <w:r>
        <w:rPr>
          <w:rFonts w:hint="eastAsia" w:ascii="Times New Roman" w:hAnsi="Times New Roman" w:eastAsia="宋体" w:cs="Times New Roman"/>
          <w:b/>
          <w:bCs/>
          <w:color w:val="auto"/>
          <w:highlight w:val="none"/>
          <w:u w:val="single"/>
        </w:rPr>
        <w:t>2</w:t>
      </w:r>
      <w:r>
        <w:rPr>
          <w:rFonts w:ascii="Times New Roman" w:hAnsi="Times New Roman" w:eastAsia="宋体" w:cs="Times New Roman"/>
          <w:b/>
          <w:bCs/>
          <w:color w:val="auto"/>
          <w:highlight w:val="none"/>
          <w:u w:val="single"/>
        </w:rPr>
        <w:t>-</w:t>
      </w:r>
      <w:r>
        <w:rPr>
          <w:rFonts w:hint="eastAsia" w:ascii="Times New Roman" w:hAnsi="Times New Roman" w:eastAsia="宋体" w:cs="Times New Roman"/>
          <w:b/>
          <w:bCs/>
          <w:color w:val="auto"/>
          <w:highlight w:val="none"/>
          <w:u w:val="single"/>
          <w:lang w:val="en-US" w:eastAsia="zh-CN"/>
        </w:rPr>
        <w:t>3</w:t>
      </w:r>
      <w:r>
        <w:rPr>
          <w:rFonts w:ascii="Times New Roman" w:hAnsi="Times New Roman" w:eastAsia="宋体" w:cs="Times New Roman"/>
          <w:b/>
          <w:bCs/>
          <w:color w:val="auto"/>
          <w:highlight w:val="none"/>
          <w:u w:val="single"/>
        </w:rPr>
        <w:t xml:space="preserve"> </w:t>
      </w:r>
      <w:r>
        <w:rPr>
          <w:rFonts w:hint="eastAsia" w:ascii="Times New Roman" w:hAnsi="Times New Roman" w:eastAsia="宋体" w:cs="Times New Roman"/>
          <w:b/>
          <w:bCs/>
          <w:color w:val="auto"/>
          <w:highlight w:val="none"/>
          <w:u w:val="single"/>
          <w:lang w:val="en-US" w:eastAsia="zh-CN"/>
        </w:rPr>
        <w:t>矿山现有</w:t>
      </w:r>
      <w:r>
        <w:rPr>
          <w:rFonts w:ascii="Times New Roman" w:hAnsi="Times New Roman" w:eastAsia="宋体" w:cs="Times New Roman"/>
          <w:b/>
          <w:bCs/>
          <w:color w:val="auto"/>
          <w:highlight w:val="none"/>
          <w:u w:val="single"/>
        </w:rPr>
        <w:t>主要生产设备表</w:t>
      </w:r>
    </w:p>
    <w:tbl>
      <w:tblPr>
        <w:tblStyle w:val="48"/>
        <w:tblW w:w="9169"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1742"/>
        <w:gridCol w:w="1742"/>
        <w:gridCol w:w="3623"/>
        <w:gridCol w:w="965"/>
        <w:gridCol w:w="1096"/>
        <w:gridCol w:w="1"/>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169" w:type="dxa"/>
            <w:gridSpan w:val="6"/>
            <w:noWrap w:val="0"/>
            <w:vAlign w:val="center"/>
          </w:tcPr>
          <w:p>
            <w:pPr>
              <w:pStyle w:val="69"/>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hint="eastAsia" w:ascii="Times New Roman" w:hAnsi="Times New Roman" w:eastAsia="宋体"/>
                <w:b w:val="0"/>
                <w:bCs w:val="0"/>
                <w:color w:val="auto"/>
                <w:kern w:val="0"/>
                <w:sz w:val="21"/>
                <w:szCs w:val="21"/>
                <w:highlight w:val="none"/>
                <w:u w:val="single"/>
              </w:rPr>
              <w:t>原海江采石场</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83" w:hRule="atLeast"/>
          <w:jc w:val="center"/>
        </w:trPr>
        <w:tc>
          <w:tcPr>
            <w:tcW w:w="1742" w:type="dxa"/>
            <w:noWrap w:val="0"/>
            <w:vAlign w:val="center"/>
          </w:tcPr>
          <w:p>
            <w:pPr>
              <w:pStyle w:val="69"/>
              <w:snapToGrid w:val="0"/>
              <w:spacing w:line="240" w:lineRule="auto"/>
              <w:ind w:firstLine="0" w:firstLineChars="0"/>
              <w:jc w:val="center"/>
              <w:rPr>
                <w:rFonts w:hint="eastAsia" w:ascii="Times New Roman" w:hAnsi="Times New Roman" w:eastAsia="宋体"/>
                <w:b w:val="0"/>
                <w:bCs w:val="0"/>
                <w:color w:val="auto"/>
                <w:kern w:val="0"/>
                <w:sz w:val="21"/>
                <w:szCs w:val="21"/>
                <w:highlight w:val="none"/>
                <w:u w:val="single"/>
                <w:lang w:val="en-US" w:eastAsia="zh-CN"/>
              </w:rPr>
            </w:pPr>
            <w:r>
              <w:rPr>
                <w:rFonts w:hint="eastAsia" w:ascii="Times New Roman" w:hAnsi="Times New Roman" w:eastAsia="宋体"/>
                <w:b w:val="0"/>
                <w:bCs w:val="0"/>
                <w:color w:val="auto"/>
                <w:kern w:val="0"/>
                <w:sz w:val="21"/>
                <w:szCs w:val="21"/>
                <w:highlight w:val="none"/>
                <w:u w:val="single"/>
                <w:lang w:val="en-US" w:eastAsia="zh-CN"/>
              </w:rPr>
              <w:t>序号</w:t>
            </w:r>
          </w:p>
        </w:tc>
        <w:tc>
          <w:tcPr>
            <w:tcW w:w="1742" w:type="dxa"/>
            <w:noWrap w:val="0"/>
            <w:vAlign w:val="center"/>
          </w:tcPr>
          <w:p>
            <w:pPr>
              <w:pStyle w:val="69"/>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ascii="Times New Roman" w:hAnsi="Times New Roman" w:eastAsia="宋体"/>
                <w:b w:val="0"/>
                <w:bCs w:val="0"/>
                <w:color w:val="auto"/>
                <w:kern w:val="0"/>
                <w:sz w:val="21"/>
                <w:szCs w:val="21"/>
                <w:highlight w:val="none"/>
                <w:u w:val="single"/>
              </w:rPr>
              <w:t>设备名称</w:t>
            </w:r>
          </w:p>
        </w:tc>
        <w:tc>
          <w:tcPr>
            <w:tcW w:w="3623" w:type="dxa"/>
            <w:noWrap w:val="0"/>
            <w:vAlign w:val="center"/>
          </w:tcPr>
          <w:p>
            <w:pPr>
              <w:pStyle w:val="69"/>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ascii="Times New Roman" w:hAnsi="Times New Roman" w:eastAsia="宋体"/>
                <w:b w:val="0"/>
                <w:bCs w:val="0"/>
                <w:color w:val="auto"/>
                <w:kern w:val="0"/>
                <w:sz w:val="21"/>
                <w:szCs w:val="21"/>
                <w:highlight w:val="none"/>
                <w:u w:val="single"/>
              </w:rPr>
              <w:t>规格型号</w:t>
            </w:r>
          </w:p>
        </w:tc>
        <w:tc>
          <w:tcPr>
            <w:tcW w:w="965" w:type="dxa"/>
            <w:tcBorders>
              <w:right w:val="single" w:color="auto" w:sz="4" w:space="0"/>
            </w:tcBorders>
            <w:noWrap w:val="0"/>
            <w:vAlign w:val="center"/>
          </w:tcPr>
          <w:p>
            <w:pPr>
              <w:pStyle w:val="69"/>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ascii="Times New Roman" w:hAnsi="Times New Roman" w:eastAsia="宋体"/>
                <w:b w:val="0"/>
                <w:bCs w:val="0"/>
                <w:color w:val="auto"/>
                <w:kern w:val="0"/>
                <w:sz w:val="21"/>
                <w:szCs w:val="21"/>
                <w:highlight w:val="none"/>
                <w:u w:val="single"/>
              </w:rPr>
              <w:t>单位</w:t>
            </w:r>
          </w:p>
        </w:tc>
        <w:tc>
          <w:tcPr>
            <w:tcW w:w="1096" w:type="dxa"/>
            <w:tcBorders>
              <w:left w:val="single" w:color="auto" w:sz="4" w:space="0"/>
            </w:tcBorders>
            <w:noWrap w:val="0"/>
            <w:vAlign w:val="center"/>
          </w:tcPr>
          <w:p>
            <w:pPr>
              <w:pStyle w:val="69"/>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ascii="Times New Roman" w:hAnsi="Times New Roman" w:eastAsia="宋体"/>
                <w:b w:val="0"/>
                <w:bCs w:val="0"/>
                <w:color w:val="auto"/>
                <w:kern w:val="0"/>
                <w:sz w:val="21"/>
                <w:szCs w:val="21"/>
                <w:highlight w:val="none"/>
                <w:u w:val="single"/>
              </w:rPr>
              <w:t>数量</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83" w:hRule="atLeast"/>
          <w:jc w:val="center"/>
        </w:trPr>
        <w:tc>
          <w:tcPr>
            <w:tcW w:w="174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 w:val="0"/>
                <w:bCs w:val="0"/>
                <w:color w:val="auto"/>
                <w:kern w:val="0"/>
                <w:sz w:val="21"/>
                <w:szCs w:val="21"/>
                <w:highlight w:val="none"/>
                <w:u w:val="single"/>
                <w:lang w:val="en-US" w:eastAsia="zh-CN"/>
              </w:rPr>
            </w:pPr>
            <w:r>
              <w:rPr>
                <w:rFonts w:hint="eastAsia" w:eastAsia="宋体"/>
                <w:b w:val="0"/>
                <w:bCs w:val="0"/>
                <w:color w:val="auto"/>
                <w:kern w:val="0"/>
                <w:sz w:val="21"/>
                <w:szCs w:val="21"/>
                <w:highlight w:val="none"/>
                <w:u w:val="single"/>
                <w:lang w:val="en-US" w:eastAsia="zh-CN"/>
              </w:rPr>
              <w:t>1</w:t>
            </w:r>
          </w:p>
        </w:tc>
        <w:tc>
          <w:tcPr>
            <w:tcW w:w="1742" w:type="dxa"/>
            <w:noWrap w:val="0"/>
            <w:vAlign w:val="center"/>
          </w:tcPr>
          <w:p>
            <w:pPr>
              <w:pStyle w:val="69"/>
              <w:adjustRightInd w:val="0"/>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hint="eastAsia" w:ascii="Times New Roman" w:hAnsi="Times New Roman" w:eastAsia="宋体"/>
                <w:b w:val="0"/>
                <w:bCs w:val="0"/>
                <w:color w:val="auto"/>
                <w:kern w:val="0"/>
                <w:sz w:val="21"/>
                <w:szCs w:val="21"/>
                <w:highlight w:val="none"/>
                <w:u w:val="single"/>
              </w:rPr>
              <w:t>潜孔钻</w:t>
            </w:r>
            <w:r>
              <w:rPr>
                <w:rFonts w:ascii="Times New Roman" w:hAnsi="Times New Roman" w:eastAsia="宋体"/>
                <w:b w:val="0"/>
                <w:bCs w:val="0"/>
                <w:color w:val="auto"/>
                <w:kern w:val="0"/>
                <w:sz w:val="21"/>
                <w:szCs w:val="21"/>
                <w:highlight w:val="none"/>
                <w:u w:val="single"/>
              </w:rPr>
              <w:t>机</w:t>
            </w:r>
          </w:p>
        </w:tc>
        <w:tc>
          <w:tcPr>
            <w:tcW w:w="3623" w:type="dxa"/>
            <w:noWrap w:val="0"/>
            <w:vAlign w:val="center"/>
          </w:tcPr>
          <w:p>
            <w:pPr>
              <w:pStyle w:val="69"/>
              <w:adjustRightInd w:val="0"/>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hint="eastAsia" w:ascii="Times New Roman" w:hAnsi="Times New Roman" w:eastAsia="宋体"/>
                <w:b w:val="0"/>
                <w:bCs w:val="0"/>
                <w:color w:val="auto"/>
                <w:kern w:val="0"/>
                <w:sz w:val="21"/>
                <w:szCs w:val="21"/>
                <w:highlight w:val="none"/>
                <w:u w:val="single"/>
              </w:rPr>
              <w:t>HQF100</w:t>
            </w:r>
          </w:p>
        </w:tc>
        <w:tc>
          <w:tcPr>
            <w:tcW w:w="965" w:type="dxa"/>
            <w:tcBorders>
              <w:right w:val="single" w:color="auto" w:sz="4" w:space="0"/>
            </w:tcBorders>
            <w:noWrap w:val="0"/>
            <w:vAlign w:val="center"/>
          </w:tcPr>
          <w:p>
            <w:pPr>
              <w:pStyle w:val="69"/>
              <w:adjustRightInd w:val="0"/>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ascii="Times New Roman" w:hAnsi="Times New Roman" w:eastAsia="宋体"/>
                <w:b w:val="0"/>
                <w:bCs w:val="0"/>
                <w:color w:val="auto"/>
                <w:kern w:val="0"/>
                <w:sz w:val="21"/>
                <w:szCs w:val="21"/>
                <w:highlight w:val="none"/>
                <w:u w:val="single"/>
              </w:rPr>
              <w:t>台</w:t>
            </w:r>
          </w:p>
        </w:tc>
        <w:tc>
          <w:tcPr>
            <w:tcW w:w="1096" w:type="dxa"/>
            <w:tcBorders>
              <w:left w:val="single" w:color="auto" w:sz="4" w:space="0"/>
            </w:tcBorders>
            <w:noWrap w:val="0"/>
            <w:vAlign w:val="center"/>
          </w:tcPr>
          <w:p>
            <w:pPr>
              <w:pStyle w:val="69"/>
              <w:adjustRightInd w:val="0"/>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hint="eastAsia" w:ascii="Times New Roman" w:hAnsi="Times New Roman" w:eastAsia="宋体"/>
                <w:b w:val="0"/>
                <w:bCs w:val="0"/>
                <w:color w:val="auto"/>
                <w:sz w:val="21"/>
                <w:szCs w:val="21"/>
                <w:highlight w:val="none"/>
                <w:u w:val="single"/>
              </w:rPr>
              <w:t>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83" w:hRule="atLeast"/>
          <w:jc w:val="center"/>
        </w:trPr>
        <w:tc>
          <w:tcPr>
            <w:tcW w:w="1742" w:type="dxa"/>
            <w:noWrap w:val="0"/>
            <w:vAlign w:val="center"/>
          </w:tcPr>
          <w:p>
            <w:pPr>
              <w:pStyle w:val="69"/>
              <w:snapToGrid w:val="0"/>
              <w:spacing w:line="240" w:lineRule="auto"/>
              <w:ind w:firstLine="0" w:firstLineChars="0"/>
              <w:jc w:val="center"/>
              <w:rPr>
                <w:rFonts w:hint="eastAsia" w:ascii="Times New Roman" w:hAnsi="Times New Roman" w:eastAsia="宋体"/>
                <w:b w:val="0"/>
                <w:bCs w:val="0"/>
                <w:color w:val="auto"/>
                <w:kern w:val="0"/>
                <w:sz w:val="21"/>
                <w:szCs w:val="21"/>
                <w:highlight w:val="none"/>
                <w:u w:val="single"/>
                <w:lang w:val="en-US" w:eastAsia="zh-CN"/>
              </w:rPr>
            </w:pPr>
            <w:r>
              <w:rPr>
                <w:rFonts w:hint="eastAsia" w:eastAsia="宋体"/>
                <w:b w:val="0"/>
                <w:bCs w:val="0"/>
                <w:color w:val="auto"/>
                <w:kern w:val="0"/>
                <w:sz w:val="21"/>
                <w:szCs w:val="21"/>
                <w:highlight w:val="none"/>
                <w:u w:val="single"/>
                <w:lang w:val="en-US" w:eastAsia="zh-CN"/>
              </w:rPr>
              <w:t>2</w:t>
            </w:r>
          </w:p>
        </w:tc>
        <w:tc>
          <w:tcPr>
            <w:tcW w:w="1742" w:type="dxa"/>
            <w:noWrap w:val="0"/>
            <w:vAlign w:val="center"/>
          </w:tcPr>
          <w:p>
            <w:pPr>
              <w:pStyle w:val="69"/>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ascii="Times New Roman" w:hAnsi="Times New Roman" w:eastAsia="宋体"/>
                <w:b w:val="0"/>
                <w:bCs w:val="0"/>
                <w:color w:val="auto"/>
                <w:kern w:val="0"/>
                <w:sz w:val="21"/>
                <w:szCs w:val="21"/>
                <w:highlight w:val="none"/>
                <w:u w:val="single"/>
              </w:rPr>
              <w:t>挖掘机</w:t>
            </w:r>
          </w:p>
        </w:tc>
        <w:tc>
          <w:tcPr>
            <w:tcW w:w="3623" w:type="dxa"/>
            <w:noWrap w:val="0"/>
            <w:vAlign w:val="center"/>
          </w:tcPr>
          <w:p>
            <w:pPr>
              <w:pStyle w:val="69"/>
              <w:snapToGrid w:val="0"/>
              <w:spacing w:line="240" w:lineRule="auto"/>
              <w:ind w:firstLine="0" w:firstLineChars="0"/>
              <w:jc w:val="center"/>
              <w:rPr>
                <w:rFonts w:ascii="Times New Roman" w:hAnsi="Times New Roman" w:eastAsia="宋体"/>
                <w:b w:val="0"/>
                <w:bCs w:val="0"/>
                <w:color w:val="auto"/>
                <w:kern w:val="0"/>
                <w:sz w:val="21"/>
                <w:highlight w:val="none"/>
                <w:u w:val="single"/>
                <w:lang w:bidi="ar"/>
              </w:rPr>
            </w:pPr>
            <w:r>
              <w:rPr>
                <w:rFonts w:hint="eastAsia" w:ascii="Times New Roman" w:hAnsi="Times New Roman" w:eastAsia="宋体"/>
                <w:b w:val="0"/>
                <w:bCs w:val="0"/>
                <w:color w:val="auto"/>
                <w:kern w:val="0"/>
                <w:sz w:val="21"/>
                <w:szCs w:val="21"/>
                <w:highlight w:val="none"/>
                <w:u w:val="single"/>
              </w:rPr>
              <w:t>神钢SK320-6</w:t>
            </w:r>
          </w:p>
        </w:tc>
        <w:tc>
          <w:tcPr>
            <w:tcW w:w="965" w:type="dxa"/>
            <w:tcBorders>
              <w:right w:val="single" w:color="auto" w:sz="4" w:space="0"/>
            </w:tcBorders>
            <w:noWrap w:val="0"/>
            <w:vAlign w:val="center"/>
          </w:tcPr>
          <w:p>
            <w:pPr>
              <w:pStyle w:val="69"/>
              <w:snapToGrid w:val="0"/>
              <w:spacing w:line="240" w:lineRule="auto"/>
              <w:ind w:firstLine="0" w:firstLineChars="0"/>
              <w:jc w:val="center"/>
              <w:rPr>
                <w:rFonts w:ascii="Times New Roman" w:hAnsi="Times New Roman" w:eastAsia="宋体"/>
                <w:b w:val="0"/>
                <w:bCs w:val="0"/>
                <w:color w:val="auto"/>
                <w:kern w:val="0"/>
                <w:sz w:val="21"/>
                <w:highlight w:val="none"/>
                <w:u w:val="single"/>
              </w:rPr>
            </w:pPr>
            <w:r>
              <w:rPr>
                <w:rFonts w:ascii="Times New Roman" w:hAnsi="Times New Roman" w:eastAsia="宋体"/>
                <w:b w:val="0"/>
                <w:bCs w:val="0"/>
                <w:color w:val="auto"/>
                <w:kern w:val="0"/>
                <w:sz w:val="21"/>
                <w:szCs w:val="21"/>
                <w:highlight w:val="none"/>
                <w:u w:val="single"/>
              </w:rPr>
              <w:t>台</w:t>
            </w:r>
          </w:p>
        </w:tc>
        <w:tc>
          <w:tcPr>
            <w:tcW w:w="1096" w:type="dxa"/>
            <w:tcBorders>
              <w:left w:val="single" w:color="auto" w:sz="4" w:space="0"/>
            </w:tcBorders>
            <w:noWrap w:val="0"/>
            <w:vAlign w:val="center"/>
          </w:tcPr>
          <w:p>
            <w:pPr>
              <w:pStyle w:val="69"/>
              <w:snapToGrid w:val="0"/>
              <w:spacing w:line="240" w:lineRule="auto"/>
              <w:ind w:firstLine="0" w:firstLineChars="0"/>
              <w:jc w:val="center"/>
              <w:rPr>
                <w:rFonts w:ascii="Times New Roman" w:hAnsi="Times New Roman" w:eastAsia="宋体"/>
                <w:b w:val="0"/>
                <w:bCs w:val="0"/>
                <w:color w:val="auto"/>
                <w:kern w:val="0"/>
                <w:sz w:val="21"/>
                <w:highlight w:val="none"/>
                <w:u w:val="single"/>
              </w:rPr>
            </w:pPr>
            <w:r>
              <w:rPr>
                <w:rFonts w:ascii="Times New Roman" w:hAnsi="Times New Roman" w:eastAsia="宋体"/>
                <w:b w:val="0"/>
                <w:bCs w:val="0"/>
                <w:color w:val="auto"/>
                <w:kern w:val="0"/>
                <w:sz w:val="21"/>
                <w:szCs w:val="21"/>
                <w:highlight w:val="none"/>
                <w:u w:val="single"/>
              </w:rPr>
              <w:t>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83" w:hRule="atLeast"/>
          <w:jc w:val="center"/>
        </w:trPr>
        <w:tc>
          <w:tcPr>
            <w:tcW w:w="174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 w:val="0"/>
                <w:bCs w:val="0"/>
                <w:color w:val="auto"/>
                <w:kern w:val="0"/>
                <w:sz w:val="21"/>
                <w:szCs w:val="21"/>
                <w:highlight w:val="none"/>
                <w:u w:val="single"/>
                <w:lang w:val="en-US" w:eastAsia="zh-CN"/>
              </w:rPr>
            </w:pPr>
            <w:r>
              <w:rPr>
                <w:rFonts w:hint="eastAsia" w:eastAsia="宋体"/>
                <w:b w:val="0"/>
                <w:bCs w:val="0"/>
                <w:color w:val="auto"/>
                <w:kern w:val="0"/>
                <w:sz w:val="21"/>
                <w:szCs w:val="21"/>
                <w:highlight w:val="none"/>
                <w:u w:val="single"/>
                <w:lang w:val="en-US" w:eastAsia="zh-CN"/>
              </w:rPr>
              <w:t>3</w:t>
            </w:r>
          </w:p>
        </w:tc>
        <w:tc>
          <w:tcPr>
            <w:tcW w:w="1742" w:type="dxa"/>
            <w:noWrap w:val="0"/>
            <w:vAlign w:val="center"/>
          </w:tcPr>
          <w:p>
            <w:pPr>
              <w:pStyle w:val="69"/>
              <w:adjustRightInd w:val="0"/>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ascii="Times New Roman" w:hAnsi="Times New Roman" w:eastAsia="宋体"/>
                <w:b w:val="0"/>
                <w:bCs w:val="0"/>
                <w:color w:val="auto"/>
                <w:kern w:val="0"/>
                <w:sz w:val="21"/>
                <w:szCs w:val="21"/>
                <w:highlight w:val="none"/>
                <w:u w:val="single"/>
              </w:rPr>
              <w:t>空压机</w:t>
            </w:r>
          </w:p>
        </w:tc>
        <w:tc>
          <w:tcPr>
            <w:tcW w:w="3623" w:type="dxa"/>
            <w:noWrap w:val="0"/>
            <w:vAlign w:val="center"/>
          </w:tcPr>
          <w:p>
            <w:pPr>
              <w:pStyle w:val="69"/>
              <w:adjustRightInd w:val="0"/>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lang w:bidi="ar"/>
              </w:rPr>
            </w:pPr>
            <w:r>
              <w:rPr>
                <w:rFonts w:ascii="Times New Roman" w:hAnsi="Times New Roman" w:eastAsia="宋体"/>
                <w:b w:val="0"/>
                <w:bCs w:val="0"/>
                <w:color w:val="auto"/>
                <w:kern w:val="0"/>
                <w:sz w:val="21"/>
                <w:szCs w:val="21"/>
                <w:highlight w:val="none"/>
                <w:u w:val="single"/>
              </w:rPr>
              <w:t>复盛</w:t>
            </w:r>
            <w:r>
              <w:rPr>
                <w:rFonts w:hint="eastAsia" w:ascii="Times New Roman" w:hAnsi="Times New Roman" w:eastAsia="宋体"/>
                <w:b w:val="0"/>
                <w:bCs w:val="0"/>
                <w:color w:val="auto"/>
                <w:kern w:val="0"/>
                <w:sz w:val="21"/>
                <w:szCs w:val="21"/>
                <w:highlight w:val="none"/>
                <w:u w:val="single"/>
              </w:rPr>
              <w:t>V=7m</w:t>
            </w:r>
            <w:r>
              <w:rPr>
                <w:rFonts w:hint="eastAsia" w:ascii="Times New Roman" w:hAnsi="Times New Roman" w:eastAsia="宋体"/>
                <w:b w:val="0"/>
                <w:bCs w:val="0"/>
                <w:color w:val="auto"/>
                <w:kern w:val="0"/>
                <w:sz w:val="21"/>
                <w:szCs w:val="21"/>
                <w:highlight w:val="none"/>
                <w:u w:val="single"/>
                <w:vertAlign w:val="superscript"/>
              </w:rPr>
              <w:t>3</w:t>
            </w:r>
            <w:r>
              <w:rPr>
                <w:rFonts w:hint="eastAsia" w:ascii="Times New Roman" w:hAnsi="Times New Roman" w:eastAsia="宋体"/>
                <w:b w:val="0"/>
                <w:bCs w:val="0"/>
                <w:color w:val="auto"/>
                <w:kern w:val="0"/>
                <w:sz w:val="21"/>
                <w:szCs w:val="21"/>
                <w:highlight w:val="none"/>
                <w:u w:val="single"/>
              </w:rPr>
              <w:t>/min</w:t>
            </w:r>
          </w:p>
        </w:tc>
        <w:tc>
          <w:tcPr>
            <w:tcW w:w="965" w:type="dxa"/>
            <w:tcBorders>
              <w:right w:val="single" w:color="auto" w:sz="4" w:space="0"/>
            </w:tcBorders>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b w:val="0"/>
                <w:bCs w:val="0"/>
                <w:color w:val="auto"/>
                <w:kern w:val="0"/>
                <w:sz w:val="21"/>
                <w:highlight w:val="none"/>
                <w:u w:val="single"/>
              </w:rPr>
            </w:pPr>
            <w:r>
              <w:rPr>
                <w:rFonts w:ascii="Times New Roman" w:hAnsi="Times New Roman" w:eastAsia="宋体" w:cs="Times New Roman"/>
                <w:b w:val="0"/>
                <w:bCs w:val="0"/>
                <w:color w:val="auto"/>
                <w:kern w:val="0"/>
                <w:sz w:val="21"/>
                <w:highlight w:val="none"/>
                <w:u w:val="single"/>
              </w:rPr>
              <w:t>台</w:t>
            </w:r>
          </w:p>
        </w:tc>
        <w:tc>
          <w:tcPr>
            <w:tcW w:w="1096" w:type="dxa"/>
            <w:tcBorders>
              <w:left w:val="single" w:color="auto" w:sz="4" w:space="0"/>
            </w:tcBorders>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b w:val="0"/>
                <w:bCs w:val="0"/>
                <w:color w:val="auto"/>
                <w:kern w:val="0"/>
                <w:sz w:val="21"/>
                <w:highlight w:val="none"/>
                <w:u w:val="single"/>
              </w:rPr>
            </w:pPr>
            <w:r>
              <w:rPr>
                <w:rFonts w:hint="eastAsia" w:ascii="Times New Roman" w:hAnsi="Times New Roman" w:eastAsia="宋体" w:cs="Times New Roman"/>
                <w:b w:val="0"/>
                <w:bCs w:val="0"/>
                <w:color w:val="auto"/>
                <w:kern w:val="0"/>
                <w:sz w:val="21"/>
                <w:highlight w:val="none"/>
                <w:u w:val="single"/>
              </w:rPr>
              <w:t>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83" w:hRule="atLeast"/>
          <w:jc w:val="center"/>
        </w:trPr>
        <w:tc>
          <w:tcPr>
            <w:tcW w:w="174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 w:val="0"/>
                <w:bCs w:val="0"/>
                <w:color w:val="auto"/>
                <w:kern w:val="0"/>
                <w:sz w:val="21"/>
                <w:szCs w:val="21"/>
                <w:highlight w:val="none"/>
                <w:u w:val="single"/>
                <w:lang w:val="en-US" w:eastAsia="zh-CN"/>
              </w:rPr>
            </w:pPr>
            <w:r>
              <w:rPr>
                <w:rFonts w:hint="eastAsia" w:eastAsia="宋体"/>
                <w:b w:val="0"/>
                <w:bCs w:val="0"/>
                <w:color w:val="auto"/>
                <w:kern w:val="0"/>
                <w:sz w:val="21"/>
                <w:szCs w:val="21"/>
                <w:highlight w:val="none"/>
                <w:u w:val="single"/>
                <w:lang w:val="en-US" w:eastAsia="zh-CN"/>
              </w:rPr>
              <w:t>4</w:t>
            </w:r>
          </w:p>
        </w:tc>
        <w:tc>
          <w:tcPr>
            <w:tcW w:w="1742" w:type="dxa"/>
            <w:noWrap w:val="0"/>
            <w:vAlign w:val="center"/>
          </w:tcPr>
          <w:p>
            <w:pPr>
              <w:pStyle w:val="69"/>
              <w:adjustRightInd w:val="0"/>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ascii="Times New Roman" w:hAnsi="Times New Roman" w:eastAsia="宋体"/>
                <w:b w:val="0"/>
                <w:bCs w:val="0"/>
                <w:color w:val="auto"/>
                <w:kern w:val="0"/>
                <w:sz w:val="21"/>
                <w:szCs w:val="21"/>
                <w:highlight w:val="none"/>
                <w:u w:val="single"/>
              </w:rPr>
              <w:t>自卸汽车</w:t>
            </w:r>
          </w:p>
        </w:tc>
        <w:tc>
          <w:tcPr>
            <w:tcW w:w="3623" w:type="dxa"/>
            <w:noWrap w:val="0"/>
            <w:vAlign w:val="center"/>
          </w:tcPr>
          <w:p>
            <w:pPr>
              <w:pStyle w:val="69"/>
              <w:adjustRightInd w:val="0"/>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hint="eastAsia" w:ascii="Times New Roman" w:hAnsi="Times New Roman" w:eastAsia="宋体"/>
                <w:b w:val="0"/>
                <w:bCs w:val="0"/>
                <w:color w:val="auto"/>
                <w:kern w:val="0"/>
                <w:sz w:val="21"/>
                <w:szCs w:val="21"/>
                <w:highlight w:val="none"/>
                <w:u w:val="single"/>
              </w:rPr>
              <w:t>载重量10t</w:t>
            </w:r>
          </w:p>
        </w:tc>
        <w:tc>
          <w:tcPr>
            <w:tcW w:w="965" w:type="dxa"/>
            <w:tcBorders>
              <w:right w:val="single" w:color="auto" w:sz="4" w:space="0"/>
            </w:tcBorders>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b w:val="0"/>
                <w:bCs w:val="0"/>
                <w:color w:val="auto"/>
                <w:kern w:val="0"/>
                <w:sz w:val="21"/>
                <w:highlight w:val="none"/>
                <w:u w:val="single"/>
              </w:rPr>
            </w:pPr>
            <w:r>
              <w:rPr>
                <w:rFonts w:hint="eastAsia" w:ascii="Times New Roman" w:hAnsi="Times New Roman" w:eastAsia="宋体" w:cs="Times New Roman"/>
                <w:b w:val="0"/>
                <w:bCs w:val="0"/>
                <w:color w:val="auto"/>
                <w:kern w:val="0"/>
                <w:sz w:val="21"/>
                <w:highlight w:val="none"/>
                <w:u w:val="single"/>
              </w:rPr>
              <w:t>台</w:t>
            </w:r>
          </w:p>
        </w:tc>
        <w:tc>
          <w:tcPr>
            <w:tcW w:w="1096" w:type="dxa"/>
            <w:tcBorders>
              <w:left w:val="single" w:color="auto" w:sz="4" w:space="0"/>
            </w:tcBorders>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b w:val="0"/>
                <w:bCs w:val="0"/>
                <w:color w:val="auto"/>
                <w:kern w:val="0"/>
                <w:sz w:val="21"/>
                <w:highlight w:val="none"/>
                <w:u w:val="single"/>
              </w:rPr>
            </w:pPr>
            <w:r>
              <w:rPr>
                <w:rFonts w:hint="eastAsia" w:ascii="Times New Roman" w:hAnsi="Times New Roman" w:eastAsia="宋体" w:cs="Times New Roman"/>
                <w:b w:val="0"/>
                <w:bCs w:val="0"/>
                <w:color w:val="auto"/>
                <w:sz w:val="21"/>
                <w:highlight w:val="none"/>
                <w:u w:val="single"/>
              </w:rPr>
              <w:t>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83" w:hRule="atLeast"/>
          <w:jc w:val="center"/>
        </w:trPr>
        <w:tc>
          <w:tcPr>
            <w:tcW w:w="1742" w:type="dxa"/>
            <w:noWrap w:val="0"/>
            <w:vAlign w:val="center"/>
          </w:tcPr>
          <w:p>
            <w:pPr>
              <w:pStyle w:val="69"/>
              <w:snapToGrid w:val="0"/>
              <w:spacing w:line="240" w:lineRule="auto"/>
              <w:ind w:firstLine="0" w:firstLineChars="0"/>
              <w:jc w:val="center"/>
              <w:rPr>
                <w:rFonts w:hint="eastAsia" w:ascii="Times New Roman" w:hAnsi="Times New Roman" w:eastAsia="宋体"/>
                <w:b w:val="0"/>
                <w:bCs w:val="0"/>
                <w:color w:val="auto"/>
                <w:kern w:val="0"/>
                <w:sz w:val="21"/>
                <w:szCs w:val="21"/>
                <w:highlight w:val="none"/>
                <w:u w:val="single"/>
                <w:lang w:val="en-US" w:eastAsia="zh-CN"/>
              </w:rPr>
            </w:pPr>
            <w:r>
              <w:rPr>
                <w:rFonts w:hint="eastAsia" w:eastAsia="宋体"/>
                <w:b w:val="0"/>
                <w:bCs w:val="0"/>
                <w:color w:val="auto"/>
                <w:kern w:val="0"/>
                <w:sz w:val="21"/>
                <w:szCs w:val="21"/>
                <w:highlight w:val="none"/>
                <w:u w:val="single"/>
                <w:lang w:val="en-US" w:eastAsia="zh-CN"/>
              </w:rPr>
              <w:t>5</w:t>
            </w:r>
          </w:p>
        </w:tc>
        <w:tc>
          <w:tcPr>
            <w:tcW w:w="1742" w:type="dxa"/>
            <w:noWrap w:val="0"/>
            <w:vAlign w:val="center"/>
          </w:tcPr>
          <w:p>
            <w:pPr>
              <w:pStyle w:val="69"/>
              <w:snapToGrid w:val="0"/>
              <w:spacing w:line="240" w:lineRule="auto"/>
              <w:ind w:firstLine="0" w:firstLineChars="0"/>
              <w:jc w:val="center"/>
              <w:rPr>
                <w:rFonts w:hint="eastAsia" w:ascii="Times New Roman" w:hAnsi="Times New Roman" w:eastAsia="宋体"/>
                <w:b w:val="0"/>
                <w:bCs w:val="0"/>
                <w:color w:val="auto"/>
                <w:kern w:val="0"/>
                <w:sz w:val="21"/>
                <w:szCs w:val="21"/>
                <w:highlight w:val="none"/>
                <w:u w:val="single"/>
              </w:rPr>
            </w:pPr>
            <w:r>
              <w:rPr>
                <w:rFonts w:hint="eastAsia" w:ascii="Times New Roman" w:hAnsi="Times New Roman" w:eastAsia="宋体"/>
                <w:b w:val="0"/>
                <w:bCs w:val="0"/>
                <w:color w:val="auto"/>
                <w:kern w:val="0"/>
                <w:sz w:val="21"/>
                <w:szCs w:val="21"/>
                <w:highlight w:val="none"/>
                <w:u w:val="single"/>
              </w:rPr>
              <w:t>水泵</w:t>
            </w:r>
          </w:p>
        </w:tc>
        <w:tc>
          <w:tcPr>
            <w:tcW w:w="3623" w:type="dxa"/>
            <w:noWrap w:val="0"/>
            <w:vAlign w:val="center"/>
          </w:tcPr>
          <w:p>
            <w:pPr>
              <w:pStyle w:val="69"/>
              <w:snapToGrid w:val="0"/>
              <w:spacing w:line="240" w:lineRule="auto"/>
              <w:ind w:firstLine="0" w:firstLineChars="0"/>
              <w:jc w:val="center"/>
              <w:rPr>
                <w:rFonts w:hint="eastAsia" w:ascii="Times New Roman" w:hAnsi="Times New Roman" w:eastAsia="宋体"/>
                <w:b w:val="0"/>
                <w:bCs w:val="0"/>
                <w:color w:val="auto"/>
                <w:kern w:val="0"/>
                <w:sz w:val="21"/>
                <w:szCs w:val="21"/>
                <w:highlight w:val="none"/>
                <w:u w:val="single"/>
              </w:rPr>
            </w:pPr>
            <w:r>
              <w:rPr>
                <w:rFonts w:hint="eastAsia" w:ascii="Times New Roman" w:hAnsi="Times New Roman" w:eastAsia="宋体"/>
                <w:b w:val="0"/>
                <w:bCs w:val="0"/>
                <w:color w:val="auto"/>
                <w:kern w:val="0"/>
                <w:sz w:val="21"/>
                <w:szCs w:val="21"/>
                <w:highlight w:val="none"/>
                <w:u w:val="single"/>
              </w:rPr>
              <w:t>/</w:t>
            </w:r>
          </w:p>
        </w:tc>
        <w:tc>
          <w:tcPr>
            <w:tcW w:w="965" w:type="dxa"/>
            <w:tcBorders>
              <w:right w:val="single" w:color="auto" w:sz="4" w:space="0"/>
            </w:tcBorders>
            <w:noWrap w:val="0"/>
            <w:vAlign w:val="center"/>
          </w:tcPr>
          <w:p>
            <w:pPr>
              <w:widowControl/>
              <w:snapToGrid w:val="0"/>
              <w:spacing w:line="240" w:lineRule="auto"/>
              <w:ind w:firstLine="0" w:firstLineChars="0"/>
              <w:jc w:val="center"/>
              <w:rPr>
                <w:rFonts w:ascii="Times New Roman" w:hAnsi="Times New Roman" w:eastAsia="宋体" w:cs="Times New Roman"/>
                <w:b w:val="0"/>
                <w:bCs w:val="0"/>
                <w:color w:val="auto"/>
                <w:kern w:val="0"/>
                <w:sz w:val="21"/>
                <w:highlight w:val="none"/>
                <w:u w:val="single"/>
              </w:rPr>
            </w:pPr>
            <w:r>
              <w:rPr>
                <w:rFonts w:ascii="Times New Roman" w:hAnsi="Times New Roman" w:eastAsia="宋体" w:cs="Times New Roman"/>
                <w:b w:val="0"/>
                <w:bCs w:val="0"/>
                <w:color w:val="auto"/>
                <w:kern w:val="0"/>
                <w:sz w:val="21"/>
                <w:highlight w:val="none"/>
                <w:u w:val="single"/>
              </w:rPr>
              <w:t>台</w:t>
            </w:r>
          </w:p>
        </w:tc>
        <w:tc>
          <w:tcPr>
            <w:tcW w:w="1096" w:type="dxa"/>
            <w:tcBorders>
              <w:left w:val="single" w:color="auto" w:sz="4" w:space="0"/>
            </w:tcBorders>
            <w:noWrap w:val="0"/>
            <w:vAlign w:val="center"/>
          </w:tcPr>
          <w:p>
            <w:pPr>
              <w:widowControl/>
              <w:snapToGrid w:val="0"/>
              <w:spacing w:line="240" w:lineRule="auto"/>
              <w:ind w:firstLine="0" w:firstLineChars="0"/>
              <w:jc w:val="center"/>
              <w:rPr>
                <w:rFonts w:hint="eastAsia" w:ascii="Times New Roman" w:hAnsi="Times New Roman" w:eastAsia="宋体" w:cs="Times New Roman"/>
                <w:b w:val="0"/>
                <w:bCs w:val="0"/>
                <w:color w:val="auto"/>
                <w:kern w:val="0"/>
                <w:sz w:val="21"/>
                <w:highlight w:val="none"/>
                <w:u w:val="single"/>
              </w:rPr>
            </w:pPr>
            <w:r>
              <w:rPr>
                <w:rFonts w:hint="eastAsia" w:ascii="Times New Roman" w:hAnsi="Times New Roman" w:eastAsia="宋体" w:cs="Times New Roman"/>
                <w:b w:val="0"/>
                <w:bCs w:val="0"/>
                <w:color w:val="auto"/>
                <w:kern w:val="0"/>
                <w:sz w:val="21"/>
                <w:highlight w:val="none"/>
                <w:u w:val="single"/>
              </w:rPr>
              <w:t>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83" w:hRule="atLeast"/>
          <w:jc w:val="center"/>
        </w:trPr>
        <w:tc>
          <w:tcPr>
            <w:tcW w:w="1742" w:type="dxa"/>
            <w:noWrap w:val="0"/>
            <w:vAlign w:val="center"/>
          </w:tcPr>
          <w:p>
            <w:pPr>
              <w:pStyle w:val="69"/>
              <w:snapToGrid w:val="0"/>
              <w:spacing w:line="240" w:lineRule="auto"/>
              <w:ind w:firstLine="0" w:firstLineChars="0"/>
              <w:jc w:val="center"/>
              <w:rPr>
                <w:rFonts w:hint="eastAsia" w:ascii="Times New Roman" w:hAnsi="Times New Roman" w:eastAsia="宋体"/>
                <w:b w:val="0"/>
                <w:bCs w:val="0"/>
                <w:color w:val="auto"/>
                <w:kern w:val="0"/>
                <w:sz w:val="21"/>
                <w:szCs w:val="21"/>
                <w:highlight w:val="none"/>
                <w:u w:val="single"/>
                <w:lang w:val="en-US" w:eastAsia="zh-CN"/>
              </w:rPr>
            </w:pPr>
            <w:r>
              <w:rPr>
                <w:rFonts w:hint="eastAsia" w:eastAsia="宋体"/>
                <w:b w:val="0"/>
                <w:bCs w:val="0"/>
                <w:color w:val="auto"/>
                <w:kern w:val="0"/>
                <w:sz w:val="21"/>
                <w:szCs w:val="21"/>
                <w:highlight w:val="none"/>
                <w:u w:val="single"/>
                <w:lang w:val="en-US" w:eastAsia="zh-CN"/>
              </w:rPr>
              <w:t>6</w:t>
            </w:r>
          </w:p>
        </w:tc>
        <w:tc>
          <w:tcPr>
            <w:tcW w:w="1742" w:type="dxa"/>
            <w:noWrap w:val="0"/>
            <w:vAlign w:val="center"/>
          </w:tcPr>
          <w:p>
            <w:pPr>
              <w:pStyle w:val="69"/>
              <w:snapToGrid w:val="0"/>
              <w:spacing w:line="240" w:lineRule="auto"/>
              <w:ind w:firstLine="0" w:firstLineChars="0"/>
              <w:jc w:val="center"/>
              <w:rPr>
                <w:rFonts w:hint="eastAsia" w:ascii="Times New Roman" w:hAnsi="Times New Roman" w:eastAsia="宋体"/>
                <w:b w:val="0"/>
                <w:bCs w:val="0"/>
                <w:color w:val="auto"/>
                <w:kern w:val="0"/>
                <w:sz w:val="21"/>
                <w:szCs w:val="21"/>
                <w:highlight w:val="none"/>
                <w:u w:val="single"/>
              </w:rPr>
            </w:pPr>
            <w:r>
              <w:rPr>
                <w:rFonts w:hint="eastAsia" w:ascii="Times New Roman" w:hAnsi="Times New Roman" w:eastAsia="宋体"/>
                <w:b w:val="0"/>
                <w:bCs w:val="0"/>
                <w:color w:val="auto"/>
                <w:kern w:val="0"/>
                <w:sz w:val="21"/>
                <w:szCs w:val="21"/>
                <w:highlight w:val="none"/>
                <w:u w:val="single"/>
              </w:rPr>
              <w:t>泥筛</w:t>
            </w:r>
          </w:p>
        </w:tc>
        <w:tc>
          <w:tcPr>
            <w:tcW w:w="3623" w:type="dxa"/>
            <w:noWrap w:val="0"/>
            <w:vAlign w:val="center"/>
          </w:tcPr>
          <w:p>
            <w:pPr>
              <w:pStyle w:val="69"/>
              <w:snapToGrid w:val="0"/>
              <w:spacing w:line="240" w:lineRule="auto"/>
              <w:ind w:firstLine="0" w:firstLineChars="0"/>
              <w:jc w:val="center"/>
              <w:rPr>
                <w:rFonts w:hint="eastAsia" w:ascii="Times New Roman" w:hAnsi="Times New Roman" w:eastAsia="宋体"/>
                <w:b w:val="0"/>
                <w:bCs w:val="0"/>
                <w:color w:val="auto"/>
                <w:kern w:val="0"/>
                <w:sz w:val="21"/>
                <w:szCs w:val="21"/>
                <w:highlight w:val="none"/>
                <w:u w:val="single"/>
              </w:rPr>
            </w:pPr>
            <w:r>
              <w:rPr>
                <w:rFonts w:hint="eastAsia" w:ascii="Times New Roman" w:hAnsi="Times New Roman" w:eastAsia="宋体"/>
                <w:b w:val="0"/>
                <w:bCs w:val="0"/>
                <w:color w:val="auto"/>
                <w:kern w:val="0"/>
                <w:sz w:val="21"/>
                <w:szCs w:val="21"/>
                <w:highlight w:val="none"/>
                <w:u w:val="single"/>
              </w:rPr>
              <w:t>/</w:t>
            </w:r>
          </w:p>
        </w:tc>
        <w:tc>
          <w:tcPr>
            <w:tcW w:w="965" w:type="dxa"/>
            <w:tcBorders>
              <w:right w:val="single" w:color="auto" w:sz="4" w:space="0"/>
            </w:tcBorders>
            <w:noWrap w:val="0"/>
            <w:vAlign w:val="center"/>
          </w:tcPr>
          <w:p>
            <w:pPr>
              <w:pStyle w:val="69"/>
              <w:adjustRightInd w:val="0"/>
              <w:snapToGrid w:val="0"/>
              <w:spacing w:line="240" w:lineRule="auto"/>
              <w:ind w:firstLine="0" w:firstLineChars="0"/>
              <w:jc w:val="center"/>
              <w:rPr>
                <w:rFonts w:ascii="Times New Roman" w:hAnsi="Times New Roman" w:eastAsia="宋体"/>
                <w:b w:val="0"/>
                <w:bCs w:val="0"/>
                <w:color w:val="auto"/>
                <w:kern w:val="0"/>
                <w:sz w:val="21"/>
                <w:highlight w:val="none"/>
                <w:u w:val="single"/>
              </w:rPr>
            </w:pPr>
            <w:r>
              <w:rPr>
                <w:rFonts w:ascii="Times New Roman" w:hAnsi="Times New Roman" w:eastAsia="宋体"/>
                <w:b w:val="0"/>
                <w:bCs w:val="0"/>
                <w:color w:val="auto"/>
                <w:kern w:val="0"/>
                <w:sz w:val="21"/>
                <w:szCs w:val="21"/>
                <w:highlight w:val="none"/>
                <w:u w:val="single"/>
              </w:rPr>
              <w:t>台</w:t>
            </w:r>
          </w:p>
        </w:tc>
        <w:tc>
          <w:tcPr>
            <w:tcW w:w="1096" w:type="dxa"/>
            <w:tcBorders>
              <w:left w:val="single" w:color="auto" w:sz="4" w:space="0"/>
            </w:tcBorders>
            <w:noWrap w:val="0"/>
            <w:vAlign w:val="center"/>
          </w:tcPr>
          <w:p>
            <w:pPr>
              <w:pStyle w:val="69"/>
              <w:adjustRightInd w:val="0"/>
              <w:snapToGrid w:val="0"/>
              <w:spacing w:line="240" w:lineRule="auto"/>
              <w:ind w:firstLine="0" w:firstLineChars="0"/>
              <w:jc w:val="center"/>
              <w:rPr>
                <w:rFonts w:hint="eastAsia" w:ascii="Times New Roman" w:hAnsi="Times New Roman" w:eastAsia="宋体"/>
                <w:b w:val="0"/>
                <w:bCs w:val="0"/>
                <w:color w:val="auto"/>
                <w:kern w:val="0"/>
                <w:sz w:val="21"/>
                <w:highlight w:val="none"/>
                <w:u w:val="single"/>
              </w:rPr>
            </w:pPr>
            <w:r>
              <w:rPr>
                <w:rFonts w:ascii="Times New Roman" w:hAnsi="Times New Roman" w:eastAsia="宋体"/>
                <w:b w:val="0"/>
                <w:bCs w:val="0"/>
                <w:color w:val="auto"/>
                <w:sz w:val="21"/>
                <w:szCs w:val="21"/>
                <w:highlight w:val="none"/>
                <w:u w:val="single"/>
              </w:rPr>
              <w:t>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83" w:hRule="atLeast"/>
          <w:jc w:val="center"/>
        </w:trPr>
        <w:tc>
          <w:tcPr>
            <w:tcW w:w="174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 w:val="0"/>
                <w:bCs w:val="0"/>
                <w:color w:val="auto"/>
                <w:sz w:val="21"/>
                <w:szCs w:val="21"/>
                <w:highlight w:val="none"/>
                <w:u w:val="single"/>
                <w:lang w:val="en-US" w:eastAsia="zh-CN"/>
              </w:rPr>
            </w:pPr>
            <w:r>
              <w:rPr>
                <w:rFonts w:hint="eastAsia" w:eastAsia="宋体"/>
                <w:b w:val="0"/>
                <w:bCs w:val="0"/>
                <w:color w:val="auto"/>
                <w:sz w:val="21"/>
                <w:szCs w:val="21"/>
                <w:highlight w:val="none"/>
                <w:u w:val="single"/>
                <w:lang w:val="en-US" w:eastAsia="zh-CN"/>
              </w:rPr>
              <w:t>7</w:t>
            </w:r>
          </w:p>
        </w:tc>
        <w:tc>
          <w:tcPr>
            <w:tcW w:w="1742" w:type="dxa"/>
            <w:noWrap w:val="0"/>
            <w:vAlign w:val="center"/>
          </w:tcPr>
          <w:p>
            <w:pPr>
              <w:pStyle w:val="69"/>
              <w:adjustRightInd w:val="0"/>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ascii="Times New Roman" w:hAnsi="Times New Roman" w:eastAsia="宋体"/>
                <w:b w:val="0"/>
                <w:bCs w:val="0"/>
                <w:color w:val="auto"/>
                <w:sz w:val="21"/>
                <w:szCs w:val="21"/>
                <w:highlight w:val="none"/>
                <w:u w:val="single"/>
              </w:rPr>
              <w:t>振动给料机</w:t>
            </w:r>
          </w:p>
        </w:tc>
        <w:tc>
          <w:tcPr>
            <w:tcW w:w="3623"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 w:val="0"/>
                <w:bCs w:val="0"/>
                <w:color w:val="auto"/>
                <w:kern w:val="0"/>
                <w:sz w:val="21"/>
                <w:szCs w:val="21"/>
                <w:highlight w:val="none"/>
                <w:u w:val="single"/>
              </w:rPr>
            </w:pPr>
            <w:r>
              <w:rPr>
                <w:rFonts w:hint="eastAsia" w:ascii="Times New Roman" w:hAnsi="Times New Roman" w:eastAsia="宋体"/>
                <w:b w:val="0"/>
                <w:bCs w:val="0"/>
                <w:color w:val="auto"/>
                <w:sz w:val="21"/>
                <w:szCs w:val="21"/>
                <w:highlight w:val="none"/>
                <w:u w:val="single"/>
              </w:rPr>
              <w:t>/</w:t>
            </w:r>
          </w:p>
        </w:tc>
        <w:tc>
          <w:tcPr>
            <w:tcW w:w="965" w:type="dxa"/>
            <w:tcBorders>
              <w:right w:val="single" w:color="auto" w:sz="4" w:space="0"/>
            </w:tcBorders>
            <w:noWrap w:val="0"/>
            <w:vAlign w:val="center"/>
          </w:tcPr>
          <w:p>
            <w:pPr>
              <w:pStyle w:val="69"/>
              <w:adjustRightInd w:val="0"/>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ascii="Times New Roman" w:hAnsi="Times New Roman" w:eastAsia="宋体"/>
                <w:b w:val="0"/>
                <w:bCs w:val="0"/>
                <w:color w:val="auto"/>
                <w:kern w:val="0"/>
                <w:sz w:val="21"/>
                <w:szCs w:val="21"/>
                <w:highlight w:val="none"/>
                <w:u w:val="single"/>
              </w:rPr>
              <w:t>台</w:t>
            </w:r>
          </w:p>
        </w:tc>
        <w:tc>
          <w:tcPr>
            <w:tcW w:w="1096" w:type="dxa"/>
            <w:tcBorders>
              <w:left w:val="single" w:color="auto" w:sz="4" w:space="0"/>
            </w:tcBorders>
            <w:noWrap w:val="0"/>
            <w:vAlign w:val="center"/>
          </w:tcPr>
          <w:p>
            <w:pPr>
              <w:pStyle w:val="69"/>
              <w:adjustRightInd w:val="0"/>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ascii="Times New Roman" w:hAnsi="Times New Roman" w:eastAsia="宋体"/>
                <w:b w:val="0"/>
                <w:bCs w:val="0"/>
                <w:color w:val="auto"/>
                <w:sz w:val="21"/>
                <w:szCs w:val="21"/>
                <w:highlight w:val="none"/>
                <w:u w:val="single"/>
              </w:rPr>
              <w:t>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83" w:hRule="atLeast"/>
          <w:jc w:val="center"/>
        </w:trPr>
        <w:tc>
          <w:tcPr>
            <w:tcW w:w="1742" w:type="dxa"/>
            <w:noWrap w:val="0"/>
            <w:vAlign w:val="center"/>
          </w:tcPr>
          <w:p>
            <w:pPr>
              <w:pStyle w:val="69"/>
              <w:snapToGrid w:val="0"/>
              <w:spacing w:line="240" w:lineRule="auto"/>
              <w:ind w:firstLine="0" w:firstLineChars="0"/>
              <w:jc w:val="center"/>
              <w:rPr>
                <w:rFonts w:hint="eastAsia" w:ascii="Times New Roman" w:hAnsi="Times New Roman" w:eastAsia="宋体"/>
                <w:b w:val="0"/>
                <w:bCs w:val="0"/>
                <w:color w:val="auto"/>
                <w:kern w:val="0"/>
                <w:sz w:val="21"/>
                <w:szCs w:val="21"/>
                <w:highlight w:val="none"/>
                <w:u w:val="single"/>
                <w:lang w:val="en-US" w:eastAsia="zh-CN"/>
              </w:rPr>
            </w:pPr>
            <w:r>
              <w:rPr>
                <w:rFonts w:hint="eastAsia" w:eastAsia="宋体"/>
                <w:b w:val="0"/>
                <w:bCs w:val="0"/>
                <w:color w:val="auto"/>
                <w:kern w:val="0"/>
                <w:sz w:val="21"/>
                <w:szCs w:val="21"/>
                <w:highlight w:val="none"/>
                <w:u w:val="single"/>
                <w:lang w:val="en-US" w:eastAsia="zh-CN"/>
              </w:rPr>
              <w:t>8</w:t>
            </w:r>
          </w:p>
        </w:tc>
        <w:tc>
          <w:tcPr>
            <w:tcW w:w="1742" w:type="dxa"/>
            <w:noWrap w:val="0"/>
            <w:vAlign w:val="center"/>
          </w:tcPr>
          <w:p>
            <w:pPr>
              <w:pStyle w:val="69"/>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ascii="Times New Roman" w:hAnsi="Times New Roman" w:eastAsia="宋体"/>
                <w:b w:val="0"/>
                <w:bCs w:val="0"/>
                <w:color w:val="auto"/>
                <w:kern w:val="0"/>
                <w:sz w:val="21"/>
                <w:szCs w:val="21"/>
                <w:highlight w:val="none"/>
                <w:u w:val="single"/>
              </w:rPr>
              <w:t>破碎机</w:t>
            </w:r>
          </w:p>
        </w:tc>
        <w:tc>
          <w:tcPr>
            <w:tcW w:w="3623"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 w:val="0"/>
                <w:bCs w:val="0"/>
                <w:color w:val="auto"/>
                <w:kern w:val="0"/>
                <w:sz w:val="21"/>
                <w:szCs w:val="21"/>
                <w:highlight w:val="none"/>
                <w:u w:val="single"/>
              </w:rPr>
            </w:pPr>
            <w:r>
              <w:rPr>
                <w:rFonts w:hint="eastAsia" w:ascii="Times New Roman" w:hAnsi="Times New Roman" w:eastAsia="宋体"/>
                <w:b w:val="0"/>
                <w:bCs w:val="0"/>
                <w:color w:val="auto"/>
                <w:kern w:val="0"/>
                <w:sz w:val="21"/>
                <w:szCs w:val="21"/>
                <w:highlight w:val="none"/>
                <w:u w:val="single"/>
              </w:rPr>
              <w:t>/</w:t>
            </w:r>
          </w:p>
        </w:tc>
        <w:tc>
          <w:tcPr>
            <w:tcW w:w="965" w:type="dxa"/>
            <w:tcBorders>
              <w:right w:val="single" w:color="auto" w:sz="4" w:space="0"/>
            </w:tcBorders>
            <w:noWrap w:val="0"/>
            <w:vAlign w:val="center"/>
          </w:tcPr>
          <w:p>
            <w:pPr>
              <w:widowControl/>
              <w:snapToGrid w:val="0"/>
              <w:spacing w:line="240" w:lineRule="auto"/>
              <w:ind w:firstLine="0" w:firstLineChars="0"/>
              <w:jc w:val="center"/>
              <w:rPr>
                <w:rFonts w:ascii="Times New Roman" w:hAnsi="Times New Roman" w:eastAsia="宋体" w:cs="Times New Roman"/>
                <w:b w:val="0"/>
                <w:bCs w:val="0"/>
                <w:color w:val="auto"/>
                <w:kern w:val="0"/>
                <w:sz w:val="21"/>
                <w:highlight w:val="none"/>
                <w:u w:val="single"/>
              </w:rPr>
            </w:pPr>
            <w:r>
              <w:rPr>
                <w:rFonts w:ascii="Times New Roman" w:hAnsi="Times New Roman" w:eastAsia="宋体" w:cs="Times New Roman"/>
                <w:b w:val="0"/>
                <w:bCs w:val="0"/>
                <w:color w:val="auto"/>
                <w:kern w:val="0"/>
                <w:sz w:val="21"/>
                <w:highlight w:val="none"/>
                <w:u w:val="single"/>
              </w:rPr>
              <w:t>台</w:t>
            </w:r>
          </w:p>
        </w:tc>
        <w:tc>
          <w:tcPr>
            <w:tcW w:w="1096" w:type="dxa"/>
            <w:tcBorders>
              <w:left w:val="single" w:color="auto" w:sz="4" w:space="0"/>
            </w:tcBorders>
            <w:noWrap w:val="0"/>
            <w:vAlign w:val="center"/>
          </w:tcPr>
          <w:p>
            <w:pPr>
              <w:widowControl/>
              <w:snapToGrid w:val="0"/>
              <w:spacing w:line="240" w:lineRule="auto"/>
              <w:ind w:firstLine="0" w:firstLineChars="0"/>
              <w:jc w:val="center"/>
              <w:rPr>
                <w:rFonts w:hint="eastAsia" w:ascii="Times New Roman" w:hAnsi="Times New Roman" w:eastAsia="宋体" w:cs="Times New Roman"/>
                <w:b w:val="0"/>
                <w:bCs w:val="0"/>
                <w:color w:val="auto"/>
                <w:kern w:val="0"/>
                <w:sz w:val="21"/>
                <w:highlight w:val="none"/>
                <w:u w:val="single"/>
              </w:rPr>
            </w:pPr>
            <w:r>
              <w:rPr>
                <w:rFonts w:hint="eastAsia" w:ascii="Times New Roman" w:hAnsi="Times New Roman" w:eastAsia="宋体" w:cs="Times New Roman"/>
                <w:b w:val="0"/>
                <w:bCs w:val="0"/>
                <w:color w:val="auto"/>
                <w:kern w:val="0"/>
                <w:sz w:val="21"/>
                <w:highlight w:val="none"/>
                <w:u w:val="single"/>
              </w:rPr>
              <w:t>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83" w:hRule="atLeast"/>
          <w:jc w:val="center"/>
        </w:trPr>
        <w:tc>
          <w:tcPr>
            <w:tcW w:w="174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 w:val="0"/>
                <w:bCs w:val="0"/>
                <w:color w:val="auto"/>
                <w:kern w:val="0"/>
                <w:sz w:val="21"/>
                <w:szCs w:val="21"/>
                <w:highlight w:val="none"/>
                <w:u w:val="single"/>
                <w:lang w:val="en-US" w:eastAsia="zh-CN"/>
              </w:rPr>
            </w:pPr>
            <w:r>
              <w:rPr>
                <w:rFonts w:hint="eastAsia" w:eastAsia="宋体"/>
                <w:b w:val="0"/>
                <w:bCs w:val="0"/>
                <w:color w:val="auto"/>
                <w:kern w:val="0"/>
                <w:sz w:val="21"/>
                <w:szCs w:val="21"/>
                <w:highlight w:val="none"/>
                <w:u w:val="single"/>
                <w:lang w:val="en-US" w:eastAsia="zh-CN"/>
              </w:rPr>
              <w:t>9</w:t>
            </w:r>
          </w:p>
        </w:tc>
        <w:tc>
          <w:tcPr>
            <w:tcW w:w="1742" w:type="dxa"/>
            <w:noWrap w:val="0"/>
            <w:vAlign w:val="center"/>
          </w:tcPr>
          <w:p>
            <w:pPr>
              <w:pStyle w:val="69"/>
              <w:adjustRightInd w:val="0"/>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ascii="Times New Roman" w:hAnsi="Times New Roman" w:eastAsia="宋体"/>
                <w:b w:val="0"/>
                <w:bCs w:val="0"/>
                <w:color w:val="auto"/>
                <w:kern w:val="0"/>
                <w:sz w:val="21"/>
                <w:szCs w:val="21"/>
                <w:highlight w:val="none"/>
                <w:u w:val="single"/>
              </w:rPr>
              <w:t>振动筛</w:t>
            </w:r>
          </w:p>
        </w:tc>
        <w:tc>
          <w:tcPr>
            <w:tcW w:w="3623" w:type="dxa"/>
            <w:noWrap w:val="0"/>
            <w:vAlign w:val="center"/>
          </w:tcPr>
          <w:p>
            <w:pPr>
              <w:pStyle w:val="69"/>
              <w:adjustRightInd w:val="0"/>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hint="eastAsia" w:ascii="Times New Roman" w:hAnsi="Times New Roman" w:eastAsia="宋体"/>
                <w:b w:val="0"/>
                <w:bCs w:val="0"/>
                <w:color w:val="auto"/>
                <w:kern w:val="0"/>
                <w:sz w:val="21"/>
                <w:szCs w:val="21"/>
                <w:highlight w:val="none"/>
                <w:u w:val="single"/>
              </w:rPr>
              <w:t>100</w:t>
            </w:r>
            <w:r>
              <w:rPr>
                <w:rFonts w:ascii="Times New Roman" w:hAnsi="Times New Roman" w:eastAsia="宋体"/>
                <w:b w:val="0"/>
                <w:bCs w:val="0"/>
                <w:color w:val="auto"/>
                <w:kern w:val="0"/>
                <w:sz w:val="21"/>
                <w:szCs w:val="21"/>
                <w:highlight w:val="none"/>
                <w:u w:val="single"/>
              </w:rPr>
              <w:t>~</w:t>
            </w:r>
            <w:r>
              <w:rPr>
                <w:rFonts w:hint="eastAsia" w:ascii="Times New Roman" w:hAnsi="Times New Roman" w:eastAsia="宋体"/>
                <w:b w:val="0"/>
                <w:bCs w:val="0"/>
                <w:color w:val="auto"/>
                <w:kern w:val="0"/>
                <w:sz w:val="21"/>
                <w:szCs w:val="21"/>
                <w:highlight w:val="none"/>
                <w:u w:val="single"/>
              </w:rPr>
              <w:t>120t/h</w:t>
            </w:r>
          </w:p>
        </w:tc>
        <w:tc>
          <w:tcPr>
            <w:tcW w:w="965" w:type="dxa"/>
            <w:tcBorders>
              <w:right w:val="single" w:color="auto" w:sz="4" w:space="0"/>
            </w:tcBorders>
            <w:noWrap w:val="0"/>
            <w:vAlign w:val="center"/>
          </w:tcPr>
          <w:p>
            <w:pPr>
              <w:pStyle w:val="69"/>
              <w:adjustRightInd w:val="0"/>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ascii="Times New Roman" w:hAnsi="Times New Roman" w:eastAsia="宋体"/>
                <w:b w:val="0"/>
                <w:bCs w:val="0"/>
                <w:color w:val="auto"/>
                <w:kern w:val="0"/>
                <w:sz w:val="21"/>
                <w:szCs w:val="21"/>
                <w:highlight w:val="none"/>
                <w:u w:val="single"/>
              </w:rPr>
              <w:t>台</w:t>
            </w:r>
          </w:p>
        </w:tc>
        <w:tc>
          <w:tcPr>
            <w:tcW w:w="1096" w:type="dxa"/>
            <w:tcBorders>
              <w:left w:val="single" w:color="auto" w:sz="4" w:space="0"/>
            </w:tcBorders>
            <w:noWrap w:val="0"/>
            <w:vAlign w:val="center"/>
          </w:tcPr>
          <w:p>
            <w:pPr>
              <w:pStyle w:val="69"/>
              <w:adjustRightInd w:val="0"/>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hint="eastAsia" w:ascii="Times New Roman" w:hAnsi="Times New Roman" w:eastAsia="宋体"/>
                <w:b w:val="0"/>
                <w:bCs w:val="0"/>
                <w:color w:val="auto"/>
                <w:kern w:val="0"/>
                <w:sz w:val="21"/>
                <w:szCs w:val="21"/>
                <w:highlight w:val="none"/>
                <w:u w:val="single"/>
              </w:rPr>
              <w:t>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83" w:hRule="atLeast"/>
          <w:jc w:val="center"/>
        </w:trPr>
        <w:tc>
          <w:tcPr>
            <w:tcW w:w="1742" w:type="dxa"/>
            <w:noWrap w:val="0"/>
            <w:vAlign w:val="center"/>
          </w:tcPr>
          <w:p>
            <w:pPr>
              <w:pStyle w:val="69"/>
              <w:snapToGrid w:val="0"/>
              <w:spacing w:line="240" w:lineRule="auto"/>
              <w:ind w:firstLine="0" w:firstLineChars="0"/>
              <w:jc w:val="center"/>
              <w:rPr>
                <w:rFonts w:hint="default" w:ascii="Times New Roman" w:hAnsi="Times New Roman" w:eastAsia="宋体"/>
                <w:b w:val="0"/>
                <w:bCs w:val="0"/>
                <w:color w:val="auto"/>
                <w:kern w:val="0"/>
                <w:sz w:val="21"/>
                <w:szCs w:val="21"/>
                <w:highlight w:val="none"/>
                <w:u w:val="single"/>
                <w:lang w:val="en-US" w:eastAsia="zh-CN"/>
              </w:rPr>
            </w:pPr>
            <w:r>
              <w:rPr>
                <w:rFonts w:hint="eastAsia" w:eastAsia="宋体"/>
                <w:b w:val="0"/>
                <w:bCs w:val="0"/>
                <w:color w:val="auto"/>
                <w:kern w:val="0"/>
                <w:sz w:val="21"/>
                <w:szCs w:val="21"/>
                <w:highlight w:val="none"/>
                <w:u w:val="single"/>
                <w:lang w:val="en-US" w:eastAsia="zh-CN"/>
              </w:rPr>
              <w:t>10</w:t>
            </w:r>
          </w:p>
        </w:tc>
        <w:tc>
          <w:tcPr>
            <w:tcW w:w="1742" w:type="dxa"/>
            <w:noWrap w:val="0"/>
            <w:vAlign w:val="center"/>
          </w:tcPr>
          <w:p>
            <w:pPr>
              <w:pStyle w:val="69"/>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ascii="Times New Roman" w:hAnsi="Times New Roman" w:eastAsia="宋体"/>
                <w:b w:val="0"/>
                <w:bCs w:val="0"/>
                <w:color w:val="auto"/>
                <w:kern w:val="0"/>
                <w:sz w:val="21"/>
                <w:szCs w:val="21"/>
                <w:highlight w:val="none"/>
                <w:u w:val="single"/>
              </w:rPr>
              <w:t>变压器</w:t>
            </w:r>
          </w:p>
        </w:tc>
        <w:tc>
          <w:tcPr>
            <w:tcW w:w="3623" w:type="dxa"/>
            <w:noWrap w:val="0"/>
            <w:vAlign w:val="center"/>
          </w:tcPr>
          <w:p>
            <w:pPr>
              <w:pStyle w:val="69"/>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hint="eastAsia" w:ascii="Times New Roman" w:hAnsi="Times New Roman" w:eastAsia="宋体"/>
                <w:b w:val="0"/>
                <w:bCs w:val="0"/>
                <w:color w:val="auto"/>
                <w:kern w:val="0"/>
                <w:sz w:val="21"/>
                <w:szCs w:val="21"/>
                <w:highlight w:val="none"/>
                <w:u w:val="single"/>
              </w:rPr>
              <w:t>63</w:t>
            </w:r>
            <w:r>
              <w:rPr>
                <w:rFonts w:ascii="Times New Roman" w:hAnsi="Times New Roman" w:eastAsia="宋体"/>
                <w:b w:val="0"/>
                <w:bCs w:val="0"/>
                <w:color w:val="auto"/>
                <w:kern w:val="0"/>
                <w:sz w:val="21"/>
                <w:szCs w:val="21"/>
                <w:highlight w:val="none"/>
                <w:u w:val="single"/>
              </w:rPr>
              <w:t>0KVA</w:t>
            </w:r>
          </w:p>
        </w:tc>
        <w:tc>
          <w:tcPr>
            <w:tcW w:w="965" w:type="dxa"/>
            <w:tcBorders>
              <w:right w:val="single" w:color="auto" w:sz="4" w:space="0"/>
            </w:tcBorders>
            <w:noWrap w:val="0"/>
            <w:vAlign w:val="center"/>
          </w:tcPr>
          <w:p>
            <w:pPr>
              <w:widowControl/>
              <w:snapToGrid w:val="0"/>
              <w:spacing w:line="240" w:lineRule="auto"/>
              <w:ind w:firstLine="0" w:firstLineChars="0"/>
              <w:jc w:val="center"/>
              <w:rPr>
                <w:rFonts w:ascii="Times New Roman" w:hAnsi="Times New Roman" w:eastAsia="宋体" w:cs="Times New Roman"/>
                <w:b w:val="0"/>
                <w:bCs w:val="0"/>
                <w:color w:val="auto"/>
                <w:kern w:val="0"/>
                <w:sz w:val="21"/>
                <w:highlight w:val="none"/>
                <w:u w:val="single"/>
              </w:rPr>
            </w:pPr>
            <w:r>
              <w:rPr>
                <w:rFonts w:ascii="Times New Roman" w:hAnsi="Times New Roman" w:eastAsia="宋体" w:cs="Times New Roman"/>
                <w:b w:val="0"/>
                <w:bCs w:val="0"/>
                <w:color w:val="auto"/>
                <w:kern w:val="0"/>
                <w:sz w:val="21"/>
                <w:highlight w:val="none"/>
                <w:u w:val="single"/>
              </w:rPr>
              <w:t>台</w:t>
            </w:r>
          </w:p>
        </w:tc>
        <w:tc>
          <w:tcPr>
            <w:tcW w:w="1096" w:type="dxa"/>
            <w:tcBorders>
              <w:left w:val="single" w:color="auto" w:sz="4" w:space="0"/>
            </w:tcBorders>
            <w:noWrap w:val="0"/>
            <w:vAlign w:val="center"/>
          </w:tcPr>
          <w:p>
            <w:pPr>
              <w:widowControl/>
              <w:snapToGrid w:val="0"/>
              <w:spacing w:line="240" w:lineRule="auto"/>
              <w:ind w:firstLine="0" w:firstLineChars="0"/>
              <w:jc w:val="center"/>
              <w:rPr>
                <w:rFonts w:ascii="Times New Roman" w:hAnsi="Times New Roman" w:eastAsia="宋体" w:cs="Times New Roman"/>
                <w:b w:val="0"/>
                <w:bCs w:val="0"/>
                <w:color w:val="auto"/>
                <w:kern w:val="0"/>
                <w:sz w:val="21"/>
                <w:highlight w:val="none"/>
                <w:u w:val="single"/>
              </w:rPr>
            </w:pPr>
            <w:r>
              <w:rPr>
                <w:rFonts w:ascii="Times New Roman" w:hAnsi="Times New Roman" w:eastAsia="宋体" w:cs="Times New Roman"/>
                <w:b w:val="0"/>
                <w:bCs w:val="0"/>
                <w:color w:val="auto"/>
                <w:kern w:val="0"/>
                <w:sz w:val="21"/>
                <w:highlight w:val="none"/>
                <w:u w:val="single"/>
              </w:rPr>
              <w:t>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83" w:hRule="atLeast"/>
          <w:jc w:val="center"/>
        </w:trPr>
        <w:tc>
          <w:tcPr>
            <w:tcW w:w="1742" w:type="dxa"/>
            <w:noWrap w:val="0"/>
            <w:vAlign w:val="center"/>
          </w:tcPr>
          <w:p>
            <w:pPr>
              <w:pStyle w:val="69"/>
              <w:snapToGrid w:val="0"/>
              <w:spacing w:line="240" w:lineRule="auto"/>
              <w:ind w:firstLine="0" w:firstLineChars="0"/>
              <w:jc w:val="center"/>
              <w:rPr>
                <w:rFonts w:hint="default" w:ascii="Times New Roman" w:hAnsi="Times New Roman" w:eastAsia="宋体"/>
                <w:b w:val="0"/>
                <w:bCs w:val="0"/>
                <w:color w:val="auto"/>
                <w:kern w:val="0"/>
                <w:sz w:val="21"/>
                <w:szCs w:val="21"/>
                <w:highlight w:val="none"/>
                <w:u w:val="single"/>
                <w:lang w:val="en-US" w:eastAsia="zh-CN"/>
              </w:rPr>
            </w:pPr>
            <w:r>
              <w:rPr>
                <w:rFonts w:hint="eastAsia" w:eastAsia="宋体"/>
                <w:b w:val="0"/>
                <w:bCs w:val="0"/>
                <w:color w:val="auto"/>
                <w:kern w:val="0"/>
                <w:sz w:val="21"/>
                <w:szCs w:val="21"/>
                <w:highlight w:val="none"/>
                <w:u w:val="single"/>
                <w:lang w:val="en-US" w:eastAsia="zh-CN"/>
              </w:rPr>
              <w:t>11</w:t>
            </w:r>
          </w:p>
        </w:tc>
        <w:tc>
          <w:tcPr>
            <w:tcW w:w="1742" w:type="dxa"/>
            <w:noWrap w:val="0"/>
            <w:vAlign w:val="center"/>
          </w:tcPr>
          <w:p>
            <w:pPr>
              <w:pStyle w:val="69"/>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hint="eastAsia" w:ascii="Times New Roman" w:hAnsi="Times New Roman" w:eastAsia="宋体"/>
                <w:b w:val="0"/>
                <w:bCs w:val="0"/>
                <w:color w:val="auto"/>
                <w:kern w:val="0"/>
                <w:sz w:val="21"/>
                <w:szCs w:val="21"/>
                <w:highlight w:val="none"/>
                <w:u w:val="single"/>
              </w:rPr>
              <w:t>洗砂设备</w:t>
            </w:r>
          </w:p>
        </w:tc>
        <w:tc>
          <w:tcPr>
            <w:tcW w:w="3623" w:type="dxa"/>
            <w:noWrap w:val="0"/>
            <w:vAlign w:val="center"/>
          </w:tcPr>
          <w:p>
            <w:pPr>
              <w:pStyle w:val="69"/>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hint="eastAsia" w:ascii="Times New Roman" w:hAnsi="Times New Roman" w:eastAsia="宋体"/>
                <w:b w:val="0"/>
                <w:bCs w:val="0"/>
                <w:color w:val="auto"/>
                <w:kern w:val="0"/>
                <w:sz w:val="21"/>
                <w:szCs w:val="21"/>
                <w:highlight w:val="none"/>
                <w:u w:val="single"/>
              </w:rPr>
              <w:t>5m</w:t>
            </w:r>
            <w:r>
              <w:rPr>
                <w:rFonts w:hint="eastAsia" w:ascii="Times New Roman" w:hAnsi="Times New Roman" w:eastAsia="宋体"/>
                <w:b w:val="0"/>
                <w:bCs w:val="0"/>
                <w:color w:val="auto"/>
                <w:kern w:val="0"/>
                <w:sz w:val="21"/>
                <w:szCs w:val="21"/>
                <w:highlight w:val="none"/>
                <w:u w:val="single"/>
                <w:vertAlign w:val="superscript"/>
              </w:rPr>
              <w:t>3</w:t>
            </w:r>
            <w:r>
              <w:rPr>
                <w:rFonts w:hint="eastAsia" w:ascii="Times New Roman" w:hAnsi="Times New Roman" w:eastAsia="宋体"/>
                <w:b w:val="0"/>
                <w:bCs w:val="0"/>
                <w:color w:val="auto"/>
                <w:kern w:val="0"/>
                <w:sz w:val="21"/>
                <w:szCs w:val="21"/>
                <w:highlight w:val="none"/>
                <w:u w:val="single"/>
              </w:rPr>
              <w:t>/h</w:t>
            </w:r>
          </w:p>
        </w:tc>
        <w:tc>
          <w:tcPr>
            <w:tcW w:w="965" w:type="dxa"/>
            <w:tcBorders>
              <w:right w:val="single" w:color="auto" w:sz="4" w:space="0"/>
            </w:tcBorders>
            <w:noWrap w:val="0"/>
            <w:vAlign w:val="center"/>
          </w:tcPr>
          <w:p>
            <w:pPr>
              <w:widowControl/>
              <w:snapToGrid w:val="0"/>
              <w:spacing w:line="240" w:lineRule="auto"/>
              <w:ind w:firstLine="0" w:firstLineChars="0"/>
              <w:jc w:val="center"/>
              <w:rPr>
                <w:rFonts w:hint="eastAsia" w:ascii="Times New Roman" w:hAnsi="Times New Roman" w:eastAsia="宋体" w:cs="Times New Roman"/>
                <w:b w:val="0"/>
                <w:bCs w:val="0"/>
                <w:color w:val="auto"/>
                <w:kern w:val="0"/>
                <w:sz w:val="21"/>
                <w:highlight w:val="none"/>
                <w:u w:val="single"/>
              </w:rPr>
            </w:pPr>
            <w:r>
              <w:rPr>
                <w:rFonts w:hint="eastAsia" w:ascii="Times New Roman" w:hAnsi="Times New Roman" w:eastAsia="宋体" w:cs="Times New Roman"/>
                <w:b w:val="0"/>
                <w:bCs w:val="0"/>
                <w:color w:val="auto"/>
                <w:kern w:val="0"/>
                <w:sz w:val="21"/>
                <w:highlight w:val="none"/>
                <w:u w:val="single"/>
              </w:rPr>
              <w:t>套</w:t>
            </w:r>
          </w:p>
        </w:tc>
        <w:tc>
          <w:tcPr>
            <w:tcW w:w="1096" w:type="dxa"/>
            <w:tcBorders>
              <w:left w:val="single" w:color="auto" w:sz="4" w:space="0"/>
            </w:tcBorders>
            <w:noWrap w:val="0"/>
            <w:vAlign w:val="center"/>
          </w:tcPr>
          <w:p>
            <w:pPr>
              <w:widowControl/>
              <w:snapToGrid w:val="0"/>
              <w:spacing w:line="240" w:lineRule="auto"/>
              <w:ind w:firstLine="0" w:firstLineChars="0"/>
              <w:jc w:val="center"/>
              <w:rPr>
                <w:rFonts w:hint="eastAsia" w:ascii="Times New Roman" w:hAnsi="Times New Roman" w:eastAsia="宋体" w:cs="Times New Roman"/>
                <w:b w:val="0"/>
                <w:bCs w:val="0"/>
                <w:color w:val="auto"/>
                <w:kern w:val="0"/>
                <w:sz w:val="21"/>
                <w:highlight w:val="none"/>
                <w:u w:val="single"/>
              </w:rPr>
            </w:pPr>
            <w:r>
              <w:rPr>
                <w:rFonts w:hint="eastAsia" w:ascii="Times New Roman" w:hAnsi="Times New Roman" w:eastAsia="宋体" w:cs="Times New Roman"/>
                <w:b w:val="0"/>
                <w:bCs w:val="0"/>
                <w:color w:val="auto"/>
                <w:kern w:val="0"/>
                <w:sz w:val="21"/>
                <w:highlight w:val="none"/>
                <w:u w:val="single"/>
              </w:rPr>
              <w:t>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169" w:type="dxa"/>
            <w:gridSpan w:val="6"/>
            <w:noWrap w:val="0"/>
            <w:vAlign w:val="center"/>
          </w:tcPr>
          <w:p>
            <w:pPr>
              <w:widowControl/>
              <w:snapToGrid w:val="0"/>
              <w:spacing w:line="240" w:lineRule="auto"/>
              <w:ind w:firstLine="0" w:firstLineChars="0"/>
              <w:jc w:val="center"/>
              <w:rPr>
                <w:rFonts w:hint="eastAsia" w:ascii="Times New Roman" w:hAnsi="Times New Roman" w:eastAsia="宋体" w:cs="Times New Roman"/>
                <w:b w:val="0"/>
                <w:bCs w:val="0"/>
                <w:color w:val="auto"/>
                <w:kern w:val="0"/>
                <w:sz w:val="21"/>
                <w:highlight w:val="none"/>
                <w:u w:val="single"/>
              </w:rPr>
            </w:pPr>
            <w:r>
              <w:rPr>
                <w:rFonts w:hint="eastAsia" w:ascii="Times New Roman" w:hAnsi="Times New Roman" w:eastAsia="宋体" w:cs="Times New Roman"/>
                <w:b w:val="0"/>
                <w:bCs w:val="0"/>
                <w:color w:val="auto"/>
                <w:kern w:val="0"/>
                <w:sz w:val="21"/>
                <w:highlight w:val="none"/>
                <w:u w:val="single"/>
              </w:rPr>
              <w:t>原宏保兴采石场</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83" w:hRule="atLeast"/>
          <w:jc w:val="center"/>
        </w:trPr>
        <w:tc>
          <w:tcPr>
            <w:tcW w:w="1742" w:type="dxa"/>
            <w:noWrap w:val="0"/>
            <w:vAlign w:val="center"/>
          </w:tcPr>
          <w:p>
            <w:pPr>
              <w:pStyle w:val="69"/>
              <w:snapToGrid w:val="0"/>
              <w:spacing w:line="240" w:lineRule="auto"/>
              <w:ind w:firstLine="0" w:firstLineChars="0"/>
              <w:jc w:val="center"/>
              <w:rPr>
                <w:rFonts w:hint="eastAsia" w:ascii="Times New Roman" w:hAnsi="Times New Roman" w:eastAsia="宋体"/>
                <w:b w:val="0"/>
                <w:bCs w:val="0"/>
                <w:color w:val="auto"/>
                <w:kern w:val="0"/>
                <w:sz w:val="21"/>
                <w:szCs w:val="21"/>
                <w:highlight w:val="none"/>
                <w:u w:val="single"/>
                <w:lang w:val="en-US" w:eastAsia="zh-CN"/>
              </w:rPr>
            </w:pPr>
            <w:r>
              <w:rPr>
                <w:rFonts w:hint="eastAsia" w:ascii="Times New Roman" w:hAnsi="Times New Roman" w:eastAsia="宋体"/>
                <w:b w:val="0"/>
                <w:bCs w:val="0"/>
                <w:color w:val="auto"/>
                <w:kern w:val="0"/>
                <w:sz w:val="21"/>
                <w:szCs w:val="21"/>
                <w:highlight w:val="none"/>
                <w:u w:val="single"/>
                <w:lang w:val="en-US" w:eastAsia="zh-CN"/>
              </w:rPr>
              <w:t>序号</w:t>
            </w:r>
          </w:p>
        </w:tc>
        <w:tc>
          <w:tcPr>
            <w:tcW w:w="1742" w:type="dxa"/>
            <w:noWrap w:val="0"/>
            <w:vAlign w:val="center"/>
          </w:tcPr>
          <w:p>
            <w:pPr>
              <w:pStyle w:val="69"/>
              <w:snapToGrid w:val="0"/>
              <w:spacing w:line="240" w:lineRule="auto"/>
              <w:ind w:firstLine="0" w:firstLineChars="0"/>
              <w:jc w:val="center"/>
              <w:rPr>
                <w:rFonts w:hint="eastAsia" w:ascii="Times New Roman" w:hAnsi="Times New Roman" w:eastAsia="宋体"/>
                <w:b w:val="0"/>
                <w:bCs w:val="0"/>
                <w:color w:val="auto"/>
                <w:kern w:val="0"/>
                <w:sz w:val="21"/>
                <w:szCs w:val="21"/>
                <w:highlight w:val="none"/>
                <w:u w:val="single"/>
              </w:rPr>
            </w:pPr>
            <w:r>
              <w:rPr>
                <w:rFonts w:ascii="Times New Roman" w:hAnsi="Times New Roman" w:eastAsia="宋体"/>
                <w:b w:val="0"/>
                <w:bCs w:val="0"/>
                <w:color w:val="auto"/>
                <w:kern w:val="0"/>
                <w:sz w:val="21"/>
                <w:szCs w:val="21"/>
                <w:highlight w:val="none"/>
                <w:u w:val="single"/>
              </w:rPr>
              <w:t>设备名称</w:t>
            </w:r>
          </w:p>
        </w:tc>
        <w:tc>
          <w:tcPr>
            <w:tcW w:w="3623" w:type="dxa"/>
            <w:noWrap w:val="0"/>
            <w:vAlign w:val="center"/>
          </w:tcPr>
          <w:p>
            <w:pPr>
              <w:pStyle w:val="69"/>
              <w:snapToGrid w:val="0"/>
              <w:spacing w:line="240" w:lineRule="auto"/>
              <w:ind w:firstLine="0" w:firstLineChars="0"/>
              <w:jc w:val="center"/>
              <w:rPr>
                <w:rFonts w:hint="eastAsia" w:ascii="Times New Roman" w:hAnsi="Times New Roman" w:eastAsia="宋体"/>
                <w:b w:val="0"/>
                <w:bCs w:val="0"/>
                <w:color w:val="auto"/>
                <w:kern w:val="0"/>
                <w:sz w:val="21"/>
                <w:szCs w:val="21"/>
                <w:highlight w:val="none"/>
                <w:u w:val="single"/>
              </w:rPr>
            </w:pPr>
            <w:r>
              <w:rPr>
                <w:rFonts w:ascii="Times New Roman" w:hAnsi="Times New Roman" w:eastAsia="宋体"/>
                <w:b w:val="0"/>
                <w:bCs w:val="0"/>
                <w:color w:val="auto"/>
                <w:kern w:val="0"/>
                <w:sz w:val="21"/>
                <w:szCs w:val="21"/>
                <w:highlight w:val="none"/>
                <w:u w:val="single"/>
              </w:rPr>
              <w:t>规格型号</w:t>
            </w:r>
          </w:p>
        </w:tc>
        <w:tc>
          <w:tcPr>
            <w:tcW w:w="965" w:type="dxa"/>
            <w:tcBorders>
              <w:right w:val="single" w:color="auto" w:sz="4" w:space="0"/>
            </w:tcBorders>
            <w:noWrap w:val="0"/>
            <w:vAlign w:val="center"/>
          </w:tcPr>
          <w:p>
            <w:pPr>
              <w:pStyle w:val="69"/>
              <w:snapToGrid w:val="0"/>
              <w:spacing w:line="240" w:lineRule="auto"/>
              <w:ind w:firstLine="0" w:firstLineChars="0"/>
              <w:jc w:val="center"/>
              <w:rPr>
                <w:rFonts w:hint="eastAsia" w:ascii="Times New Roman" w:hAnsi="Times New Roman" w:eastAsia="宋体" w:cs="Times New Roman"/>
                <w:b w:val="0"/>
                <w:bCs w:val="0"/>
                <w:color w:val="auto"/>
                <w:kern w:val="0"/>
                <w:sz w:val="21"/>
                <w:highlight w:val="none"/>
                <w:u w:val="single"/>
              </w:rPr>
            </w:pPr>
            <w:r>
              <w:rPr>
                <w:rFonts w:ascii="Times New Roman" w:hAnsi="Times New Roman" w:eastAsia="宋体"/>
                <w:b w:val="0"/>
                <w:bCs w:val="0"/>
                <w:color w:val="auto"/>
                <w:kern w:val="0"/>
                <w:sz w:val="21"/>
                <w:szCs w:val="21"/>
                <w:highlight w:val="none"/>
                <w:u w:val="single"/>
              </w:rPr>
              <w:t>单位</w:t>
            </w:r>
          </w:p>
        </w:tc>
        <w:tc>
          <w:tcPr>
            <w:tcW w:w="1096" w:type="dxa"/>
            <w:tcBorders>
              <w:left w:val="single" w:color="auto" w:sz="4" w:space="0"/>
            </w:tcBorders>
            <w:noWrap w:val="0"/>
            <w:vAlign w:val="center"/>
          </w:tcPr>
          <w:p>
            <w:pPr>
              <w:pStyle w:val="69"/>
              <w:snapToGrid w:val="0"/>
              <w:spacing w:line="240" w:lineRule="auto"/>
              <w:ind w:firstLine="0" w:firstLineChars="0"/>
              <w:jc w:val="center"/>
              <w:rPr>
                <w:rFonts w:hint="eastAsia" w:ascii="Times New Roman" w:hAnsi="Times New Roman" w:eastAsia="宋体" w:cs="Times New Roman"/>
                <w:b w:val="0"/>
                <w:bCs w:val="0"/>
                <w:color w:val="auto"/>
                <w:kern w:val="0"/>
                <w:sz w:val="21"/>
                <w:highlight w:val="none"/>
                <w:u w:val="single"/>
              </w:rPr>
            </w:pPr>
            <w:r>
              <w:rPr>
                <w:rFonts w:ascii="Times New Roman" w:hAnsi="Times New Roman" w:eastAsia="宋体"/>
                <w:b w:val="0"/>
                <w:bCs w:val="0"/>
                <w:color w:val="auto"/>
                <w:kern w:val="0"/>
                <w:sz w:val="21"/>
                <w:szCs w:val="21"/>
                <w:highlight w:val="none"/>
                <w:u w:val="single"/>
              </w:rPr>
              <w:t>数量</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27" w:hRule="atLeast"/>
          <w:jc w:val="center"/>
        </w:trPr>
        <w:tc>
          <w:tcPr>
            <w:tcW w:w="174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 w:val="0"/>
                <w:bCs w:val="0"/>
                <w:color w:val="auto"/>
                <w:kern w:val="0"/>
                <w:sz w:val="21"/>
                <w:szCs w:val="21"/>
                <w:highlight w:val="none"/>
                <w:u w:val="single"/>
                <w:lang w:val="en-US" w:eastAsia="zh-CN"/>
              </w:rPr>
            </w:pPr>
            <w:r>
              <w:rPr>
                <w:rFonts w:hint="eastAsia" w:eastAsia="宋体"/>
                <w:b w:val="0"/>
                <w:bCs w:val="0"/>
                <w:color w:val="auto"/>
                <w:kern w:val="0"/>
                <w:sz w:val="21"/>
                <w:szCs w:val="21"/>
                <w:highlight w:val="none"/>
                <w:u w:val="single"/>
                <w:lang w:val="en-US" w:eastAsia="zh-CN"/>
              </w:rPr>
              <w:t>1</w:t>
            </w:r>
          </w:p>
        </w:tc>
        <w:tc>
          <w:tcPr>
            <w:tcW w:w="1742" w:type="dxa"/>
            <w:noWrap w:val="0"/>
            <w:vAlign w:val="center"/>
          </w:tcPr>
          <w:p>
            <w:pPr>
              <w:pStyle w:val="69"/>
              <w:adjustRightInd w:val="0"/>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hint="eastAsia" w:ascii="Times New Roman" w:hAnsi="Times New Roman" w:eastAsia="宋体"/>
                <w:b w:val="0"/>
                <w:bCs w:val="0"/>
                <w:color w:val="auto"/>
                <w:kern w:val="0"/>
                <w:sz w:val="21"/>
                <w:szCs w:val="21"/>
                <w:highlight w:val="none"/>
                <w:u w:val="single"/>
              </w:rPr>
              <w:t>潜孔钻</w:t>
            </w:r>
            <w:r>
              <w:rPr>
                <w:rFonts w:ascii="Times New Roman" w:hAnsi="Times New Roman" w:eastAsia="宋体"/>
                <w:b w:val="0"/>
                <w:bCs w:val="0"/>
                <w:color w:val="auto"/>
                <w:kern w:val="0"/>
                <w:sz w:val="21"/>
                <w:szCs w:val="21"/>
                <w:highlight w:val="none"/>
                <w:u w:val="single"/>
              </w:rPr>
              <w:t>机</w:t>
            </w:r>
          </w:p>
        </w:tc>
        <w:tc>
          <w:tcPr>
            <w:tcW w:w="3623" w:type="dxa"/>
            <w:noWrap w:val="0"/>
            <w:vAlign w:val="center"/>
          </w:tcPr>
          <w:p>
            <w:pPr>
              <w:pStyle w:val="69"/>
              <w:adjustRightInd w:val="0"/>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hint="eastAsia" w:ascii="Times New Roman" w:hAnsi="Times New Roman" w:eastAsia="宋体"/>
                <w:b w:val="0"/>
                <w:bCs w:val="0"/>
                <w:color w:val="auto"/>
                <w:kern w:val="0"/>
                <w:sz w:val="21"/>
                <w:szCs w:val="21"/>
                <w:highlight w:val="none"/>
                <w:u w:val="single"/>
              </w:rPr>
              <w:t>/</w:t>
            </w:r>
          </w:p>
        </w:tc>
        <w:tc>
          <w:tcPr>
            <w:tcW w:w="965" w:type="dxa"/>
            <w:tcBorders>
              <w:right w:val="single" w:color="auto" w:sz="4" w:space="0"/>
            </w:tcBorders>
            <w:noWrap w:val="0"/>
            <w:vAlign w:val="center"/>
          </w:tcPr>
          <w:p>
            <w:pPr>
              <w:pStyle w:val="69"/>
              <w:adjustRightInd w:val="0"/>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ascii="Times New Roman" w:hAnsi="Times New Roman" w:eastAsia="宋体"/>
                <w:b w:val="0"/>
                <w:bCs w:val="0"/>
                <w:color w:val="auto"/>
                <w:kern w:val="0"/>
                <w:sz w:val="21"/>
                <w:szCs w:val="21"/>
                <w:highlight w:val="none"/>
                <w:u w:val="single"/>
              </w:rPr>
              <w:t>台</w:t>
            </w:r>
          </w:p>
        </w:tc>
        <w:tc>
          <w:tcPr>
            <w:tcW w:w="1096" w:type="dxa"/>
            <w:tcBorders>
              <w:left w:val="single" w:color="auto" w:sz="4" w:space="0"/>
            </w:tcBorders>
            <w:noWrap w:val="0"/>
            <w:vAlign w:val="center"/>
          </w:tcPr>
          <w:p>
            <w:pPr>
              <w:pStyle w:val="69"/>
              <w:adjustRightInd w:val="0"/>
              <w:snapToGrid w:val="0"/>
              <w:spacing w:line="240" w:lineRule="auto"/>
              <w:ind w:firstLine="0" w:firstLineChars="0"/>
              <w:jc w:val="center"/>
              <w:rPr>
                <w:rFonts w:ascii="Times New Roman" w:hAnsi="Times New Roman" w:eastAsia="宋体"/>
                <w:b w:val="0"/>
                <w:bCs w:val="0"/>
                <w:color w:val="auto"/>
                <w:kern w:val="0"/>
                <w:sz w:val="21"/>
                <w:szCs w:val="21"/>
                <w:highlight w:val="none"/>
                <w:u w:val="single"/>
              </w:rPr>
            </w:pPr>
            <w:r>
              <w:rPr>
                <w:rFonts w:hint="eastAsia" w:ascii="Times New Roman" w:hAnsi="Times New Roman" w:eastAsia="宋体"/>
                <w:b w:val="0"/>
                <w:bCs w:val="0"/>
                <w:color w:val="auto"/>
                <w:sz w:val="21"/>
                <w:szCs w:val="21"/>
                <w:highlight w:val="none"/>
                <w:u w:val="single"/>
              </w:rPr>
              <w:t>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27" w:hRule="atLeast"/>
          <w:jc w:val="center"/>
        </w:trPr>
        <w:tc>
          <w:tcPr>
            <w:tcW w:w="1742" w:type="dxa"/>
            <w:noWrap w:val="0"/>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lang w:val="en-US" w:eastAsia="zh-CN"/>
              </w:rPr>
            </w:pPr>
            <w:r>
              <w:rPr>
                <w:rFonts w:hint="eastAsia" w:eastAsia="宋体"/>
                <w:bCs/>
                <w:color w:val="auto"/>
                <w:kern w:val="0"/>
                <w:sz w:val="21"/>
                <w:szCs w:val="21"/>
                <w:highlight w:val="none"/>
                <w:u w:val="single"/>
                <w:lang w:val="en-US" w:eastAsia="zh-CN"/>
              </w:rPr>
              <w:t>2</w:t>
            </w:r>
          </w:p>
        </w:tc>
        <w:tc>
          <w:tcPr>
            <w:tcW w:w="1742" w:type="dxa"/>
            <w:noWrap w:val="0"/>
            <w:vAlign w:val="center"/>
          </w:tcPr>
          <w:p>
            <w:pPr>
              <w:pStyle w:val="69"/>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挖掘机</w:t>
            </w:r>
          </w:p>
        </w:tc>
        <w:tc>
          <w:tcPr>
            <w:tcW w:w="3623" w:type="dxa"/>
            <w:noWrap w:val="0"/>
            <w:vAlign w:val="center"/>
          </w:tcPr>
          <w:p>
            <w:pPr>
              <w:pStyle w:val="69"/>
              <w:snapToGrid w:val="0"/>
              <w:spacing w:line="240" w:lineRule="auto"/>
              <w:ind w:firstLine="0" w:firstLineChars="0"/>
              <w:jc w:val="center"/>
              <w:rPr>
                <w:rFonts w:ascii="Times New Roman" w:hAnsi="Times New Roman" w:eastAsia="宋体"/>
                <w:color w:val="auto"/>
                <w:kern w:val="0"/>
                <w:sz w:val="21"/>
                <w:highlight w:val="none"/>
                <w:u w:val="single"/>
                <w:lang w:bidi="ar"/>
              </w:rPr>
            </w:pPr>
            <w:r>
              <w:rPr>
                <w:rFonts w:hint="eastAsia" w:ascii="Times New Roman" w:hAnsi="Times New Roman" w:eastAsia="宋体"/>
                <w:color w:val="auto"/>
                <w:kern w:val="0"/>
                <w:sz w:val="21"/>
                <w:highlight w:val="none"/>
                <w:u w:val="single"/>
                <w:lang w:bidi="ar"/>
              </w:rPr>
              <w:t>沃尔沃EC260</w:t>
            </w:r>
          </w:p>
        </w:tc>
        <w:tc>
          <w:tcPr>
            <w:tcW w:w="965" w:type="dxa"/>
            <w:tcBorders>
              <w:right w:val="single" w:color="auto" w:sz="4" w:space="0"/>
            </w:tcBorders>
            <w:noWrap w:val="0"/>
            <w:vAlign w:val="center"/>
          </w:tcPr>
          <w:p>
            <w:pPr>
              <w:pStyle w:val="69"/>
              <w:snapToGrid w:val="0"/>
              <w:spacing w:line="240" w:lineRule="auto"/>
              <w:ind w:firstLine="0" w:firstLineChars="0"/>
              <w:jc w:val="center"/>
              <w:rPr>
                <w:rFonts w:ascii="Times New Roman" w:hAnsi="Times New Roman" w:eastAsia="宋体"/>
                <w:bCs/>
                <w:color w:val="auto"/>
                <w:kern w:val="0"/>
                <w:sz w:val="21"/>
                <w:highlight w:val="none"/>
                <w:u w:val="single"/>
              </w:rPr>
            </w:pPr>
            <w:r>
              <w:rPr>
                <w:rFonts w:ascii="Times New Roman" w:hAnsi="Times New Roman" w:eastAsia="宋体"/>
                <w:bCs/>
                <w:color w:val="auto"/>
                <w:kern w:val="0"/>
                <w:sz w:val="21"/>
                <w:szCs w:val="21"/>
                <w:highlight w:val="none"/>
                <w:u w:val="single"/>
              </w:rPr>
              <w:t>台</w:t>
            </w:r>
          </w:p>
        </w:tc>
        <w:tc>
          <w:tcPr>
            <w:tcW w:w="1096" w:type="dxa"/>
            <w:tcBorders>
              <w:left w:val="single" w:color="auto" w:sz="4" w:space="0"/>
            </w:tcBorders>
            <w:noWrap w:val="0"/>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highlight w:val="none"/>
                <w:u w:val="single"/>
              </w:rPr>
            </w:pPr>
            <w:r>
              <w:rPr>
                <w:rFonts w:hint="eastAsia" w:ascii="Times New Roman" w:hAnsi="Times New Roman" w:eastAsia="宋体"/>
                <w:bCs/>
                <w:color w:val="auto"/>
                <w:kern w:val="0"/>
                <w:sz w:val="21"/>
                <w:szCs w:val="21"/>
                <w:highlight w:val="none"/>
                <w:u w:val="single"/>
              </w:rPr>
              <w:t>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27" w:hRule="atLeast"/>
          <w:jc w:val="center"/>
        </w:trPr>
        <w:tc>
          <w:tcPr>
            <w:tcW w:w="174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lang w:val="en-US" w:eastAsia="zh-CN"/>
              </w:rPr>
            </w:pPr>
            <w:r>
              <w:rPr>
                <w:rFonts w:hint="eastAsia" w:eastAsia="宋体"/>
                <w:bCs/>
                <w:color w:val="auto"/>
                <w:kern w:val="0"/>
                <w:sz w:val="21"/>
                <w:szCs w:val="21"/>
                <w:highlight w:val="none"/>
                <w:u w:val="single"/>
                <w:lang w:val="en-US" w:eastAsia="zh-CN"/>
              </w:rPr>
              <w:t>3</w:t>
            </w:r>
          </w:p>
        </w:tc>
        <w:tc>
          <w:tcPr>
            <w:tcW w:w="1742" w:type="dxa"/>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空压机</w:t>
            </w:r>
          </w:p>
        </w:tc>
        <w:tc>
          <w:tcPr>
            <w:tcW w:w="3623"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color w:val="auto"/>
                <w:kern w:val="0"/>
                <w:sz w:val="21"/>
                <w:szCs w:val="21"/>
                <w:highlight w:val="none"/>
                <w:u w:val="single"/>
                <w:lang w:bidi="ar"/>
              </w:rPr>
            </w:pPr>
            <w:r>
              <w:rPr>
                <w:rFonts w:hint="eastAsia" w:ascii="Times New Roman" w:hAnsi="Times New Roman" w:eastAsia="宋体"/>
                <w:bCs/>
                <w:color w:val="auto"/>
                <w:kern w:val="0"/>
                <w:sz w:val="21"/>
                <w:szCs w:val="21"/>
                <w:highlight w:val="none"/>
                <w:u w:val="single"/>
              </w:rPr>
              <w:t>/</w:t>
            </w:r>
          </w:p>
        </w:tc>
        <w:tc>
          <w:tcPr>
            <w:tcW w:w="965" w:type="dxa"/>
            <w:tcBorders>
              <w:right w:val="single" w:color="auto" w:sz="4" w:space="0"/>
            </w:tcBorders>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bCs/>
                <w:color w:val="auto"/>
                <w:kern w:val="0"/>
                <w:sz w:val="21"/>
                <w:highlight w:val="none"/>
                <w:u w:val="single"/>
              </w:rPr>
            </w:pPr>
            <w:r>
              <w:rPr>
                <w:rFonts w:ascii="Times New Roman" w:hAnsi="Times New Roman" w:eastAsia="宋体" w:cs="Times New Roman"/>
                <w:bCs/>
                <w:color w:val="auto"/>
                <w:kern w:val="0"/>
                <w:sz w:val="21"/>
                <w:highlight w:val="none"/>
                <w:u w:val="single"/>
              </w:rPr>
              <w:t>台</w:t>
            </w:r>
          </w:p>
        </w:tc>
        <w:tc>
          <w:tcPr>
            <w:tcW w:w="1096" w:type="dxa"/>
            <w:tcBorders>
              <w:left w:val="single" w:color="auto" w:sz="4" w:space="0"/>
            </w:tcBorders>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bCs/>
                <w:color w:val="auto"/>
                <w:kern w:val="0"/>
                <w:sz w:val="21"/>
                <w:highlight w:val="none"/>
                <w:u w:val="single"/>
              </w:rPr>
            </w:pPr>
            <w:r>
              <w:rPr>
                <w:rFonts w:hint="eastAsia" w:ascii="Times New Roman" w:hAnsi="Times New Roman" w:eastAsia="宋体" w:cs="Times New Roman"/>
                <w:bCs/>
                <w:color w:val="auto"/>
                <w:kern w:val="0"/>
                <w:sz w:val="21"/>
                <w:highlight w:val="none"/>
                <w:u w:val="single"/>
              </w:rPr>
              <w:t>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27" w:hRule="atLeast"/>
          <w:jc w:val="center"/>
        </w:trPr>
        <w:tc>
          <w:tcPr>
            <w:tcW w:w="174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lang w:val="en-US" w:eastAsia="zh-CN"/>
              </w:rPr>
            </w:pPr>
            <w:r>
              <w:rPr>
                <w:rFonts w:hint="eastAsia" w:eastAsia="宋体"/>
                <w:bCs/>
                <w:color w:val="auto"/>
                <w:kern w:val="0"/>
                <w:sz w:val="21"/>
                <w:szCs w:val="21"/>
                <w:highlight w:val="none"/>
                <w:u w:val="single"/>
                <w:lang w:val="en-US" w:eastAsia="zh-CN"/>
              </w:rPr>
              <w:t>4</w:t>
            </w:r>
          </w:p>
        </w:tc>
        <w:tc>
          <w:tcPr>
            <w:tcW w:w="1742" w:type="dxa"/>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自卸汽车</w:t>
            </w:r>
          </w:p>
        </w:tc>
        <w:tc>
          <w:tcPr>
            <w:tcW w:w="3623" w:type="dxa"/>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载重量10t</w:t>
            </w:r>
          </w:p>
        </w:tc>
        <w:tc>
          <w:tcPr>
            <w:tcW w:w="965" w:type="dxa"/>
            <w:tcBorders>
              <w:right w:val="single" w:color="auto" w:sz="4" w:space="0"/>
            </w:tcBorders>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bCs/>
                <w:color w:val="auto"/>
                <w:kern w:val="0"/>
                <w:sz w:val="21"/>
                <w:highlight w:val="none"/>
                <w:u w:val="single"/>
              </w:rPr>
            </w:pPr>
            <w:r>
              <w:rPr>
                <w:rFonts w:hint="eastAsia" w:ascii="Times New Roman" w:hAnsi="Times New Roman" w:eastAsia="宋体" w:cs="Times New Roman"/>
                <w:bCs/>
                <w:color w:val="auto"/>
                <w:kern w:val="0"/>
                <w:sz w:val="21"/>
                <w:highlight w:val="none"/>
                <w:u w:val="single"/>
              </w:rPr>
              <w:t>台</w:t>
            </w:r>
          </w:p>
        </w:tc>
        <w:tc>
          <w:tcPr>
            <w:tcW w:w="1096" w:type="dxa"/>
            <w:tcBorders>
              <w:left w:val="single" w:color="auto" w:sz="4" w:space="0"/>
            </w:tcBorders>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bCs/>
                <w:color w:val="auto"/>
                <w:kern w:val="0"/>
                <w:sz w:val="21"/>
                <w:highlight w:val="none"/>
                <w:u w:val="single"/>
              </w:rPr>
            </w:pPr>
            <w:r>
              <w:rPr>
                <w:rFonts w:hint="eastAsia" w:ascii="Times New Roman" w:hAnsi="Times New Roman" w:eastAsia="宋体" w:cs="Times New Roman"/>
                <w:color w:val="auto"/>
                <w:sz w:val="21"/>
                <w:highlight w:val="none"/>
                <w:u w:val="single"/>
              </w:rPr>
              <w:t>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27" w:hRule="atLeast"/>
          <w:jc w:val="center"/>
        </w:trPr>
        <w:tc>
          <w:tcPr>
            <w:tcW w:w="174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lang w:val="en-US" w:eastAsia="zh-CN"/>
              </w:rPr>
            </w:pPr>
            <w:r>
              <w:rPr>
                <w:rFonts w:hint="eastAsia" w:eastAsia="宋体"/>
                <w:bCs/>
                <w:color w:val="auto"/>
                <w:kern w:val="0"/>
                <w:sz w:val="21"/>
                <w:szCs w:val="21"/>
                <w:highlight w:val="none"/>
                <w:u w:val="single"/>
                <w:lang w:val="en-US" w:eastAsia="zh-CN"/>
              </w:rPr>
              <w:t>5</w:t>
            </w:r>
          </w:p>
        </w:tc>
        <w:tc>
          <w:tcPr>
            <w:tcW w:w="1742" w:type="dxa"/>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装载车</w:t>
            </w:r>
          </w:p>
        </w:tc>
        <w:tc>
          <w:tcPr>
            <w:tcW w:w="3623" w:type="dxa"/>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柳工856</w:t>
            </w:r>
          </w:p>
        </w:tc>
        <w:tc>
          <w:tcPr>
            <w:tcW w:w="965" w:type="dxa"/>
            <w:tcBorders>
              <w:right w:val="single" w:color="auto" w:sz="4" w:space="0"/>
            </w:tcBorders>
            <w:noWrap w:val="0"/>
            <w:vAlign w:val="center"/>
          </w:tcPr>
          <w:p>
            <w:pPr>
              <w:widowControl/>
              <w:adjustRightInd w:val="0"/>
              <w:snapToGrid w:val="0"/>
              <w:spacing w:line="240" w:lineRule="auto"/>
              <w:ind w:firstLine="0" w:firstLineChars="0"/>
              <w:jc w:val="center"/>
              <w:textAlignment w:val="center"/>
              <w:rPr>
                <w:rFonts w:hint="eastAsia" w:ascii="Times New Roman" w:hAnsi="Times New Roman" w:eastAsia="宋体" w:cs="Times New Roman"/>
                <w:bCs/>
                <w:color w:val="auto"/>
                <w:kern w:val="0"/>
                <w:sz w:val="21"/>
                <w:highlight w:val="none"/>
                <w:u w:val="single"/>
              </w:rPr>
            </w:pPr>
            <w:r>
              <w:rPr>
                <w:rFonts w:hint="eastAsia" w:ascii="Times New Roman" w:hAnsi="Times New Roman" w:eastAsia="宋体" w:cs="Times New Roman"/>
                <w:bCs/>
                <w:color w:val="auto"/>
                <w:kern w:val="0"/>
                <w:sz w:val="21"/>
                <w:highlight w:val="none"/>
                <w:u w:val="single"/>
              </w:rPr>
              <w:t>台</w:t>
            </w:r>
          </w:p>
        </w:tc>
        <w:tc>
          <w:tcPr>
            <w:tcW w:w="1096" w:type="dxa"/>
            <w:tcBorders>
              <w:left w:val="single" w:color="auto" w:sz="4" w:space="0"/>
            </w:tcBorders>
            <w:noWrap w:val="0"/>
            <w:vAlign w:val="center"/>
          </w:tcPr>
          <w:p>
            <w:pPr>
              <w:widowControl/>
              <w:adjustRightInd w:val="0"/>
              <w:snapToGrid w:val="0"/>
              <w:spacing w:line="240" w:lineRule="auto"/>
              <w:ind w:firstLine="0" w:firstLineChars="0"/>
              <w:jc w:val="center"/>
              <w:textAlignment w:val="center"/>
              <w:rPr>
                <w:rFonts w:hint="eastAsia"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27" w:hRule="atLeast"/>
          <w:jc w:val="center"/>
        </w:trPr>
        <w:tc>
          <w:tcPr>
            <w:tcW w:w="1742" w:type="dxa"/>
            <w:noWrap w:val="0"/>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lang w:val="en-US" w:eastAsia="zh-CN"/>
              </w:rPr>
            </w:pPr>
            <w:r>
              <w:rPr>
                <w:rFonts w:hint="eastAsia" w:eastAsia="宋体"/>
                <w:bCs/>
                <w:color w:val="auto"/>
                <w:kern w:val="0"/>
                <w:sz w:val="21"/>
                <w:szCs w:val="21"/>
                <w:highlight w:val="none"/>
                <w:u w:val="single"/>
                <w:lang w:val="en-US" w:eastAsia="zh-CN"/>
              </w:rPr>
              <w:t>6</w:t>
            </w:r>
          </w:p>
        </w:tc>
        <w:tc>
          <w:tcPr>
            <w:tcW w:w="1742" w:type="dxa"/>
            <w:noWrap w:val="0"/>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水泵</w:t>
            </w:r>
          </w:p>
        </w:tc>
        <w:tc>
          <w:tcPr>
            <w:tcW w:w="3623" w:type="dxa"/>
            <w:noWrap w:val="0"/>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w:t>
            </w:r>
          </w:p>
        </w:tc>
        <w:tc>
          <w:tcPr>
            <w:tcW w:w="965" w:type="dxa"/>
            <w:tcBorders>
              <w:right w:val="single" w:color="auto" w:sz="4" w:space="0"/>
            </w:tcBorders>
            <w:noWrap w:val="0"/>
            <w:vAlign w:val="center"/>
          </w:tcPr>
          <w:p>
            <w:pPr>
              <w:widowControl/>
              <w:snapToGrid w:val="0"/>
              <w:spacing w:line="240" w:lineRule="auto"/>
              <w:ind w:firstLine="0" w:firstLineChars="0"/>
              <w:jc w:val="center"/>
              <w:rPr>
                <w:rFonts w:ascii="Times New Roman" w:hAnsi="Times New Roman" w:eastAsia="宋体" w:cs="Times New Roman"/>
                <w:bCs/>
                <w:color w:val="auto"/>
                <w:kern w:val="0"/>
                <w:sz w:val="21"/>
                <w:highlight w:val="none"/>
                <w:u w:val="single"/>
              </w:rPr>
            </w:pPr>
            <w:r>
              <w:rPr>
                <w:rFonts w:ascii="Times New Roman" w:hAnsi="Times New Roman" w:eastAsia="宋体" w:cs="Times New Roman"/>
                <w:bCs/>
                <w:color w:val="auto"/>
                <w:kern w:val="0"/>
                <w:sz w:val="21"/>
                <w:highlight w:val="none"/>
                <w:u w:val="single"/>
              </w:rPr>
              <w:t>台</w:t>
            </w:r>
          </w:p>
        </w:tc>
        <w:tc>
          <w:tcPr>
            <w:tcW w:w="1096" w:type="dxa"/>
            <w:tcBorders>
              <w:left w:val="single" w:color="auto" w:sz="4" w:space="0"/>
            </w:tcBorders>
            <w:noWrap w:val="0"/>
            <w:vAlign w:val="center"/>
          </w:tcPr>
          <w:p>
            <w:pPr>
              <w:widowControl/>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rPr>
            </w:pPr>
            <w:r>
              <w:rPr>
                <w:rFonts w:hint="eastAsia" w:ascii="Times New Roman" w:hAnsi="Times New Roman" w:eastAsia="宋体" w:cs="Times New Roman"/>
                <w:bCs/>
                <w:color w:val="auto"/>
                <w:kern w:val="0"/>
                <w:sz w:val="21"/>
                <w:highlight w:val="none"/>
                <w:u w:val="single"/>
              </w:rPr>
              <w:t>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27" w:hRule="atLeast"/>
          <w:jc w:val="center"/>
        </w:trPr>
        <w:tc>
          <w:tcPr>
            <w:tcW w:w="1742" w:type="dxa"/>
            <w:noWrap w:val="0"/>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lang w:val="en-US" w:eastAsia="zh-CN"/>
              </w:rPr>
            </w:pPr>
            <w:r>
              <w:rPr>
                <w:rFonts w:hint="eastAsia" w:eastAsia="宋体"/>
                <w:bCs/>
                <w:color w:val="auto"/>
                <w:kern w:val="0"/>
                <w:sz w:val="21"/>
                <w:szCs w:val="21"/>
                <w:highlight w:val="none"/>
                <w:u w:val="single"/>
                <w:lang w:val="en-US" w:eastAsia="zh-CN"/>
              </w:rPr>
              <w:t>7</w:t>
            </w:r>
          </w:p>
        </w:tc>
        <w:tc>
          <w:tcPr>
            <w:tcW w:w="1742" w:type="dxa"/>
            <w:noWrap w:val="0"/>
            <w:vAlign w:val="center"/>
          </w:tcPr>
          <w:p>
            <w:pPr>
              <w:pStyle w:val="69"/>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泥筛</w:t>
            </w:r>
          </w:p>
        </w:tc>
        <w:tc>
          <w:tcPr>
            <w:tcW w:w="3623" w:type="dxa"/>
            <w:noWrap w:val="0"/>
            <w:vAlign w:val="center"/>
          </w:tcPr>
          <w:p>
            <w:pPr>
              <w:pStyle w:val="69"/>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w:t>
            </w:r>
          </w:p>
        </w:tc>
        <w:tc>
          <w:tcPr>
            <w:tcW w:w="965" w:type="dxa"/>
            <w:tcBorders>
              <w:right w:val="single" w:color="auto" w:sz="4" w:space="0"/>
            </w:tcBorders>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highlight w:val="none"/>
                <w:u w:val="single"/>
              </w:rPr>
            </w:pPr>
            <w:r>
              <w:rPr>
                <w:rFonts w:ascii="Times New Roman" w:hAnsi="Times New Roman" w:eastAsia="宋体"/>
                <w:bCs/>
                <w:color w:val="auto"/>
                <w:kern w:val="0"/>
                <w:sz w:val="21"/>
                <w:szCs w:val="21"/>
                <w:highlight w:val="none"/>
                <w:u w:val="single"/>
              </w:rPr>
              <w:t>台</w:t>
            </w:r>
          </w:p>
        </w:tc>
        <w:tc>
          <w:tcPr>
            <w:tcW w:w="1096" w:type="dxa"/>
            <w:tcBorders>
              <w:left w:val="single" w:color="auto" w:sz="4" w:space="0"/>
            </w:tcBorders>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highlight w:val="none"/>
                <w:u w:val="single"/>
              </w:rPr>
            </w:pPr>
            <w:r>
              <w:rPr>
                <w:rFonts w:ascii="Times New Roman" w:hAnsi="Times New Roman" w:eastAsia="宋体"/>
                <w:color w:val="auto"/>
                <w:sz w:val="21"/>
                <w:szCs w:val="21"/>
                <w:highlight w:val="none"/>
                <w:u w:val="single"/>
              </w:rPr>
              <w:t>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27" w:hRule="atLeast"/>
          <w:jc w:val="center"/>
        </w:trPr>
        <w:tc>
          <w:tcPr>
            <w:tcW w:w="174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color w:val="auto"/>
                <w:sz w:val="21"/>
                <w:szCs w:val="21"/>
                <w:highlight w:val="none"/>
                <w:u w:val="single"/>
                <w:lang w:val="en-US" w:eastAsia="zh-CN"/>
              </w:rPr>
            </w:pPr>
            <w:r>
              <w:rPr>
                <w:rFonts w:hint="eastAsia" w:eastAsia="宋体"/>
                <w:color w:val="auto"/>
                <w:sz w:val="21"/>
                <w:szCs w:val="21"/>
                <w:highlight w:val="none"/>
                <w:u w:val="single"/>
                <w:lang w:val="en-US" w:eastAsia="zh-CN"/>
              </w:rPr>
              <w:t>8</w:t>
            </w:r>
          </w:p>
        </w:tc>
        <w:tc>
          <w:tcPr>
            <w:tcW w:w="1742" w:type="dxa"/>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ascii="Times New Roman" w:hAnsi="Times New Roman" w:eastAsia="宋体"/>
                <w:color w:val="auto"/>
                <w:sz w:val="21"/>
                <w:szCs w:val="21"/>
                <w:highlight w:val="none"/>
                <w:u w:val="single"/>
              </w:rPr>
              <w:t>振动给料机</w:t>
            </w:r>
          </w:p>
        </w:tc>
        <w:tc>
          <w:tcPr>
            <w:tcW w:w="3623"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color w:val="auto"/>
                <w:sz w:val="21"/>
                <w:szCs w:val="21"/>
                <w:highlight w:val="none"/>
                <w:u w:val="single"/>
              </w:rPr>
              <w:t>/</w:t>
            </w:r>
          </w:p>
        </w:tc>
        <w:tc>
          <w:tcPr>
            <w:tcW w:w="965" w:type="dxa"/>
            <w:tcBorders>
              <w:right w:val="single" w:color="auto" w:sz="4" w:space="0"/>
            </w:tcBorders>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台</w:t>
            </w:r>
          </w:p>
        </w:tc>
        <w:tc>
          <w:tcPr>
            <w:tcW w:w="1096" w:type="dxa"/>
            <w:tcBorders>
              <w:left w:val="single" w:color="auto" w:sz="4" w:space="0"/>
            </w:tcBorders>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ascii="Times New Roman" w:hAnsi="Times New Roman" w:eastAsia="宋体"/>
                <w:color w:val="auto"/>
                <w:sz w:val="21"/>
                <w:szCs w:val="21"/>
                <w:highlight w:val="none"/>
                <w:u w:val="single"/>
              </w:rPr>
              <w:t>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27" w:hRule="atLeast"/>
          <w:jc w:val="center"/>
        </w:trPr>
        <w:tc>
          <w:tcPr>
            <w:tcW w:w="1742" w:type="dxa"/>
            <w:noWrap w:val="0"/>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lang w:val="en-US" w:eastAsia="zh-CN"/>
              </w:rPr>
            </w:pPr>
            <w:r>
              <w:rPr>
                <w:rFonts w:hint="eastAsia" w:eastAsia="宋体"/>
                <w:bCs/>
                <w:color w:val="auto"/>
                <w:kern w:val="0"/>
                <w:sz w:val="21"/>
                <w:szCs w:val="21"/>
                <w:highlight w:val="none"/>
                <w:u w:val="single"/>
                <w:lang w:val="en-US" w:eastAsia="zh-CN"/>
              </w:rPr>
              <w:t>9</w:t>
            </w:r>
          </w:p>
        </w:tc>
        <w:tc>
          <w:tcPr>
            <w:tcW w:w="1742" w:type="dxa"/>
            <w:noWrap w:val="0"/>
            <w:vAlign w:val="center"/>
          </w:tcPr>
          <w:p>
            <w:pPr>
              <w:pStyle w:val="69"/>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破碎机</w:t>
            </w:r>
          </w:p>
        </w:tc>
        <w:tc>
          <w:tcPr>
            <w:tcW w:w="3623"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w:t>
            </w:r>
          </w:p>
        </w:tc>
        <w:tc>
          <w:tcPr>
            <w:tcW w:w="965" w:type="dxa"/>
            <w:tcBorders>
              <w:right w:val="single" w:color="auto" w:sz="4" w:space="0"/>
            </w:tcBorders>
            <w:noWrap w:val="0"/>
            <w:vAlign w:val="center"/>
          </w:tcPr>
          <w:p>
            <w:pPr>
              <w:widowControl/>
              <w:snapToGrid w:val="0"/>
              <w:spacing w:line="240" w:lineRule="auto"/>
              <w:ind w:firstLine="0" w:firstLineChars="0"/>
              <w:jc w:val="center"/>
              <w:rPr>
                <w:rFonts w:ascii="Times New Roman" w:hAnsi="Times New Roman" w:eastAsia="宋体" w:cs="Times New Roman"/>
                <w:bCs/>
                <w:color w:val="auto"/>
                <w:kern w:val="0"/>
                <w:sz w:val="21"/>
                <w:highlight w:val="none"/>
                <w:u w:val="single"/>
              </w:rPr>
            </w:pPr>
            <w:r>
              <w:rPr>
                <w:rFonts w:ascii="Times New Roman" w:hAnsi="Times New Roman" w:eastAsia="宋体" w:cs="Times New Roman"/>
                <w:bCs/>
                <w:color w:val="auto"/>
                <w:kern w:val="0"/>
                <w:sz w:val="21"/>
                <w:highlight w:val="none"/>
                <w:u w:val="single"/>
              </w:rPr>
              <w:t>台</w:t>
            </w:r>
          </w:p>
        </w:tc>
        <w:tc>
          <w:tcPr>
            <w:tcW w:w="1096" w:type="dxa"/>
            <w:tcBorders>
              <w:left w:val="single" w:color="auto" w:sz="4" w:space="0"/>
            </w:tcBorders>
            <w:noWrap w:val="0"/>
            <w:vAlign w:val="center"/>
          </w:tcPr>
          <w:p>
            <w:pPr>
              <w:widowControl/>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rPr>
            </w:pPr>
            <w:r>
              <w:rPr>
                <w:rFonts w:hint="eastAsia" w:ascii="Times New Roman" w:hAnsi="Times New Roman" w:eastAsia="宋体" w:cs="Times New Roman"/>
                <w:bCs/>
                <w:color w:val="auto"/>
                <w:kern w:val="0"/>
                <w:sz w:val="21"/>
                <w:highlight w:val="none"/>
                <w:u w:val="single"/>
              </w:rPr>
              <w:t>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27" w:hRule="atLeast"/>
          <w:jc w:val="center"/>
        </w:trPr>
        <w:tc>
          <w:tcPr>
            <w:tcW w:w="1742" w:type="dxa"/>
            <w:noWrap w:val="0"/>
            <w:vAlign w:val="center"/>
          </w:tcPr>
          <w:p>
            <w:pPr>
              <w:pStyle w:val="69"/>
              <w:adjustRightInd w:val="0"/>
              <w:snapToGrid w:val="0"/>
              <w:spacing w:line="240" w:lineRule="auto"/>
              <w:ind w:firstLine="0" w:firstLineChars="0"/>
              <w:jc w:val="center"/>
              <w:rPr>
                <w:rFonts w:hint="default" w:ascii="Times New Roman" w:hAnsi="Times New Roman" w:eastAsia="宋体"/>
                <w:bCs/>
                <w:color w:val="auto"/>
                <w:kern w:val="0"/>
                <w:sz w:val="21"/>
                <w:szCs w:val="21"/>
                <w:highlight w:val="none"/>
                <w:u w:val="single"/>
                <w:lang w:val="en-US" w:eastAsia="zh-CN"/>
              </w:rPr>
            </w:pPr>
            <w:r>
              <w:rPr>
                <w:rFonts w:hint="eastAsia" w:eastAsia="宋体"/>
                <w:bCs/>
                <w:color w:val="auto"/>
                <w:kern w:val="0"/>
                <w:sz w:val="21"/>
                <w:szCs w:val="21"/>
                <w:highlight w:val="none"/>
                <w:u w:val="single"/>
                <w:lang w:val="en-US" w:eastAsia="zh-CN"/>
              </w:rPr>
              <w:t>10</w:t>
            </w:r>
          </w:p>
        </w:tc>
        <w:tc>
          <w:tcPr>
            <w:tcW w:w="1742" w:type="dxa"/>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振动筛</w:t>
            </w:r>
          </w:p>
        </w:tc>
        <w:tc>
          <w:tcPr>
            <w:tcW w:w="3623" w:type="dxa"/>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100</w:t>
            </w:r>
            <w:r>
              <w:rPr>
                <w:rFonts w:ascii="Times New Roman" w:hAnsi="Times New Roman" w:eastAsia="宋体"/>
                <w:bCs/>
                <w:color w:val="auto"/>
                <w:kern w:val="0"/>
                <w:sz w:val="21"/>
                <w:szCs w:val="21"/>
                <w:highlight w:val="none"/>
                <w:u w:val="single"/>
              </w:rPr>
              <w:t>~</w:t>
            </w:r>
            <w:r>
              <w:rPr>
                <w:rFonts w:hint="eastAsia" w:ascii="Times New Roman" w:hAnsi="Times New Roman" w:eastAsia="宋体"/>
                <w:bCs/>
                <w:color w:val="auto"/>
                <w:kern w:val="0"/>
                <w:sz w:val="21"/>
                <w:szCs w:val="21"/>
                <w:highlight w:val="none"/>
                <w:u w:val="single"/>
              </w:rPr>
              <w:t>120t/h</w:t>
            </w:r>
          </w:p>
        </w:tc>
        <w:tc>
          <w:tcPr>
            <w:tcW w:w="965" w:type="dxa"/>
            <w:tcBorders>
              <w:right w:val="single" w:color="auto" w:sz="4" w:space="0"/>
            </w:tcBorders>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台</w:t>
            </w:r>
          </w:p>
        </w:tc>
        <w:tc>
          <w:tcPr>
            <w:tcW w:w="1096" w:type="dxa"/>
            <w:tcBorders>
              <w:left w:val="single" w:color="auto" w:sz="4" w:space="0"/>
            </w:tcBorders>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 w:type="dxa"/>
          <w:trHeight w:val="227" w:hRule="atLeast"/>
          <w:jc w:val="center"/>
        </w:trPr>
        <w:tc>
          <w:tcPr>
            <w:tcW w:w="1742" w:type="dxa"/>
            <w:noWrap w:val="0"/>
            <w:vAlign w:val="center"/>
          </w:tcPr>
          <w:p>
            <w:pPr>
              <w:pStyle w:val="69"/>
              <w:snapToGrid w:val="0"/>
              <w:spacing w:line="240" w:lineRule="auto"/>
              <w:ind w:firstLine="0" w:firstLineChars="0"/>
              <w:jc w:val="center"/>
              <w:rPr>
                <w:rFonts w:hint="default" w:ascii="Times New Roman" w:hAnsi="Times New Roman" w:eastAsia="宋体"/>
                <w:bCs/>
                <w:color w:val="auto"/>
                <w:kern w:val="0"/>
                <w:sz w:val="21"/>
                <w:szCs w:val="21"/>
                <w:highlight w:val="none"/>
                <w:u w:val="single"/>
                <w:lang w:val="en-US" w:eastAsia="zh-CN"/>
              </w:rPr>
            </w:pPr>
            <w:r>
              <w:rPr>
                <w:rFonts w:hint="eastAsia" w:eastAsia="宋体"/>
                <w:bCs/>
                <w:color w:val="auto"/>
                <w:kern w:val="0"/>
                <w:sz w:val="21"/>
                <w:szCs w:val="21"/>
                <w:highlight w:val="none"/>
                <w:u w:val="single"/>
                <w:lang w:val="en-US" w:eastAsia="zh-CN"/>
              </w:rPr>
              <w:t>11</w:t>
            </w:r>
          </w:p>
        </w:tc>
        <w:tc>
          <w:tcPr>
            <w:tcW w:w="1742" w:type="dxa"/>
            <w:noWrap w:val="0"/>
            <w:vAlign w:val="center"/>
          </w:tcPr>
          <w:p>
            <w:pPr>
              <w:pStyle w:val="69"/>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变压器</w:t>
            </w:r>
          </w:p>
        </w:tc>
        <w:tc>
          <w:tcPr>
            <w:tcW w:w="3623" w:type="dxa"/>
            <w:noWrap w:val="0"/>
            <w:vAlign w:val="center"/>
          </w:tcPr>
          <w:p>
            <w:pPr>
              <w:pStyle w:val="69"/>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16</w:t>
            </w:r>
            <w:r>
              <w:rPr>
                <w:rFonts w:ascii="Times New Roman" w:hAnsi="Times New Roman" w:eastAsia="宋体"/>
                <w:bCs/>
                <w:color w:val="auto"/>
                <w:kern w:val="0"/>
                <w:sz w:val="21"/>
                <w:szCs w:val="21"/>
                <w:highlight w:val="none"/>
                <w:u w:val="single"/>
              </w:rPr>
              <w:t>0KVA</w:t>
            </w:r>
          </w:p>
        </w:tc>
        <w:tc>
          <w:tcPr>
            <w:tcW w:w="965" w:type="dxa"/>
            <w:tcBorders>
              <w:right w:val="single" w:color="auto" w:sz="4" w:space="0"/>
            </w:tcBorders>
            <w:noWrap w:val="0"/>
            <w:vAlign w:val="center"/>
          </w:tcPr>
          <w:p>
            <w:pPr>
              <w:widowControl/>
              <w:snapToGrid w:val="0"/>
              <w:spacing w:line="240" w:lineRule="auto"/>
              <w:ind w:firstLine="0" w:firstLineChars="0"/>
              <w:jc w:val="center"/>
              <w:rPr>
                <w:rFonts w:ascii="Times New Roman" w:hAnsi="Times New Roman" w:eastAsia="宋体" w:cs="Times New Roman"/>
                <w:bCs/>
                <w:color w:val="auto"/>
                <w:kern w:val="0"/>
                <w:sz w:val="21"/>
                <w:highlight w:val="none"/>
                <w:u w:val="single"/>
              </w:rPr>
            </w:pPr>
            <w:r>
              <w:rPr>
                <w:rFonts w:ascii="Times New Roman" w:hAnsi="Times New Roman" w:eastAsia="宋体" w:cs="Times New Roman"/>
                <w:bCs/>
                <w:color w:val="auto"/>
                <w:kern w:val="0"/>
                <w:sz w:val="21"/>
                <w:highlight w:val="none"/>
                <w:u w:val="single"/>
              </w:rPr>
              <w:t>台</w:t>
            </w:r>
          </w:p>
        </w:tc>
        <w:tc>
          <w:tcPr>
            <w:tcW w:w="1096" w:type="dxa"/>
            <w:tcBorders>
              <w:left w:val="single" w:color="auto" w:sz="4" w:space="0"/>
            </w:tcBorders>
            <w:noWrap w:val="0"/>
            <w:vAlign w:val="center"/>
          </w:tcPr>
          <w:p>
            <w:pPr>
              <w:widowControl/>
              <w:snapToGrid w:val="0"/>
              <w:spacing w:line="240" w:lineRule="auto"/>
              <w:ind w:firstLine="0" w:firstLineChars="0"/>
              <w:jc w:val="center"/>
              <w:rPr>
                <w:rFonts w:ascii="Times New Roman" w:hAnsi="Times New Roman" w:eastAsia="宋体" w:cs="Times New Roman"/>
                <w:bCs/>
                <w:color w:val="auto"/>
                <w:kern w:val="0"/>
                <w:sz w:val="21"/>
                <w:highlight w:val="none"/>
                <w:u w:val="single"/>
              </w:rPr>
            </w:pPr>
            <w:r>
              <w:rPr>
                <w:rFonts w:ascii="Times New Roman" w:hAnsi="Times New Roman" w:eastAsia="宋体" w:cs="Times New Roman"/>
                <w:bCs/>
                <w:color w:val="auto"/>
                <w:kern w:val="0"/>
                <w:sz w:val="21"/>
                <w:highlight w:val="none"/>
                <w:u w:val="single"/>
              </w:rPr>
              <w:t>1</w:t>
            </w:r>
          </w:p>
        </w:tc>
      </w:tr>
    </w:tbl>
    <w:p>
      <w:pPr>
        <w:pStyle w:val="5"/>
        <w:bidi w:val="0"/>
        <w:rPr>
          <w:color w:val="auto"/>
          <w:highlight w:val="none"/>
          <w:u w:val="single"/>
        </w:rPr>
      </w:pPr>
      <w:r>
        <w:rPr>
          <w:color w:val="auto"/>
          <w:highlight w:val="none"/>
          <w:u w:val="single"/>
        </w:rPr>
        <w:t>2.</w:t>
      </w:r>
      <w:r>
        <w:rPr>
          <w:rFonts w:hint="eastAsia"/>
          <w:color w:val="auto"/>
          <w:highlight w:val="none"/>
          <w:u w:val="single"/>
        </w:rPr>
        <w:t>2</w:t>
      </w:r>
      <w:r>
        <w:rPr>
          <w:color w:val="auto"/>
          <w:highlight w:val="none"/>
          <w:u w:val="single"/>
        </w:rPr>
        <w:t xml:space="preserve">.4 </w:t>
      </w:r>
      <w:r>
        <w:rPr>
          <w:rFonts w:hint="eastAsia"/>
          <w:color w:val="auto"/>
          <w:highlight w:val="none"/>
          <w:u w:val="single"/>
          <w:lang w:val="en-US" w:eastAsia="zh-CN"/>
        </w:rPr>
        <w:t>原有项目</w:t>
      </w:r>
      <w:r>
        <w:rPr>
          <w:color w:val="auto"/>
          <w:highlight w:val="none"/>
          <w:u w:val="single"/>
        </w:rPr>
        <w:t>原辅材料用量及产品方案</w:t>
      </w:r>
    </w:p>
    <w:p>
      <w:pPr>
        <w:ind w:firstLine="480"/>
        <w:rPr>
          <w:rFonts w:ascii="Times New Roman" w:hAnsi="Times New Roman" w:eastAsia="宋体" w:cs="Times New Roman"/>
          <w:color w:val="auto"/>
          <w:highlight w:val="none"/>
          <w:u w:val="single"/>
        </w:rPr>
      </w:pPr>
      <w:r>
        <w:rPr>
          <w:rFonts w:hint="eastAsia"/>
          <w:color w:val="auto"/>
          <w:highlight w:val="none"/>
          <w:u w:val="single"/>
          <w:lang w:val="en-US" w:eastAsia="zh-CN"/>
        </w:rPr>
        <w:t>原有项目</w:t>
      </w:r>
      <w:r>
        <w:rPr>
          <w:rFonts w:ascii="Times New Roman" w:hAnsi="Times New Roman" w:eastAsia="宋体" w:cs="Times New Roman"/>
          <w:color w:val="auto"/>
          <w:highlight w:val="none"/>
          <w:u w:val="single"/>
        </w:rPr>
        <w:t>主要原辅材料消耗量见表2.</w:t>
      </w:r>
      <w:r>
        <w:rPr>
          <w:rFonts w:hint="eastAsia" w:ascii="Times New Roman" w:hAnsi="Times New Roman" w:eastAsia="宋体" w:cs="Times New Roman"/>
          <w:color w:val="auto"/>
          <w:highlight w:val="none"/>
          <w:u w:val="single"/>
        </w:rPr>
        <w:t>2</w:t>
      </w:r>
      <w:r>
        <w:rPr>
          <w:rFonts w:ascii="Times New Roman" w:hAnsi="Times New Roman" w:eastAsia="宋体" w:cs="Times New Roman"/>
          <w:color w:val="auto"/>
          <w:highlight w:val="none"/>
          <w:u w:val="single"/>
        </w:rPr>
        <w:t>-</w:t>
      </w:r>
      <w:r>
        <w:rPr>
          <w:rFonts w:hint="eastAsia" w:ascii="Times New Roman" w:hAnsi="Times New Roman" w:eastAsia="宋体" w:cs="Times New Roman"/>
          <w:color w:val="auto"/>
          <w:highlight w:val="none"/>
          <w:u w:val="single"/>
          <w:lang w:val="en-US" w:eastAsia="zh-CN"/>
        </w:rPr>
        <w:t>4</w:t>
      </w:r>
      <w:r>
        <w:rPr>
          <w:rFonts w:ascii="Times New Roman" w:hAnsi="Times New Roman" w:eastAsia="宋体" w:cs="Times New Roman"/>
          <w:color w:val="auto"/>
          <w:highlight w:val="none"/>
          <w:u w:val="single"/>
        </w:rPr>
        <w:t>。</w:t>
      </w:r>
    </w:p>
    <w:p>
      <w:pPr>
        <w:pStyle w:val="133"/>
        <w:widowControl w:val="0"/>
        <w:spacing w:line="240" w:lineRule="auto"/>
        <w:rPr>
          <w:rFonts w:ascii="Times New Roman" w:hAnsi="Times New Roman" w:eastAsia="宋体"/>
          <w:color w:val="auto"/>
          <w:highlight w:val="none"/>
          <w:u w:val="single"/>
        </w:rPr>
      </w:pPr>
      <w:r>
        <w:rPr>
          <w:rFonts w:ascii="Times New Roman" w:hAnsi="Times New Roman" w:eastAsia="宋体"/>
          <w:color w:val="auto"/>
          <w:highlight w:val="none"/>
          <w:u w:val="single"/>
        </w:rPr>
        <w:t>表2.</w:t>
      </w:r>
      <w:r>
        <w:rPr>
          <w:rFonts w:hint="eastAsia" w:ascii="Times New Roman" w:hAnsi="Times New Roman" w:eastAsia="宋体"/>
          <w:color w:val="auto"/>
          <w:highlight w:val="none"/>
          <w:u w:val="single"/>
        </w:rPr>
        <w:t>2</w:t>
      </w:r>
      <w:r>
        <w:rPr>
          <w:rFonts w:ascii="Times New Roman" w:hAnsi="Times New Roman" w:eastAsia="宋体"/>
          <w:color w:val="auto"/>
          <w:highlight w:val="none"/>
          <w:u w:val="single"/>
        </w:rPr>
        <w:t>-</w:t>
      </w:r>
      <w:r>
        <w:rPr>
          <w:rFonts w:hint="eastAsia" w:ascii="Times New Roman" w:hAnsi="Times New Roman" w:eastAsia="宋体"/>
          <w:color w:val="auto"/>
          <w:highlight w:val="none"/>
          <w:u w:val="single"/>
          <w:lang w:val="en-US" w:eastAsia="zh-CN"/>
        </w:rPr>
        <w:t>4</w:t>
      </w:r>
      <w:r>
        <w:rPr>
          <w:rFonts w:ascii="Times New Roman" w:hAnsi="Times New Roman" w:eastAsia="宋体"/>
          <w:color w:val="auto"/>
          <w:highlight w:val="none"/>
          <w:u w:val="single"/>
        </w:rPr>
        <w:t xml:space="preserve"> </w:t>
      </w:r>
      <w:r>
        <w:rPr>
          <w:rFonts w:hint="eastAsia"/>
          <w:color w:val="auto"/>
          <w:highlight w:val="none"/>
          <w:u w:val="single"/>
          <w:lang w:val="en-US" w:eastAsia="zh-CN"/>
        </w:rPr>
        <w:t>原有项目</w:t>
      </w:r>
      <w:r>
        <w:rPr>
          <w:rFonts w:ascii="Times New Roman" w:hAnsi="Times New Roman" w:eastAsia="宋体"/>
          <w:color w:val="auto"/>
          <w:highlight w:val="none"/>
          <w:u w:val="single"/>
        </w:rPr>
        <w:t>主要原辅材料用量一览表</w:t>
      </w:r>
    </w:p>
    <w:tbl>
      <w:tblPr>
        <w:tblStyle w:val="48"/>
        <w:tblW w:w="9071" w:type="dxa"/>
        <w:jc w:val="center"/>
        <w:tblInd w:w="-15"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621"/>
        <w:gridCol w:w="906"/>
        <w:gridCol w:w="1984"/>
        <w:gridCol w:w="1260"/>
        <w:gridCol w:w="1650"/>
        <w:gridCol w:w="2650"/>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071" w:type="dxa"/>
            <w:gridSpan w:val="6"/>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hint="eastAsia" w:ascii="Times New Roman" w:hAnsi="Times New Roman" w:eastAsia="宋体"/>
                <w:b w:val="0"/>
                <w:bCs w:val="0"/>
                <w:color w:val="auto"/>
                <w:sz w:val="21"/>
                <w:szCs w:val="18"/>
                <w:highlight w:val="none"/>
                <w:u w:val="single"/>
              </w:rPr>
              <w:t>原海江采石场</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21"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序号</w:t>
            </w:r>
          </w:p>
        </w:tc>
        <w:tc>
          <w:tcPr>
            <w:tcW w:w="906"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名称</w:t>
            </w:r>
          </w:p>
        </w:tc>
        <w:tc>
          <w:tcPr>
            <w:tcW w:w="1984"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规格，成分</w:t>
            </w:r>
          </w:p>
        </w:tc>
        <w:tc>
          <w:tcPr>
            <w:tcW w:w="126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年耗量(t)</w:t>
            </w:r>
          </w:p>
        </w:tc>
        <w:tc>
          <w:tcPr>
            <w:tcW w:w="165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存储方式</w:t>
            </w:r>
          </w:p>
        </w:tc>
        <w:tc>
          <w:tcPr>
            <w:tcW w:w="265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来源</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21"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1</w:t>
            </w:r>
          </w:p>
        </w:tc>
        <w:tc>
          <w:tcPr>
            <w:tcW w:w="906"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hint="eastAsia" w:ascii="Times New Roman" w:hAnsi="Times New Roman" w:eastAsia="宋体" w:cs="Times New Roman"/>
                <w:b w:val="0"/>
                <w:bCs w:val="0"/>
                <w:color w:val="auto"/>
                <w:sz w:val="21"/>
                <w:highlight w:val="none"/>
                <w:u w:val="single"/>
              </w:rPr>
              <w:t>乳化</w:t>
            </w:r>
            <w:r>
              <w:rPr>
                <w:rFonts w:ascii="Times New Roman" w:hAnsi="Times New Roman" w:eastAsia="宋体" w:cs="Times New Roman"/>
                <w:b w:val="0"/>
                <w:bCs w:val="0"/>
                <w:color w:val="auto"/>
                <w:sz w:val="21"/>
                <w:highlight w:val="none"/>
                <w:u w:val="single"/>
              </w:rPr>
              <w:t>炸药</w:t>
            </w:r>
          </w:p>
        </w:tc>
        <w:tc>
          <w:tcPr>
            <w:tcW w:w="1984" w:type="dxa"/>
            <w:noWrap w:val="0"/>
            <w:tcMar>
              <w:top w:w="0" w:type="dxa"/>
              <w:left w:w="0" w:type="dxa"/>
              <w:bottom w:w="0" w:type="dxa"/>
              <w:right w:w="0" w:type="dxa"/>
            </w:tcMar>
            <w:vAlign w:val="center"/>
          </w:tcPr>
          <w:p>
            <w:pPr>
              <w:snapToGrid w:val="0"/>
              <w:spacing w:line="240" w:lineRule="auto"/>
              <w:ind w:firstLine="0" w:firstLineChars="0"/>
              <w:jc w:val="center"/>
              <w:textAlignment w:val="center"/>
              <w:rPr>
                <w:rFonts w:ascii="Times New Roman" w:hAnsi="Times New Roman" w:eastAsia="宋体" w:cs="Times New Roman"/>
                <w:b w:val="0"/>
                <w:bCs w:val="0"/>
                <w:color w:val="auto"/>
                <w:sz w:val="21"/>
                <w:highlight w:val="none"/>
                <w:u w:val="single"/>
              </w:rPr>
            </w:pPr>
            <w:r>
              <w:rPr>
                <w:rFonts w:hint="eastAsia" w:ascii="Times New Roman" w:hAnsi="Times New Roman" w:eastAsia="宋体" w:cs="Times New Roman"/>
                <w:b w:val="0"/>
                <w:bCs w:val="0"/>
                <w:color w:val="auto"/>
                <w:sz w:val="21"/>
                <w:highlight w:val="none"/>
                <w:u w:val="single"/>
              </w:rPr>
              <w:t>主要成分为</w:t>
            </w:r>
            <w:r>
              <w:rPr>
                <w:rFonts w:ascii="Times New Roman" w:hAnsi="Times New Roman" w:eastAsia="宋体" w:cs="Times New Roman"/>
                <w:b w:val="0"/>
                <w:bCs w:val="0"/>
                <w:color w:val="auto"/>
                <w:sz w:val="21"/>
                <w:highlight w:val="none"/>
                <w:u w:val="single"/>
              </w:rPr>
              <w:t>硝酸铵</w:t>
            </w:r>
          </w:p>
        </w:tc>
        <w:tc>
          <w:tcPr>
            <w:tcW w:w="126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10</w:t>
            </w:r>
          </w:p>
        </w:tc>
        <w:tc>
          <w:tcPr>
            <w:tcW w:w="165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w:t>
            </w:r>
          </w:p>
        </w:tc>
        <w:tc>
          <w:tcPr>
            <w:tcW w:w="2650" w:type="dxa"/>
            <w:noWrap w:val="0"/>
            <w:tcMar>
              <w:top w:w="0" w:type="dxa"/>
              <w:left w:w="0" w:type="dxa"/>
              <w:bottom w:w="0" w:type="dxa"/>
              <w:right w:w="0" w:type="dxa"/>
            </w:tcMar>
            <w:vAlign w:val="center"/>
          </w:tcPr>
          <w:p>
            <w:pPr>
              <w:snapToGrid w:val="0"/>
              <w:spacing w:line="240" w:lineRule="auto"/>
              <w:ind w:firstLine="0" w:firstLineChars="0"/>
              <w:jc w:val="left"/>
              <w:textAlignment w:val="center"/>
              <w:rPr>
                <w:rFonts w:ascii="Times New Roman" w:hAnsi="Times New Roman" w:eastAsia="宋体" w:cs="Times New Roman"/>
                <w:b w:val="0"/>
                <w:bCs w:val="0"/>
                <w:color w:val="auto"/>
                <w:sz w:val="21"/>
                <w:highlight w:val="none"/>
                <w:u w:val="single"/>
                <w:lang w:bidi="ar"/>
              </w:rPr>
            </w:pPr>
            <w:r>
              <w:rPr>
                <w:rFonts w:ascii="Times New Roman" w:hAnsi="Times New Roman" w:eastAsia="宋体" w:cs="Times New Roman"/>
                <w:b w:val="0"/>
                <w:bCs w:val="0"/>
                <w:color w:val="auto"/>
                <w:sz w:val="21"/>
                <w:highlight w:val="none"/>
                <w:u w:val="single"/>
              </w:rPr>
              <w:t>不设炸药库，由安爆公司配送</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21"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2</w:t>
            </w:r>
          </w:p>
        </w:tc>
        <w:tc>
          <w:tcPr>
            <w:tcW w:w="906"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position w:val="-2"/>
                <w:sz w:val="21"/>
                <w:highlight w:val="none"/>
                <w:u w:val="single"/>
              </w:rPr>
              <w:t>水</w:t>
            </w:r>
          </w:p>
        </w:tc>
        <w:tc>
          <w:tcPr>
            <w:tcW w:w="1984"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w:t>
            </w:r>
          </w:p>
        </w:tc>
        <w:tc>
          <w:tcPr>
            <w:tcW w:w="126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hint="eastAsia" w:ascii="Times New Roman" w:hAnsi="Times New Roman" w:eastAsia="宋体" w:cs="Times New Roman"/>
                <w:b w:val="0"/>
                <w:bCs w:val="0"/>
                <w:color w:val="auto"/>
                <w:sz w:val="21"/>
                <w:highlight w:val="none"/>
                <w:u w:val="single"/>
              </w:rPr>
              <w:t>1587.5</w:t>
            </w:r>
          </w:p>
        </w:tc>
        <w:tc>
          <w:tcPr>
            <w:tcW w:w="165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w:t>
            </w:r>
          </w:p>
        </w:tc>
        <w:tc>
          <w:tcPr>
            <w:tcW w:w="2650" w:type="dxa"/>
            <w:noWrap w:val="0"/>
            <w:tcMar>
              <w:top w:w="0" w:type="dxa"/>
              <w:left w:w="0" w:type="dxa"/>
              <w:bottom w:w="0" w:type="dxa"/>
              <w:right w:w="0" w:type="dxa"/>
            </w:tcMar>
            <w:vAlign w:val="center"/>
          </w:tcPr>
          <w:p>
            <w:pPr>
              <w:snapToGrid w:val="0"/>
              <w:spacing w:line="240" w:lineRule="auto"/>
              <w:ind w:firstLine="0" w:firstLineChars="0"/>
              <w:jc w:val="center"/>
              <w:rPr>
                <w:rFonts w:hint="default" w:ascii="Times New Roman" w:hAnsi="Times New Roman" w:eastAsia="宋体" w:cs="Times New Roman"/>
                <w:b w:val="0"/>
                <w:bCs w:val="0"/>
                <w:color w:val="auto"/>
                <w:sz w:val="21"/>
                <w:highlight w:val="none"/>
                <w:u w:val="single"/>
                <w:lang w:val="en-US" w:eastAsia="zh-CN"/>
              </w:rPr>
            </w:pPr>
            <w:r>
              <w:rPr>
                <w:rFonts w:hint="eastAsia" w:ascii="Times New Roman" w:hAnsi="Times New Roman" w:eastAsia="宋体" w:cs="Times New Roman"/>
                <w:b w:val="0"/>
                <w:bCs w:val="0"/>
                <w:color w:val="auto"/>
                <w:sz w:val="21"/>
                <w:highlight w:val="none"/>
                <w:u w:val="single"/>
              </w:rPr>
              <w:t>山泉水</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21"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3</w:t>
            </w:r>
          </w:p>
        </w:tc>
        <w:tc>
          <w:tcPr>
            <w:tcW w:w="906"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position w:val="-2"/>
                <w:sz w:val="21"/>
                <w:highlight w:val="none"/>
                <w:u w:val="single"/>
              </w:rPr>
              <w:t>电</w:t>
            </w:r>
          </w:p>
        </w:tc>
        <w:tc>
          <w:tcPr>
            <w:tcW w:w="1984"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w:t>
            </w:r>
          </w:p>
        </w:tc>
        <w:tc>
          <w:tcPr>
            <w:tcW w:w="126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hint="eastAsia" w:ascii="Times New Roman" w:hAnsi="Times New Roman" w:eastAsia="宋体" w:cs="Times New Roman"/>
                <w:b w:val="0"/>
                <w:bCs w:val="0"/>
                <w:color w:val="auto"/>
                <w:sz w:val="21"/>
                <w:highlight w:val="none"/>
                <w:u w:val="single"/>
              </w:rPr>
              <w:t>10</w:t>
            </w:r>
            <w:r>
              <w:rPr>
                <w:rFonts w:ascii="Times New Roman" w:hAnsi="Times New Roman" w:eastAsia="宋体" w:cs="Times New Roman"/>
                <w:b w:val="0"/>
                <w:bCs w:val="0"/>
                <w:color w:val="auto"/>
                <w:position w:val="-1"/>
                <w:sz w:val="21"/>
                <w:highlight w:val="none"/>
                <w:u w:val="single"/>
              </w:rPr>
              <w:t>万</w:t>
            </w:r>
            <w:r>
              <w:rPr>
                <w:rFonts w:ascii="Times New Roman" w:hAnsi="Times New Roman" w:eastAsia="宋体" w:cs="Times New Roman"/>
                <w:b w:val="0"/>
                <w:bCs w:val="0"/>
                <w:color w:val="auto"/>
                <w:spacing w:val="-52"/>
                <w:position w:val="-1"/>
                <w:sz w:val="21"/>
                <w:highlight w:val="none"/>
                <w:u w:val="single"/>
              </w:rPr>
              <w:t xml:space="preserve"> </w:t>
            </w:r>
            <w:r>
              <w:rPr>
                <w:rFonts w:ascii="Times New Roman" w:hAnsi="Times New Roman" w:eastAsia="宋体" w:cs="Times New Roman"/>
                <w:b w:val="0"/>
                <w:bCs w:val="0"/>
                <w:color w:val="auto"/>
                <w:spacing w:val="-4"/>
                <w:position w:val="-1"/>
                <w:sz w:val="21"/>
                <w:highlight w:val="none"/>
                <w:u w:val="single"/>
              </w:rPr>
              <w:t>k</w:t>
            </w:r>
            <w:r>
              <w:rPr>
                <w:rFonts w:ascii="Times New Roman" w:hAnsi="Times New Roman" w:eastAsia="宋体" w:cs="Times New Roman"/>
                <w:b w:val="0"/>
                <w:bCs w:val="0"/>
                <w:color w:val="auto"/>
                <w:position w:val="-1"/>
                <w:sz w:val="21"/>
                <w:highlight w:val="none"/>
                <w:u w:val="single"/>
              </w:rPr>
              <w:t>W·h</w:t>
            </w:r>
            <w:r>
              <w:rPr>
                <w:rFonts w:ascii="Times New Roman" w:hAnsi="Times New Roman" w:eastAsia="宋体" w:cs="Times New Roman"/>
                <w:b w:val="0"/>
                <w:bCs w:val="0"/>
                <w:color w:val="auto"/>
                <w:spacing w:val="-1"/>
                <w:position w:val="-1"/>
                <w:sz w:val="21"/>
                <w:highlight w:val="none"/>
                <w:u w:val="single"/>
              </w:rPr>
              <w:t>/</w:t>
            </w:r>
            <w:r>
              <w:rPr>
                <w:rFonts w:ascii="Times New Roman" w:hAnsi="Times New Roman" w:eastAsia="宋体" w:cs="Times New Roman"/>
                <w:b w:val="0"/>
                <w:bCs w:val="0"/>
                <w:color w:val="auto"/>
                <w:position w:val="-1"/>
                <w:sz w:val="21"/>
                <w:highlight w:val="none"/>
                <w:u w:val="single"/>
              </w:rPr>
              <w:t>a</w:t>
            </w:r>
          </w:p>
        </w:tc>
        <w:tc>
          <w:tcPr>
            <w:tcW w:w="165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w:t>
            </w:r>
          </w:p>
        </w:tc>
        <w:tc>
          <w:tcPr>
            <w:tcW w:w="265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由供电管网供给</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21"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4</w:t>
            </w:r>
          </w:p>
        </w:tc>
        <w:tc>
          <w:tcPr>
            <w:tcW w:w="906"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position w:val="-2"/>
                <w:sz w:val="21"/>
                <w:highlight w:val="none"/>
                <w:u w:val="single"/>
              </w:rPr>
              <w:t>柴油</w:t>
            </w:r>
          </w:p>
        </w:tc>
        <w:tc>
          <w:tcPr>
            <w:tcW w:w="1984"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position w:val="-2"/>
                <w:sz w:val="21"/>
                <w:highlight w:val="none"/>
                <w:u w:val="single"/>
              </w:rPr>
              <w:t>/</w:t>
            </w:r>
          </w:p>
        </w:tc>
        <w:tc>
          <w:tcPr>
            <w:tcW w:w="1260" w:type="dxa"/>
            <w:noWrap w:val="0"/>
            <w:tcMar>
              <w:top w:w="0" w:type="dxa"/>
              <w:left w:w="0" w:type="dxa"/>
              <w:bottom w:w="0" w:type="dxa"/>
              <w:right w:w="0" w:type="dxa"/>
            </w:tcMar>
            <w:vAlign w:val="center"/>
          </w:tcPr>
          <w:p>
            <w:pPr>
              <w:snapToGrid w:val="0"/>
              <w:spacing w:line="240" w:lineRule="auto"/>
              <w:ind w:firstLine="0" w:firstLineChars="0"/>
              <w:jc w:val="center"/>
              <w:rPr>
                <w:rFonts w:hint="eastAsia" w:ascii="Times New Roman" w:hAnsi="Times New Roman" w:eastAsia="宋体" w:cs="Times New Roman"/>
                <w:b w:val="0"/>
                <w:bCs w:val="0"/>
                <w:color w:val="auto"/>
                <w:sz w:val="21"/>
                <w:highlight w:val="none"/>
                <w:u w:val="single"/>
              </w:rPr>
            </w:pPr>
            <w:r>
              <w:rPr>
                <w:rFonts w:hint="eastAsia" w:ascii="Times New Roman" w:hAnsi="Times New Roman" w:eastAsia="宋体" w:cs="Times New Roman"/>
                <w:b w:val="0"/>
                <w:bCs w:val="0"/>
                <w:color w:val="auto"/>
                <w:sz w:val="21"/>
                <w:highlight w:val="none"/>
                <w:u w:val="single"/>
              </w:rPr>
              <w:t>6</w:t>
            </w:r>
          </w:p>
        </w:tc>
        <w:tc>
          <w:tcPr>
            <w:tcW w:w="1650" w:type="dxa"/>
            <w:noWrap w:val="0"/>
            <w:tcMar>
              <w:top w:w="0" w:type="dxa"/>
              <w:left w:w="0" w:type="dxa"/>
              <w:bottom w:w="0" w:type="dxa"/>
              <w:right w:w="0" w:type="dxa"/>
            </w:tcMar>
            <w:vAlign w:val="center"/>
          </w:tcPr>
          <w:p>
            <w:pPr>
              <w:snapToGrid w:val="0"/>
              <w:spacing w:line="240" w:lineRule="auto"/>
              <w:ind w:firstLine="0" w:firstLineChars="0"/>
              <w:jc w:val="center"/>
              <w:rPr>
                <w:rFonts w:hint="eastAsia" w:ascii="Times New Roman" w:hAnsi="Times New Roman" w:eastAsia="宋体" w:cs="Times New Roman"/>
                <w:b w:val="0"/>
                <w:bCs w:val="0"/>
                <w:color w:val="auto"/>
                <w:sz w:val="21"/>
                <w:highlight w:val="none"/>
                <w:u w:val="single"/>
              </w:rPr>
            </w:pPr>
            <w:r>
              <w:rPr>
                <w:rFonts w:hint="eastAsia" w:ascii="Times New Roman" w:hAnsi="Times New Roman" w:eastAsia="宋体" w:cs="Times New Roman"/>
                <w:b w:val="0"/>
                <w:bCs w:val="0"/>
                <w:color w:val="auto"/>
                <w:sz w:val="21"/>
                <w:highlight w:val="none"/>
                <w:u w:val="single"/>
              </w:rPr>
              <w:t>桶装</w:t>
            </w:r>
          </w:p>
        </w:tc>
        <w:tc>
          <w:tcPr>
            <w:tcW w:w="265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position w:val="-2"/>
                <w:sz w:val="21"/>
                <w:highlight w:val="none"/>
                <w:u w:val="single"/>
              </w:rPr>
              <w:t>外购，汽运</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071" w:type="dxa"/>
            <w:gridSpan w:val="6"/>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position w:val="-2"/>
                <w:sz w:val="21"/>
                <w:highlight w:val="none"/>
                <w:u w:val="single"/>
              </w:rPr>
            </w:pPr>
            <w:r>
              <w:rPr>
                <w:rFonts w:hint="eastAsia" w:ascii="Times New Roman" w:hAnsi="Times New Roman" w:eastAsia="宋体" w:cs="Times New Roman"/>
                <w:b w:val="0"/>
                <w:bCs w:val="0"/>
                <w:color w:val="auto"/>
                <w:kern w:val="0"/>
                <w:sz w:val="21"/>
                <w:highlight w:val="none"/>
                <w:u w:val="single"/>
              </w:rPr>
              <w:t>原宏保兴采石场</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621"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序号</w:t>
            </w:r>
          </w:p>
        </w:tc>
        <w:tc>
          <w:tcPr>
            <w:tcW w:w="906"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名称</w:t>
            </w:r>
          </w:p>
        </w:tc>
        <w:tc>
          <w:tcPr>
            <w:tcW w:w="1984"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规格，成分</w:t>
            </w:r>
          </w:p>
        </w:tc>
        <w:tc>
          <w:tcPr>
            <w:tcW w:w="126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年耗量(t)</w:t>
            </w:r>
          </w:p>
        </w:tc>
        <w:tc>
          <w:tcPr>
            <w:tcW w:w="165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存储方式</w:t>
            </w:r>
          </w:p>
        </w:tc>
        <w:tc>
          <w:tcPr>
            <w:tcW w:w="265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来源</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621"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1</w:t>
            </w:r>
          </w:p>
        </w:tc>
        <w:tc>
          <w:tcPr>
            <w:tcW w:w="906"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hint="eastAsia" w:ascii="Times New Roman" w:hAnsi="Times New Roman" w:eastAsia="宋体" w:cs="Times New Roman"/>
                <w:b w:val="0"/>
                <w:bCs w:val="0"/>
                <w:color w:val="auto"/>
                <w:sz w:val="21"/>
                <w:highlight w:val="none"/>
                <w:u w:val="single"/>
              </w:rPr>
              <w:t>乳化</w:t>
            </w:r>
            <w:r>
              <w:rPr>
                <w:rFonts w:ascii="Times New Roman" w:hAnsi="Times New Roman" w:eastAsia="宋体" w:cs="Times New Roman"/>
                <w:b w:val="0"/>
                <w:bCs w:val="0"/>
                <w:color w:val="auto"/>
                <w:sz w:val="21"/>
                <w:highlight w:val="none"/>
                <w:u w:val="single"/>
              </w:rPr>
              <w:t>炸药</w:t>
            </w:r>
          </w:p>
        </w:tc>
        <w:tc>
          <w:tcPr>
            <w:tcW w:w="1984" w:type="dxa"/>
            <w:noWrap w:val="0"/>
            <w:tcMar>
              <w:top w:w="0" w:type="dxa"/>
              <w:left w:w="0" w:type="dxa"/>
              <w:bottom w:w="0" w:type="dxa"/>
              <w:right w:w="0" w:type="dxa"/>
            </w:tcMar>
            <w:vAlign w:val="center"/>
          </w:tcPr>
          <w:p>
            <w:pPr>
              <w:snapToGrid w:val="0"/>
              <w:spacing w:line="240" w:lineRule="auto"/>
              <w:ind w:firstLine="0" w:firstLineChars="0"/>
              <w:jc w:val="center"/>
              <w:textAlignment w:val="center"/>
              <w:rPr>
                <w:rFonts w:ascii="Times New Roman" w:hAnsi="Times New Roman" w:eastAsia="宋体" w:cs="Times New Roman"/>
                <w:b w:val="0"/>
                <w:bCs w:val="0"/>
                <w:color w:val="auto"/>
                <w:sz w:val="21"/>
                <w:highlight w:val="none"/>
                <w:u w:val="single"/>
              </w:rPr>
            </w:pPr>
            <w:r>
              <w:rPr>
                <w:rFonts w:hint="eastAsia" w:ascii="Times New Roman" w:hAnsi="Times New Roman" w:eastAsia="宋体" w:cs="Times New Roman"/>
                <w:b w:val="0"/>
                <w:bCs w:val="0"/>
                <w:color w:val="auto"/>
                <w:sz w:val="21"/>
                <w:highlight w:val="none"/>
                <w:u w:val="single"/>
              </w:rPr>
              <w:t>主要成分为</w:t>
            </w:r>
            <w:r>
              <w:rPr>
                <w:rFonts w:ascii="Times New Roman" w:hAnsi="Times New Roman" w:eastAsia="宋体" w:cs="Times New Roman"/>
                <w:b w:val="0"/>
                <w:bCs w:val="0"/>
                <w:color w:val="auto"/>
                <w:sz w:val="21"/>
                <w:highlight w:val="none"/>
                <w:u w:val="single"/>
              </w:rPr>
              <w:t>硝酸铵</w:t>
            </w:r>
          </w:p>
        </w:tc>
        <w:tc>
          <w:tcPr>
            <w:tcW w:w="126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10</w:t>
            </w:r>
          </w:p>
        </w:tc>
        <w:tc>
          <w:tcPr>
            <w:tcW w:w="165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w:t>
            </w:r>
          </w:p>
        </w:tc>
        <w:tc>
          <w:tcPr>
            <w:tcW w:w="2650" w:type="dxa"/>
            <w:noWrap w:val="0"/>
            <w:tcMar>
              <w:top w:w="0" w:type="dxa"/>
              <w:left w:w="0" w:type="dxa"/>
              <w:bottom w:w="0" w:type="dxa"/>
              <w:right w:w="0" w:type="dxa"/>
            </w:tcMar>
            <w:vAlign w:val="center"/>
          </w:tcPr>
          <w:p>
            <w:pPr>
              <w:snapToGrid w:val="0"/>
              <w:spacing w:line="240" w:lineRule="auto"/>
              <w:ind w:firstLine="0" w:firstLineChars="0"/>
              <w:jc w:val="center"/>
              <w:textAlignment w:val="center"/>
              <w:rPr>
                <w:rFonts w:ascii="Times New Roman" w:hAnsi="Times New Roman" w:eastAsia="宋体" w:cs="Times New Roman"/>
                <w:b w:val="0"/>
                <w:bCs w:val="0"/>
                <w:color w:val="auto"/>
                <w:sz w:val="21"/>
                <w:highlight w:val="none"/>
                <w:u w:val="single"/>
                <w:lang w:bidi="ar"/>
              </w:rPr>
            </w:pPr>
            <w:r>
              <w:rPr>
                <w:rFonts w:ascii="Times New Roman" w:hAnsi="Times New Roman" w:eastAsia="宋体" w:cs="Times New Roman"/>
                <w:b w:val="0"/>
                <w:bCs w:val="0"/>
                <w:color w:val="auto"/>
                <w:sz w:val="21"/>
                <w:highlight w:val="none"/>
                <w:u w:val="single"/>
              </w:rPr>
              <w:t>不设炸药库，由安爆公司配送</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621"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2</w:t>
            </w:r>
          </w:p>
        </w:tc>
        <w:tc>
          <w:tcPr>
            <w:tcW w:w="906"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position w:val="-2"/>
                <w:sz w:val="21"/>
                <w:highlight w:val="none"/>
                <w:u w:val="single"/>
              </w:rPr>
              <w:t>水</w:t>
            </w:r>
          </w:p>
        </w:tc>
        <w:tc>
          <w:tcPr>
            <w:tcW w:w="1984"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w:t>
            </w:r>
          </w:p>
        </w:tc>
        <w:tc>
          <w:tcPr>
            <w:tcW w:w="126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hint="eastAsia" w:ascii="Times New Roman" w:hAnsi="Times New Roman" w:eastAsia="宋体" w:cs="Times New Roman"/>
                <w:b w:val="0"/>
                <w:bCs w:val="0"/>
                <w:color w:val="auto"/>
                <w:sz w:val="21"/>
                <w:highlight w:val="none"/>
                <w:u w:val="single"/>
              </w:rPr>
              <w:t>487.5</w:t>
            </w:r>
          </w:p>
        </w:tc>
        <w:tc>
          <w:tcPr>
            <w:tcW w:w="165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w:t>
            </w:r>
          </w:p>
        </w:tc>
        <w:tc>
          <w:tcPr>
            <w:tcW w:w="265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hint="eastAsia" w:ascii="Times New Roman" w:hAnsi="Times New Roman" w:eastAsia="宋体" w:cs="Times New Roman"/>
                <w:b w:val="0"/>
                <w:bCs w:val="0"/>
                <w:color w:val="auto"/>
                <w:sz w:val="21"/>
                <w:highlight w:val="none"/>
                <w:u w:val="single"/>
              </w:rPr>
              <w:t>山泉水</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621"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3</w:t>
            </w:r>
          </w:p>
        </w:tc>
        <w:tc>
          <w:tcPr>
            <w:tcW w:w="906"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position w:val="-2"/>
                <w:sz w:val="21"/>
                <w:highlight w:val="none"/>
                <w:u w:val="single"/>
              </w:rPr>
              <w:t>电</w:t>
            </w:r>
          </w:p>
        </w:tc>
        <w:tc>
          <w:tcPr>
            <w:tcW w:w="1984"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w:t>
            </w:r>
          </w:p>
        </w:tc>
        <w:tc>
          <w:tcPr>
            <w:tcW w:w="126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hint="eastAsia" w:ascii="Times New Roman" w:hAnsi="Times New Roman" w:eastAsia="宋体" w:cs="Times New Roman"/>
                <w:b w:val="0"/>
                <w:bCs w:val="0"/>
                <w:color w:val="auto"/>
                <w:sz w:val="21"/>
                <w:highlight w:val="none"/>
                <w:u w:val="single"/>
              </w:rPr>
              <w:t>10</w:t>
            </w:r>
            <w:r>
              <w:rPr>
                <w:rFonts w:ascii="Times New Roman" w:hAnsi="Times New Roman" w:eastAsia="宋体" w:cs="Times New Roman"/>
                <w:b w:val="0"/>
                <w:bCs w:val="0"/>
                <w:color w:val="auto"/>
                <w:position w:val="-1"/>
                <w:sz w:val="21"/>
                <w:highlight w:val="none"/>
                <w:u w:val="single"/>
              </w:rPr>
              <w:t>万</w:t>
            </w:r>
            <w:r>
              <w:rPr>
                <w:rFonts w:ascii="Times New Roman" w:hAnsi="Times New Roman" w:eastAsia="宋体" w:cs="Times New Roman"/>
                <w:b w:val="0"/>
                <w:bCs w:val="0"/>
                <w:color w:val="auto"/>
                <w:spacing w:val="-52"/>
                <w:position w:val="-1"/>
                <w:sz w:val="21"/>
                <w:highlight w:val="none"/>
                <w:u w:val="single"/>
              </w:rPr>
              <w:t xml:space="preserve"> </w:t>
            </w:r>
            <w:r>
              <w:rPr>
                <w:rFonts w:ascii="Times New Roman" w:hAnsi="Times New Roman" w:eastAsia="宋体" w:cs="Times New Roman"/>
                <w:b w:val="0"/>
                <w:bCs w:val="0"/>
                <w:color w:val="auto"/>
                <w:spacing w:val="-4"/>
                <w:position w:val="-1"/>
                <w:sz w:val="21"/>
                <w:highlight w:val="none"/>
                <w:u w:val="single"/>
              </w:rPr>
              <w:t>k</w:t>
            </w:r>
            <w:r>
              <w:rPr>
                <w:rFonts w:ascii="Times New Roman" w:hAnsi="Times New Roman" w:eastAsia="宋体" w:cs="Times New Roman"/>
                <w:b w:val="0"/>
                <w:bCs w:val="0"/>
                <w:color w:val="auto"/>
                <w:position w:val="-1"/>
                <w:sz w:val="21"/>
                <w:highlight w:val="none"/>
                <w:u w:val="single"/>
              </w:rPr>
              <w:t>W·h</w:t>
            </w:r>
            <w:r>
              <w:rPr>
                <w:rFonts w:ascii="Times New Roman" w:hAnsi="Times New Roman" w:eastAsia="宋体" w:cs="Times New Roman"/>
                <w:b w:val="0"/>
                <w:bCs w:val="0"/>
                <w:color w:val="auto"/>
                <w:spacing w:val="-1"/>
                <w:position w:val="-1"/>
                <w:sz w:val="21"/>
                <w:highlight w:val="none"/>
                <w:u w:val="single"/>
              </w:rPr>
              <w:t>/</w:t>
            </w:r>
            <w:r>
              <w:rPr>
                <w:rFonts w:ascii="Times New Roman" w:hAnsi="Times New Roman" w:eastAsia="宋体" w:cs="Times New Roman"/>
                <w:b w:val="0"/>
                <w:bCs w:val="0"/>
                <w:color w:val="auto"/>
                <w:position w:val="-1"/>
                <w:sz w:val="21"/>
                <w:highlight w:val="none"/>
                <w:u w:val="single"/>
              </w:rPr>
              <w:t>a</w:t>
            </w:r>
          </w:p>
        </w:tc>
        <w:tc>
          <w:tcPr>
            <w:tcW w:w="165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w:t>
            </w:r>
          </w:p>
        </w:tc>
        <w:tc>
          <w:tcPr>
            <w:tcW w:w="265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由供电管网供给</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621"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4</w:t>
            </w:r>
          </w:p>
        </w:tc>
        <w:tc>
          <w:tcPr>
            <w:tcW w:w="906"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position w:val="-2"/>
                <w:sz w:val="21"/>
                <w:highlight w:val="none"/>
                <w:u w:val="single"/>
              </w:rPr>
              <w:t>柴油</w:t>
            </w:r>
          </w:p>
        </w:tc>
        <w:tc>
          <w:tcPr>
            <w:tcW w:w="1984"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position w:val="-2"/>
                <w:sz w:val="21"/>
                <w:highlight w:val="none"/>
                <w:u w:val="single"/>
              </w:rPr>
              <w:t>/</w:t>
            </w:r>
          </w:p>
        </w:tc>
        <w:tc>
          <w:tcPr>
            <w:tcW w:w="1260" w:type="dxa"/>
            <w:noWrap w:val="0"/>
            <w:tcMar>
              <w:top w:w="0" w:type="dxa"/>
              <w:left w:w="0" w:type="dxa"/>
              <w:bottom w:w="0" w:type="dxa"/>
              <w:right w:w="0" w:type="dxa"/>
            </w:tcMar>
            <w:vAlign w:val="center"/>
          </w:tcPr>
          <w:p>
            <w:pPr>
              <w:snapToGrid w:val="0"/>
              <w:spacing w:line="240" w:lineRule="auto"/>
              <w:ind w:firstLine="0" w:firstLineChars="0"/>
              <w:jc w:val="center"/>
              <w:rPr>
                <w:rFonts w:hint="eastAsia" w:ascii="Times New Roman" w:hAnsi="Times New Roman" w:eastAsia="宋体" w:cs="Times New Roman"/>
                <w:b w:val="0"/>
                <w:bCs w:val="0"/>
                <w:color w:val="auto"/>
                <w:sz w:val="21"/>
                <w:highlight w:val="none"/>
                <w:u w:val="single"/>
              </w:rPr>
            </w:pPr>
            <w:r>
              <w:rPr>
                <w:rFonts w:hint="eastAsia" w:ascii="Times New Roman" w:hAnsi="Times New Roman" w:eastAsia="宋体" w:cs="Times New Roman"/>
                <w:b w:val="0"/>
                <w:bCs w:val="0"/>
                <w:color w:val="auto"/>
                <w:sz w:val="21"/>
                <w:highlight w:val="none"/>
                <w:u w:val="single"/>
              </w:rPr>
              <w:t>6</w:t>
            </w:r>
          </w:p>
        </w:tc>
        <w:tc>
          <w:tcPr>
            <w:tcW w:w="165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储罐</w:t>
            </w:r>
          </w:p>
        </w:tc>
        <w:tc>
          <w:tcPr>
            <w:tcW w:w="2650" w:type="dxa"/>
            <w:noWrap w:val="0"/>
            <w:tcMar>
              <w:top w:w="0" w:type="dxa"/>
              <w:left w:w="0" w:type="dxa"/>
              <w:bottom w:w="0" w:type="dxa"/>
              <w:right w:w="0" w:type="dxa"/>
            </w:tcMar>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position w:val="-2"/>
                <w:sz w:val="21"/>
                <w:highlight w:val="none"/>
                <w:u w:val="single"/>
              </w:rPr>
              <w:t>外购，汽运</w:t>
            </w:r>
          </w:p>
        </w:tc>
      </w:tr>
    </w:tbl>
    <w:p>
      <w:pPr>
        <w:pStyle w:val="12"/>
        <w:ind w:firstLine="480"/>
        <w:rPr>
          <w:rFonts w:ascii="Times New Roman" w:hAnsi="Times New Roman" w:eastAsia="宋体"/>
          <w:color w:val="auto"/>
          <w:highlight w:val="none"/>
          <w:u w:val="single"/>
        </w:rPr>
      </w:pPr>
      <w:r>
        <w:rPr>
          <w:rFonts w:hint="eastAsia"/>
          <w:color w:val="auto"/>
          <w:highlight w:val="none"/>
          <w:u w:val="single"/>
          <w:lang w:val="en-US" w:eastAsia="zh-CN"/>
        </w:rPr>
        <w:t>原有项目</w:t>
      </w:r>
      <w:r>
        <w:rPr>
          <w:rFonts w:ascii="Times New Roman" w:hAnsi="Times New Roman" w:eastAsia="宋体"/>
          <w:color w:val="auto"/>
          <w:highlight w:val="none"/>
          <w:u w:val="single"/>
        </w:rPr>
        <w:t>产品方案见表2.</w:t>
      </w:r>
      <w:r>
        <w:rPr>
          <w:rFonts w:hint="eastAsia" w:ascii="Times New Roman" w:hAnsi="Times New Roman" w:eastAsia="宋体"/>
          <w:color w:val="auto"/>
          <w:highlight w:val="none"/>
          <w:u w:val="single"/>
        </w:rPr>
        <w:t>2</w:t>
      </w:r>
      <w:r>
        <w:rPr>
          <w:rFonts w:ascii="Times New Roman" w:hAnsi="Times New Roman" w:eastAsia="宋体"/>
          <w:color w:val="auto"/>
          <w:highlight w:val="none"/>
          <w:u w:val="single"/>
        </w:rPr>
        <w:t>-</w:t>
      </w:r>
      <w:r>
        <w:rPr>
          <w:rFonts w:hint="eastAsia" w:ascii="Times New Roman" w:hAnsi="Times New Roman" w:eastAsia="宋体"/>
          <w:color w:val="auto"/>
          <w:highlight w:val="none"/>
          <w:u w:val="single"/>
          <w:lang w:val="en-US" w:eastAsia="zh-CN"/>
        </w:rPr>
        <w:t>5</w:t>
      </w:r>
      <w:r>
        <w:rPr>
          <w:rFonts w:ascii="Times New Roman" w:hAnsi="Times New Roman" w:eastAsia="宋体"/>
          <w:color w:val="auto"/>
          <w:highlight w:val="none"/>
          <w:u w:val="single"/>
        </w:rPr>
        <w:t>所示。</w:t>
      </w:r>
    </w:p>
    <w:p>
      <w:pPr>
        <w:tabs>
          <w:tab w:val="left" w:pos="1418"/>
        </w:tabs>
        <w:spacing w:line="240" w:lineRule="auto"/>
        <w:ind w:firstLine="0" w:firstLineChars="0"/>
        <w:jc w:val="center"/>
        <w:rPr>
          <w:rFonts w:ascii="Times New Roman" w:hAnsi="Times New Roman" w:eastAsia="宋体" w:cs="Times New Roman"/>
          <w:b/>
          <w:bCs/>
          <w:color w:val="auto"/>
          <w:highlight w:val="none"/>
          <w:u w:val="single"/>
        </w:rPr>
      </w:pPr>
    </w:p>
    <w:p>
      <w:pPr>
        <w:tabs>
          <w:tab w:val="left" w:pos="1418"/>
        </w:tabs>
        <w:spacing w:line="240" w:lineRule="auto"/>
        <w:ind w:firstLine="0" w:firstLineChars="0"/>
        <w:jc w:val="center"/>
        <w:rPr>
          <w:rFonts w:ascii="Times New Roman" w:hAnsi="Times New Roman" w:eastAsia="宋体" w:cs="Times New Roman"/>
          <w:b/>
          <w:bCs/>
          <w:color w:val="auto"/>
          <w:highlight w:val="none"/>
          <w:u w:val="single"/>
        </w:rPr>
      </w:pPr>
      <w:r>
        <w:rPr>
          <w:rFonts w:ascii="Times New Roman" w:hAnsi="Times New Roman" w:eastAsia="宋体" w:cs="Times New Roman"/>
          <w:b/>
          <w:bCs/>
          <w:color w:val="auto"/>
          <w:highlight w:val="none"/>
          <w:u w:val="single"/>
        </w:rPr>
        <w:t>表2.</w:t>
      </w:r>
      <w:r>
        <w:rPr>
          <w:rFonts w:hint="eastAsia" w:ascii="Times New Roman" w:hAnsi="Times New Roman" w:eastAsia="宋体" w:cs="Times New Roman"/>
          <w:b/>
          <w:bCs/>
          <w:color w:val="auto"/>
          <w:highlight w:val="none"/>
          <w:u w:val="single"/>
        </w:rPr>
        <w:t>2</w:t>
      </w:r>
      <w:r>
        <w:rPr>
          <w:rFonts w:ascii="Times New Roman" w:hAnsi="Times New Roman" w:eastAsia="宋体" w:cs="Times New Roman"/>
          <w:b/>
          <w:bCs/>
          <w:color w:val="auto"/>
          <w:highlight w:val="none"/>
          <w:u w:val="single"/>
        </w:rPr>
        <w:t>-</w:t>
      </w:r>
      <w:r>
        <w:rPr>
          <w:rFonts w:hint="eastAsia" w:ascii="Times New Roman" w:hAnsi="Times New Roman" w:eastAsia="宋体" w:cs="Times New Roman"/>
          <w:b/>
          <w:bCs/>
          <w:color w:val="auto"/>
          <w:highlight w:val="none"/>
          <w:u w:val="single"/>
          <w:lang w:val="en-US" w:eastAsia="zh-CN"/>
        </w:rPr>
        <w:t>5</w:t>
      </w:r>
      <w:r>
        <w:rPr>
          <w:rFonts w:ascii="Times New Roman" w:hAnsi="Times New Roman" w:eastAsia="宋体" w:cs="Times New Roman"/>
          <w:b/>
          <w:bCs/>
          <w:color w:val="auto"/>
          <w:highlight w:val="none"/>
          <w:u w:val="single"/>
        </w:rPr>
        <w:t xml:space="preserve"> </w:t>
      </w:r>
      <w:r>
        <w:rPr>
          <w:rFonts w:hint="eastAsia" w:ascii="Times New Roman" w:hAnsi="Times New Roman" w:eastAsia="宋体" w:cs="Times New Roman"/>
          <w:b/>
          <w:bCs/>
          <w:color w:val="auto"/>
          <w:highlight w:val="none"/>
          <w:u w:val="single"/>
          <w:lang w:val="en-US" w:eastAsia="zh-CN"/>
        </w:rPr>
        <w:t>原有项目</w:t>
      </w:r>
      <w:r>
        <w:rPr>
          <w:rFonts w:ascii="Times New Roman" w:hAnsi="Times New Roman" w:eastAsia="宋体" w:cs="Times New Roman"/>
          <w:b/>
          <w:bCs/>
          <w:color w:val="auto"/>
          <w:highlight w:val="none"/>
          <w:u w:val="single"/>
        </w:rPr>
        <w:t>产品方案一览表</w:t>
      </w:r>
    </w:p>
    <w:tbl>
      <w:tblPr>
        <w:tblStyle w:val="48"/>
        <w:tblW w:w="9071"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2286"/>
        <w:gridCol w:w="3476"/>
        <w:gridCol w:w="1902"/>
        <w:gridCol w:w="1407"/>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9071" w:type="dxa"/>
            <w:gridSpan w:val="4"/>
            <w:noWrap w:val="0"/>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hint="eastAsia" w:ascii="Times New Roman" w:hAnsi="Times New Roman" w:eastAsia="宋体"/>
                <w:b w:val="0"/>
                <w:bCs w:val="0"/>
                <w:color w:val="auto"/>
                <w:sz w:val="21"/>
                <w:szCs w:val="18"/>
                <w:highlight w:val="none"/>
                <w:u w:val="single"/>
              </w:rPr>
              <w:t>原海江采石场</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2286" w:type="dxa"/>
            <w:noWrap w:val="0"/>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产品名称</w:t>
            </w:r>
          </w:p>
        </w:tc>
        <w:tc>
          <w:tcPr>
            <w:tcW w:w="3476" w:type="dxa"/>
            <w:noWrap w:val="0"/>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规格</w:t>
            </w:r>
          </w:p>
        </w:tc>
        <w:tc>
          <w:tcPr>
            <w:tcW w:w="1902" w:type="dxa"/>
            <w:noWrap w:val="0"/>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产量</w:t>
            </w:r>
            <w:r>
              <w:rPr>
                <w:rFonts w:hint="eastAsia" w:ascii="Times New Roman" w:hAnsi="Times New Roman" w:eastAsia="宋体" w:cs="Times New Roman"/>
                <w:b w:val="0"/>
                <w:bCs w:val="0"/>
                <w:color w:val="auto"/>
                <w:sz w:val="21"/>
                <w:highlight w:val="none"/>
                <w:u w:val="single"/>
              </w:rPr>
              <w:t>（t/a）</w:t>
            </w:r>
          </w:p>
        </w:tc>
        <w:tc>
          <w:tcPr>
            <w:tcW w:w="1407" w:type="dxa"/>
            <w:noWrap w:val="0"/>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去向</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2286" w:type="dxa"/>
            <w:noWrap w:val="0"/>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碎石</w:t>
            </w:r>
          </w:p>
        </w:tc>
        <w:tc>
          <w:tcPr>
            <w:tcW w:w="3476" w:type="dxa"/>
            <w:noWrap w:val="0"/>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hint="eastAsia" w:ascii="Times New Roman" w:hAnsi="Times New Roman" w:eastAsia="宋体" w:cs="Times New Roman"/>
                <w:b w:val="0"/>
                <w:bCs w:val="0"/>
                <w:color w:val="auto"/>
                <w:sz w:val="21"/>
                <w:highlight w:val="none"/>
                <w:u w:val="single"/>
              </w:rPr>
              <w:t>2.0</w:t>
            </w:r>
            <w:r>
              <w:rPr>
                <w:rFonts w:ascii="Times New Roman" w:hAnsi="Times New Roman" w:eastAsia="宋体" w:cs="Times New Roman"/>
                <w:b w:val="0"/>
                <w:bCs w:val="0"/>
                <w:color w:val="auto"/>
                <w:sz w:val="21"/>
                <w:highlight w:val="none"/>
                <w:u w:val="single"/>
              </w:rPr>
              <w:t>~</w:t>
            </w:r>
            <w:r>
              <w:rPr>
                <w:rFonts w:hint="eastAsia" w:ascii="Times New Roman" w:hAnsi="Times New Roman" w:eastAsia="宋体" w:cs="Times New Roman"/>
                <w:b w:val="0"/>
                <w:bCs w:val="0"/>
                <w:color w:val="auto"/>
                <w:sz w:val="21"/>
                <w:highlight w:val="none"/>
                <w:u w:val="single"/>
              </w:rPr>
              <w:t>3.0cm</w:t>
            </w:r>
          </w:p>
        </w:tc>
        <w:tc>
          <w:tcPr>
            <w:tcW w:w="1902" w:type="dxa"/>
            <w:noWrap w:val="0"/>
            <w:vAlign w:val="center"/>
          </w:tcPr>
          <w:p>
            <w:pPr>
              <w:pStyle w:val="134"/>
              <w:widowControl w:val="0"/>
              <w:overflowPunct/>
              <w:autoSpaceDE/>
              <w:snapToGrid w:val="0"/>
              <w:spacing w:before="0" w:after="0" w:line="240" w:lineRule="auto"/>
              <w:ind w:firstLine="0" w:firstLineChars="0"/>
              <w:jc w:val="center"/>
              <w:rPr>
                <w:rFonts w:ascii="Times New Roman" w:hAnsi="Times New Roman" w:eastAsia="宋体" w:cs="Times New Roman"/>
                <w:b w:val="0"/>
                <w:bCs w:val="0"/>
                <w:color w:val="auto"/>
                <w:kern w:val="2"/>
                <w:sz w:val="21"/>
                <w:szCs w:val="21"/>
                <w:highlight w:val="none"/>
                <w:u w:val="single"/>
                <w:lang w:val="en-US" w:eastAsia="zh-CN"/>
              </w:rPr>
            </w:pPr>
            <w:r>
              <w:rPr>
                <w:rFonts w:hint="eastAsia" w:ascii="Times New Roman" w:hAnsi="Times New Roman" w:eastAsia="宋体" w:cs="Times New Roman"/>
                <w:b w:val="0"/>
                <w:bCs w:val="0"/>
                <w:color w:val="auto"/>
                <w:kern w:val="2"/>
                <w:sz w:val="21"/>
                <w:szCs w:val="21"/>
                <w:highlight w:val="none"/>
                <w:u w:val="single"/>
                <w:lang w:val="en-US" w:eastAsia="zh-CN"/>
              </w:rPr>
              <w:t>20000</w:t>
            </w:r>
          </w:p>
        </w:tc>
        <w:tc>
          <w:tcPr>
            <w:tcW w:w="1407" w:type="dxa"/>
            <w:noWrap w:val="0"/>
            <w:vAlign w:val="center"/>
          </w:tcPr>
          <w:p>
            <w:pPr>
              <w:pStyle w:val="134"/>
              <w:widowControl w:val="0"/>
              <w:overflowPunct/>
              <w:autoSpaceDE/>
              <w:snapToGrid w:val="0"/>
              <w:spacing w:before="0" w:after="0" w:line="240" w:lineRule="auto"/>
              <w:ind w:firstLine="0" w:firstLineChars="0"/>
              <w:jc w:val="center"/>
              <w:rPr>
                <w:rFonts w:ascii="Times New Roman" w:hAnsi="Times New Roman" w:eastAsia="宋体" w:cs="Times New Roman"/>
                <w:b w:val="0"/>
                <w:bCs w:val="0"/>
                <w:color w:val="auto"/>
                <w:kern w:val="2"/>
                <w:sz w:val="21"/>
                <w:szCs w:val="21"/>
                <w:highlight w:val="none"/>
                <w:u w:val="single"/>
                <w:lang w:val="en-US" w:eastAsia="zh-CN"/>
              </w:rPr>
            </w:pPr>
            <w:r>
              <w:rPr>
                <w:rFonts w:ascii="Times New Roman" w:hAnsi="Times New Roman" w:eastAsia="宋体" w:cs="Times New Roman"/>
                <w:b w:val="0"/>
                <w:bCs w:val="0"/>
                <w:color w:val="auto"/>
                <w:kern w:val="2"/>
                <w:sz w:val="21"/>
                <w:szCs w:val="21"/>
                <w:highlight w:val="none"/>
                <w:u w:val="single"/>
                <w:lang w:val="en-US" w:eastAsia="zh-CN"/>
              </w:rPr>
              <w:t>外卖</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2286" w:type="dxa"/>
            <w:noWrap w:val="0"/>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碎石</w:t>
            </w:r>
          </w:p>
        </w:tc>
        <w:tc>
          <w:tcPr>
            <w:tcW w:w="3476" w:type="dxa"/>
            <w:noWrap w:val="0"/>
            <w:vAlign w:val="center"/>
          </w:tcPr>
          <w:p>
            <w:pPr>
              <w:snapToGrid w:val="0"/>
              <w:spacing w:line="240" w:lineRule="auto"/>
              <w:ind w:firstLine="0" w:firstLineChars="0"/>
              <w:jc w:val="center"/>
              <w:rPr>
                <w:rFonts w:hint="eastAsia" w:ascii="Times New Roman" w:hAnsi="Times New Roman" w:eastAsia="宋体" w:cs="Times New Roman"/>
                <w:b w:val="0"/>
                <w:bCs w:val="0"/>
                <w:color w:val="auto"/>
                <w:sz w:val="21"/>
                <w:highlight w:val="none"/>
                <w:u w:val="single"/>
              </w:rPr>
            </w:pPr>
            <w:r>
              <w:rPr>
                <w:rFonts w:hint="eastAsia" w:ascii="Times New Roman" w:hAnsi="Times New Roman" w:eastAsia="宋体" w:cs="Times New Roman"/>
                <w:b w:val="0"/>
                <w:bCs w:val="0"/>
                <w:color w:val="auto"/>
                <w:sz w:val="21"/>
                <w:highlight w:val="none"/>
                <w:u w:val="single"/>
              </w:rPr>
              <w:t>1.0</w:t>
            </w:r>
            <w:r>
              <w:rPr>
                <w:rFonts w:ascii="Times New Roman" w:hAnsi="Times New Roman" w:eastAsia="宋体" w:cs="Times New Roman"/>
                <w:b w:val="0"/>
                <w:bCs w:val="0"/>
                <w:color w:val="auto"/>
                <w:sz w:val="21"/>
                <w:highlight w:val="none"/>
                <w:u w:val="single"/>
              </w:rPr>
              <w:t>~</w:t>
            </w:r>
            <w:r>
              <w:rPr>
                <w:rFonts w:hint="eastAsia" w:ascii="Times New Roman" w:hAnsi="Times New Roman" w:eastAsia="宋体" w:cs="Times New Roman"/>
                <w:b w:val="0"/>
                <w:bCs w:val="0"/>
                <w:color w:val="auto"/>
                <w:sz w:val="21"/>
                <w:highlight w:val="none"/>
                <w:u w:val="single"/>
              </w:rPr>
              <w:t>2.0cm</w:t>
            </w:r>
          </w:p>
        </w:tc>
        <w:tc>
          <w:tcPr>
            <w:tcW w:w="1902" w:type="dxa"/>
            <w:noWrap w:val="0"/>
            <w:vAlign w:val="center"/>
          </w:tcPr>
          <w:p>
            <w:pPr>
              <w:pStyle w:val="134"/>
              <w:widowControl w:val="0"/>
              <w:overflowPunct/>
              <w:autoSpaceDE/>
              <w:snapToGrid w:val="0"/>
              <w:spacing w:before="0" w:after="0" w:line="240" w:lineRule="auto"/>
              <w:ind w:firstLine="0" w:firstLineChars="0"/>
              <w:jc w:val="center"/>
              <w:rPr>
                <w:rFonts w:ascii="Times New Roman" w:hAnsi="Times New Roman" w:eastAsia="宋体" w:cs="Times New Roman"/>
                <w:b w:val="0"/>
                <w:bCs w:val="0"/>
                <w:color w:val="auto"/>
                <w:kern w:val="2"/>
                <w:sz w:val="21"/>
                <w:szCs w:val="21"/>
                <w:highlight w:val="none"/>
                <w:u w:val="single"/>
                <w:lang w:val="en-US" w:eastAsia="zh-CN"/>
              </w:rPr>
            </w:pPr>
            <w:r>
              <w:rPr>
                <w:rFonts w:hint="eastAsia" w:ascii="Times New Roman" w:hAnsi="Times New Roman" w:eastAsia="宋体" w:cs="Times New Roman"/>
                <w:b w:val="0"/>
                <w:bCs w:val="0"/>
                <w:color w:val="auto"/>
                <w:kern w:val="2"/>
                <w:sz w:val="21"/>
                <w:szCs w:val="21"/>
                <w:highlight w:val="none"/>
                <w:u w:val="single"/>
                <w:lang w:val="en-US" w:eastAsia="zh-CN"/>
              </w:rPr>
              <w:t>14031.5</w:t>
            </w:r>
          </w:p>
        </w:tc>
        <w:tc>
          <w:tcPr>
            <w:tcW w:w="1407" w:type="dxa"/>
            <w:noWrap w:val="0"/>
            <w:vAlign w:val="center"/>
          </w:tcPr>
          <w:p>
            <w:pPr>
              <w:pStyle w:val="134"/>
              <w:widowControl w:val="0"/>
              <w:overflowPunct/>
              <w:autoSpaceDE/>
              <w:snapToGrid w:val="0"/>
              <w:spacing w:before="0" w:after="0" w:line="240" w:lineRule="auto"/>
              <w:ind w:firstLine="0" w:firstLineChars="0"/>
              <w:jc w:val="center"/>
              <w:rPr>
                <w:rFonts w:ascii="Times New Roman" w:hAnsi="Times New Roman" w:eastAsia="宋体" w:cs="Times New Roman"/>
                <w:b w:val="0"/>
                <w:bCs w:val="0"/>
                <w:color w:val="auto"/>
                <w:kern w:val="2"/>
                <w:sz w:val="21"/>
                <w:szCs w:val="21"/>
                <w:highlight w:val="none"/>
                <w:u w:val="single"/>
                <w:lang w:val="en-US" w:eastAsia="zh-CN"/>
              </w:rPr>
            </w:pPr>
            <w:r>
              <w:rPr>
                <w:rFonts w:ascii="Times New Roman" w:hAnsi="Times New Roman" w:eastAsia="宋体" w:cs="Times New Roman"/>
                <w:b w:val="0"/>
                <w:bCs w:val="0"/>
                <w:color w:val="auto"/>
                <w:kern w:val="2"/>
                <w:sz w:val="21"/>
                <w:szCs w:val="21"/>
                <w:highlight w:val="none"/>
                <w:u w:val="single"/>
                <w:lang w:val="en-US" w:eastAsia="zh-CN"/>
              </w:rPr>
              <w:t>外卖</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2286" w:type="dxa"/>
            <w:noWrap w:val="0"/>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碎石</w:t>
            </w:r>
          </w:p>
        </w:tc>
        <w:tc>
          <w:tcPr>
            <w:tcW w:w="3476" w:type="dxa"/>
            <w:noWrap w:val="0"/>
            <w:vAlign w:val="center"/>
          </w:tcPr>
          <w:p>
            <w:pPr>
              <w:snapToGrid w:val="0"/>
              <w:spacing w:line="240" w:lineRule="auto"/>
              <w:ind w:firstLine="0" w:firstLineChars="0"/>
              <w:jc w:val="center"/>
              <w:rPr>
                <w:rFonts w:hint="eastAsia" w:ascii="Times New Roman" w:hAnsi="Times New Roman" w:eastAsia="宋体" w:cs="Times New Roman"/>
                <w:b w:val="0"/>
                <w:bCs w:val="0"/>
                <w:color w:val="auto"/>
                <w:sz w:val="21"/>
                <w:highlight w:val="none"/>
                <w:u w:val="single"/>
              </w:rPr>
            </w:pPr>
            <w:r>
              <w:rPr>
                <w:rFonts w:hint="eastAsia" w:ascii="Times New Roman" w:hAnsi="Times New Roman" w:eastAsia="宋体" w:cs="Times New Roman"/>
                <w:b w:val="0"/>
                <w:bCs w:val="0"/>
                <w:color w:val="auto"/>
                <w:sz w:val="21"/>
                <w:highlight w:val="none"/>
                <w:u w:val="single"/>
              </w:rPr>
              <w:t>0.5</w:t>
            </w:r>
            <w:r>
              <w:rPr>
                <w:rFonts w:ascii="Times New Roman" w:hAnsi="Times New Roman" w:eastAsia="宋体" w:cs="Times New Roman"/>
                <w:b w:val="0"/>
                <w:bCs w:val="0"/>
                <w:color w:val="auto"/>
                <w:sz w:val="21"/>
                <w:highlight w:val="none"/>
                <w:u w:val="single"/>
              </w:rPr>
              <w:t>~</w:t>
            </w:r>
            <w:r>
              <w:rPr>
                <w:rFonts w:hint="eastAsia" w:ascii="Times New Roman" w:hAnsi="Times New Roman" w:eastAsia="宋体" w:cs="Times New Roman"/>
                <w:b w:val="0"/>
                <w:bCs w:val="0"/>
                <w:color w:val="auto"/>
                <w:sz w:val="21"/>
                <w:highlight w:val="none"/>
                <w:u w:val="single"/>
              </w:rPr>
              <w:t>1.0cm</w:t>
            </w:r>
          </w:p>
        </w:tc>
        <w:tc>
          <w:tcPr>
            <w:tcW w:w="1902" w:type="dxa"/>
            <w:noWrap w:val="0"/>
            <w:vAlign w:val="center"/>
          </w:tcPr>
          <w:p>
            <w:pPr>
              <w:pStyle w:val="134"/>
              <w:widowControl w:val="0"/>
              <w:overflowPunct/>
              <w:autoSpaceDE/>
              <w:snapToGrid w:val="0"/>
              <w:spacing w:before="0" w:after="0" w:line="240" w:lineRule="auto"/>
              <w:ind w:firstLine="0" w:firstLineChars="0"/>
              <w:jc w:val="center"/>
              <w:rPr>
                <w:rFonts w:ascii="Times New Roman" w:hAnsi="Times New Roman" w:eastAsia="宋体" w:cs="Times New Roman"/>
                <w:b w:val="0"/>
                <w:bCs w:val="0"/>
                <w:color w:val="auto"/>
                <w:kern w:val="2"/>
                <w:sz w:val="21"/>
                <w:szCs w:val="21"/>
                <w:highlight w:val="none"/>
                <w:u w:val="single"/>
                <w:lang w:val="en-US" w:eastAsia="zh-CN"/>
              </w:rPr>
            </w:pPr>
            <w:r>
              <w:rPr>
                <w:rFonts w:hint="eastAsia" w:ascii="Times New Roman" w:hAnsi="Times New Roman" w:eastAsia="宋体" w:cs="Times New Roman"/>
                <w:b w:val="0"/>
                <w:bCs w:val="0"/>
                <w:color w:val="auto"/>
                <w:kern w:val="2"/>
                <w:sz w:val="21"/>
                <w:szCs w:val="21"/>
                <w:highlight w:val="none"/>
                <w:u w:val="single"/>
                <w:lang w:val="en-US" w:eastAsia="zh-CN"/>
              </w:rPr>
              <w:t>10000</w:t>
            </w:r>
          </w:p>
        </w:tc>
        <w:tc>
          <w:tcPr>
            <w:tcW w:w="1407" w:type="dxa"/>
            <w:noWrap w:val="0"/>
            <w:vAlign w:val="center"/>
          </w:tcPr>
          <w:p>
            <w:pPr>
              <w:pStyle w:val="134"/>
              <w:widowControl w:val="0"/>
              <w:overflowPunct/>
              <w:autoSpaceDE/>
              <w:snapToGrid w:val="0"/>
              <w:spacing w:before="0" w:after="0" w:line="240" w:lineRule="auto"/>
              <w:ind w:firstLine="0" w:firstLineChars="0"/>
              <w:jc w:val="center"/>
              <w:rPr>
                <w:rFonts w:ascii="Times New Roman" w:hAnsi="Times New Roman" w:eastAsia="宋体" w:cs="Times New Roman"/>
                <w:b w:val="0"/>
                <w:bCs w:val="0"/>
                <w:color w:val="auto"/>
                <w:kern w:val="2"/>
                <w:sz w:val="21"/>
                <w:szCs w:val="21"/>
                <w:highlight w:val="none"/>
                <w:u w:val="single"/>
                <w:lang w:val="en-US" w:eastAsia="zh-CN"/>
              </w:rPr>
            </w:pPr>
            <w:r>
              <w:rPr>
                <w:rFonts w:ascii="Times New Roman" w:hAnsi="Times New Roman" w:eastAsia="宋体" w:cs="Times New Roman"/>
                <w:b w:val="0"/>
                <w:bCs w:val="0"/>
                <w:color w:val="auto"/>
                <w:kern w:val="2"/>
                <w:sz w:val="21"/>
                <w:szCs w:val="21"/>
                <w:highlight w:val="none"/>
                <w:u w:val="single"/>
                <w:lang w:val="en-US" w:eastAsia="zh-CN"/>
              </w:rPr>
              <w:t>外卖</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2286" w:type="dxa"/>
            <w:noWrap w:val="0"/>
            <w:vAlign w:val="center"/>
          </w:tcPr>
          <w:p>
            <w:pPr>
              <w:snapToGrid w:val="0"/>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hint="eastAsia" w:ascii="Times New Roman" w:hAnsi="Times New Roman" w:eastAsia="宋体" w:cs="Times New Roman"/>
                <w:b w:val="0"/>
                <w:bCs w:val="0"/>
                <w:color w:val="auto"/>
                <w:sz w:val="21"/>
                <w:highlight w:val="none"/>
                <w:u w:val="single"/>
                <w:lang w:val="en-US" w:eastAsia="zh-CN"/>
              </w:rPr>
              <w:t>人工砂</w:t>
            </w:r>
          </w:p>
        </w:tc>
        <w:tc>
          <w:tcPr>
            <w:tcW w:w="3476" w:type="dxa"/>
            <w:noWrap w:val="0"/>
            <w:vAlign w:val="center"/>
          </w:tcPr>
          <w:p>
            <w:pPr>
              <w:snapToGrid w:val="0"/>
              <w:spacing w:line="240" w:lineRule="auto"/>
              <w:ind w:firstLine="0" w:firstLineChars="0"/>
              <w:jc w:val="center"/>
              <w:rPr>
                <w:rFonts w:hint="eastAsia" w:ascii="Times New Roman" w:hAnsi="Times New Roman" w:eastAsia="宋体" w:cs="Times New Roman"/>
                <w:b w:val="0"/>
                <w:bCs w:val="0"/>
                <w:color w:val="auto"/>
                <w:sz w:val="21"/>
                <w:highlight w:val="none"/>
                <w:u w:val="single"/>
              </w:rPr>
            </w:pPr>
            <w:r>
              <w:rPr>
                <w:rFonts w:hint="eastAsia" w:ascii="Times New Roman" w:hAnsi="Times New Roman" w:eastAsia="宋体" w:cs="Times New Roman"/>
                <w:b w:val="0"/>
                <w:bCs w:val="0"/>
                <w:color w:val="auto"/>
                <w:sz w:val="21"/>
                <w:highlight w:val="none"/>
                <w:u w:val="single"/>
              </w:rPr>
              <w:t>0</w:t>
            </w:r>
            <w:r>
              <w:rPr>
                <w:rFonts w:ascii="Times New Roman" w:hAnsi="Times New Roman" w:eastAsia="宋体" w:cs="Times New Roman"/>
                <w:b w:val="0"/>
                <w:bCs w:val="0"/>
                <w:color w:val="auto"/>
                <w:sz w:val="21"/>
                <w:highlight w:val="none"/>
                <w:u w:val="single"/>
              </w:rPr>
              <w:t>~</w:t>
            </w:r>
            <w:r>
              <w:rPr>
                <w:rFonts w:hint="eastAsia" w:ascii="Times New Roman" w:hAnsi="Times New Roman" w:eastAsia="宋体" w:cs="Times New Roman"/>
                <w:b w:val="0"/>
                <w:bCs w:val="0"/>
                <w:color w:val="auto"/>
                <w:sz w:val="21"/>
                <w:highlight w:val="none"/>
                <w:u w:val="single"/>
              </w:rPr>
              <w:t>0.5cm</w:t>
            </w:r>
          </w:p>
        </w:tc>
        <w:tc>
          <w:tcPr>
            <w:tcW w:w="1902" w:type="dxa"/>
            <w:noWrap w:val="0"/>
            <w:vAlign w:val="center"/>
          </w:tcPr>
          <w:p>
            <w:pPr>
              <w:pStyle w:val="134"/>
              <w:widowControl w:val="0"/>
              <w:overflowPunct/>
              <w:autoSpaceDE/>
              <w:snapToGrid w:val="0"/>
              <w:spacing w:before="0" w:after="0" w:line="240" w:lineRule="auto"/>
              <w:ind w:firstLine="0" w:firstLineChars="0"/>
              <w:jc w:val="center"/>
              <w:rPr>
                <w:rFonts w:ascii="Times New Roman" w:hAnsi="Times New Roman" w:eastAsia="宋体" w:cs="Times New Roman"/>
                <w:b w:val="0"/>
                <w:bCs w:val="0"/>
                <w:color w:val="auto"/>
                <w:kern w:val="2"/>
                <w:sz w:val="21"/>
                <w:szCs w:val="21"/>
                <w:highlight w:val="none"/>
                <w:u w:val="single"/>
                <w:lang w:val="en-US" w:eastAsia="zh-CN"/>
              </w:rPr>
            </w:pPr>
            <w:r>
              <w:rPr>
                <w:rFonts w:hint="eastAsia" w:ascii="Times New Roman" w:hAnsi="Times New Roman" w:eastAsia="宋体" w:cs="Times New Roman"/>
                <w:b w:val="0"/>
                <w:bCs w:val="0"/>
                <w:color w:val="auto"/>
                <w:kern w:val="2"/>
                <w:sz w:val="21"/>
                <w:szCs w:val="21"/>
                <w:highlight w:val="none"/>
                <w:u w:val="single"/>
                <w:lang w:val="en-US" w:eastAsia="zh-CN"/>
              </w:rPr>
              <w:t>5000</w:t>
            </w:r>
          </w:p>
        </w:tc>
        <w:tc>
          <w:tcPr>
            <w:tcW w:w="1407" w:type="dxa"/>
            <w:noWrap w:val="0"/>
            <w:vAlign w:val="center"/>
          </w:tcPr>
          <w:p>
            <w:pPr>
              <w:pStyle w:val="134"/>
              <w:widowControl w:val="0"/>
              <w:overflowPunct/>
              <w:autoSpaceDE/>
              <w:snapToGrid w:val="0"/>
              <w:spacing w:before="0" w:after="0" w:line="240" w:lineRule="auto"/>
              <w:ind w:firstLine="0" w:firstLineChars="0"/>
              <w:jc w:val="center"/>
              <w:rPr>
                <w:rFonts w:ascii="Times New Roman" w:hAnsi="Times New Roman" w:eastAsia="宋体" w:cs="Times New Roman"/>
                <w:b w:val="0"/>
                <w:bCs w:val="0"/>
                <w:color w:val="auto"/>
                <w:kern w:val="2"/>
                <w:sz w:val="21"/>
                <w:szCs w:val="21"/>
                <w:highlight w:val="none"/>
                <w:u w:val="single"/>
                <w:lang w:val="en-US" w:eastAsia="zh-CN"/>
              </w:rPr>
            </w:pPr>
            <w:r>
              <w:rPr>
                <w:rFonts w:ascii="Times New Roman" w:hAnsi="Times New Roman" w:eastAsia="宋体" w:cs="Times New Roman"/>
                <w:b w:val="0"/>
                <w:bCs w:val="0"/>
                <w:color w:val="auto"/>
                <w:kern w:val="2"/>
                <w:sz w:val="21"/>
                <w:szCs w:val="21"/>
                <w:highlight w:val="none"/>
                <w:u w:val="single"/>
                <w:lang w:val="en-US" w:eastAsia="zh-CN"/>
              </w:rPr>
              <w:t>外卖</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9071" w:type="dxa"/>
            <w:gridSpan w:val="4"/>
            <w:noWrap w:val="0"/>
            <w:vAlign w:val="center"/>
          </w:tcPr>
          <w:p>
            <w:pPr>
              <w:pStyle w:val="134"/>
              <w:widowControl w:val="0"/>
              <w:overflowPunct/>
              <w:autoSpaceDE/>
              <w:snapToGrid w:val="0"/>
              <w:spacing w:before="0" w:after="0" w:line="240" w:lineRule="auto"/>
              <w:ind w:firstLine="0" w:firstLineChars="0"/>
              <w:jc w:val="center"/>
              <w:rPr>
                <w:rFonts w:ascii="Times New Roman" w:hAnsi="Times New Roman" w:eastAsia="宋体" w:cs="Times New Roman"/>
                <w:b w:val="0"/>
                <w:bCs w:val="0"/>
                <w:color w:val="auto"/>
                <w:kern w:val="2"/>
                <w:sz w:val="21"/>
                <w:szCs w:val="21"/>
                <w:highlight w:val="none"/>
                <w:u w:val="single"/>
                <w:lang w:val="en-US" w:eastAsia="zh-CN"/>
              </w:rPr>
            </w:pPr>
            <w:r>
              <w:rPr>
                <w:rFonts w:hint="eastAsia" w:ascii="Times New Roman" w:hAnsi="Times New Roman" w:eastAsia="宋体" w:cs="Times New Roman"/>
                <w:b w:val="0"/>
                <w:bCs w:val="0"/>
                <w:color w:val="auto"/>
                <w:kern w:val="0"/>
                <w:sz w:val="21"/>
                <w:highlight w:val="none"/>
                <w:u w:val="single"/>
              </w:rPr>
              <w:t>原宏保兴采石场</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286" w:type="dxa"/>
            <w:noWrap w:val="0"/>
            <w:vAlign w:val="center"/>
          </w:tcPr>
          <w:p>
            <w:pPr>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产品名称</w:t>
            </w:r>
          </w:p>
        </w:tc>
        <w:tc>
          <w:tcPr>
            <w:tcW w:w="3476" w:type="dxa"/>
            <w:noWrap w:val="0"/>
            <w:vAlign w:val="center"/>
          </w:tcPr>
          <w:p>
            <w:pPr>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规格</w:t>
            </w:r>
          </w:p>
        </w:tc>
        <w:tc>
          <w:tcPr>
            <w:tcW w:w="1902" w:type="dxa"/>
            <w:noWrap w:val="0"/>
            <w:vAlign w:val="center"/>
          </w:tcPr>
          <w:p>
            <w:pPr>
              <w:spacing w:line="240" w:lineRule="auto"/>
              <w:ind w:firstLine="0" w:firstLineChars="0"/>
              <w:jc w:val="center"/>
              <w:rPr>
                <w:rFonts w:hint="eastAsia"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产量</w:t>
            </w:r>
            <w:r>
              <w:rPr>
                <w:rFonts w:hint="eastAsia" w:ascii="Times New Roman" w:hAnsi="Times New Roman" w:eastAsia="宋体" w:cs="Times New Roman"/>
                <w:b w:val="0"/>
                <w:bCs w:val="0"/>
                <w:color w:val="auto"/>
                <w:sz w:val="21"/>
                <w:highlight w:val="none"/>
                <w:u w:val="single"/>
              </w:rPr>
              <w:t>（</w:t>
            </w:r>
            <w:r>
              <w:rPr>
                <w:rFonts w:ascii="Times New Roman" w:hAnsi="Times New Roman" w:eastAsia="宋体" w:cs="Times New Roman"/>
                <w:b w:val="0"/>
                <w:bCs w:val="0"/>
                <w:color w:val="auto"/>
                <w:sz w:val="21"/>
                <w:highlight w:val="none"/>
                <w:u w:val="single"/>
              </w:rPr>
              <w:t>t/a</w:t>
            </w:r>
            <w:r>
              <w:rPr>
                <w:rFonts w:hint="eastAsia" w:ascii="Times New Roman" w:hAnsi="Times New Roman" w:eastAsia="宋体" w:cs="Times New Roman"/>
                <w:b w:val="0"/>
                <w:bCs w:val="0"/>
                <w:color w:val="auto"/>
                <w:sz w:val="21"/>
                <w:highlight w:val="none"/>
                <w:u w:val="single"/>
              </w:rPr>
              <w:t>）</w:t>
            </w:r>
          </w:p>
        </w:tc>
        <w:tc>
          <w:tcPr>
            <w:tcW w:w="1407" w:type="dxa"/>
            <w:noWrap w:val="0"/>
            <w:vAlign w:val="center"/>
          </w:tcPr>
          <w:p>
            <w:pPr>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去向</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286" w:type="dxa"/>
            <w:noWrap w:val="0"/>
            <w:vAlign w:val="center"/>
          </w:tcPr>
          <w:p>
            <w:pPr>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碎石</w:t>
            </w:r>
          </w:p>
        </w:tc>
        <w:tc>
          <w:tcPr>
            <w:tcW w:w="3476" w:type="dxa"/>
            <w:noWrap w:val="0"/>
            <w:vAlign w:val="center"/>
          </w:tcPr>
          <w:p>
            <w:pPr>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hint="eastAsia" w:ascii="Times New Roman" w:hAnsi="Times New Roman" w:eastAsia="宋体" w:cs="Times New Roman"/>
                <w:b w:val="0"/>
                <w:bCs w:val="0"/>
                <w:color w:val="auto"/>
                <w:sz w:val="21"/>
                <w:highlight w:val="none"/>
                <w:u w:val="single"/>
              </w:rPr>
              <w:t>2.0</w:t>
            </w:r>
            <w:r>
              <w:rPr>
                <w:rFonts w:ascii="Times New Roman" w:hAnsi="Times New Roman" w:eastAsia="宋体" w:cs="Times New Roman"/>
                <w:b w:val="0"/>
                <w:bCs w:val="0"/>
                <w:color w:val="auto"/>
                <w:sz w:val="21"/>
                <w:highlight w:val="none"/>
                <w:u w:val="single"/>
              </w:rPr>
              <w:t>~</w:t>
            </w:r>
            <w:r>
              <w:rPr>
                <w:rFonts w:hint="eastAsia" w:ascii="Times New Roman" w:hAnsi="Times New Roman" w:eastAsia="宋体" w:cs="Times New Roman"/>
                <w:b w:val="0"/>
                <w:bCs w:val="0"/>
                <w:color w:val="auto"/>
                <w:sz w:val="21"/>
                <w:highlight w:val="none"/>
                <w:u w:val="single"/>
              </w:rPr>
              <w:t>3.0cm</w:t>
            </w:r>
          </w:p>
        </w:tc>
        <w:tc>
          <w:tcPr>
            <w:tcW w:w="1902" w:type="dxa"/>
            <w:noWrap w:val="0"/>
            <w:vAlign w:val="center"/>
          </w:tcPr>
          <w:p>
            <w:pPr>
              <w:pStyle w:val="134"/>
              <w:widowControl w:val="0"/>
              <w:overflowPunct/>
              <w:autoSpaceDE/>
              <w:snapToGrid w:val="0"/>
              <w:spacing w:before="0" w:after="0" w:line="240" w:lineRule="auto"/>
              <w:ind w:firstLine="0" w:firstLineChars="0"/>
              <w:jc w:val="center"/>
              <w:rPr>
                <w:rFonts w:ascii="Times New Roman" w:hAnsi="Times New Roman" w:eastAsia="宋体" w:cs="Times New Roman"/>
                <w:b w:val="0"/>
                <w:bCs w:val="0"/>
                <w:color w:val="auto"/>
                <w:kern w:val="2"/>
                <w:sz w:val="21"/>
                <w:szCs w:val="21"/>
                <w:highlight w:val="none"/>
                <w:u w:val="single"/>
                <w:lang w:val="en-US" w:eastAsia="zh-CN"/>
              </w:rPr>
            </w:pPr>
            <w:r>
              <w:rPr>
                <w:rFonts w:hint="eastAsia" w:ascii="Times New Roman" w:hAnsi="Times New Roman" w:eastAsia="宋体" w:cs="Times New Roman"/>
                <w:b w:val="0"/>
                <w:bCs w:val="0"/>
                <w:color w:val="auto"/>
                <w:kern w:val="2"/>
                <w:sz w:val="21"/>
                <w:szCs w:val="21"/>
                <w:highlight w:val="none"/>
                <w:u w:val="single"/>
                <w:lang w:val="en-US" w:eastAsia="zh-CN"/>
              </w:rPr>
              <w:t>20000</w:t>
            </w:r>
          </w:p>
        </w:tc>
        <w:tc>
          <w:tcPr>
            <w:tcW w:w="1407" w:type="dxa"/>
            <w:noWrap w:val="0"/>
            <w:vAlign w:val="center"/>
          </w:tcPr>
          <w:p>
            <w:pPr>
              <w:pStyle w:val="134"/>
              <w:widowControl w:val="0"/>
              <w:overflowPunct/>
              <w:autoSpaceDE/>
              <w:snapToGrid w:val="0"/>
              <w:spacing w:before="0" w:after="0" w:line="240" w:lineRule="auto"/>
              <w:ind w:firstLine="0" w:firstLineChars="0"/>
              <w:jc w:val="center"/>
              <w:rPr>
                <w:rFonts w:ascii="Times New Roman" w:hAnsi="Times New Roman" w:eastAsia="宋体" w:cs="Times New Roman"/>
                <w:b w:val="0"/>
                <w:bCs w:val="0"/>
                <w:color w:val="auto"/>
                <w:kern w:val="2"/>
                <w:sz w:val="21"/>
                <w:szCs w:val="21"/>
                <w:highlight w:val="none"/>
                <w:u w:val="single"/>
                <w:lang w:val="en-US" w:eastAsia="zh-CN"/>
              </w:rPr>
            </w:pPr>
            <w:r>
              <w:rPr>
                <w:rFonts w:ascii="Times New Roman" w:hAnsi="Times New Roman" w:eastAsia="宋体" w:cs="Times New Roman"/>
                <w:b w:val="0"/>
                <w:bCs w:val="0"/>
                <w:color w:val="auto"/>
                <w:kern w:val="2"/>
                <w:sz w:val="21"/>
                <w:szCs w:val="21"/>
                <w:highlight w:val="none"/>
                <w:u w:val="single"/>
                <w:lang w:val="en-US" w:eastAsia="zh-CN"/>
              </w:rPr>
              <w:t>外卖</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286" w:type="dxa"/>
            <w:noWrap w:val="0"/>
            <w:vAlign w:val="center"/>
          </w:tcPr>
          <w:p>
            <w:pPr>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碎石</w:t>
            </w:r>
          </w:p>
        </w:tc>
        <w:tc>
          <w:tcPr>
            <w:tcW w:w="3476" w:type="dxa"/>
            <w:noWrap w:val="0"/>
            <w:vAlign w:val="center"/>
          </w:tcPr>
          <w:p>
            <w:pPr>
              <w:spacing w:line="240" w:lineRule="auto"/>
              <w:ind w:firstLine="0" w:firstLineChars="0"/>
              <w:jc w:val="center"/>
              <w:rPr>
                <w:rFonts w:hint="eastAsia" w:ascii="Times New Roman" w:hAnsi="Times New Roman" w:eastAsia="宋体" w:cs="Times New Roman"/>
                <w:b w:val="0"/>
                <w:bCs w:val="0"/>
                <w:color w:val="auto"/>
                <w:sz w:val="21"/>
                <w:highlight w:val="none"/>
                <w:u w:val="single"/>
              </w:rPr>
            </w:pPr>
            <w:r>
              <w:rPr>
                <w:rFonts w:hint="eastAsia" w:ascii="Times New Roman" w:hAnsi="Times New Roman" w:eastAsia="宋体" w:cs="Times New Roman"/>
                <w:b w:val="0"/>
                <w:bCs w:val="0"/>
                <w:color w:val="auto"/>
                <w:sz w:val="21"/>
                <w:highlight w:val="none"/>
                <w:u w:val="single"/>
              </w:rPr>
              <w:t>1.0</w:t>
            </w:r>
            <w:r>
              <w:rPr>
                <w:rFonts w:ascii="Times New Roman" w:hAnsi="Times New Roman" w:eastAsia="宋体" w:cs="Times New Roman"/>
                <w:b w:val="0"/>
                <w:bCs w:val="0"/>
                <w:color w:val="auto"/>
                <w:sz w:val="21"/>
                <w:highlight w:val="none"/>
                <w:u w:val="single"/>
              </w:rPr>
              <w:t>~</w:t>
            </w:r>
            <w:r>
              <w:rPr>
                <w:rFonts w:hint="eastAsia" w:ascii="Times New Roman" w:hAnsi="Times New Roman" w:eastAsia="宋体" w:cs="Times New Roman"/>
                <w:b w:val="0"/>
                <w:bCs w:val="0"/>
                <w:color w:val="auto"/>
                <w:sz w:val="21"/>
                <w:highlight w:val="none"/>
                <w:u w:val="single"/>
              </w:rPr>
              <w:t>2.0cm</w:t>
            </w:r>
          </w:p>
        </w:tc>
        <w:tc>
          <w:tcPr>
            <w:tcW w:w="1902" w:type="dxa"/>
            <w:noWrap w:val="0"/>
            <w:vAlign w:val="center"/>
          </w:tcPr>
          <w:p>
            <w:pPr>
              <w:pStyle w:val="134"/>
              <w:widowControl w:val="0"/>
              <w:overflowPunct/>
              <w:autoSpaceDE/>
              <w:snapToGrid w:val="0"/>
              <w:spacing w:before="0" w:after="0" w:line="240" w:lineRule="auto"/>
              <w:ind w:firstLine="0" w:firstLineChars="0"/>
              <w:jc w:val="center"/>
              <w:rPr>
                <w:rFonts w:ascii="Times New Roman" w:hAnsi="Times New Roman" w:eastAsia="宋体" w:cs="Times New Roman"/>
                <w:b w:val="0"/>
                <w:bCs w:val="0"/>
                <w:color w:val="auto"/>
                <w:kern w:val="2"/>
                <w:sz w:val="21"/>
                <w:szCs w:val="21"/>
                <w:highlight w:val="none"/>
                <w:u w:val="single"/>
                <w:lang w:val="en-US" w:eastAsia="zh-CN"/>
              </w:rPr>
            </w:pPr>
            <w:r>
              <w:rPr>
                <w:rFonts w:hint="eastAsia" w:ascii="Times New Roman" w:hAnsi="Times New Roman" w:eastAsia="宋体" w:cs="Times New Roman"/>
                <w:b w:val="0"/>
                <w:bCs w:val="0"/>
                <w:color w:val="auto"/>
                <w:kern w:val="2"/>
                <w:sz w:val="21"/>
                <w:szCs w:val="21"/>
                <w:highlight w:val="none"/>
                <w:u w:val="single"/>
                <w:lang w:val="en-US" w:eastAsia="zh-CN"/>
              </w:rPr>
              <w:t>14452.5</w:t>
            </w:r>
          </w:p>
        </w:tc>
        <w:tc>
          <w:tcPr>
            <w:tcW w:w="1407" w:type="dxa"/>
            <w:noWrap w:val="0"/>
            <w:vAlign w:val="center"/>
          </w:tcPr>
          <w:p>
            <w:pPr>
              <w:pStyle w:val="134"/>
              <w:widowControl w:val="0"/>
              <w:overflowPunct/>
              <w:autoSpaceDE/>
              <w:snapToGrid w:val="0"/>
              <w:spacing w:before="0" w:after="0" w:line="240" w:lineRule="auto"/>
              <w:ind w:firstLine="0" w:firstLineChars="0"/>
              <w:jc w:val="center"/>
              <w:rPr>
                <w:rFonts w:ascii="Times New Roman" w:hAnsi="Times New Roman" w:eastAsia="宋体" w:cs="Times New Roman"/>
                <w:b w:val="0"/>
                <w:bCs w:val="0"/>
                <w:color w:val="auto"/>
                <w:kern w:val="2"/>
                <w:sz w:val="21"/>
                <w:szCs w:val="21"/>
                <w:highlight w:val="none"/>
                <w:u w:val="single"/>
                <w:lang w:val="en-US" w:eastAsia="zh-CN"/>
              </w:rPr>
            </w:pPr>
            <w:r>
              <w:rPr>
                <w:rFonts w:ascii="Times New Roman" w:hAnsi="Times New Roman" w:eastAsia="宋体" w:cs="Times New Roman"/>
                <w:b w:val="0"/>
                <w:bCs w:val="0"/>
                <w:color w:val="auto"/>
                <w:kern w:val="2"/>
                <w:sz w:val="21"/>
                <w:szCs w:val="21"/>
                <w:highlight w:val="none"/>
                <w:u w:val="single"/>
                <w:lang w:val="en-US" w:eastAsia="zh-CN"/>
              </w:rPr>
              <w:t>外卖</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286" w:type="dxa"/>
            <w:noWrap w:val="0"/>
            <w:vAlign w:val="center"/>
          </w:tcPr>
          <w:p>
            <w:pPr>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碎石</w:t>
            </w:r>
          </w:p>
        </w:tc>
        <w:tc>
          <w:tcPr>
            <w:tcW w:w="3476" w:type="dxa"/>
            <w:noWrap w:val="0"/>
            <w:vAlign w:val="center"/>
          </w:tcPr>
          <w:p>
            <w:pPr>
              <w:spacing w:line="240" w:lineRule="auto"/>
              <w:ind w:firstLine="0" w:firstLineChars="0"/>
              <w:jc w:val="center"/>
              <w:rPr>
                <w:rFonts w:hint="eastAsia" w:ascii="Times New Roman" w:hAnsi="Times New Roman" w:eastAsia="宋体" w:cs="Times New Roman"/>
                <w:b w:val="0"/>
                <w:bCs w:val="0"/>
                <w:color w:val="auto"/>
                <w:sz w:val="21"/>
                <w:highlight w:val="none"/>
                <w:u w:val="single"/>
              </w:rPr>
            </w:pPr>
            <w:r>
              <w:rPr>
                <w:rFonts w:hint="eastAsia" w:ascii="Times New Roman" w:hAnsi="Times New Roman" w:eastAsia="宋体" w:cs="Times New Roman"/>
                <w:b w:val="0"/>
                <w:bCs w:val="0"/>
                <w:color w:val="auto"/>
                <w:sz w:val="21"/>
                <w:highlight w:val="none"/>
                <w:u w:val="single"/>
              </w:rPr>
              <w:t>0.5</w:t>
            </w:r>
            <w:r>
              <w:rPr>
                <w:rFonts w:ascii="Times New Roman" w:hAnsi="Times New Roman" w:eastAsia="宋体" w:cs="Times New Roman"/>
                <w:b w:val="0"/>
                <w:bCs w:val="0"/>
                <w:color w:val="auto"/>
                <w:sz w:val="21"/>
                <w:highlight w:val="none"/>
                <w:u w:val="single"/>
              </w:rPr>
              <w:t>~</w:t>
            </w:r>
            <w:r>
              <w:rPr>
                <w:rFonts w:hint="eastAsia" w:ascii="Times New Roman" w:hAnsi="Times New Roman" w:eastAsia="宋体" w:cs="Times New Roman"/>
                <w:b w:val="0"/>
                <w:bCs w:val="0"/>
                <w:color w:val="auto"/>
                <w:sz w:val="21"/>
                <w:highlight w:val="none"/>
                <w:u w:val="single"/>
              </w:rPr>
              <w:t>1.0cm</w:t>
            </w:r>
          </w:p>
        </w:tc>
        <w:tc>
          <w:tcPr>
            <w:tcW w:w="1902" w:type="dxa"/>
            <w:noWrap w:val="0"/>
            <w:vAlign w:val="center"/>
          </w:tcPr>
          <w:p>
            <w:pPr>
              <w:pStyle w:val="134"/>
              <w:widowControl w:val="0"/>
              <w:overflowPunct/>
              <w:autoSpaceDE/>
              <w:snapToGrid w:val="0"/>
              <w:spacing w:before="0" w:after="0" w:line="240" w:lineRule="auto"/>
              <w:ind w:firstLine="0" w:firstLineChars="0"/>
              <w:jc w:val="center"/>
              <w:rPr>
                <w:rFonts w:ascii="Times New Roman" w:hAnsi="Times New Roman" w:eastAsia="宋体" w:cs="Times New Roman"/>
                <w:b w:val="0"/>
                <w:bCs w:val="0"/>
                <w:color w:val="auto"/>
                <w:kern w:val="2"/>
                <w:sz w:val="21"/>
                <w:szCs w:val="21"/>
                <w:highlight w:val="none"/>
                <w:u w:val="single"/>
                <w:lang w:val="en-US" w:eastAsia="zh-CN"/>
              </w:rPr>
            </w:pPr>
            <w:r>
              <w:rPr>
                <w:rFonts w:hint="eastAsia" w:ascii="Times New Roman" w:hAnsi="Times New Roman" w:eastAsia="宋体" w:cs="Times New Roman"/>
                <w:b w:val="0"/>
                <w:bCs w:val="0"/>
                <w:color w:val="auto"/>
                <w:kern w:val="2"/>
                <w:sz w:val="21"/>
                <w:szCs w:val="21"/>
                <w:highlight w:val="none"/>
                <w:u w:val="single"/>
                <w:lang w:val="en-US" w:eastAsia="zh-CN"/>
              </w:rPr>
              <w:t>10000</w:t>
            </w:r>
          </w:p>
        </w:tc>
        <w:tc>
          <w:tcPr>
            <w:tcW w:w="1407" w:type="dxa"/>
            <w:noWrap w:val="0"/>
            <w:vAlign w:val="center"/>
          </w:tcPr>
          <w:p>
            <w:pPr>
              <w:pStyle w:val="134"/>
              <w:widowControl w:val="0"/>
              <w:overflowPunct/>
              <w:autoSpaceDE/>
              <w:snapToGrid w:val="0"/>
              <w:spacing w:before="0" w:after="0" w:line="240" w:lineRule="auto"/>
              <w:ind w:firstLine="0" w:firstLineChars="0"/>
              <w:jc w:val="center"/>
              <w:rPr>
                <w:rFonts w:ascii="Times New Roman" w:hAnsi="Times New Roman" w:eastAsia="宋体" w:cs="Times New Roman"/>
                <w:b w:val="0"/>
                <w:bCs w:val="0"/>
                <w:color w:val="auto"/>
                <w:kern w:val="2"/>
                <w:sz w:val="21"/>
                <w:szCs w:val="21"/>
                <w:highlight w:val="none"/>
                <w:u w:val="single"/>
                <w:lang w:val="en-US" w:eastAsia="zh-CN"/>
              </w:rPr>
            </w:pPr>
            <w:r>
              <w:rPr>
                <w:rFonts w:ascii="Times New Roman" w:hAnsi="Times New Roman" w:eastAsia="宋体" w:cs="Times New Roman"/>
                <w:b w:val="0"/>
                <w:bCs w:val="0"/>
                <w:color w:val="auto"/>
                <w:kern w:val="2"/>
                <w:sz w:val="21"/>
                <w:szCs w:val="21"/>
                <w:highlight w:val="none"/>
                <w:u w:val="single"/>
                <w:lang w:val="en-US" w:eastAsia="zh-CN"/>
              </w:rPr>
              <w:t>外卖</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286" w:type="dxa"/>
            <w:noWrap w:val="0"/>
            <w:vAlign w:val="center"/>
          </w:tcPr>
          <w:p>
            <w:pPr>
              <w:spacing w:line="240" w:lineRule="auto"/>
              <w:ind w:firstLine="0" w:firstLineChars="0"/>
              <w:jc w:val="center"/>
              <w:rPr>
                <w:rFonts w:ascii="Times New Roman" w:hAnsi="Times New Roman" w:eastAsia="宋体" w:cs="Times New Roman"/>
                <w:b w:val="0"/>
                <w:bCs w:val="0"/>
                <w:color w:val="auto"/>
                <w:sz w:val="21"/>
                <w:highlight w:val="none"/>
                <w:u w:val="single"/>
              </w:rPr>
            </w:pPr>
            <w:r>
              <w:rPr>
                <w:rFonts w:ascii="Times New Roman" w:hAnsi="Times New Roman" w:eastAsia="宋体" w:cs="Times New Roman"/>
                <w:b w:val="0"/>
                <w:bCs w:val="0"/>
                <w:color w:val="auto"/>
                <w:sz w:val="21"/>
                <w:highlight w:val="none"/>
                <w:u w:val="single"/>
              </w:rPr>
              <w:t>石粉</w:t>
            </w:r>
          </w:p>
        </w:tc>
        <w:tc>
          <w:tcPr>
            <w:tcW w:w="3476" w:type="dxa"/>
            <w:noWrap w:val="0"/>
            <w:vAlign w:val="center"/>
          </w:tcPr>
          <w:p>
            <w:pPr>
              <w:spacing w:line="240" w:lineRule="auto"/>
              <w:ind w:firstLine="0" w:firstLineChars="0"/>
              <w:jc w:val="center"/>
              <w:rPr>
                <w:rFonts w:hint="eastAsia" w:ascii="Times New Roman" w:hAnsi="Times New Roman" w:eastAsia="宋体" w:cs="Times New Roman"/>
                <w:b w:val="0"/>
                <w:bCs w:val="0"/>
                <w:color w:val="auto"/>
                <w:sz w:val="21"/>
                <w:highlight w:val="none"/>
                <w:u w:val="single"/>
              </w:rPr>
            </w:pPr>
            <w:r>
              <w:rPr>
                <w:rFonts w:hint="eastAsia" w:ascii="Times New Roman" w:hAnsi="Times New Roman" w:eastAsia="宋体" w:cs="Times New Roman"/>
                <w:b w:val="0"/>
                <w:bCs w:val="0"/>
                <w:color w:val="auto"/>
                <w:sz w:val="21"/>
                <w:highlight w:val="none"/>
                <w:u w:val="single"/>
              </w:rPr>
              <w:t>0</w:t>
            </w:r>
            <w:r>
              <w:rPr>
                <w:rFonts w:ascii="Times New Roman" w:hAnsi="Times New Roman" w:eastAsia="宋体" w:cs="Times New Roman"/>
                <w:b w:val="0"/>
                <w:bCs w:val="0"/>
                <w:color w:val="auto"/>
                <w:sz w:val="21"/>
                <w:highlight w:val="none"/>
                <w:u w:val="single"/>
              </w:rPr>
              <w:t>~</w:t>
            </w:r>
            <w:r>
              <w:rPr>
                <w:rFonts w:hint="eastAsia" w:ascii="Times New Roman" w:hAnsi="Times New Roman" w:eastAsia="宋体" w:cs="Times New Roman"/>
                <w:b w:val="0"/>
                <w:bCs w:val="0"/>
                <w:color w:val="auto"/>
                <w:sz w:val="21"/>
                <w:highlight w:val="none"/>
                <w:u w:val="single"/>
              </w:rPr>
              <w:t>0.5cm</w:t>
            </w:r>
          </w:p>
        </w:tc>
        <w:tc>
          <w:tcPr>
            <w:tcW w:w="1902" w:type="dxa"/>
            <w:noWrap w:val="0"/>
            <w:vAlign w:val="center"/>
          </w:tcPr>
          <w:p>
            <w:pPr>
              <w:pStyle w:val="134"/>
              <w:widowControl w:val="0"/>
              <w:overflowPunct/>
              <w:autoSpaceDE/>
              <w:snapToGrid w:val="0"/>
              <w:spacing w:before="0" w:after="0" w:line="240" w:lineRule="auto"/>
              <w:ind w:firstLine="0" w:firstLineChars="0"/>
              <w:jc w:val="center"/>
              <w:rPr>
                <w:rFonts w:ascii="Times New Roman" w:hAnsi="Times New Roman" w:eastAsia="宋体" w:cs="Times New Roman"/>
                <w:b w:val="0"/>
                <w:bCs w:val="0"/>
                <w:color w:val="auto"/>
                <w:kern w:val="2"/>
                <w:sz w:val="21"/>
                <w:szCs w:val="21"/>
                <w:highlight w:val="none"/>
                <w:u w:val="single"/>
                <w:lang w:val="en-US" w:eastAsia="zh-CN"/>
              </w:rPr>
            </w:pPr>
            <w:r>
              <w:rPr>
                <w:rFonts w:hint="eastAsia" w:ascii="Times New Roman" w:hAnsi="Times New Roman" w:eastAsia="宋体" w:cs="Times New Roman"/>
                <w:b w:val="0"/>
                <w:bCs w:val="0"/>
                <w:color w:val="auto"/>
                <w:kern w:val="2"/>
                <w:sz w:val="21"/>
                <w:szCs w:val="21"/>
                <w:highlight w:val="none"/>
                <w:u w:val="single"/>
                <w:lang w:val="en-US" w:eastAsia="zh-CN"/>
              </w:rPr>
              <w:t>5000</w:t>
            </w:r>
          </w:p>
        </w:tc>
        <w:tc>
          <w:tcPr>
            <w:tcW w:w="1407" w:type="dxa"/>
            <w:noWrap w:val="0"/>
            <w:vAlign w:val="center"/>
          </w:tcPr>
          <w:p>
            <w:pPr>
              <w:pStyle w:val="134"/>
              <w:widowControl w:val="0"/>
              <w:overflowPunct/>
              <w:autoSpaceDE/>
              <w:snapToGrid w:val="0"/>
              <w:spacing w:before="0" w:after="0" w:line="240" w:lineRule="auto"/>
              <w:ind w:firstLine="0" w:firstLineChars="0"/>
              <w:jc w:val="center"/>
              <w:rPr>
                <w:rFonts w:ascii="Times New Roman" w:hAnsi="Times New Roman" w:eastAsia="宋体" w:cs="Times New Roman"/>
                <w:b w:val="0"/>
                <w:bCs w:val="0"/>
                <w:color w:val="auto"/>
                <w:kern w:val="2"/>
                <w:sz w:val="21"/>
                <w:szCs w:val="21"/>
                <w:highlight w:val="none"/>
                <w:u w:val="single"/>
                <w:lang w:val="en-US" w:eastAsia="zh-CN"/>
              </w:rPr>
            </w:pPr>
            <w:r>
              <w:rPr>
                <w:rFonts w:ascii="Times New Roman" w:hAnsi="Times New Roman" w:eastAsia="宋体" w:cs="Times New Roman"/>
                <w:b w:val="0"/>
                <w:bCs w:val="0"/>
                <w:color w:val="auto"/>
                <w:kern w:val="2"/>
                <w:sz w:val="21"/>
                <w:szCs w:val="21"/>
                <w:highlight w:val="none"/>
                <w:u w:val="single"/>
                <w:lang w:val="en-US" w:eastAsia="zh-CN"/>
              </w:rPr>
              <w:t>外卖</w:t>
            </w:r>
          </w:p>
        </w:tc>
      </w:tr>
    </w:tbl>
    <w:p>
      <w:pPr>
        <w:pStyle w:val="5"/>
        <w:bidi w:val="0"/>
        <w:rPr>
          <w:color w:val="auto"/>
          <w:highlight w:val="none"/>
          <w:u w:val="single"/>
        </w:rPr>
      </w:pPr>
      <w:r>
        <w:rPr>
          <w:color w:val="auto"/>
          <w:highlight w:val="none"/>
          <w:u w:val="single"/>
        </w:rPr>
        <w:t>2.</w:t>
      </w:r>
      <w:r>
        <w:rPr>
          <w:rFonts w:hint="eastAsia"/>
          <w:color w:val="auto"/>
          <w:highlight w:val="none"/>
          <w:u w:val="single"/>
        </w:rPr>
        <w:t>2</w:t>
      </w:r>
      <w:r>
        <w:rPr>
          <w:color w:val="auto"/>
          <w:highlight w:val="none"/>
          <w:u w:val="single"/>
        </w:rPr>
        <w:t xml:space="preserve">.5 </w:t>
      </w:r>
      <w:r>
        <w:rPr>
          <w:rFonts w:hint="eastAsia"/>
          <w:color w:val="auto"/>
          <w:highlight w:val="none"/>
          <w:u w:val="single"/>
          <w:lang w:val="en-US" w:eastAsia="zh-CN"/>
        </w:rPr>
        <w:t>原有项目</w:t>
      </w:r>
      <w:r>
        <w:rPr>
          <w:color w:val="auto"/>
          <w:highlight w:val="none"/>
          <w:u w:val="single"/>
        </w:rPr>
        <w:t>总平面布置</w:t>
      </w:r>
    </w:p>
    <w:p>
      <w:pPr>
        <w:ind w:firstLine="480"/>
        <w:rPr>
          <w:rFonts w:ascii="Times New Roman" w:hAnsi="Times New Roman" w:eastAsia="宋体" w:cs="Times New Roman"/>
          <w:color w:val="auto"/>
          <w:highlight w:val="none"/>
          <w:u w:val="single"/>
        </w:rPr>
      </w:pPr>
      <w:r>
        <w:rPr>
          <w:rFonts w:hint="eastAsia" w:ascii="Times New Roman" w:hAnsi="Times New Roman" w:eastAsia="宋体"/>
          <w:color w:val="auto"/>
          <w:highlight w:val="none"/>
          <w:u w:val="single"/>
        </w:rPr>
        <w:t>原海江采石场</w:t>
      </w:r>
      <w:r>
        <w:rPr>
          <w:rFonts w:hint="eastAsia" w:ascii="Times New Roman" w:hAnsi="Times New Roman" w:eastAsia="宋体" w:cs="Times New Roman"/>
          <w:color w:val="auto"/>
          <w:highlight w:val="none"/>
          <w:u w:val="single"/>
        </w:rPr>
        <w:t>矿区内设置1个开采面，开采面位于矿区西面，</w:t>
      </w:r>
      <w:r>
        <w:rPr>
          <w:rFonts w:ascii="Times New Roman" w:hAnsi="Times New Roman" w:eastAsia="宋体" w:cs="Times New Roman"/>
          <w:color w:val="auto"/>
          <w:highlight w:val="none"/>
          <w:u w:val="single"/>
        </w:rPr>
        <w:t>开采过程呈流水线布设，矿山</w:t>
      </w:r>
      <w:r>
        <w:rPr>
          <w:rFonts w:hint="eastAsia" w:ascii="Times New Roman" w:hAnsi="Times New Roman" w:eastAsia="宋体" w:cs="Times New Roman"/>
          <w:color w:val="auto"/>
          <w:highlight w:val="none"/>
          <w:u w:val="single"/>
        </w:rPr>
        <w:t>自东向西</w:t>
      </w:r>
      <w:r>
        <w:rPr>
          <w:rFonts w:ascii="Times New Roman" w:hAnsi="Times New Roman" w:eastAsia="宋体" w:cs="Times New Roman"/>
          <w:color w:val="auto"/>
          <w:highlight w:val="none"/>
          <w:u w:val="single"/>
        </w:rPr>
        <w:t>开拓，破碎</w:t>
      </w:r>
      <w:r>
        <w:rPr>
          <w:rFonts w:hint="eastAsia" w:ascii="Times New Roman" w:hAnsi="Times New Roman" w:eastAsia="宋体" w:cs="Times New Roman"/>
          <w:color w:val="auto"/>
          <w:highlight w:val="none"/>
          <w:u w:val="single"/>
        </w:rPr>
        <w:t>设备布置在矿区东面靠近矿区边界的位置</w:t>
      </w:r>
      <w:r>
        <w:rPr>
          <w:rFonts w:ascii="Times New Roman" w:hAnsi="Times New Roman" w:eastAsia="宋体" w:cs="Times New Roman"/>
          <w:color w:val="auto"/>
          <w:highlight w:val="none"/>
          <w:u w:val="single"/>
        </w:rPr>
        <w:t>，破碎生产线呈</w:t>
      </w:r>
      <w:r>
        <w:rPr>
          <w:rFonts w:hint="eastAsia" w:ascii="Times New Roman" w:hAnsi="Times New Roman" w:eastAsia="宋体" w:cs="Times New Roman"/>
          <w:color w:val="auto"/>
          <w:highlight w:val="none"/>
          <w:u w:val="single"/>
        </w:rPr>
        <w:t>北</w:t>
      </w:r>
      <w:r>
        <w:rPr>
          <w:rFonts w:ascii="Times New Roman" w:hAnsi="Times New Roman" w:eastAsia="宋体" w:cs="Times New Roman"/>
          <w:color w:val="auto"/>
          <w:highlight w:val="none"/>
          <w:u w:val="single"/>
        </w:rPr>
        <w:t>向</w:t>
      </w:r>
      <w:r>
        <w:rPr>
          <w:rFonts w:hint="eastAsia" w:ascii="Times New Roman" w:hAnsi="Times New Roman" w:eastAsia="宋体" w:cs="Times New Roman"/>
          <w:color w:val="auto"/>
          <w:highlight w:val="none"/>
          <w:u w:val="single"/>
        </w:rPr>
        <w:t>南</w:t>
      </w:r>
      <w:r>
        <w:rPr>
          <w:rFonts w:ascii="Times New Roman" w:hAnsi="Times New Roman" w:eastAsia="宋体" w:cs="Times New Roman"/>
          <w:color w:val="auto"/>
          <w:highlight w:val="none"/>
          <w:u w:val="single"/>
        </w:rPr>
        <w:t>走向，堆料场靠近筛分传送带，</w:t>
      </w:r>
      <w:r>
        <w:rPr>
          <w:rFonts w:hint="eastAsia" w:ascii="Times New Roman" w:hAnsi="Times New Roman" w:eastAsia="宋体" w:cs="Times New Roman"/>
          <w:color w:val="auto"/>
          <w:highlight w:val="none"/>
          <w:u w:val="single"/>
        </w:rPr>
        <w:t>临时排土场</w:t>
      </w:r>
      <w:r>
        <w:rPr>
          <w:rFonts w:ascii="Times New Roman" w:hAnsi="Times New Roman" w:eastAsia="宋体" w:cs="Times New Roman"/>
          <w:color w:val="auto"/>
          <w:highlight w:val="none"/>
          <w:u w:val="single"/>
        </w:rPr>
        <w:t>位于矿区</w:t>
      </w:r>
      <w:r>
        <w:rPr>
          <w:rFonts w:hint="eastAsia" w:ascii="Times New Roman" w:hAnsi="Times New Roman" w:eastAsia="宋体" w:cs="Times New Roman"/>
          <w:color w:val="auto"/>
          <w:highlight w:val="none"/>
          <w:u w:val="single"/>
        </w:rPr>
        <w:t>中部</w:t>
      </w:r>
      <w:r>
        <w:rPr>
          <w:rFonts w:ascii="Times New Roman" w:hAnsi="Times New Roman" w:eastAsia="宋体" w:cs="Times New Roman"/>
          <w:color w:val="auto"/>
          <w:highlight w:val="none"/>
          <w:u w:val="single"/>
        </w:rPr>
        <w:t>，</w:t>
      </w:r>
      <w:r>
        <w:rPr>
          <w:rFonts w:hint="eastAsia" w:ascii="Times New Roman" w:hAnsi="Times New Roman" w:eastAsia="宋体" w:cs="Times New Roman"/>
          <w:color w:val="auto"/>
          <w:highlight w:val="none"/>
          <w:u w:val="single"/>
        </w:rPr>
        <w:t>洗砂区位于矿区南面，</w:t>
      </w:r>
      <w:r>
        <w:rPr>
          <w:rFonts w:ascii="Times New Roman" w:hAnsi="Times New Roman" w:eastAsia="宋体" w:cs="Times New Roman"/>
          <w:color w:val="auto"/>
          <w:highlight w:val="none"/>
          <w:u w:val="single"/>
        </w:rPr>
        <w:t>办公生活区位于矿区东</w:t>
      </w:r>
      <w:r>
        <w:rPr>
          <w:rFonts w:hint="eastAsia" w:ascii="Times New Roman" w:hAnsi="Times New Roman" w:eastAsia="宋体" w:cs="Times New Roman"/>
          <w:color w:val="auto"/>
          <w:highlight w:val="none"/>
          <w:u w:val="single"/>
        </w:rPr>
        <w:t>南角</w:t>
      </w:r>
      <w:r>
        <w:rPr>
          <w:rFonts w:ascii="Times New Roman" w:hAnsi="Times New Roman" w:eastAsia="宋体" w:cs="Times New Roman"/>
          <w:color w:val="auto"/>
          <w:highlight w:val="none"/>
          <w:u w:val="single"/>
        </w:rPr>
        <w:t>，靠近矿山</w:t>
      </w:r>
      <w:r>
        <w:rPr>
          <w:rFonts w:hint="eastAsia" w:ascii="Times New Roman" w:hAnsi="Times New Roman" w:eastAsia="宋体" w:cs="Times New Roman"/>
          <w:color w:val="auto"/>
          <w:highlight w:val="none"/>
          <w:u w:val="single"/>
        </w:rPr>
        <w:t>进口</w:t>
      </w:r>
      <w:r>
        <w:rPr>
          <w:rFonts w:ascii="Times New Roman" w:hAnsi="Times New Roman" w:eastAsia="宋体" w:cs="Times New Roman"/>
          <w:color w:val="auto"/>
          <w:highlight w:val="none"/>
          <w:u w:val="single"/>
        </w:rPr>
        <w:t>。</w:t>
      </w:r>
    </w:p>
    <w:p>
      <w:pPr>
        <w:ind w:firstLine="480"/>
        <w:rPr>
          <w:rFonts w:ascii="Times New Roman" w:hAnsi="Times New Roman" w:eastAsia="宋体" w:cs="Times New Roman"/>
          <w:color w:val="auto"/>
          <w:highlight w:val="none"/>
          <w:u w:val="single"/>
        </w:rPr>
      </w:pPr>
      <w:r>
        <w:rPr>
          <w:rFonts w:hint="eastAsia" w:ascii="Times New Roman" w:hAnsi="Times New Roman" w:eastAsia="宋体" w:cs="Times New Roman"/>
          <w:bCs/>
          <w:color w:val="auto"/>
          <w:szCs w:val="24"/>
          <w:highlight w:val="none"/>
          <w:u w:val="single"/>
        </w:rPr>
        <w:t>原</w:t>
      </w:r>
      <w:r>
        <w:rPr>
          <w:rFonts w:hint="eastAsia" w:ascii="Times New Roman" w:hAnsi="Times New Roman" w:eastAsia="宋体"/>
          <w:color w:val="auto"/>
          <w:highlight w:val="none"/>
          <w:u w:val="single"/>
        </w:rPr>
        <w:t>宏保兴采石场</w:t>
      </w:r>
      <w:r>
        <w:rPr>
          <w:rFonts w:hint="eastAsia" w:ascii="Times New Roman" w:hAnsi="Times New Roman" w:eastAsia="宋体"/>
          <w:color w:val="auto"/>
          <w:highlight w:val="none"/>
          <w:u w:val="single"/>
          <w:lang w:val="en-US" w:eastAsia="zh-CN"/>
        </w:rPr>
        <w:t>自</w:t>
      </w:r>
      <w:r>
        <w:rPr>
          <w:rFonts w:hint="eastAsia" w:ascii="Times New Roman" w:hAnsi="Times New Roman" w:eastAsia="宋体"/>
          <w:color w:val="auto"/>
          <w:highlight w:val="none"/>
          <w:u w:val="single"/>
        </w:rPr>
        <w:t>2013年11月申请变更矿区范围</w:t>
      </w:r>
      <w:r>
        <w:rPr>
          <w:rFonts w:hint="eastAsia" w:ascii="Times New Roman" w:hAnsi="Times New Roman" w:eastAsia="宋体"/>
          <w:color w:val="auto"/>
          <w:highlight w:val="none"/>
          <w:u w:val="single"/>
          <w:lang w:val="en-US" w:eastAsia="zh-CN"/>
        </w:rPr>
        <w:t>后，其实际开采作业面仍为A采区，B采区尚未开采。</w:t>
      </w:r>
      <w:r>
        <w:rPr>
          <w:rFonts w:hint="eastAsia" w:ascii="Times New Roman" w:hAnsi="Times New Roman" w:eastAsia="宋体" w:cs="Times New Roman"/>
          <w:bCs/>
          <w:color w:val="auto"/>
          <w:szCs w:val="24"/>
          <w:highlight w:val="none"/>
          <w:u w:val="single"/>
        </w:rPr>
        <w:t>原</w:t>
      </w:r>
      <w:r>
        <w:rPr>
          <w:rFonts w:hint="eastAsia" w:ascii="Times New Roman" w:hAnsi="Times New Roman" w:eastAsia="宋体" w:cs="Times New Roman"/>
          <w:color w:val="auto"/>
          <w:highlight w:val="none"/>
          <w:u w:val="single"/>
        </w:rPr>
        <w:t>宏保兴采石场矿区内设置1个开采面，开采面位于矿区南面，</w:t>
      </w:r>
      <w:r>
        <w:rPr>
          <w:rFonts w:ascii="Times New Roman" w:hAnsi="Times New Roman" w:eastAsia="宋体" w:cs="Times New Roman"/>
          <w:color w:val="auto"/>
          <w:highlight w:val="none"/>
          <w:u w:val="single"/>
        </w:rPr>
        <w:t>开采过程呈流水线布设，矿山</w:t>
      </w:r>
      <w:r>
        <w:rPr>
          <w:rFonts w:hint="eastAsia" w:ascii="Times New Roman" w:hAnsi="Times New Roman" w:eastAsia="宋体" w:cs="Times New Roman"/>
          <w:color w:val="auto"/>
          <w:highlight w:val="none"/>
          <w:u w:val="single"/>
        </w:rPr>
        <w:t>自南向北</w:t>
      </w:r>
      <w:r>
        <w:rPr>
          <w:rFonts w:ascii="Times New Roman" w:hAnsi="Times New Roman" w:eastAsia="宋体" w:cs="Times New Roman"/>
          <w:color w:val="auto"/>
          <w:highlight w:val="none"/>
          <w:u w:val="single"/>
        </w:rPr>
        <w:t>开拓，破碎</w:t>
      </w:r>
      <w:r>
        <w:rPr>
          <w:rFonts w:hint="eastAsia" w:ascii="Times New Roman" w:hAnsi="Times New Roman" w:eastAsia="宋体" w:cs="Times New Roman"/>
          <w:color w:val="auto"/>
          <w:highlight w:val="none"/>
          <w:u w:val="single"/>
        </w:rPr>
        <w:t>设备布置在矿区中部</w:t>
      </w:r>
      <w:r>
        <w:rPr>
          <w:rFonts w:ascii="Times New Roman" w:hAnsi="Times New Roman" w:eastAsia="宋体" w:cs="Times New Roman"/>
          <w:color w:val="auto"/>
          <w:highlight w:val="none"/>
          <w:u w:val="single"/>
        </w:rPr>
        <w:t>，破碎生产线呈</w:t>
      </w:r>
      <w:r>
        <w:rPr>
          <w:rFonts w:hint="eastAsia" w:ascii="Times New Roman" w:hAnsi="Times New Roman" w:eastAsia="宋体" w:cs="Times New Roman"/>
          <w:color w:val="auto"/>
          <w:highlight w:val="none"/>
          <w:u w:val="single"/>
        </w:rPr>
        <w:t>北西</w:t>
      </w:r>
      <w:r>
        <w:rPr>
          <w:rFonts w:ascii="Times New Roman" w:hAnsi="Times New Roman" w:eastAsia="宋体" w:cs="Times New Roman"/>
          <w:color w:val="auto"/>
          <w:highlight w:val="none"/>
          <w:u w:val="single"/>
        </w:rPr>
        <w:t>向</w:t>
      </w:r>
      <w:r>
        <w:rPr>
          <w:rFonts w:hint="eastAsia" w:ascii="Times New Roman" w:hAnsi="Times New Roman" w:eastAsia="宋体" w:cs="Times New Roman"/>
          <w:color w:val="auto"/>
          <w:highlight w:val="none"/>
          <w:u w:val="single"/>
        </w:rPr>
        <w:t>南东</w:t>
      </w:r>
      <w:r>
        <w:rPr>
          <w:rFonts w:ascii="Times New Roman" w:hAnsi="Times New Roman" w:eastAsia="宋体" w:cs="Times New Roman"/>
          <w:color w:val="auto"/>
          <w:highlight w:val="none"/>
          <w:u w:val="single"/>
        </w:rPr>
        <w:t>走向，堆料场靠近筛分传送带，临时</w:t>
      </w:r>
      <w:r>
        <w:rPr>
          <w:rFonts w:hint="eastAsia" w:ascii="Times New Roman" w:hAnsi="Times New Roman" w:eastAsia="宋体" w:cs="Times New Roman"/>
          <w:color w:val="auto"/>
          <w:highlight w:val="none"/>
          <w:u w:val="single"/>
        </w:rPr>
        <w:t>排</w:t>
      </w:r>
      <w:r>
        <w:rPr>
          <w:rFonts w:ascii="Times New Roman" w:hAnsi="Times New Roman" w:eastAsia="宋体" w:cs="Times New Roman"/>
          <w:color w:val="auto"/>
          <w:highlight w:val="none"/>
          <w:u w:val="single"/>
        </w:rPr>
        <w:t>土场位于矿区</w:t>
      </w:r>
      <w:r>
        <w:rPr>
          <w:rFonts w:hint="eastAsia" w:ascii="Times New Roman" w:hAnsi="Times New Roman" w:eastAsia="宋体" w:cs="Times New Roman"/>
          <w:color w:val="auto"/>
          <w:highlight w:val="none"/>
          <w:u w:val="single"/>
        </w:rPr>
        <w:t>西</w:t>
      </w:r>
      <w:r>
        <w:rPr>
          <w:rFonts w:ascii="Times New Roman" w:hAnsi="Times New Roman" w:eastAsia="宋体" w:cs="Times New Roman"/>
          <w:color w:val="auto"/>
          <w:highlight w:val="none"/>
          <w:u w:val="single"/>
        </w:rPr>
        <w:t>面，办公生活区位于矿区</w:t>
      </w:r>
      <w:r>
        <w:rPr>
          <w:rFonts w:hint="eastAsia" w:ascii="Times New Roman" w:hAnsi="Times New Roman" w:eastAsia="宋体" w:cs="Times New Roman"/>
          <w:color w:val="auto"/>
          <w:highlight w:val="none"/>
          <w:u w:val="single"/>
        </w:rPr>
        <w:t>西南</w:t>
      </w:r>
      <w:r>
        <w:rPr>
          <w:rFonts w:ascii="Times New Roman" w:hAnsi="Times New Roman" w:eastAsia="宋体" w:cs="Times New Roman"/>
          <w:color w:val="auto"/>
          <w:highlight w:val="none"/>
          <w:u w:val="single"/>
        </w:rPr>
        <w:t>面，靠近矿山</w:t>
      </w:r>
      <w:r>
        <w:rPr>
          <w:rFonts w:hint="eastAsia" w:ascii="Times New Roman" w:hAnsi="Times New Roman" w:eastAsia="宋体" w:cs="Times New Roman"/>
          <w:color w:val="auto"/>
          <w:highlight w:val="none"/>
          <w:u w:val="single"/>
        </w:rPr>
        <w:t>进口</w:t>
      </w:r>
      <w:r>
        <w:rPr>
          <w:rFonts w:ascii="Times New Roman" w:hAnsi="Times New Roman" w:eastAsia="宋体" w:cs="Times New Roman"/>
          <w:color w:val="auto"/>
          <w:highlight w:val="none"/>
          <w:u w:val="single"/>
        </w:rPr>
        <w:t>，</w:t>
      </w:r>
      <w:r>
        <w:rPr>
          <w:rFonts w:hint="eastAsia" w:ascii="Times New Roman" w:hAnsi="Times New Roman" w:eastAsia="宋体" w:cs="Times New Roman"/>
          <w:bCs/>
          <w:color w:val="auto"/>
          <w:szCs w:val="24"/>
          <w:highlight w:val="none"/>
          <w:u w:val="single"/>
        </w:rPr>
        <w:t>原</w:t>
      </w:r>
      <w:r>
        <w:rPr>
          <w:rFonts w:hint="eastAsia" w:ascii="Times New Roman" w:hAnsi="Times New Roman" w:eastAsia="宋体" w:cs="Times New Roman"/>
          <w:color w:val="auto"/>
          <w:highlight w:val="none"/>
          <w:u w:val="single"/>
        </w:rPr>
        <w:t>宏保兴采石场</w:t>
      </w:r>
      <w:r>
        <w:rPr>
          <w:rFonts w:ascii="Times New Roman" w:hAnsi="Times New Roman" w:eastAsia="宋体" w:cs="Times New Roman"/>
          <w:color w:val="auto"/>
          <w:highlight w:val="none"/>
          <w:u w:val="single"/>
        </w:rPr>
        <w:t>总平面布设见附图2。</w:t>
      </w:r>
    </w:p>
    <w:p>
      <w:pPr>
        <w:pStyle w:val="5"/>
        <w:bidi w:val="0"/>
        <w:rPr>
          <w:color w:val="auto"/>
          <w:highlight w:val="none"/>
          <w:u w:val="single"/>
        </w:rPr>
      </w:pPr>
      <w:r>
        <w:rPr>
          <w:color w:val="auto"/>
          <w:highlight w:val="none"/>
          <w:u w:val="single"/>
        </w:rPr>
        <w:t>2.</w:t>
      </w:r>
      <w:r>
        <w:rPr>
          <w:rFonts w:hint="eastAsia"/>
          <w:color w:val="auto"/>
          <w:highlight w:val="none"/>
          <w:u w:val="single"/>
        </w:rPr>
        <w:t>2</w:t>
      </w:r>
      <w:r>
        <w:rPr>
          <w:color w:val="auto"/>
          <w:highlight w:val="none"/>
          <w:u w:val="single"/>
        </w:rPr>
        <w:t xml:space="preserve">.6 </w:t>
      </w:r>
      <w:r>
        <w:rPr>
          <w:rFonts w:hint="eastAsia"/>
          <w:color w:val="auto"/>
          <w:highlight w:val="none"/>
          <w:u w:val="single"/>
          <w:lang w:val="en-US" w:eastAsia="zh-CN"/>
        </w:rPr>
        <w:t>原有项目</w:t>
      </w:r>
      <w:r>
        <w:rPr>
          <w:color w:val="auto"/>
          <w:highlight w:val="none"/>
          <w:u w:val="single"/>
        </w:rPr>
        <w:t>劳动定员及工作制度</w:t>
      </w:r>
    </w:p>
    <w:p>
      <w:pPr>
        <w:ind w:firstLine="480"/>
        <w:rPr>
          <w:color w:val="auto"/>
          <w:highlight w:val="none"/>
          <w:u w:val="single"/>
        </w:rPr>
      </w:pPr>
      <w:r>
        <w:rPr>
          <w:rFonts w:hint="eastAsia"/>
          <w:color w:val="auto"/>
          <w:highlight w:val="none"/>
          <w:u w:val="single"/>
          <w:lang w:val="en-US" w:eastAsia="zh-CN"/>
        </w:rPr>
        <w:t>原有项目</w:t>
      </w:r>
      <w:r>
        <w:rPr>
          <w:rFonts w:ascii="Times New Roman" w:hAnsi="Times New Roman" w:eastAsia="宋体"/>
          <w:color w:val="auto"/>
          <w:highlight w:val="none"/>
          <w:u w:val="single"/>
        </w:rPr>
        <w:t>劳动定员劳动定员及工作制度</w:t>
      </w:r>
      <w:r>
        <w:rPr>
          <w:rFonts w:hint="eastAsia" w:ascii="Times New Roman" w:hAnsi="Times New Roman" w:eastAsia="宋体"/>
          <w:color w:val="auto"/>
          <w:highlight w:val="none"/>
          <w:u w:val="single"/>
          <w:lang w:val="en-US" w:eastAsia="zh-CN"/>
        </w:rPr>
        <w:t>见表2.2-6</w:t>
      </w:r>
      <w:r>
        <w:rPr>
          <w:color w:val="auto"/>
          <w:highlight w:val="none"/>
          <w:u w:val="single"/>
        </w:rPr>
        <w:t>。</w:t>
      </w:r>
    </w:p>
    <w:p>
      <w:pPr>
        <w:tabs>
          <w:tab w:val="left" w:pos="1418"/>
        </w:tabs>
        <w:spacing w:line="240" w:lineRule="auto"/>
        <w:ind w:firstLine="0" w:firstLineChars="0"/>
        <w:jc w:val="center"/>
        <w:rPr>
          <w:rFonts w:ascii="Times New Roman" w:hAnsi="Times New Roman" w:eastAsia="宋体" w:cs="Times New Roman"/>
          <w:b/>
          <w:bCs/>
          <w:color w:val="auto"/>
          <w:highlight w:val="none"/>
          <w:u w:val="single"/>
        </w:rPr>
      </w:pPr>
      <w:r>
        <w:rPr>
          <w:rFonts w:ascii="Times New Roman" w:hAnsi="Times New Roman" w:eastAsia="宋体" w:cs="Times New Roman"/>
          <w:b/>
          <w:bCs/>
          <w:color w:val="auto"/>
          <w:highlight w:val="none"/>
          <w:u w:val="single"/>
        </w:rPr>
        <w:t>表2.</w:t>
      </w:r>
      <w:r>
        <w:rPr>
          <w:rFonts w:hint="eastAsia" w:ascii="Times New Roman" w:hAnsi="Times New Roman" w:eastAsia="宋体" w:cs="Times New Roman"/>
          <w:b/>
          <w:bCs/>
          <w:color w:val="auto"/>
          <w:highlight w:val="none"/>
          <w:u w:val="single"/>
        </w:rPr>
        <w:t>2</w:t>
      </w:r>
      <w:r>
        <w:rPr>
          <w:rFonts w:ascii="Times New Roman" w:hAnsi="Times New Roman" w:eastAsia="宋体" w:cs="Times New Roman"/>
          <w:b/>
          <w:bCs/>
          <w:color w:val="auto"/>
          <w:highlight w:val="none"/>
          <w:u w:val="single"/>
        </w:rPr>
        <w:t>-</w:t>
      </w:r>
      <w:r>
        <w:rPr>
          <w:rFonts w:hint="eastAsia" w:ascii="Times New Roman" w:hAnsi="Times New Roman" w:eastAsia="宋体" w:cs="Times New Roman"/>
          <w:b/>
          <w:bCs/>
          <w:color w:val="auto"/>
          <w:highlight w:val="none"/>
          <w:u w:val="single"/>
        </w:rPr>
        <w:t>6</w:t>
      </w:r>
      <w:r>
        <w:rPr>
          <w:rFonts w:ascii="Times New Roman" w:hAnsi="Times New Roman" w:eastAsia="宋体" w:cs="Times New Roman"/>
          <w:b/>
          <w:bCs/>
          <w:color w:val="auto"/>
          <w:highlight w:val="none"/>
          <w:u w:val="single"/>
        </w:rPr>
        <w:t xml:space="preserve"> </w:t>
      </w:r>
      <w:r>
        <w:rPr>
          <w:rFonts w:hint="eastAsia" w:ascii="Times New Roman" w:hAnsi="Times New Roman" w:eastAsia="宋体" w:cs="Times New Roman"/>
          <w:b/>
          <w:bCs/>
          <w:color w:val="auto"/>
          <w:highlight w:val="none"/>
          <w:u w:val="single"/>
          <w:lang w:val="en-US" w:eastAsia="zh-CN"/>
        </w:rPr>
        <w:t>原有项目</w:t>
      </w:r>
      <w:r>
        <w:rPr>
          <w:rFonts w:ascii="Times New Roman" w:hAnsi="Times New Roman" w:eastAsia="宋体" w:cs="Times New Roman"/>
          <w:b/>
          <w:bCs/>
          <w:color w:val="auto"/>
          <w:highlight w:val="none"/>
          <w:u w:val="single"/>
        </w:rPr>
        <w:t>劳动定员劳动定员及工作制度一览表</w:t>
      </w:r>
    </w:p>
    <w:tbl>
      <w:tblPr>
        <w:tblStyle w:val="48"/>
        <w:tblW w:w="9071"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917"/>
        <w:gridCol w:w="2130"/>
        <w:gridCol w:w="1680"/>
        <w:gridCol w:w="4344"/>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917" w:type="dxa"/>
            <w:noWrap w:val="0"/>
            <w:vAlign w:val="center"/>
          </w:tcPr>
          <w:p>
            <w:pPr>
              <w:snapToGrid w:val="0"/>
              <w:spacing w:line="240" w:lineRule="auto"/>
              <w:ind w:firstLine="0" w:firstLineChars="0"/>
              <w:jc w:val="center"/>
              <w:rPr>
                <w:rFonts w:hint="eastAsia" w:ascii="Times New Roman" w:hAnsi="Times New Roman" w:eastAsia="宋体" w:cs="Times New Roman"/>
                <w:b w:val="0"/>
                <w:bCs w:val="0"/>
                <w:color w:val="auto"/>
                <w:sz w:val="21"/>
                <w:szCs w:val="21"/>
                <w:highlight w:val="none"/>
                <w:u w:val="single"/>
                <w:lang w:eastAsia="zh-CN"/>
              </w:rPr>
            </w:pPr>
            <w:r>
              <w:rPr>
                <w:rFonts w:hint="eastAsia" w:ascii="Times New Roman" w:hAnsi="Times New Roman" w:eastAsia="宋体" w:cs="Times New Roman"/>
                <w:b w:val="0"/>
                <w:bCs w:val="0"/>
                <w:color w:val="auto"/>
                <w:sz w:val="21"/>
                <w:szCs w:val="21"/>
                <w:highlight w:val="none"/>
                <w:u w:val="single"/>
                <w:lang w:val="en-US" w:eastAsia="zh-CN"/>
              </w:rPr>
              <w:t>序号</w:t>
            </w:r>
          </w:p>
        </w:tc>
        <w:tc>
          <w:tcPr>
            <w:tcW w:w="2130" w:type="dxa"/>
            <w:noWrap w:val="0"/>
            <w:vAlign w:val="center"/>
          </w:tcPr>
          <w:p>
            <w:pPr>
              <w:snapToGrid w:val="0"/>
              <w:spacing w:line="240" w:lineRule="auto"/>
              <w:ind w:firstLine="0" w:firstLineChars="0"/>
              <w:jc w:val="center"/>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原有矿区名称</w:t>
            </w:r>
          </w:p>
        </w:tc>
        <w:tc>
          <w:tcPr>
            <w:tcW w:w="1680" w:type="dxa"/>
            <w:noWrap w:val="0"/>
            <w:vAlign w:val="center"/>
          </w:tcPr>
          <w:p>
            <w:pPr>
              <w:snapToGrid w:val="0"/>
              <w:spacing w:line="240" w:lineRule="auto"/>
              <w:ind w:firstLine="0" w:firstLineChars="0"/>
              <w:jc w:val="center"/>
              <w:rPr>
                <w:rFonts w:ascii="Times New Roman" w:hAnsi="Times New Roman" w:eastAsia="宋体" w:cs="Times New Roman"/>
                <w:b w:val="0"/>
                <w:bCs w:val="0"/>
                <w:color w:val="auto"/>
                <w:sz w:val="21"/>
                <w:szCs w:val="21"/>
                <w:highlight w:val="none"/>
                <w:u w:val="single"/>
              </w:rPr>
            </w:pPr>
            <w:r>
              <w:rPr>
                <w:rFonts w:hint="eastAsia" w:ascii="Times New Roman" w:hAnsi="Times New Roman" w:eastAsia="宋体" w:cs="Times New Roman"/>
                <w:b w:val="0"/>
                <w:bCs w:val="0"/>
                <w:color w:val="auto"/>
                <w:sz w:val="21"/>
                <w:szCs w:val="21"/>
                <w:highlight w:val="none"/>
                <w:u w:val="single"/>
                <w:lang w:val="en-US" w:eastAsia="zh-CN"/>
              </w:rPr>
              <w:t>人员数量</w:t>
            </w:r>
            <w:r>
              <w:rPr>
                <w:rFonts w:hint="eastAsia" w:ascii="Times New Roman" w:hAnsi="Times New Roman" w:eastAsia="宋体" w:cs="Times New Roman"/>
                <w:b w:val="0"/>
                <w:bCs w:val="0"/>
                <w:color w:val="auto"/>
                <w:sz w:val="21"/>
                <w:szCs w:val="21"/>
                <w:highlight w:val="none"/>
                <w:u w:val="single"/>
              </w:rPr>
              <w:t>（</w:t>
            </w:r>
            <w:r>
              <w:rPr>
                <w:rFonts w:hint="eastAsia" w:ascii="Times New Roman" w:hAnsi="Times New Roman" w:eastAsia="宋体" w:cs="Times New Roman"/>
                <w:b w:val="0"/>
                <w:bCs w:val="0"/>
                <w:color w:val="auto"/>
                <w:sz w:val="21"/>
                <w:szCs w:val="21"/>
                <w:highlight w:val="none"/>
                <w:u w:val="single"/>
                <w:lang w:val="en-US" w:eastAsia="zh-CN"/>
              </w:rPr>
              <w:t>人</w:t>
            </w:r>
            <w:r>
              <w:rPr>
                <w:rFonts w:hint="eastAsia" w:ascii="Times New Roman" w:hAnsi="Times New Roman" w:eastAsia="宋体" w:cs="Times New Roman"/>
                <w:b w:val="0"/>
                <w:bCs w:val="0"/>
                <w:color w:val="auto"/>
                <w:sz w:val="21"/>
                <w:szCs w:val="21"/>
                <w:highlight w:val="none"/>
                <w:u w:val="single"/>
              </w:rPr>
              <w:t>）</w:t>
            </w:r>
          </w:p>
        </w:tc>
        <w:tc>
          <w:tcPr>
            <w:tcW w:w="4344" w:type="dxa"/>
            <w:noWrap w:val="0"/>
            <w:vAlign w:val="center"/>
          </w:tcPr>
          <w:p>
            <w:pPr>
              <w:snapToGrid w:val="0"/>
              <w:spacing w:line="240" w:lineRule="auto"/>
              <w:ind w:firstLine="0" w:firstLineChars="0"/>
              <w:jc w:val="center"/>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工作制度</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917" w:type="dxa"/>
            <w:noWrap w:val="0"/>
            <w:vAlign w:val="center"/>
          </w:tcPr>
          <w:p>
            <w:pPr>
              <w:snapToGrid w:val="0"/>
              <w:spacing w:line="240" w:lineRule="auto"/>
              <w:ind w:firstLine="0" w:firstLineChars="0"/>
              <w:jc w:val="center"/>
              <w:rPr>
                <w:rFonts w:hint="eastAsia" w:ascii="Times New Roman" w:hAnsi="Times New Roman" w:eastAsia="宋体" w:cs="Times New Roman"/>
                <w:b w:val="0"/>
                <w:bCs w:val="0"/>
                <w:color w:val="auto"/>
                <w:sz w:val="21"/>
                <w:szCs w:val="21"/>
                <w:highlight w:val="none"/>
                <w:u w:val="single"/>
                <w:lang w:eastAsia="zh-CN"/>
              </w:rPr>
            </w:pPr>
            <w:r>
              <w:rPr>
                <w:rFonts w:hint="eastAsia" w:ascii="Times New Roman" w:hAnsi="Times New Roman" w:eastAsia="宋体" w:cs="Times New Roman"/>
                <w:b w:val="0"/>
                <w:bCs w:val="0"/>
                <w:color w:val="auto"/>
                <w:sz w:val="21"/>
                <w:szCs w:val="21"/>
                <w:highlight w:val="none"/>
                <w:u w:val="single"/>
                <w:lang w:eastAsia="zh-CN"/>
              </w:rPr>
              <w:t>1</w:t>
            </w:r>
          </w:p>
        </w:tc>
        <w:tc>
          <w:tcPr>
            <w:tcW w:w="2130" w:type="dxa"/>
            <w:noWrap w:val="0"/>
            <w:vAlign w:val="center"/>
          </w:tcPr>
          <w:p>
            <w:pPr>
              <w:snapToGrid w:val="0"/>
              <w:spacing w:line="240" w:lineRule="auto"/>
              <w:ind w:firstLine="0" w:firstLineChars="0"/>
              <w:jc w:val="center"/>
              <w:rPr>
                <w:rFonts w:ascii="Times New Roman" w:hAnsi="Times New Roman" w:eastAsia="宋体" w:cs="Times New Roman"/>
                <w:b w:val="0"/>
                <w:bCs w:val="0"/>
                <w:color w:val="auto"/>
                <w:sz w:val="21"/>
                <w:szCs w:val="21"/>
                <w:highlight w:val="none"/>
                <w:u w:val="single"/>
              </w:rPr>
            </w:pPr>
            <w:r>
              <w:rPr>
                <w:rFonts w:hint="eastAsia" w:ascii="Times New Roman" w:hAnsi="Times New Roman" w:eastAsia="宋体"/>
                <w:b w:val="0"/>
                <w:bCs w:val="0"/>
                <w:color w:val="auto"/>
                <w:sz w:val="21"/>
                <w:szCs w:val="21"/>
                <w:highlight w:val="none"/>
                <w:u w:val="single"/>
              </w:rPr>
              <w:t>原海江采石场</w:t>
            </w:r>
          </w:p>
        </w:tc>
        <w:tc>
          <w:tcPr>
            <w:tcW w:w="1680" w:type="dxa"/>
            <w:noWrap w:val="0"/>
            <w:vAlign w:val="center"/>
          </w:tcPr>
          <w:p>
            <w:pPr>
              <w:pStyle w:val="134"/>
              <w:widowControl w:val="0"/>
              <w:overflowPunct/>
              <w:autoSpaceDE/>
              <w:snapToGrid w:val="0"/>
              <w:spacing w:before="0" w:after="0"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lang w:val="en-US" w:eastAsia="zh-CN"/>
              </w:rPr>
            </w:pPr>
            <w:r>
              <w:rPr>
                <w:rFonts w:hint="eastAsia" w:ascii="Times New Roman" w:hAnsi="Times New Roman" w:eastAsia="宋体" w:cs="Times New Roman"/>
                <w:b w:val="0"/>
                <w:bCs w:val="0"/>
                <w:color w:val="auto"/>
                <w:kern w:val="2"/>
                <w:sz w:val="21"/>
                <w:szCs w:val="21"/>
                <w:highlight w:val="none"/>
                <w:u w:val="single"/>
                <w:lang w:val="en-US" w:eastAsia="zh-CN"/>
              </w:rPr>
              <w:t>15</w:t>
            </w:r>
          </w:p>
        </w:tc>
        <w:tc>
          <w:tcPr>
            <w:tcW w:w="4344" w:type="dxa"/>
            <w:noWrap w:val="0"/>
            <w:vAlign w:val="center"/>
          </w:tcPr>
          <w:p>
            <w:pPr>
              <w:pStyle w:val="134"/>
              <w:widowControl w:val="0"/>
              <w:overflowPunct/>
              <w:autoSpaceDE/>
              <w:snapToGrid w:val="0"/>
              <w:spacing w:before="0" w:after="0" w:line="240" w:lineRule="auto"/>
              <w:ind w:firstLine="0" w:firstLineChars="0"/>
              <w:jc w:val="center"/>
              <w:rPr>
                <w:rFonts w:ascii="Times New Roman" w:hAnsi="Times New Roman" w:eastAsia="宋体" w:cs="Times New Roman"/>
                <w:b w:val="0"/>
                <w:bCs w:val="0"/>
                <w:color w:val="auto"/>
                <w:kern w:val="2"/>
                <w:sz w:val="21"/>
                <w:szCs w:val="21"/>
                <w:highlight w:val="none"/>
                <w:u w:val="single"/>
                <w:lang w:val="en-US" w:eastAsia="zh-CN"/>
              </w:rPr>
            </w:pPr>
            <w:r>
              <w:rPr>
                <w:color w:val="auto"/>
                <w:sz w:val="21"/>
                <w:szCs w:val="21"/>
                <w:highlight w:val="none"/>
                <w:u w:val="single"/>
              </w:rPr>
              <w:t>年生产</w:t>
            </w:r>
            <w:r>
              <w:rPr>
                <w:rFonts w:hint="eastAsia"/>
                <w:color w:val="auto"/>
                <w:sz w:val="21"/>
                <w:szCs w:val="21"/>
                <w:highlight w:val="none"/>
                <w:u w:val="single"/>
              </w:rPr>
              <w:t>30</w:t>
            </w:r>
            <w:r>
              <w:rPr>
                <w:color w:val="auto"/>
                <w:sz w:val="21"/>
                <w:szCs w:val="21"/>
                <w:highlight w:val="none"/>
                <w:u w:val="single"/>
              </w:rPr>
              <w:t>0d，每天1班，每班8h</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917" w:type="dxa"/>
            <w:noWrap w:val="0"/>
            <w:vAlign w:val="center"/>
          </w:tcPr>
          <w:p>
            <w:pPr>
              <w:snapToGrid w:val="0"/>
              <w:spacing w:line="240" w:lineRule="auto"/>
              <w:ind w:firstLine="0" w:firstLineChars="0"/>
              <w:jc w:val="center"/>
              <w:rPr>
                <w:rFonts w:hint="eastAsia"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2</w:t>
            </w:r>
          </w:p>
        </w:tc>
        <w:tc>
          <w:tcPr>
            <w:tcW w:w="2130" w:type="dxa"/>
            <w:noWrap w:val="0"/>
            <w:vAlign w:val="center"/>
          </w:tcPr>
          <w:p>
            <w:pPr>
              <w:snapToGrid w:val="0"/>
              <w:spacing w:line="240" w:lineRule="auto"/>
              <w:ind w:firstLine="0" w:firstLineChars="0"/>
              <w:jc w:val="center"/>
              <w:rPr>
                <w:rFonts w:hint="eastAsia" w:ascii="Times New Roman" w:hAnsi="Times New Roman" w:eastAsia="宋体" w:cs="Times New Roman"/>
                <w:b w:val="0"/>
                <w:bCs w:val="0"/>
                <w:color w:val="auto"/>
                <w:sz w:val="21"/>
                <w:szCs w:val="21"/>
                <w:highlight w:val="none"/>
                <w:u w:val="single"/>
              </w:rPr>
            </w:pPr>
            <w:r>
              <w:rPr>
                <w:rFonts w:hint="eastAsia" w:ascii="Times New Roman" w:hAnsi="Times New Roman" w:eastAsia="宋体" w:cs="Times New Roman"/>
                <w:b w:val="0"/>
                <w:bCs w:val="0"/>
                <w:color w:val="auto"/>
                <w:kern w:val="0"/>
                <w:sz w:val="21"/>
                <w:highlight w:val="none"/>
                <w:u w:val="single"/>
              </w:rPr>
              <w:t>原宏保兴采石场</w:t>
            </w:r>
          </w:p>
        </w:tc>
        <w:tc>
          <w:tcPr>
            <w:tcW w:w="1680" w:type="dxa"/>
            <w:noWrap w:val="0"/>
            <w:vAlign w:val="center"/>
          </w:tcPr>
          <w:p>
            <w:pPr>
              <w:pStyle w:val="134"/>
              <w:widowControl w:val="0"/>
              <w:overflowPunct/>
              <w:autoSpaceDE/>
              <w:snapToGrid w:val="0"/>
              <w:spacing w:before="0" w:after="0"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lang w:val="en-US" w:eastAsia="zh-CN"/>
              </w:rPr>
            </w:pPr>
            <w:r>
              <w:rPr>
                <w:rFonts w:hint="eastAsia" w:ascii="Times New Roman" w:hAnsi="Times New Roman" w:eastAsia="宋体" w:cs="Times New Roman"/>
                <w:b w:val="0"/>
                <w:bCs w:val="0"/>
                <w:color w:val="auto"/>
                <w:kern w:val="2"/>
                <w:sz w:val="21"/>
                <w:szCs w:val="21"/>
                <w:highlight w:val="none"/>
                <w:u w:val="single"/>
                <w:lang w:val="en-US" w:eastAsia="zh-CN"/>
              </w:rPr>
              <w:t>10</w:t>
            </w:r>
          </w:p>
        </w:tc>
        <w:tc>
          <w:tcPr>
            <w:tcW w:w="4344" w:type="dxa"/>
            <w:noWrap w:val="0"/>
            <w:vAlign w:val="center"/>
          </w:tcPr>
          <w:p>
            <w:pPr>
              <w:pStyle w:val="134"/>
              <w:widowControl w:val="0"/>
              <w:overflowPunct/>
              <w:autoSpaceDE/>
              <w:snapToGrid w:val="0"/>
              <w:spacing w:before="0" w:after="0" w:line="240" w:lineRule="auto"/>
              <w:ind w:firstLine="0" w:firstLineChars="0"/>
              <w:jc w:val="center"/>
              <w:rPr>
                <w:rFonts w:ascii="Times New Roman" w:hAnsi="Times New Roman" w:eastAsia="宋体" w:cs="Times New Roman"/>
                <w:b w:val="0"/>
                <w:bCs w:val="0"/>
                <w:color w:val="auto"/>
                <w:kern w:val="2"/>
                <w:sz w:val="21"/>
                <w:szCs w:val="21"/>
                <w:highlight w:val="none"/>
                <w:u w:val="single"/>
                <w:lang w:val="en-US" w:eastAsia="zh-CN"/>
              </w:rPr>
            </w:pPr>
            <w:r>
              <w:rPr>
                <w:color w:val="auto"/>
                <w:sz w:val="21"/>
                <w:szCs w:val="21"/>
                <w:highlight w:val="none"/>
                <w:u w:val="single"/>
              </w:rPr>
              <w:t>年生产</w:t>
            </w:r>
            <w:r>
              <w:rPr>
                <w:rFonts w:hint="eastAsia"/>
                <w:color w:val="auto"/>
                <w:sz w:val="21"/>
                <w:szCs w:val="21"/>
                <w:highlight w:val="none"/>
                <w:u w:val="single"/>
                <w:lang w:val="en-US" w:eastAsia="zh-CN"/>
              </w:rPr>
              <w:t>25</w:t>
            </w:r>
            <w:r>
              <w:rPr>
                <w:color w:val="auto"/>
                <w:sz w:val="21"/>
                <w:szCs w:val="21"/>
                <w:highlight w:val="none"/>
                <w:u w:val="single"/>
              </w:rPr>
              <w:t>0d，每天1班，每班8h</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917" w:type="dxa"/>
            <w:noWrap w:val="0"/>
            <w:vAlign w:val="center"/>
          </w:tcPr>
          <w:p>
            <w:pPr>
              <w:snapToGrid w:val="0"/>
              <w:spacing w:line="240" w:lineRule="auto"/>
              <w:ind w:firstLine="0" w:firstLineChars="0"/>
              <w:jc w:val="center"/>
              <w:rPr>
                <w:rFonts w:hint="eastAsia" w:ascii="Times New Roman" w:hAnsi="Times New Roman" w:eastAsia="宋体" w:cs="Times New Roman"/>
                <w:b w:val="0"/>
                <w:bCs w:val="0"/>
                <w:color w:val="auto"/>
                <w:sz w:val="21"/>
                <w:highlight w:val="none"/>
                <w:u w:val="single"/>
                <w:lang w:eastAsia="zh-CN"/>
              </w:rPr>
            </w:pPr>
            <w:r>
              <w:rPr>
                <w:rFonts w:hint="eastAsia" w:ascii="Times New Roman" w:hAnsi="Times New Roman" w:eastAsia="宋体" w:cs="Times New Roman"/>
                <w:b w:val="0"/>
                <w:bCs w:val="0"/>
                <w:color w:val="auto"/>
                <w:sz w:val="21"/>
                <w:highlight w:val="none"/>
                <w:u w:val="single"/>
                <w:lang w:val="en-US" w:eastAsia="zh-CN"/>
              </w:rPr>
              <w:t>合计</w:t>
            </w:r>
          </w:p>
        </w:tc>
        <w:tc>
          <w:tcPr>
            <w:tcW w:w="2130" w:type="dxa"/>
            <w:noWrap w:val="0"/>
            <w:vAlign w:val="center"/>
          </w:tcPr>
          <w:p>
            <w:pPr>
              <w:snapToGrid w:val="0"/>
              <w:spacing w:line="240" w:lineRule="auto"/>
              <w:ind w:firstLine="0" w:firstLineChars="0"/>
              <w:jc w:val="center"/>
              <w:rPr>
                <w:rFonts w:hint="eastAsia" w:ascii="Times New Roman" w:hAnsi="Times New Roman" w:eastAsia="宋体" w:cs="Times New Roman"/>
                <w:b w:val="0"/>
                <w:bCs w:val="0"/>
                <w:color w:val="auto"/>
                <w:sz w:val="21"/>
                <w:highlight w:val="none"/>
                <w:u w:val="single"/>
                <w:lang w:eastAsia="zh-CN"/>
              </w:rPr>
            </w:pPr>
            <w:r>
              <w:rPr>
                <w:rFonts w:hint="eastAsia" w:ascii="Times New Roman" w:hAnsi="Times New Roman" w:eastAsia="宋体" w:cs="Times New Roman"/>
                <w:b w:val="0"/>
                <w:bCs w:val="0"/>
                <w:color w:val="auto"/>
                <w:sz w:val="21"/>
                <w:highlight w:val="none"/>
                <w:u w:val="single"/>
                <w:lang w:val="en-US" w:eastAsia="zh-CN"/>
              </w:rPr>
              <w:t>/</w:t>
            </w:r>
          </w:p>
        </w:tc>
        <w:tc>
          <w:tcPr>
            <w:tcW w:w="1680" w:type="dxa"/>
            <w:noWrap w:val="0"/>
            <w:vAlign w:val="center"/>
          </w:tcPr>
          <w:p>
            <w:pPr>
              <w:pStyle w:val="134"/>
              <w:widowControl w:val="0"/>
              <w:overflowPunct/>
              <w:autoSpaceDE/>
              <w:snapToGrid w:val="0"/>
              <w:spacing w:before="0" w:after="0"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lang w:val="en-US" w:eastAsia="zh-CN"/>
              </w:rPr>
            </w:pPr>
            <w:r>
              <w:rPr>
                <w:rFonts w:hint="eastAsia" w:ascii="Times New Roman" w:hAnsi="Times New Roman" w:eastAsia="宋体" w:cs="Times New Roman"/>
                <w:b w:val="0"/>
                <w:bCs w:val="0"/>
                <w:color w:val="auto"/>
                <w:kern w:val="2"/>
                <w:sz w:val="21"/>
                <w:szCs w:val="21"/>
                <w:highlight w:val="none"/>
                <w:u w:val="single"/>
                <w:lang w:val="en-US" w:eastAsia="zh-CN"/>
              </w:rPr>
              <w:t>25</w:t>
            </w:r>
          </w:p>
        </w:tc>
        <w:tc>
          <w:tcPr>
            <w:tcW w:w="4344" w:type="dxa"/>
            <w:noWrap w:val="0"/>
            <w:vAlign w:val="center"/>
          </w:tcPr>
          <w:p>
            <w:pPr>
              <w:pStyle w:val="134"/>
              <w:widowControl w:val="0"/>
              <w:overflowPunct/>
              <w:autoSpaceDE/>
              <w:snapToGrid w:val="0"/>
              <w:spacing w:before="0" w:after="0" w:line="240" w:lineRule="auto"/>
              <w:ind w:firstLine="0" w:firstLineChars="0"/>
              <w:jc w:val="center"/>
              <w:rPr>
                <w:rFonts w:ascii="Times New Roman" w:hAnsi="Times New Roman" w:eastAsia="宋体" w:cs="Times New Roman"/>
                <w:b w:val="0"/>
                <w:bCs w:val="0"/>
                <w:color w:val="auto"/>
                <w:kern w:val="2"/>
                <w:sz w:val="21"/>
                <w:szCs w:val="21"/>
                <w:highlight w:val="none"/>
                <w:u w:val="single"/>
                <w:lang w:val="en-US" w:eastAsia="zh-CN"/>
              </w:rPr>
            </w:pPr>
            <w:r>
              <w:rPr>
                <w:rFonts w:hint="eastAsia" w:ascii="Times New Roman" w:hAnsi="Times New Roman" w:eastAsia="宋体" w:cs="Times New Roman"/>
                <w:b w:val="0"/>
                <w:bCs w:val="0"/>
                <w:color w:val="auto"/>
                <w:kern w:val="2"/>
                <w:sz w:val="21"/>
                <w:szCs w:val="21"/>
                <w:highlight w:val="none"/>
                <w:u w:val="single"/>
                <w:lang w:val="en-US" w:eastAsia="zh-CN"/>
              </w:rPr>
              <w:t>/</w:t>
            </w:r>
          </w:p>
        </w:tc>
      </w:tr>
    </w:tbl>
    <w:p>
      <w:pPr>
        <w:pStyle w:val="5"/>
        <w:bidi w:val="0"/>
        <w:rPr>
          <w:rFonts w:ascii="Times New Roman" w:hAnsi="Times New Roman" w:eastAsia="宋体"/>
          <w:color w:val="auto"/>
          <w:highlight w:val="none"/>
          <w:u w:val="single"/>
        </w:rPr>
      </w:pPr>
      <w:r>
        <w:rPr>
          <w:color w:val="auto"/>
          <w:highlight w:val="none"/>
          <w:u w:val="single"/>
        </w:rPr>
        <w:t>2.</w:t>
      </w:r>
      <w:r>
        <w:rPr>
          <w:rFonts w:hint="eastAsia"/>
          <w:color w:val="auto"/>
          <w:highlight w:val="none"/>
          <w:u w:val="single"/>
        </w:rPr>
        <w:t>2</w:t>
      </w:r>
      <w:r>
        <w:rPr>
          <w:color w:val="auto"/>
          <w:highlight w:val="none"/>
          <w:u w:val="single"/>
        </w:rPr>
        <w:t xml:space="preserve">.7 </w:t>
      </w:r>
      <w:r>
        <w:rPr>
          <w:rFonts w:hint="eastAsia"/>
          <w:color w:val="auto"/>
          <w:highlight w:val="none"/>
          <w:u w:val="single"/>
          <w:lang w:val="en-US" w:eastAsia="zh-CN"/>
        </w:rPr>
        <w:t>原有项目</w:t>
      </w:r>
      <w:r>
        <w:rPr>
          <w:rFonts w:ascii="Times New Roman" w:hAnsi="Times New Roman" w:eastAsia="宋体"/>
          <w:color w:val="auto"/>
          <w:highlight w:val="none"/>
          <w:u w:val="single"/>
        </w:rPr>
        <w:t>工艺流程及产污节点分析</w:t>
      </w:r>
    </w:p>
    <w:bookmarkEnd w:id="74"/>
    <w:p>
      <w:pPr>
        <w:ind w:firstLine="480"/>
        <w:rPr>
          <w:rFonts w:ascii="Times New Roman" w:hAnsi="Times New Roman" w:eastAsia="宋体"/>
          <w:color w:val="auto"/>
          <w:highlight w:val="none"/>
          <w:u w:val="single"/>
        </w:rPr>
      </w:pPr>
      <w:r>
        <w:rPr>
          <w:rFonts w:hint="eastAsia" w:ascii="Times New Roman" w:hAnsi="Times New Roman" w:eastAsia="宋体"/>
          <w:color w:val="auto"/>
          <w:highlight w:val="none"/>
          <w:u w:val="single"/>
          <w:lang w:val="en-US" w:eastAsia="zh-CN"/>
        </w:rPr>
        <w:t>1、</w:t>
      </w:r>
      <w:r>
        <w:rPr>
          <w:rFonts w:hint="eastAsia" w:ascii="Times New Roman" w:hAnsi="Times New Roman" w:eastAsia="宋体"/>
          <w:color w:val="auto"/>
          <w:highlight w:val="none"/>
          <w:u w:val="single"/>
        </w:rPr>
        <w:t>原海江采石场</w:t>
      </w:r>
      <w:r>
        <w:rPr>
          <w:rFonts w:ascii="Times New Roman" w:hAnsi="Times New Roman" w:eastAsia="宋体"/>
          <w:color w:val="auto"/>
          <w:highlight w:val="none"/>
          <w:u w:val="single"/>
        </w:rPr>
        <w:t>工艺流程及产污节点</w:t>
      </w:r>
    </w:p>
    <w:p>
      <w:pPr>
        <w:ind w:firstLine="480"/>
        <w:rPr>
          <w:rFonts w:ascii="Times New Roman" w:hAnsi="Times New Roman" w:eastAsia="宋体"/>
          <w:color w:val="auto"/>
          <w:highlight w:val="none"/>
          <w:u w:val="single"/>
        </w:rPr>
      </w:pPr>
      <w:r>
        <w:rPr>
          <w:rFonts w:hint="eastAsia" w:ascii="Times New Roman" w:hAnsi="Times New Roman" w:eastAsia="宋体"/>
          <w:color w:val="auto"/>
          <w:highlight w:val="none"/>
          <w:u w:val="single"/>
        </w:rPr>
        <w:t>原海江采石场</w:t>
      </w:r>
      <w:r>
        <w:rPr>
          <w:rFonts w:ascii="Times New Roman" w:hAnsi="Times New Roman" w:eastAsia="宋体"/>
          <w:color w:val="auto"/>
          <w:highlight w:val="none"/>
          <w:u w:val="single"/>
        </w:rPr>
        <w:t>主要污染源为</w:t>
      </w:r>
      <w:r>
        <w:rPr>
          <w:rFonts w:hint="eastAsia" w:ascii="Times New Roman" w:hAnsi="Times New Roman" w:eastAsia="宋体"/>
          <w:color w:val="auto"/>
          <w:highlight w:val="none"/>
          <w:u w:val="single"/>
        </w:rPr>
        <w:t>矿石</w:t>
      </w:r>
      <w:r>
        <w:rPr>
          <w:rFonts w:ascii="Times New Roman" w:hAnsi="Times New Roman" w:eastAsia="宋体"/>
          <w:color w:val="auto"/>
          <w:highlight w:val="none"/>
          <w:u w:val="single"/>
        </w:rPr>
        <w:t>开采加工过程产生的颗粒物、</w:t>
      </w:r>
      <w:r>
        <w:rPr>
          <w:rFonts w:hint="eastAsia" w:ascii="Times New Roman" w:hAnsi="Times New Roman" w:eastAsia="宋体"/>
          <w:color w:val="auto"/>
          <w:highlight w:val="none"/>
          <w:u w:val="single"/>
        </w:rPr>
        <w:t>废水、</w:t>
      </w:r>
      <w:r>
        <w:rPr>
          <w:rFonts w:ascii="Times New Roman" w:hAnsi="Times New Roman" w:eastAsia="宋体"/>
          <w:color w:val="auto"/>
          <w:highlight w:val="none"/>
          <w:u w:val="single"/>
        </w:rPr>
        <w:t>噪声和固体废物，工艺流程及产污节点情况见下图2.</w:t>
      </w:r>
      <w:r>
        <w:rPr>
          <w:rFonts w:hint="eastAsia" w:ascii="Times New Roman" w:hAnsi="Times New Roman" w:eastAsia="宋体"/>
          <w:color w:val="auto"/>
          <w:highlight w:val="none"/>
          <w:u w:val="single"/>
        </w:rPr>
        <w:t>2</w:t>
      </w:r>
      <w:r>
        <w:rPr>
          <w:rFonts w:ascii="Times New Roman" w:hAnsi="Times New Roman" w:eastAsia="宋体"/>
          <w:color w:val="auto"/>
          <w:highlight w:val="none"/>
          <w:u w:val="single"/>
        </w:rPr>
        <w:t>-</w:t>
      </w:r>
      <w:r>
        <w:rPr>
          <w:rFonts w:hint="eastAsia" w:ascii="Times New Roman" w:hAnsi="Times New Roman" w:eastAsia="宋体"/>
          <w:color w:val="auto"/>
          <w:highlight w:val="none"/>
          <w:u w:val="single"/>
          <w:lang w:val="en-US" w:eastAsia="zh-CN"/>
        </w:rPr>
        <w:t>1</w:t>
      </w:r>
      <w:r>
        <w:rPr>
          <w:rFonts w:ascii="Times New Roman" w:hAnsi="Times New Roman" w:eastAsia="宋体"/>
          <w:color w:val="auto"/>
          <w:highlight w:val="none"/>
          <w:u w:val="single"/>
        </w:rPr>
        <w:t>。</w:t>
      </w:r>
    </w:p>
    <w:p>
      <w:pPr>
        <w:ind w:firstLine="0" w:firstLineChars="0"/>
        <w:jc w:val="center"/>
        <w:rPr>
          <w:rFonts w:ascii="Times New Roman" w:hAnsi="Times New Roman" w:eastAsia="宋体"/>
          <w:color w:val="auto"/>
          <w:highlight w:val="none"/>
          <w:u w:val="single"/>
        </w:rPr>
      </w:pPr>
      <w:r>
        <w:rPr>
          <w:rFonts w:ascii="Times New Roman" w:hAnsi="Times New Roman" w:eastAsia="宋体"/>
          <w:color w:val="auto"/>
          <w:highlight w:val="none"/>
          <w:u w:val="single"/>
        </w:rPr>
        <w:object>
          <v:shape id="_x0000_i1025" o:spt="75" type="#_x0000_t75" style="height:448.5pt;width:378.75pt;" o:ole="t" filled="f" o:preferrelative="t" stroked="f" coordsize="21600,21600">
            <v:path/>
            <v:fill on="f" focussize="0,0"/>
            <v:stroke on="f"/>
            <v:imagedata r:id="rId43" o:title=""/>
            <o:lock v:ext="edit" aspectratio="f"/>
            <w10:wrap type="none"/>
            <w10:anchorlock/>
          </v:shape>
          <o:OLEObject Type="Embed" ProgID="Visio.Drawing.11" ShapeID="_x0000_i1025" DrawAspect="Content" ObjectID="_1468075725" r:id="rId42">
            <o:LockedField>false</o:LockedField>
          </o:OLEObject>
        </w:object>
      </w:r>
    </w:p>
    <w:p>
      <w:pPr>
        <w:ind w:firstLine="482"/>
        <w:rPr>
          <w:rFonts w:ascii="Times New Roman" w:hAnsi="Times New Roman" w:eastAsia="宋体"/>
          <w:b/>
          <w:bCs/>
          <w:color w:val="auto"/>
          <w:highlight w:val="none"/>
          <w:u w:val="single"/>
        </w:rPr>
      </w:pPr>
      <w:r>
        <w:rPr>
          <w:rFonts w:ascii="Times New Roman" w:hAnsi="Times New Roman" w:eastAsia="宋体"/>
          <w:b/>
          <w:bCs/>
          <w:color w:val="auto"/>
          <w:highlight w:val="none"/>
          <w:u w:val="single"/>
        </w:rPr>
        <w:t>工艺流程简介：</w:t>
      </w:r>
    </w:p>
    <w:p>
      <w:pPr>
        <w:ind w:firstLine="482"/>
        <w:rPr>
          <w:rFonts w:ascii="Times New Roman" w:hAnsi="Times New Roman" w:eastAsia="宋体" w:cs="Times New Roman"/>
          <w:color w:val="auto"/>
          <w:szCs w:val="20"/>
          <w:highlight w:val="none"/>
          <w:u w:val="single"/>
        </w:rPr>
      </w:pPr>
      <w:r>
        <w:rPr>
          <w:rFonts w:ascii="Times New Roman" w:hAnsi="Times New Roman" w:eastAsia="宋体" w:cs="Times New Roman"/>
          <w:b/>
          <w:bCs/>
          <w:color w:val="auto"/>
          <w:szCs w:val="20"/>
          <w:highlight w:val="none"/>
          <w:u w:val="single"/>
        </w:rPr>
        <w:t>表土剥离：</w:t>
      </w:r>
      <w:r>
        <w:rPr>
          <w:rFonts w:ascii="Times New Roman" w:hAnsi="Times New Roman" w:eastAsia="宋体" w:cs="Times New Roman"/>
          <w:color w:val="auto"/>
          <w:szCs w:val="20"/>
          <w:highlight w:val="none"/>
          <w:u w:val="single"/>
        </w:rPr>
        <w:t>矿区</w:t>
      </w:r>
      <w:r>
        <w:rPr>
          <w:rFonts w:hint="eastAsia" w:ascii="Times New Roman" w:hAnsi="Times New Roman" w:eastAsia="宋体" w:cs="Times New Roman"/>
          <w:color w:val="auto"/>
          <w:szCs w:val="20"/>
          <w:highlight w:val="none"/>
          <w:u w:val="single"/>
        </w:rPr>
        <w:t>硅质岩</w:t>
      </w:r>
      <w:r>
        <w:rPr>
          <w:rFonts w:ascii="Times New Roman" w:hAnsi="Times New Roman" w:eastAsia="宋体" w:cs="Times New Roman"/>
          <w:color w:val="auto"/>
          <w:szCs w:val="20"/>
          <w:highlight w:val="none"/>
          <w:u w:val="single"/>
        </w:rPr>
        <w:t>矿体基本裸露地表，仅局部被少量薄层表土覆盖，矿山开采需要进行表土剥离，剥离过程产生少量无组织废气Gu1-1和表土S1-1，剥离出来的表土堆存于</w:t>
      </w:r>
      <w:r>
        <w:rPr>
          <w:rFonts w:hint="eastAsia" w:ascii="Times New Roman" w:hAnsi="Times New Roman" w:eastAsia="宋体" w:cs="Times New Roman"/>
          <w:color w:val="auto"/>
          <w:szCs w:val="20"/>
          <w:highlight w:val="none"/>
          <w:u w:val="single"/>
        </w:rPr>
        <w:t>临时排土场</w:t>
      </w:r>
      <w:r>
        <w:rPr>
          <w:rFonts w:hint="eastAsia" w:ascii="Times New Roman" w:hAnsi="Times New Roman" w:eastAsia="宋体"/>
          <w:color w:val="auto"/>
          <w:szCs w:val="20"/>
          <w:highlight w:val="none"/>
          <w:u w:val="single"/>
        </w:rPr>
        <w:t>①</w:t>
      </w:r>
      <w:r>
        <w:rPr>
          <w:rFonts w:ascii="Times New Roman" w:hAnsi="Times New Roman" w:eastAsia="宋体" w:cs="Times New Roman"/>
          <w:color w:val="auto"/>
          <w:szCs w:val="20"/>
          <w:highlight w:val="none"/>
          <w:u w:val="single"/>
        </w:rPr>
        <w:t>（位于矿区</w:t>
      </w:r>
      <w:r>
        <w:rPr>
          <w:rFonts w:hint="eastAsia" w:ascii="Times New Roman" w:hAnsi="Times New Roman" w:eastAsia="宋体" w:cs="Times New Roman"/>
          <w:color w:val="auto"/>
          <w:szCs w:val="20"/>
          <w:highlight w:val="none"/>
          <w:u w:val="single"/>
        </w:rPr>
        <w:t>东南面</w:t>
      </w:r>
      <w:r>
        <w:rPr>
          <w:rFonts w:ascii="Times New Roman" w:hAnsi="Times New Roman" w:eastAsia="宋体" w:cs="Times New Roman"/>
          <w:color w:val="auto"/>
          <w:szCs w:val="20"/>
          <w:highlight w:val="none"/>
          <w:u w:val="single"/>
        </w:rPr>
        <w:t>），表土堆放过程产生扬尘Gu1-</w:t>
      </w:r>
      <w:r>
        <w:rPr>
          <w:rFonts w:hint="eastAsia" w:ascii="Times New Roman" w:hAnsi="Times New Roman" w:eastAsia="宋体" w:cs="Times New Roman"/>
          <w:color w:val="auto"/>
          <w:szCs w:val="20"/>
          <w:highlight w:val="none"/>
          <w:u w:val="single"/>
        </w:rPr>
        <w:t>8</w:t>
      </w:r>
      <w:r>
        <w:rPr>
          <w:rFonts w:ascii="Times New Roman" w:hAnsi="Times New Roman" w:eastAsia="宋体" w:cs="Times New Roman"/>
          <w:color w:val="auto"/>
          <w:szCs w:val="20"/>
          <w:highlight w:val="none"/>
          <w:u w:val="single"/>
        </w:rPr>
        <w:t>。</w:t>
      </w:r>
    </w:p>
    <w:p>
      <w:pPr>
        <w:ind w:firstLine="482"/>
        <w:rPr>
          <w:rFonts w:ascii="Times New Roman" w:hAnsi="Times New Roman" w:eastAsia="宋体" w:cs="Times New Roman"/>
          <w:color w:val="auto"/>
          <w:szCs w:val="20"/>
          <w:highlight w:val="none"/>
          <w:u w:val="single"/>
        </w:rPr>
      </w:pPr>
      <w:r>
        <w:rPr>
          <w:rFonts w:ascii="Times New Roman" w:hAnsi="Times New Roman" w:eastAsia="宋体" w:cs="Times New Roman"/>
          <w:b/>
          <w:bCs/>
          <w:color w:val="auto"/>
          <w:szCs w:val="20"/>
          <w:highlight w:val="none"/>
          <w:u w:val="single"/>
        </w:rPr>
        <w:t>凿岩钻孔：</w:t>
      </w:r>
      <w:r>
        <w:rPr>
          <w:rFonts w:ascii="Times New Roman" w:hAnsi="Times New Roman" w:eastAsia="宋体" w:cs="Times New Roman"/>
          <w:color w:val="auto"/>
          <w:szCs w:val="20"/>
          <w:highlight w:val="none"/>
          <w:u w:val="single"/>
        </w:rPr>
        <w:t>钻孔选用高风压潜孔钻机，配套供风采用空压机，钻孔过程产生无组织排放废气Gu1-2和噪声N，钻孔采用湿式作业，降低钻孔过程颗粒物排放量。</w:t>
      </w:r>
    </w:p>
    <w:p>
      <w:pPr>
        <w:ind w:firstLine="482"/>
        <w:rPr>
          <w:rFonts w:ascii="Times New Roman" w:hAnsi="Times New Roman" w:eastAsia="宋体" w:cs="Times New Roman"/>
          <w:color w:val="auto"/>
          <w:szCs w:val="20"/>
          <w:highlight w:val="none"/>
          <w:u w:val="single"/>
        </w:rPr>
      </w:pPr>
      <w:r>
        <w:rPr>
          <w:rFonts w:ascii="Times New Roman" w:hAnsi="Times New Roman" w:eastAsia="宋体" w:cs="Times New Roman"/>
          <w:b/>
          <w:bCs/>
          <w:color w:val="auto"/>
          <w:szCs w:val="20"/>
          <w:highlight w:val="none"/>
          <w:u w:val="single"/>
        </w:rPr>
        <w:t>爆破：</w:t>
      </w:r>
      <w:r>
        <w:rPr>
          <w:rFonts w:ascii="Times New Roman" w:hAnsi="Times New Roman" w:eastAsia="宋体" w:cs="Times New Roman"/>
          <w:color w:val="auto"/>
          <w:szCs w:val="20"/>
          <w:highlight w:val="none"/>
          <w:u w:val="single"/>
        </w:rPr>
        <w:t>矿山采用中深孔爆破方法开采，中深孔爆破采用多排控微差爆破方式，三角形布孔，使用外购的</w:t>
      </w:r>
      <w:r>
        <w:rPr>
          <w:rFonts w:hint="eastAsia" w:ascii="Times New Roman" w:hAnsi="Times New Roman" w:eastAsia="宋体" w:cs="Times New Roman"/>
          <w:color w:val="auto"/>
          <w:szCs w:val="20"/>
          <w:highlight w:val="none"/>
          <w:u w:val="single"/>
        </w:rPr>
        <w:t>乳化</w:t>
      </w:r>
      <w:r>
        <w:rPr>
          <w:rFonts w:ascii="Times New Roman" w:hAnsi="Times New Roman" w:eastAsia="宋体" w:cs="Times New Roman"/>
          <w:color w:val="auto"/>
          <w:szCs w:val="20"/>
          <w:highlight w:val="none"/>
          <w:u w:val="single"/>
        </w:rPr>
        <w:t>炸药，毫秒雷管引爆。爆破产生无组织排放量粉尘和</w:t>
      </w:r>
      <w:r>
        <w:rPr>
          <w:rFonts w:ascii="Times New Roman" w:hAnsi="Times New Roman" w:eastAsia="宋体" w:cs="Times New Roman"/>
          <w:color w:val="auto"/>
          <w:kern w:val="0"/>
          <w:highlight w:val="none"/>
          <w:u w:val="single"/>
        </w:rPr>
        <w:t>炮烟Gu1-3，噪声N和爆破振动Z</w:t>
      </w:r>
      <w:r>
        <w:rPr>
          <w:rFonts w:ascii="Times New Roman" w:hAnsi="Times New Roman" w:eastAsia="宋体" w:cs="Times New Roman"/>
          <w:color w:val="auto"/>
          <w:szCs w:val="20"/>
          <w:highlight w:val="none"/>
          <w:u w:val="single"/>
        </w:rPr>
        <w:t>。</w:t>
      </w:r>
    </w:p>
    <w:p>
      <w:pPr>
        <w:ind w:firstLine="482"/>
        <w:rPr>
          <w:rFonts w:ascii="Times New Roman" w:hAnsi="Times New Roman" w:eastAsia="宋体" w:cs="Times New Roman"/>
          <w:color w:val="auto"/>
          <w:szCs w:val="20"/>
          <w:highlight w:val="none"/>
          <w:u w:val="single"/>
        </w:rPr>
      </w:pPr>
      <w:r>
        <w:rPr>
          <w:rFonts w:ascii="Times New Roman" w:hAnsi="Times New Roman" w:eastAsia="宋体" w:cs="Times New Roman"/>
          <w:b/>
          <w:bCs/>
          <w:color w:val="auto"/>
          <w:szCs w:val="20"/>
          <w:highlight w:val="none"/>
          <w:u w:val="single"/>
        </w:rPr>
        <w:t>采装</w:t>
      </w:r>
      <w:r>
        <w:rPr>
          <w:rFonts w:ascii="Times New Roman" w:hAnsi="Times New Roman" w:eastAsia="宋体" w:cs="Times New Roman"/>
          <w:color w:val="auto"/>
          <w:szCs w:val="20"/>
          <w:highlight w:val="none"/>
          <w:u w:val="single"/>
        </w:rPr>
        <w:t>：爆破后的石料经挖掘机装入自卸车，运输至破碎区喂料口，采装过程产生无组织排放废气Gu1-4和噪声N。</w:t>
      </w:r>
    </w:p>
    <w:p>
      <w:pPr>
        <w:ind w:firstLine="482"/>
        <w:rPr>
          <w:rFonts w:ascii="Times New Roman" w:hAnsi="Times New Roman" w:eastAsia="宋体" w:cs="Times New Roman"/>
          <w:color w:val="auto"/>
          <w:szCs w:val="20"/>
          <w:highlight w:val="none"/>
          <w:u w:val="single"/>
        </w:rPr>
      </w:pPr>
      <w:r>
        <w:rPr>
          <w:rFonts w:hint="eastAsia" w:ascii="Times New Roman" w:hAnsi="Times New Roman" w:eastAsia="宋体" w:cs="Times New Roman"/>
          <w:b/>
          <w:color w:val="auto"/>
          <w:szCs w:val="20"/>
          <w:highlight w:val="none"/>
          <w:u w:val="single"/>
        </w:rPr>
        <w:t>筛选破碎</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项目硅质岩矿爆破后大块碎石中含有少量废土石渣，经泥筛筛选除去废土石渣S1-2，用于矿区道路平整。振动给料机将石块振动投入颚式破碎机进行一次破碎。筛选破碎</w:t>
      </w:r>
      <w:r>
        <w:rPr>
          <w:rFonts w:ascii="Times New Roman" w:hAnsi="Times New Roman" w:eastAsia="宋体" w:cs="Times New Roman"/>
          <w:color w:val="auto"/>
          <w:szCs w:val="20"/>
          <w:highlight w:val="none"/>
          <w:u w:val="single"/>
        </w:rPr>
        <w:t>过程产生无组织排放废气Gu1-5和噪声N。</w:t>
      </w:r>
    </w:p>
    <w:p>
      <w:pPr>
        <w:ind w:firstLine="482"/>
        <w:rPr>
          <w:rFonts w:hint="eastAsia" w:ascii="Times New Roman" w:hAnsi="Times New Roman" w:eastAsia="宋体" w:cs="Times New Roman"/>
          <w:color w:val="auto"/>
          <w:szCs w:val="20"/>
          <w:highlight w:val="none"/>
          <w:u w:val="single"/>
        </w:rPr>
      </w:pPr>
      <w:r>
        <w:rPr>
          <w:rFonts w:hint="eastAsia" w:ascii="Times New Roman" w:hAnsi="Times New Roman" w:eastAsia="宋体" w:cs="Times New Roman"/>
          <w:b/>
          <w:bCs/>
          <w:color w:val="auto"/>
          <w:szCs w:val="20"/>
          <w:highlight w:val="none"/>
          <w:u w:val="single"/>
        </w:rPr>
        <w:t>二级破碎</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一级破碎后大块</w:t>
      </w:r>
      <w:r>
        <w:rPr>
          <w:rFonts w:ascii="Times New Roman" w:hAnsi="Times New Roman" w:eastAsia="宋体" w:cs="Times New Roman"/>
          <w:color w:val="auto"/>
          <w:szCs w:val="20"/>
          <w:highlight w:val="none"/>
          <w:u w:val="single"/>
        </w:rPr>
        <w:t>碎石经</w:t>
      </w:r>
      <w:r>
        <w:rPr>
          <w:rFonts w:hint="eastAsia" w:ascii="Times New Roman" w:hAnsi="Times New Roman" w:eastAsia="宋体" w:cs="Times New Roman"/>
          <w:color w:val="auto"/>
          <w:szCs w:val="20"/>
          <w:highlight w:val="none"/>
          <w:u w:val="single"/>
        </w:rPr>
        <w:t>传送带送至二级破碎站进行二次破碎，二级破碎</w:t>
      </w:r>
      <w:r>
        <w:rPr>
          <w:rFonts w:ascii="Times New Roman" w:hAnsi="Times New Roman" w:eastAsia="宋体" w:cs="Times New Roman"/>
          <w:color w:val="auto"/>
          <w:szCs w:val="20"/>
          <w:highlight w:val="none"/>
          <w:u w:val="single"/>
        </w:rPr>
        <w:t>过程产生无组织排放废气Gu1-</w:t>
      </w:r>
      <w:r>
        <w:rPr>
          <w:rFonts w:hint="eastAsia" w:ascii="Times New Roman" w:hAnsi="Times New Roman" w:eastAsia="宋体" w:cs="Times New Roman"/>
          <w:color w:val="auto"/>
          <w:szCs w:val="20"/>
          <w:highlight w:val="none"/>
          <w:u w:val="single"/>
        </w:rPr>
        <w:t>6</w:t>
      </w:r>
      <w:r>
        <w:rPr>
          <w:rFonts w:ascii="Times New Roman" w:hAnsi="Times New Roman" w:eastAsia="宋体" w:cs="Times New Roman"/>
          <w:color w:val="auto"/>
          <w:szCs w:val="20"/>
          <w:highlight w:val="none"/>
          <w:u w:val="single"/>
        </w:rPr>
        <w:t>和噪声N</w:t>
      </w:r>
      <w:r>
        <w:rPr>
          <w:rFonts w:hint="eastAsia" w:ascii="Times New Roman" w:hAnsi="Times New Roman" w:eastAsia="宋体" w:cs="Times New Roman"/>
          <w:color w:val="auto"/>
          <w:szCs w:val="20"/>
          <w:highlight w:val="none"/>
          <w:u w:val="single"/>
        </w:rPr>
        <w:t>。</w:t>
      </w:r>
    </w:p>
    <w:p>
      <w:pPr>
        <w:ind w:firstLine="482"/>
        <w:rPr>
          <w:rFonts w:ascii="Times New Roman" w:hAnsi="Times New Roman" w:eastAsia="宋体" w:cs="Times New Roman"/>
          <w:color w:val="auto"/>
          <w:szCs w:val="20"/>
          <w:highlight w:val="none"/>
          <w:u w:val="single"/>
        </w:rPr>
      </w:pPr>
      <w:r>
        <w:rPr>
          <w:rFonts w:hint="eastAsia" w:ascii="Times New Roman" w:hAnsi="Times New Roman" w:eastAsia="宋体" w:cs="Times New Roman"/>
          <w:b/>
          <w:bCs/>
          <w:color w:val="auto"/>
          <w:szCs w:val="20"/>
          <w:highlight w:val="none"/>
          <w:u w:val="single"/>
        </w:rPr>
        <w:t>三级破碎筛分：</w:t>
      </w:r>
      <w:r>
        <w:rPr>
          <w:rFonts w:hint="eastAsia" w:ascii="Times New Roman" w:hAnsi="Times New Roman" w:eastAsia="宋体" w:cs="Times New Roman"/>
          <w:color w:val="auto"/>
          <w:szCs w:val="20"/>
          <w:highlight w:val="none"/>
          <w:u w:val="single"/>
        </w:rPr>
        <w:t>二级破碎后</w:t>
      </w:r>
      <w:r>
        <w:rPr>
          <w:rFonts w:ascii="Times New Roman" w:hAnsi="Times New Roman" w:eastAsia="宋体" w:cs="Times New Roman"/>
          <w:color w:val="auto"/>
          <w:szCs w:val="20"/>
          <w:highlight w:val="none"/>
          <w:u w:val="single"/>
        </w:rPr>
        <w:t>碎石经</w:t>
      </w:r>
      <w:r>
        <w:rPr>
          <w:rFonts w:hint="eastAsia" w:ascii="Times New Roman" w:hAnsi="Times New Roman" w:eastAsia="宋体" w:cs="Times New Roman"/>
          <w:color w:val="auto"/>
          <w:szCs w:val="20"/>
          <w:highlight w:val="none"/>
          <w:u w:val="single"/>
        </w:rPr>
        <w:t>传送带送至三级破碎站进行破碎筛分</w:t>
      </w:r>
      <w:r>
        <w:rPr>
          <w:rFonts w:ascii="Times New Roman" w:hAnsi="Times New Roman" w:eastAsia="宋体" w:cs="Times New Roman"/>
          <w:color w:val="auto"/>
          <w:szCs w:val="20"/>
          <w:highlight w:val="none"/>
          <w:u w:val="single"/>
        </w:rPr>
        <w:t>，筛选</w:t>
      </w:r>
      <w:r>
        <w:rPr>
          <w:rFonts w:hint="eastAsia" w:ascii="Times New Roman" w:hAnsi="Times New Roman" w:eastAsia="宋体" w:cs="Times New Roman"/>
          <w:color w:val="auto"/>
          <w:szCs w:val="20"/>
          <w:highlight w:val="none"/>
          <w:u w:val="single"/>
        </w:rPr>
        <w:t>出成品</w:t>
      </w:r>
      <w:r>
        <w:rPr>
          <w:rFonts w:ascii="Times New Roman" w:hAnsi="Times New Roman" w:eastAsia="宋体" w:cs="Times New Roman"/>
          <w:color w:val="auto"/>
          <w:szCs w:val="20"/>
          <w:highlight w:val="none"/>
          <w:u w:val="single"/>
        </w:rPr>
        <w:t>碎石（</w:t>
      </w:r>
      <w:r>
        <w:rPr>
          <w:rFonts w:hint="eastAsia" w:ascii="Times New Roman" w:hAnsi="Times New Roman" w:eastAsia="宋体" w:cs="Times New Roman"/>
          <w:color w:val="auto"/>
          <w:szCs w:val="20"/>
          <w:highlight w:val="none"/>
          <w:u w:val="single"/>
        </w:rPr>
        <w:t>0.5</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1.0cm、1.0</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2.0cm、2.0</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3.0cm</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和石粉</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0</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0.5cm</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破碎</w:t>
      </w:r>
      <w:r>
        <w:rPr>
          <w:rFonts w:ascii="Times New Roman" w:hAnsi="Times New Roman" w:eastAsia="宋体" w:cs="Times New Roman"/>
          <w:color w:val="auto"/>
          <w:szCs w:val="20"/>
          <w:highlight w:val="none"/>
          <w:u w:val="single"/>
        </w:rPr>
        <w:t>筛分过程产生无组织排放废气Gu1-</w:t>
      </w:r>
      <w:r>
        <w:rPr>
          <w:rFonts w:hint="eastAsia" w:ascii="Times New Roman" w:hAnsi="Times New Roman" w:eastAsia="宋体" w:cs="Times New Roman"/>
          <w:color w:val="auto"/>
          <w:szCs w:val="20"/>
          <w:highlight w:val="none"/>
          <w:u w:val="single"/>
        </w:rPr>
        <w:t>7</w:t>
      </w:r>
      <w:r>
        <w:rPr>
          <w:rFonts w:ascii="Times New Roman" w:hAnsi="Times New Roman" w:eastAsia="宋体" w:cs="Times New Roman"/>
          <w:color w:val="auto"/>
          <w:szCs w:val="20"/>
          <w:highlight w:val="none"/>
          <w:u w:val="single"/>
        </w:rPr>
        <w:t>和噪声N，</w:t>
      </w:r>
      <w:r>
        <w:rPr>
          <w:rFonts w:hint="eastAsia" w:ascii="Times New Roman" w:hAnsi="Times New Roman" w:eastAsia="宋体" w:cs="Times New Roman"/>
          <w:color w:val="auto"/>
          <w:szCs w:val="20"/>
          <w:highlight w:val="none"/>
          <w:u w:val="single"/>
        </w:rPr>
        <w:t>碎石和石粉</w:t>
      </w:r>
      <w:r>
        <w:rPr>
          <w:rFonts w:ascii="Times New Roman" w:hAnsi="Times New Roman" w:eastAsia="宋体" w:cs="Times New Roman"/>
          <w:color w:val="auto"/>
          <w:szCs w:val="20"/>
          <w:highlight w:val="none"/>
          <w:u w:val="single"/>
        </w:rPr>
        <w:t>经皮带输送机运输至堆料场</w:t>
      </w:r>
      <w:r>
        <w:rPr>
          <w:rFonts w:hint="eastAsia" w:ascii="Times New Roman" w:hAnsi="Times New Roman" w:eastAsia="宋体" w:cs="Times New Roman"/>
          <w:color w:val="auto"/>
          <w:szCs w:val="20"/>
          <w:highlight w:val="none"/>
          <w:u w:val="single"/>
        </w:rPr>
        <w:t>①②③④。</w:t>
      </w:r>
      <w:r>
        <w:rPr>
          <w:rFonts w:ascii="Times New Roman" w:hAnsi="Times New Roman" w:eastAsia="宋体" w:cs="Times New Roman"/>
          <w:color w:val="auto"/>
          <w:szCs w:val="20"/>
          <w:highlight w:val="none"/>
          <w:u w:val="single"/>
        </w:rPr>
        <w:t>堆料场堆存</w:t>
      </w:r>
      <w:r>
        <w:rPr>
          <w:rFonts w:hint="eastAsia" w:ascii="Times New Roman" w:hAnsi="Times New Roman" w:eastAsia="宋体" w:cs="Times New Roman"/>
          <w:color w:val="auto"/>
          <w:szCs w:val="20"/>
          <w:highlight w:val="none"/>
          <w:u w:val="single"/>
        </w:rPr>
        <w:t>过程</w:t>
      </w:r>
      <w:r>
        <w:rPr>
          <w:rFonts w:ascii="Times New Roman" w:hAnsi="Times New Roman" w:eastAsia="宋体" w:cs="Times New Roman"/>
          <w:color w:val="auto"/>
          <w:szCs w:val="20"/>
          <w:highlight w:val="none"/>
          <w:u w:val="single"/>
        </w:rPr>
        <w:t>产生无组织排放废气Gu1-</w:t>
      </w:r>
      <w:r>
        <w:rPr>
          <w:rFonts w:hint="eastAsia" w:ascii="Times New Roman" w:hAnsi="Times New Roman" w:eastAsia="宋体" w:cs="Times New Roman"/>
          <w:color w:val="auto"/>
          <w:szCs w:val="20"/>
          <w:highlight w:val="none"/>
          <w:u w:val="single"/>
        </w:rPr>
        <w:t>9</w:t>
      </w:r>
      <w:r>
        <w:rPr>
          <w:rFonts w:ascii="Times New Roman" w:hAnsi="Times New Roman" w:eastAsia="宋体" w:cs="Times New Roman"/>
          <w:color w:val="auto"/>
          <w:szCs w:val="20"/>
          <w:highlight w:val="none"/>
          <w:u w:val="single"/>
        </w:rPr>
        <w:t>，装卸产生无组织排放废气Gu1-</w:t>
      </w:r>
      <w:r>
        <w:rPr>
          <w:rFonts w:hint="eastAsia" w:ascii="Times New Roman" w:hAnsi="Times New Roman" w:eastAsia="宋体" w:cs="Times New Roman"/>
          <w:color w:val="auto"/>
          <w:szCs w:val="20"/>
          <w:highlight w:val="none"/>
          <w:u w:val="single"/>
        </w:rPr>
        <w:t>10、道路扬尘</w:t>
      </w:r>
      <w:r>
        <w:rPr>
          <w:rFonts w:ascii="Times New Roman" w:hAnsi="Times New Roman" w:eastAsia="宋体" w:cs="Times New Roman"/>
          <w:color w:val="auto"/>
          <w:szCs w:val="20"/>
          <w:highlight w:val="none"/>
          <w:u w:val="single"/>
        </w:rPr>
        <w:t>Gu1-</w:t>
      </w:r>
      <w:r>
        <w:rPr>
          <w:rFonts w:hint="eastAsia" w:ascii="Times New Roman" w:hAnsi="Times New Roman" w:eastAsia="宋体" w:cs="Times New Roman"/>
          <w:color w:val="auto"/>
          <w:szCs w:val="20"/>
          <w:highlight w:val="none"/>
          <w:u w:val="single"/>
        </w:rPr>
        <w:t>11</w:t>
      </w:r>
      <w:r>
        <w:rPr>
          <w:rFonts w:ascii="Times New Roman" w:hAnsi="Times New Roman" w:eastAsia="宋体" w:cs="Times New Roman"/>
          <w:color w:val="auto"/>
          <w:szCs w:val="20"/>
          <w:highlight w:val="none"/>
          <w:u w:val="single"/>
        </w:rPr>
        <w:t>和噪声N。</w:t>
      </w:r>
    </w:p>
    <w:p>
      <w:pPr>
        <w:ind w:firstLine="482"/>
        <w:rPr>
          <w:rFonts w:ascii="Times New Roman" w:hAnsi="Times New Roman" w:eastAsia="宋体" w:cs="Times New Roman"/>
          <w:color w:val="auto"/>
          <w:szCs w:val="20"/>
          <w:highlight w:val="none"/>
          <w:u w:val="single"/>
        </w:rPr>
      </w:pPr>
      <w:r>
        <w:rPr>
          <w:rFonts w:hint="eastAsia" w:ascii="Times New Roman" w:hAnsi="Times New Roman" w:eastAsia="宋体" w:cs="Times New Roman"/>
          <w:b/>
          <w:bCs/>
          <w:color w:val="auto"/>
          <w:szCs w:val="20"/>
          <w:highlight w:val="none"/>
          <w:u w:val="single"/>
        </w:rPr>
        <w:t>水洗砂：</w:t>
      </w:r>
      <w:r>
        <w:rPr>
          <w:rFonts w:hint="eastAsia" w:ascii="Times New Roman" w:hAnsi="Times New Roman" w:eastAsia="宋体" w:cs="Times New Roman"/>
          <w:color w:val="auto"/>
          <w:szCs w:val="20"/>
          <w:highlight w:val="none"/>
          <w:u w:val="single"/>
        </w:rPr>
        <w:t>石粉采用水洗砂工艺，除去石粉中的泥渣，得到</w:t>
      </w:r>
      <w:r>
        <w:rPr>
          <w:rFonts w:hint="eastAsia" w:ascii="Times New Roman" w:hAnsi="Times New Roman" w:eastAsia="宋体" w:cs="Times New Roman"/>
          <w:color w:val="auto"/>
          <w:szCs w:val="20"/>
          <w:highlight w:val="none"/>
          <w:u w:val="single"/>
          <w:lang w:val="en-US" w:eastAsia="zh-CN"/>
        </w:rPr>
        <w:t>人工砂</w:t>
      </w:r>
      <w:r>
        <w:rPr>
          <w:rFonts w:hint="eastAsia" w:ascii="Times New Roman" w:hAnsi="Times New Roman" w:eastAsia="宋体" w:cs="Times New Roman"/>
          <w:color w:val="auto"/>
          <w:szCs w:val="20"/>
          <w:highlight w:val="none"/>
          <w:u w:val="single"/>
        </w:rPr>
        <w:t>成品后外卖。石粉由铲车铲入料斗，顺着水流冲进洗砂设备进行冲洗，冲洗后得到成品</w:t>
      </w:r>
      <w:r>
        <w:rPr>
          <w:rFonts w:hint="eastAsia" w:ascii="Times New Roman" w:hAnsi="Times New Roman" w:eastAsia="宋体" w:cs="Times New Roman"/>
          <w:color w:val="auto"/>
          <w:szCs w:val="20"/>
          <w:highlight w:val="none"/>
          <w:u w:val="single"/>
          <w:lang w:val="en-US" w:eastAsia="zh-CN"/>
        </w:rPr>
        <w:t>人工砂</w:t>
      </w:r>
      <w:r>
        <w:rPr>
          <w:rFonts w:hint="eastAsia" w:ascii="Times New Roman" w:hAnsi="Times New Roman" w:eastAsia="宋体" w:cs="Times New Roman"/>
          <w:color w:val="auto"/>
          <w:szCs w:val="20"/>
          <w:highlight w:val="none"/>
          <w:u w:val="single"/>
        </w:rPr>
        <w:t>。洗砂废水经沉砂池沉淀后，上层清水流入清水池，清水补充至洗砂工序循环使用，洗砂工序定期补充新鲜水。沉砂池底部污泥经脱水机脱水后得到洗砂泥饼，外卖砖厂，滤液回流至沉砂池内沉淀，不外排。水洗砂工艺流程及产污节点见下图2.2-</w:t>
      </w:r>
      <w:r>
        <w:rPr>
          <w:rFonts w:hint="eastAsia" w:ascii="Times New Roman" w:hAnsi="Times New Roman" w:eastAsia="宋体" w:cs="Times New Roman"/>
          <w:color w:val="auto"/>
          <w:szCs w:val="20"/>
          <w:highlight w:val="none"/>
          <w:u w:val="single"/>
          <w:lang w:val="en-US" w:eastAsia="zh-CN"/>
        </w:rPr>
        <w:t>2</w:t>
      </w:r>
      <w:r>
        <w:rPr>
          <w:rFonts w:hint="eastAsia" w:ascii="Times New Roman" w:hAnsi="Times New Roman" w:eastAsia="宋体" w:cs="Times New Roman"/>
          <w:color w:val="auto"/>
          <w:szCs w:val="20"/>
          <w:highlight w:val="none"/>
          <w:u w:val="single"/>
        </w:rPr>
        <w:t>。</w:t>
      </w:r>
    </w:p>
    <w:p>
      <w:pPr>
        <w:ind w:firstLine="0" w:firstLineChars="0"/>
        <w:jc w:val="center"/>
        <w:rPr>
          <w:rFonts w:ascii="Times New Roman" w:hAnsi="Times New Roman" w:eastAsia="宋体" w:cs="Times New Roman"/>
          <w:color w:val="auto"/>
          <w:szCs w:val="20"/>
          <w:highlight w:val="none"/>
          <w:u w:val="single"/>
        </w:rPr>
      </w:pPr>
      <w:r>
        <w:rPr>
          <w:rFonts w:ascii="Times New Roman" w:hAnsi="Times New Roman" w:eastAsia="宋体" w:cs="Times New Roman"/>
          <w:color w:val="auto"/>
          <w:szCs w:val="20"/>
          <w:highlight w:val="none"/>
          <w:u w:val="single"/>
        </w:rPr>
        <w:object>
          <v:shape id="_x0000_i1026" o:spt="75" type="#_x0000_t75" style="height:204.75pt;width:297.75pt;" o:ole="t" filled="f" o:preferrelative="t" stroked="f" coordsize="21600,21600">
            <v:path/>
            <v:fill on="f" focussize="0,0"/>
            <v:stroke on="f"/>
            <v:imagedata r:id="rId45" o:title=""/>
            <o:lock v:ext="edit" aspectratio="f"/>
            <w10:wrap type="none"/>
            <w10:anchorlock/>
          </v:shape>
          <o:OLEObject Type="Embed" ProgID="Visio.Drawing.11" ShapeID="_x0000_i1026" DrawAspect="Content" ObjectID="_1468075726" r:id="rId44">
            <o:LockedField>false</o:LockedField>
          </o:OLEObject>
        </w:object>
      </w:r>
    </w:p>
    <w:p>
      <w:pPr>
        <w:adjustRightInd w:val="0"/>
        <w:snapToGrid w:val="0"/>
        <w:ind w:firstLine="480"/>
        <w:rPr>
          <w:rFonts w:ascii="Times New Roman" w:hAnsi="Times New Roman" w:eastAsia="宋体" w:cs="Times New Roman"/>
          <w:color w:val="auto"/>
          <w:szCs w:val="24"/>
          <w:highlight w:val="none"/>
          <w:u w:val="single"/>
        </w:rPr>
      </w:pPr>
      <w:r>
        <w:rPr>
          <w:rFonts w:hint="eastAsia" w:ascii="Times New Roman" w:hAnsi="Times New Roman" w:eastAsia="宋体"/>
          <w:color w:val="auto"/>
          <w:highlight w:val="none"/>
          <w:u w:val="single"/>
        </w:rPr>
        <w:t>原海江采石场</w:t>
      </w:r>
      <w:r>
        <w:rPr>
          <w:rFonts w:hint="eastAsia" w:ascii="Times New Roman" w:hAnsi="Times New Roman" w:eastAsia="宋体" w:cs="Times New Roman"/>
          <w:color w:val="auto"/>
          <w:highlight w:val="none"/>
          <w:u w:val="single"/>
        </w:rPr>
        <w:t>矿石</w:t>
      </w:r>
      <w:r>
        <w:rPr>
          <w:rFonts w:ascii="Times New Roman" w:hAnsi="Times New Roman" w:eastAsia="宋体" w:cs="Times New Roman"/>
          <w:color w:val="auto"/>
          <w:szCs w:val="24"/>
          <w:highlight w:val="none"/>
          <w:u w:val="single"/>
        </w:rPr>
        <w:t>开采工艺排污节点详情见下表2.</w:t>
      </w:r>
      <w:r>
        <w:rPr>
          <w:rFonts w:hint="eastAsia" w:ascii="Times New Roman" w:hAnsi="Times New Roman" w:eastAsia="宋体" w:cs="Times New Roman"/>
          <w:color w:val="auto"/>
          <w:szCs w:val="24"/>
          <w:highlight w:val="none"/>
          <w:u w:val="single"/>
        </w:rPr>
        <w:t>2</w:t>
      </w:r>
      <w:r>
        <w:rPr>
          <w:rFonts w:ascii="Times New Roman" w:hAnsi="Times New Roman" w:eastAsia="宋体" w:cs="Times New Roman"/>
          <w:color w:val="auto"/>
          <w:szCs w:val="24"/>
          <w:highlight w:val="none"/>
          <w:u w:val="single"/>
        </w:rPr>
        <w:t>-</w:t>
      </w:r>
      <w:r>
        <w:rPr>
          <w:rFonts w:hint="eastAsia" w:ascii="Times New Roman" w:hAnsi="Times New Roman" w:eastAsia="宋体" w:cs="Times New Roman"/>
          <w:color w:val="auto"/>
          <w:szCs w:val="24"/>
          <w:highlight w:val="none"/>
          <w:u w:val="single"/>
        </w:rPr>
        <w:t>7</w:t>
      </w:r>
      <w:r>
        <w:rPr>
          <w:rFonts w:ascii="Times New Roman" w:hAnsi="Times New Roman" w:eastAsia="宋体" w:cs="Times New Roman"/>
          <w:color w:val="auto"/>
          <w:szCs w:val="24"/>
          <w:highlight w:val="none"/>
          <w:u w:val="single"/>
        </w:rPr>
        <w:t>。</w:t>
      </w:r>
    </w:p>
    <w:p>
      <w:pPr>
        <w:pStyle w:val="13"/>
        <w:rPr>
          <w:rFonts w:ascii="Times New Roman" w:hAnsi="Times New Roman" w:eastAsia="宋体"/>
          <w:color w:val="auto"/>
          <w:highlight w:val="none"/>
          <w:u w:val="single"/>
        </w:rPr>
        <w:sectPr>
          <w:headerReference r:id="rId14" w:type="default"/>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13"/>
        <w:rPr>
          <w:rFonts w:ascii="Times New Roman" w:hAnsi="Times New Roman" w:eastAsia="宋体"/>
          <w:color w:val="auto"/>
          <w:highlight w:val="none"/>
          <w:u w:val="single"/>
        </w:rPr>
      </w:pPr>
      <w:r>
        <w:rPr>
          <w:rFonts w:ascii="Times New Roman" w:hAnsi="Times New Roman" w:eastAsia="宋体"/>
          <w:color w:val="auto"/>
          <w:highlight w:val="none"/>
          <w:u w:val="single"/>
        </w:rPr>
        <w:t>表2.</w:t>
      </w:r>
      <w:r>
        <w:rPr>
          <w:rFonts w:hint="eastAsia" w:ascii="Times New Roman" w:hAnsi="Times New Roman" w:eastAsia="宋体"/>
          <w:color w:val="auto"/>
          <w:highlight w:val="none"/>
          <w:u w:val="single"/>
        </w:rPr>
        <w:t>2</w:t>
      </w:r>
      <w:r>
        <w:rPr>
          <w:rFonts w:ascii="Times New Roman" w:hAnsi="Times New Roman" w:eastAsia="宋体"/>
          <w:color w:val="auto"/>
          <w:highlight w:val="none"/>
          <w:u w:val="single"/>
        </w:rPr>
        <w:t>-</w:t>
      </w:r>
      <w:r>
        <w:rPr>
          <w:rFonts w:hint="eastAsia" w:ascii="Times New Roman" w:hAnsi="Times New Roman" w:eastAsia="宋体"/>
          <w:color w:val="auto"/>
          <w:highlight w:val="none"/>
          <w:u w:val="single"/>
        </w:rPr>
        <w:t>7</w:t>
      </w:r>
      <w:r>
        <w:rPr>
          <w:rFonts w:ascii="Times New Roman" w:hAnsi="Times New Roman" w:eastAsia="宋体"/>
          <w:color w:val="auto"/>
          <w:highlight w:val="none"/>
          <w:u w:val="single"/>
        </w:rPr>
        <w:t xml:space="preserve"> 开采工艺排污节点一览表</w:t>
      </w:r>
    </w:p>
    <w:tbl>
      <w:tblPr>
        <w:tblStyle w:val="48"/>
        <w:tblW w:w="9093"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740"/>
        <w:gridCol w:w="1040"/>
        <w:gridCol w:w="1705"/>
        <w:gridCol w:w="2109"/>
        <w:gridCol w:w="2362"/>
        <w:gridCol w:w="1137"/>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noWrap w:val="0"/>
            <w:vAlign w:val="center"/>
          </w:tcPr>
          <w:p>
            <w:pPr>
              <w:adjustRightInd w:val="0"/>
              <w:snapToGrid w:val="0"/>
              <w:spacing w:line="240" w:lineRule="atLeast"/>
              <w:ind w:firstLine="0" w:firstLineChars="0"/>
              <w:jc w:val="center"/>
              <w:rPr>
                <w:rFonts w:ascii="Times New Roman" w:hAnsi="Times New Roman" w:eastAsia="宋体" w:cs="Times New Roman"/>
                <w:b/>
                <w:bCs/>
                <w:color w:val="auto"/>
                <w:sz w:val="21"/>
                <w:highlight w:val="none"/>
                <w:u w:val="single"/>
              </w:rPr>
            </w:pPr>
            <w:r>
              <w:rPr>
                <w:rFonts w:ascii="Times New Roman" w:hAnsi="Times New Roman" w:eastAsia="宋体" w:cs="Times New Roman"/>
                <w:b/>
                <w:bCs/>
                <w:color w:val="auto"/>
                <w:sz w:val="21"/>
                <w:highlight w:val="none"/>
                <w:u w:val="single"/>
              </w:rPr>
              <w:t>类型</w:t>
            </w: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b/>
                <w:bCs/>
                <w:color w:val="auto"/>
                <w:sz w:val="21"/>
                <w:highlight w:val="none"/>
                <w:u w:val="single"/>
              </w:rPr>
            </w:pPr>
            <w:r>
              <w:rPr>
                <w:rFonts w:ascii="Times New Roman" w:hAnsi="Times New Roman" w:eastAsia="宋体" w:cs="Times New Roman"/>
                <w:b/>
                <w:bCs/>
                <w:color w:val="auto"/>
                <w:sz w:val="21"/>
                <w:highlight w:val="none"/>
                <w:u w:val="single"/>
              </w:rPr>
              <w:t>序号</w:t>
            </w:r>
          </w:p>
        </w:tc>
        <w:tc>
          <w:tcPr>
            <w:tcW w:w="1705" w:type="dxa"/>
            <w:noWrap w:val="0"/>
            <w:vAlign w:val="center"/>
          </w:tcPr>
          <w:p>
            <w:pPr>
              <w:adjustRightInd w:val="0"/>
              <w:snapToGrid w:val="0"/>
              <w:spacing w:line="240" w:lineRule="atLeast"/>
              <w:ind w:firstLine="0" w:firstLineChars="0"/>
              <w:jc w:val="center"/>
              <w:rPr>
                <w:rFonts w:ascii="Times New Roman" w:hAnsi="Times New Roman" w:eastAsia="宋体" w:cs="Times New Roman"/>
                <w:b/>
                <w:bCs/>
                <w:color w:val="auto"/>
                <w:sz w:val="21"/>
                <w:highlight w:val="none"/>
                <w:u w:val="single"/>
              </w:rPr>
            </w:pPr>
            <w:r>
              <w:rPr>
                <w:rFonts w:ascii="Times New Roman" w:hAnsi="Times New Roman" w:eastAsia="宋体" w:cs="Times New Roman"/>
                <w:b/>
                <w:bCs/>
                <w:color w:val="auto"/>
                <w:sz w:val="21"/>
                <w:highlight w:val="none"/>
                <w:u w:val="single"/>
              </w:rPr>
              <w:t>污染源</w:t>
            </w:r>
          </w:p>
        </w:tc>
        <w:tc>
          <w:tcPr>
            <w:tcW w:w="2109" w:type="dxa"/>
            <w:noWrap w:val="0"/>
            <w:vAlign w:val="center"/>
          </w:tcPr>
          <w:p>
            <w:pPr>
              <w:adjustRightInd w:val="0"/>
              <w:snapToGrid w:val="0"/>
              <w:spacing w:line="240" w:lineRule="atLeast"/>
              <w:ind w:firstLine="0" w:firstLineChars="0"/>
              <w:jc w:val="center"/>
              <w:rPr>
                <w:rFonts w:ascii="Times New Roman" w:hAnsi="Times New Roman" w:eastAsia="宋体" w:cs="Times New Roman"/>
                <w:b/>
                <w:bCs/>
                <w:color w:val="auto"/>
                <w:sz w:val="21"/>
                <w:highlight w:val="none"/>
                <w:u w:val="single"/>
              </w:rPr>
            </w:pPr>
            <w:r>
              <w:rPr>
                <w:rFonts w:ascii="Times New Roman" w:hAnsi="Times New Roman" w:eastAsia="宋体" w:cs="Times New Roman"/>
                <w:b/>
                <w:bCs/>
                <w:color w:val="auto"/>
                <w:sz w:val="21"/>
                <w:highlight w:val="none"/>
                <w:u w:val="single"/>
              </w:rPr>
              <w:t>主要污染物</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
                <w:bCs/>
                <w:color w:val="auto"/>
                <w:sz w:val="21"/>
                <w:highlight w:val="none"/>
                <w:u w:val="single"/>
              </w:rPr>
            </w:pPr>
            <w:r>
              <w:rPr>
                <w:rFonts w:ascii="Times New Roman" w:hAnsi="Times New Roman" w:eastAsia="宋体" w:cs="Times New Roman"/>
                <w:b/>
                <w:bCs/>
                <w:color w:val="auto"/>
                <w:sz w:val="21"/>
                <w:highlight w:val="none"/>
                <w:u w:val="single"/>
              </w:rPr>
              <w:t>治理措施</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
                <w:bCs/>
                <w:color w:val="auto"/>
                <w:sz w:val="21"/>
                <w:highlight w:val="none"/>
                <w:u w:val="single"/>
              </w:rPr>
            </w:pPr>
            <w:r>
              <w:rPr>
                <w:rFonts w:ascii="Times New Roman" w:hAnsi="Times New Roman" w:eastAsia="宋体" w:cs="Times New Roman"/>
                <w:b/>
                <w:bCs/>
                <w:color w:val="auto"/>
                <w:sz w:val="21"/>
                <w:highlight w:val="none"/>
                <w:u w:val="single"/>
              </w:rPr>
              <w:t>排放特点</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restart"/>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无</w:t>
            </w:r>
          </w:p>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组</w:t>
            </w:r>
          </w:p>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织</w:t>
            </w:r>
          </w:p>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废</w:t>
            </w:r>
          </w:p>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气</w:t>
            </w: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color w:val="auto"/>
                <w:sz w:val="21"/>
                <w:highlight w:val="none"/>
                <w:u w:val="single"/>
              </w:rPr>
              <w:t>Gu1-1</w:t>
            </w:r>
          </w:p>
        </w:tc>
        <w:tc>
          <w:tcPr>
            <w:tcW w:w="1705"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表土剥离</w:t>
            </w:r>
          </w:p>
        </w:tc>
        <w:tc>
          <w:tcPr>
            <w:tcW w:w="2109"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颗粒物</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间歇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continue"/>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Gu1-2</w:t>
            </w:r>
          </w:p>
        </w:tc>
        <w:tc>
          <w:tcPr>
            <w:tcW w:w="1705"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凿岩钻孔</w:t>
            </w:r>
          </w:p>
        </w:tc>
        <w:tc>
          <w:tcPr>
            <w:tcW w:w="2109"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颗粒物</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湿式作业</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间歇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continue"/>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Gu1-3</w:t>
            </w:r>
          </w:p>
        </w:tc>
        <w:tc>
          <w:tcPr>
            <w:tcW w:w="1705"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爆破</w:t>
            </w:r>
          </w:p>
        </w:tc>
        <w:tc>
          <w:tcPr>
            <w:tcW w:w="2109"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color w:val="auto"/>
                <w:kern w:val="0"/>
                <w:sz w:val="21"/>
                <w:highlight w:val="none"/>
                <w:u w:val="single"/>
              </w:rPr>
              <w:t>颗粒物、NO</w:t>
            </w:r>
            <w:r>
              <w:rPr>
                <w:rFonts w:ascii="Times New Roman" w:hAnsi="Times New Roman" w:eastAsia="宋体" w:cs="Times New Roman"/>
                <w:color w:val="auto"/>
                <w:kern w:val="0"/>
                <w:sz w:val="21"/>
                <w:highlight w:val="none"/>
                <w:u w:val="single"/>
                <w:vertAlign w:val="subscript"/>
              </w:rPr>
              <w:t>x</w:t>
            </w:r>
            <w:r>
              <w:rPr>
                <w:rFonts w:ascii="Times New Roman" w:hAnsi="Times New Roman" w:eastAsia="宋体" w:cs="Times New Roman"/>
                <w:color w:val="auto"/>
                <w:kern w:val="0"/>
                <w:sz w:val="21"/>
                <w:highlight w:val="none"/>
                <w:u w:val="single"/>
              </w:rPr>
              <w:t>、CO</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间歇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continue"/>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color w:val="auto"/>
                <w:sz w:val="21"/>
                <w:highlight w:val="none"/>
                <w:u w:val="single"/>
              </w:rPr>
              <w:t>Gu1-4</w:t>
            </w:r>
          </w:p>
        </w:tc>
        <w:tc>
          <w:tcPr>
            <w:tcW w:w="1705"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采装</w:t>
            </w:r>
          </w:p>
        </w:tc>
        <w:tc>
          <w:tcPr>
            <w:tcW w:w="2109"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颗粒物</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间歇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continue"/>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Gu1-5</w:t>
            </w:r>
          </w:p>
        </w:tc>
        <w:tc>
          <w:tcPr>
            <w:tcW w:w="1705"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筛选破碎</w:t>
            </w:r>
          </w:p>
        </w:tc>
        <w:tc>
          <w:tcPr>
            <w:tcW w:w="2109"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颗粒物</w:t>
            </w:r>
          </w:p>
        </w:tc>
        <w:tc>
          <w:tcPr>
            <w:tcW w:w="2362" w:type="dxa"/>
            <w:noWrap w:val="0"/>
            <w:vAlign w:val="center"/>
          </w:tcPr>
          <w:p>
            <w:pPr>
              <w:adjustRightInd w:val="0"/>
              <w:snapToGrid w:val="0"/>
              <w:spacing w:line="240" w:lineRule="atLeast"/>
              <w:ind w:firstLine="0" w:firstLineChars="0"/>
              <w:jc w:val="center"/>
              <w:rPr>
                <w:rFonts w:hint="eastAsia"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continue"/>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Gu1-6</w:t>
            </w:r>
          </w:p>
        </w:tc>
        <w:tc>
          <w:tcPr>
            <w:tcW w:w="1705" w:type="dxa"/>
            <w:noWrap w:val="0"/>
            <w:vAlign w:val="center"/>
          </w:tcPr>
          <w:p>
            <w:pPr>
              <w:adjustRightInd w:val="0"/>
              <w:snapToGrid w:val="0"/>
              <w:spacing w:line="240" w:lineRule="atLeast"/>
              <w:ind w:firstLine="0" w:firstLineChars="0"/>
              <w:jc w:val="center"/>
              <w:rPr>
                <w:rFonts w:hint="eastAsia"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二级破碎</w:t>
            </w:r>
          </w:p>
        </w:tc>
        <w:tc>
          <w:tcPr>
            <w:tcW w:w="2109"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颗粒物</w:t>
            </w:r>
          </w:p>
        </w:tc>
        <w:tc>
          <w:tcPr>
            <w:tcW w:w="2362" w:type="dxa"/>
            <w:noWrap w:val="0"/>
            <w:vAlign w:val="center"/>
          </w:tcPr>
          <w:p>
            <w:pPr>
              <w:adjustRightInd w:val="0"/>
              <w:snapToGrid w:val="0"/>
              <w:spacing w:line="240" w:lineRule="atLeast"/>
              <w:ind w:firstLine="0" w:firstLineChars="0"/>
              <w:jc w:val="center"/>
              <w:rPr>
                <w:rFonts w:hint="eastAsia"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continue"/>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color w:val="auto"/>
                <w:sz w:val="21"/>
                <w:highlight w:val="none"/>
                <w:u w:val="single"/>
              </w:rPr>
              <w:t>Gu1-7</w:t>
            </w:r>
          </w:p>
        </w:tc>
        <w:tc>
          <w:tcPr>
            <w:tcW w:w="1705"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三级破碎筛分</w:t>
            </w:r>
          </w:p>
        </w:tc>
        <w:tc>
          <w:tcPr>
            <w:tcW w:w="2109"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颗粒物</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continue"/>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Gu1-8</w:t>
            </w:r>
          </w:p>
        </w:tc>
        <w:tc>
          <w:tcPr>
            <w:tcW w:w="1705" w:type="dxa"/>
            <w:noWrap w:val="0"/>
            <w:vAlign w:val="center"/>
          </w:tcPr>
          <w:p>
            <w:pPr>
              <w:adjustRightInd w:val="0"/>
              <w:snapToGrid w:val="0"/>
              <w:spacing w:line="240" w:lineRule="atLeast"/>
              <w:ind w:firstLine="0" w:firstLineChars="0"/>
              <w:jc w:val="center"/>
              <w:rPr>
                <w:rFonts w:hint="eastAsia" w:ascii="Times New Roman" w:hAnsi="Times New Roman" w:eastAsia="宋体" w:cs="Times New Roman"/>
                <w:color w:val="auto"/>
                <w:kern w:val="0"/>
                <w:sz w:val="21"/>
                <w:highlight w:val="none"/>
                <w:u w:val="single"/>
              </w:rPr>
            </w:pPr>
            <w:r>
              <w:rPr>
                <w:rFonts w:ascii="Times New Roman" w:hAnsi="Times New Roman" w:eastAsia="宋体" w:cs="Times New Roman"/>
                <w:bCs/>
                <w:color w:val="auto"/>
                <w:sz w:val="21"/>
                <w:highlight w:val="none"/>
                <w:u w:val="single"/>
              </w:rPr>
              <w:t>临时</w:t>
            </w:r>
            <w:r>
              <w:rPr>
                <w:rFonts w:hint="eastAsia" w:ascii="Times New Roman" w:hAnsi="Times New Roman" w:eastAsia="宋体" w:cs="Times New Roman"/>
                <w:bCs/>
                <w:color w:val="auto"/>
                <w:sz w:val="21"/>
                <w:highlight w:val="none"/>
                <w:u w:val="single"/>
              </w:rPr>
              <w:t>排</w:t>
            </w:r>
            <w:r>
              <w:rPr>
                <w:rFonts w:ascii="Times New Roman" w:hAnsi="Times New Roman" w:eastAsia="宋体" w:cs="Times New Roman"/>
                <w:bCs/>
                <w:color w:val="auto"/>
                <w:sz w:val="21"/>
                <w:highlight w:val="none"/>
                <w:u w:val="single"/>
              </w:rPr>
              <w:t>土场</w:t>
            </w:r>
            <w:r>
              <w:rPr>
                <w:rFonts w:hint="eastAsia" w:ascii="Times New Roman" w:hAnsi="Times New Roman" w:eastAsia="宋体"/>
                <w:bCs/>
                <w:color w:val="auto"/>
                <w:sz w:val="21"/>
                <w:highlight w:val="none"/>
                <w:u w:val="single"/>
              </w:rPr>
              <w:t>①</w:t>
            </w:r>
          </w:p>
        </w:tc>
        <w:tc>
          <w:tcPr>
            <w:tcW w:w="2109"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颗粒物</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continue"/>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Gu1-9</w:t>
            </w:r>
          </w:p>
        </w:tc>
        <w:tc>
          <w:tcPr>
            <w:tcW w:w="1705" w:type="dxa"/>
            <w:noWrap w:val="0"/>
            <w:vAlign w:val="center"/>
          </w:tcPr>
          <w:p>
            <w:pPr>
              <w:adjustRightInd w:val="0"/>
              <w:snapToGrid w:val="0"/>
              <w:spacing w:line="240" w:lineRule="atLeast"/>
              <w:ind w:firstLine="0" w:firstLineChars="0"/>
              <w:jc w:val="center"/>
              <w:rPr>
                <w:rFonts w:ascii="Times New Roman" w:hAnsi="Times New Roman" w:eastAsia="宋体" w:cs="Times New Roman"/>
                <w:color w:val="auto"/>
                <w:kern w:val="0"/>
                <w:sz w:val="21"/>
                <w:highlight w:val="none"/>
                <w:u w:val="single"/>
              </w:rPr>
            </w:pPr>
            <w:r>
              <w:rPr>
                <w:rFonts w:ascii="Times New Roman" w:hAnsi="Times New Roman" w:eastAsia="宋体" w:cs="Times New Roman"/>
                <w:bCs/>
                <w:color w:val="auto"/>
                <w:sz w:val="21"/>
                <w:highlight w:val="none"/>
                <w:u w:val="single"/>
              </w:rPr>
              <w:t>堆料场</w:t>
            </w:r>
            <w:r>
              <w:rPr>
                <w:rFonts w:hint="eastAsia" w:ascii="Times New Roman" w:hAnsi="Times New Roman" w:eastAsia="宋体"/>
                <w:bCs/>
                <w:color w:val="auto"/>
                <w:sz w:val="21"/>
                <w:highlight w:val="none"/>
                <w:u w:val="single"/>
              </w:rPr>
              <w:t>①②③④</w:t>
            </w:r>
          </w:p>
        </w:tc>
        <w:tc>
          <w:tcPr>
            <w:tcW w:w="2109"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颗粒物</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continue"/>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Gu1-10</w:t>
            </w:r>
          </w:p>
        </w:tc>
        <w:tc>
          <w:tcPr>
            <w:tcW w:w="1705" w:type="dxa"/>
            <w:noWrap w:val="0"/>
            <w:vAlign w:val="center"/>
          </w:tcPr>
          <w:p>
            <w:pPr>
              <w:adjustRightInd w:val="0"/>
              <w:snapToGrid w:val="0"/>
              <w:spacing w:line="240" w:lineRule="atLeast"/>
              <w:ind w:firstLine="0" w:firstLineChars="0"/>
              <w:jc w:val="center"/>
              <w:rPr>
                <w:rFonts w:ascii="Times New Roman" w:hAnsi="Times New Roman" w:eastAsia="宋体" w:cs="Times New Roman"/>
                <w:color w:val="auto"/>
                <w:kern w:val="0"/>
                <w:sz w:val="21"/>
                <w:highlight w:val="none"/>
                <w:u w:val="single"/>
              </w:rPr>
            </w:pPr>
            <w:r>
              <w:rPr>
                <w:rFonts w:ascii="Times New Roman" w:hAnsi="Times New Roman" w:eastAsia="宋体" w:cs="Times New Roman"/>
                <w:bCs/>
                <w:color w:val="auto"/>
                <w:sz w:val="21"/>
                <w:highlight w:val="none"/>
                <w:u w:val="single"/>
              </w:rPr>
              <w:t>装卸</w:t>
            </w:r>
          </w:p>
        </w:tc>
        <w:tc>
          <w:tcPr>
            <w:tcW w:w="2109"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颗粒物</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间歇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continue"/>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p>
        </w:tc>
        <w:tc>
          <w:tcPr>
            <w:tcW w:w="1040" w:type="dxa"/>
            <w:noWrap w:val="0"/>
            <w:vAlign w:val="center"/>
          </w:tcPr>
          <w:p>
            <w:pPr>
              <w:adjustRightInd w:val="0"/>
              <w:snapToGrid w:val="0"/>
              <w:spacing w:line="240" w:lineRule="atLeast"/>
              <w:ind w:firstLine="0" w:firstLineChars="0"/>
              <w:jc w:val="center"/>
              <w:rPr>
                <w:rFonts w:hint="eastAsia"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Gu1-1</w:t>
            </w:r>
            <w:r>
              <w:rPr>
                <w:rFonts w:hint="eastAsia" w:ascii="Times New Roman" w:hAnsi="Times New Roman" w:eastAsia="宋体" w:cs="Times New Roman"/>
                <w:color w:val="auto"/>
                <w:sz w:val="21"/>
                <w:highlight w:val="none"/>
                <w:u w:val="single"/>
              </w:rPr>
              <w:t>1</w:t>
            </w:r>
          </w:p>
        </w:tc>
        <w:tc>
          <w:tcPr>
            <w:tcW w:w="1705"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color w:val="auto"/>
                <w:sz w:val="21"/>
                <w:highlight w:val="none"/>
                <w:u w:val="single"/>
              </w:rPr>
              <w:t>道路扬尘</w:t>
            </w:r>
          </w:p>
        </w:tc>
        <w:tc>
          <w:tcPr>
            <w:tcW w:w="2109"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颗粒物</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间歇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noWrap w:val="0"/>
            <w:vAlign w:val="center"/>
          </w:tcPr>
          <w:p>
            <w:pPr>
              <w:adjustRightInd w:val="0"/>
              <w:snapToGrid w:val="0"/>
              <w:spacing w:line="240" w:lineRule="atLeast"/>
              <w:ind w:firstLine="0" w:firstLineChars="0"/>
              <w:jc w:val="center"/>
              <w:rPr>
                <w:rFonts w:hint="eastAsia"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废水</w:t>
            </w:r>
          </w:p>
        </w:tc>
        <w:tc>
          <w:tcPr>
            <w:tcW w:w="1040" w:type="dxa"/>
            <w:noWrap w:val="0"/>
            <w:vAlign w:val="center"/>
          </w:tcPr>
          <w:p>
            <w:pPr>
              <w:adjustRightInd w:val="0"/>
              <w:snapToGrid w:val="0"/>
              <w:spacing w:line="240" w:lineRule="atLeast"/>
              <w:ind w:firstLine="0" w:firstLineChars="0"/>
              <w:jc w:val="center"/>
              <w:rPr>
                <w:rFonts w:hint="eastAsia"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W</w:t>
            </w:r>
          </w:p>
        </w:tc>
        <w:tc>
          <w:tcPr>
            <w:tcW w:w="1705" w:type="dxa"/>
            <w:noWrap w:val="0"/>
            <w:vAlign w:val="center"/>
          </w:tcPr>
          <w:p>
            <w:pPr>
              <w:adjustRightInd w:val="0"/>
              <w:snapToGrid w:val="0"/>
              <w:spacing w:line="240" w:lineRule="atLeast"/>
              <w:ind w:firstLine="0" w:firstLineChars="0"/>
              <w:jc w:val="center"/>
              <w:rPr>
                <w:rFonts w:hint="eastAsia"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水洗砂</w:t>
            </w:r>
          </w:p>
        </w:tc>
        <w:tc>
          <w:tcPr>
            <w:tcW w:w="2109" w:type="dxa"/>
            <w:noWrap w:val="0"/>
            <w:vAlign w:val="center"/>
          </w:tcPr>
          <w:p>
            <w:pPr>
              <w:adjustRightInd w:val="0"/>
              <w:snapToGrid w:val="0"/>
              <w:spacing w:line="240" w:lineRule="atLeast"/>
              <w:ind w:firstLine="0" w:firstLineChars="0"/>
              <w:jc w:val="center"/>
              <w:rPr>
                <w:rFonts w:hint="eastAsia"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悬浮物</w:t>
            </w:r>
          </w:p>
        </w:tc>
        <w:tc>
          <w:tcPr>
            <w:tcW w:w="2362" w:type="dxa"/>
            <w:noWrap w:val="0"/>
            <w:vAlign w:val="center"/>
          </w:tcPr>
          <w:p>
            <w:pPr>
              <w:adjustRightInd w:val="0"/>
              <w:snapToGrid w:val="0"/>
              <w:spacing w:line="240" w:lineRule="atLeast"/>
              <w:ind w:firstLine="0" w:firstLineChars="0"/>
              <w:jc w:val="left"/>
              <w:rPr>
                <w:rFonts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水洗废水经沉淀后循环使用</w:t>
            </w:r>
          </w:p>
        </w:tc>
        <w:tc>
          <w:tcPr>
            <w:tcW w:w="1137" w:type="dxa"/>
            <w:noWrap w:val="0"/>
            <w:vAlign w:val="center"/>
          </w:tcPr>
          <w:p>
            <w:pPr>
              <w:adjustRightInd w:val="0"/>
              <w:snapToGrid w:val="0"/>
              <w:spacing w:line="240" w:lineRule="atLeast"/>
              <w:ind w:firstLine="0" w:firstLineChars="0"/>
              <w:jc w:val="center"/>
              <w:rPr>
                <w:rFonts w:hint="eastAsia"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noWrap w:val="0"/>
            <w:vAlign w:val="center"/>
          </w:tcPr>
          <w:p>
            <w:pPr>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color w:val="auto"/>
                <w:sz w:val="21"/>
                <w:highlight w:val="none"/>
                <w:u w:val="single"/>
              </w:rPr>
              <w:t>噪声</w:t>
            </w:r>
          </w:p>
        </w:tc>
        <w:tc>
          <w:tcPr>
            <w:tcW w:w="1040" w:type="dxa"/>
            <w:noWrap w:val="0"/>
            <w:vAlign w:val="center"/>
          </w:tcPr>
          <w:p>
            <w:pPr>
              <w:spacing w:line="240" w:lineRule="atLeast"/>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N</w:t>
            </w:r>
          </w:p>
        </w:tc>
        <w:tc>
          <w:tcPr>
            <w:tcW w:w="1705" w:type="dxa"/>
            <w:noWrap w:val="0"/>
            <w:vAlign w:val="center"/>
          </w:tcPr>
          <w:p>
            <w:pPr>
              <w:spacing w:line="240" w:lineRule="atLeast"/>
              <w:ind w:firstLine="0" w:firstLineChars="0"/>
              <w:jc w:val="center"/>
              <w:rPr>
                <w:rFonts w:ascii="Times New Roman" w:hAnsi="Times New Roman" w:eastAsia="宋体" w:cs="Times New Roman"/>
                <w:color w:val="auto"/>
                <w:kern w:val="0"/>
                <w:sz w:val="21"/>
                <w:highlight w:val="none"/>
                <w:u w:val="single"/>
              </w:rPr>
            </w:pPr>
            <w:r>
              <w:rPr>
                <w:rFonts w:ascii="Times New Roman" w:hAnsi="Times New Roman" w:eastAsia="宋体" w:cs="Times New Roman"/>
                <w:color w:val="auto"/>
                <w:sz w:val="21"/>
                <w:highlight w:val="none"/>
                <w:u w:val="single"/>
              </w:rPr>
              <w:t>设备</w:t>
            </w:r>
            <w:r>
              <w:rPr>
                <w:rStyle w:val="61"/>
                <w:rFonts w:hint="eastAsia" w:ascii="Times New Roman" w:hAnsi="Times New Roman" w:eastAsia="宋体"/>
                <w:color w:val="auto"/>
                <w:kern w:val="0"/>
                <w:highlight w:val="none"/>
                <w:u w:val="single"/>
              </w:rPr>
              <w:t>、爆破</w:t>
            </w:r>
          </w:p>
        </w:tc>
        <w:tc>
          <w:tcPr>
            <w:tcW w:w="2109" w:type="dxa"/>
            <w:noWrap w:val="0"/>
            <w:vAlign w:val="center"/>
          </w:tcPr>
          <w:p>
            <w:pPr>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color w:val="auto"/>
                <w:sz w:val="21"/>
                <w:highlight w:val="none"/>
                <w:u w:val="single"/>
              </w:rPr>
              <w:t>噪声</w:t>
            </w:r>
          </w:p>
        </w:tc>
        <w:tc>
          <w:tcPr>
            <w:tcW w:w="2362" w:type="dxa"/>
            <w:noWrap w:val="0"/>
            <w:vAlign w:val="center"/>
          </w:tcPr>
          <w:p>
            <w:pPr>
              <w:spacing w:line="240" w:lineRule="atLeast"/>
              <w:ind w:firstLine="0" w:firstLineChars="0"/>
              <w:jc w:val="left"/>
              <w:rPr>
                <w:rFonts w:ascii="Times New Roman" w:hAnsi="Times New Roman" w:eastAsia="宋体" w:cs="Times New Roman"/>
                <w:bCs/>
                <w:color w:val="auto"/>
                <w:sz w:val="21"/>
                <w:highlight w:val="none"/>
                <w:u w:val="single"/>
              </w:rPr>
            </w:pPr>
            <w:r>
              <w:rPr>
                <w:rFonts w:ascii="Times New Roman" w:hAnsi="Times New Roman" w:eastAsia="宋体" w:cs="Times New Roman"/>
                <w:color w:val="auto"/>
                <w:sz w:val="21"/>
                <w:highlight w:val="none"/>
                <w:u w:val="single"/>
              </w:rPr>
              <w:t>合理布置设备、减振、消声、厂房隔声</w:t>
            </w:r>
          </w:p>
        </w:tc>
        <w:tc>
          <w:tcPr>
            <w:tcW w:w="1137" w:type="dxa"/>
            <w:noWrap w:val="0"/>
            <w:vAlign w:val="center"/>
          </w:tcPr>
          <w:p>
            <w:pPr>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color w:val="auto"/>
                <w:sz w:val="21"/>
                <w:highlight w:val="none"/>
                <w:u w:val="single"/>
              </w:rPr>
              <w:t>间歇排放</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restart"/>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固体废物</w:t>
            </w: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S1-1</w:t>
            </w:r>
          </w:p>
        </w:tc>
        <w:tc>
          <w:tcPr>
            <w:tcW w:w="1705"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表土剥离</w:t>
            </w:r>
          </w:p>
        </w:tc>
        <w:tc>
          <w:tcPr>
            <w:tcW w:w="2109" w:type="dxa"/>
            <w:noWrap w:val="0"/>
            <w:vAlign w:val="center"/>
          </w:tcPr>
          <w:p>
            <w:pPr>
              <w:adjustRightInd w:val="0"/>
              <w:snapToGrid w:val="0"/>
              <w:spacing w:line="240" w:lineRule="atLeast"/>
              <w:ind w:firstLine="0" w:firstLineChars="0"/>
              <w:jc w:val="center"/>
              <w:rPr>
                <w:rFonts w:hint="eastAsia"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表土、</w:t>
            </w:r>
            <w:r>
              <w:rPr>
                <w:rFonts w:hint="eastAsia" w:ascii="Times New Roman" w:hAnsi="Times New Roman" w:eastAsia="宋体" w:cs="Times New Roman"/>
                <w:bCs/>
                <w:color w:val="auto"/>
                <w:sz w:val="21"/>
                <w:highlight w:val="none"/>
                <w:u w:val="single"/>
              </w:rPr>
              <w:t>废土石渣</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用于矿区道路平整</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continue"/>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S1-2</w:t>
            </w:r>
          </w:p>
        </w:tc>
        <w:tc>
          <w:tcPr>
            <w:tcW w:w="1705"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筛选</w:t>
            </w:r>
          </w:p>
        </w:tc>
        <w:tc>
          <w:tcPr>
            <w:tcW w:w="2109"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废土石渣</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用于矿区道路平整</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continue"/>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S1-3</w:t>
            </w:r>
          </w:p>
        </w:tc>
        <w:tc>
          <w:tcPr>
            <w:tcW w:w="1705"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水洗砂</w:t>
            </w:r>
          </w:p>
        </w:tc>
        <w:tc>
          <w:tcPr>
            <w:tcW w:w="2109" w:type="dxa"/>
            <w:noWrap w:val="0"/>
            <w:vAlign w:val="center"/>
          </w:tcPr>
          <w:p>
            <w:pPr>
              <w:adjustRightInd w:val="0"/>
              <w:snapToGrid w:val="0"/>
              <w:spacing w:line="240" w:lineRule="atLeast"/>
              <w:ind w:firstLine="0" w:firstLineChars="0"/>
              <w:jc w:val="center"/>
              <w:rPr>
                <w:rFonts w:hint="eastAsia"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洗砂泥饼</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外卖砖厂</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振动</w:t>
            </w: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Z</w:t>
            </w:r>
          </w:p>
        </w:tc>
        <w:tc>
          <w:tcPr>
            <w:tcW w:w="1705"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爆破</w:t>
            </w:r>
          </w:p>
        </w:tc>
        <w:tc>
          <w:tcPr>
            <w:tcW w:w="2109"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振动</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采取中深孔爆破</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w:t>
            </w:r>
          </w:p>
        </w:tc>
      </w:tr>
    </w:tbl>
    <w:p>
      <w:pPr>
        <w:bidi w:val="0"/>
        <w:rPr>
          <w:color w:val="auto"/>
          <w:highlight w:val="none"/>
          <w:u w:val="single"/>
        </w:rPr>
      </w:pPr>
      <w:r>
        <w:rPr>
          <w:rFonts w:hint="eastAsia" w:ascii="Times New Roman" w:hAnsi="Times New Roman" w:eastAsia="宋体"/>
          <w:color w:val="auto"/>
          <w:highlight w:val="none"/>
          <w:u w:val="single"/>
          <w:lang w:val="en-US" w:eastAsia="zh-CN"/>
        </w:rPr>
        <w:t>2、</w:t>
      </w:r>
      <w:r>
        <w:rPr>
          <w:rFonts w:hint="eastAsia" w:ascii="Times New Roman" w:hAnsi="Times New Roman" w:eastAsia="宋体" w:cs="Times New Roman"/>
          <w:color w:val="auto"/>
          <w:highlight w:val="none"/>
          <w:u w:val="single"/>
        </w:rPr>
        <w:t>原宏保兴采石场</w:t>
      </w:r>
      <w:r>
        <w:rPr>
          <w:color w:val="auto"/>
          <w:highlight w:val="none"/>
          <w:u w:val="single"/>
        </w:rPr>
        <w:t>工艺流程及产污节点分析</w:t>
      </w:r>
    </w:p>
    <w:p>
      <w:pPr>
        <w:ind w:firstLine="480"/>
        <w:rPr>
          <w:rFonts w:ascii="Times New Roman" w:hAnsi="Times New Roman" w:eastAsia="宋体"/>
          <w:color w:val="auto"/>
          <w:highlight w:val="none"/>
          <w:u w:val="single"/>
        </w:rPr>
      </w:pPr>
      <w:r>
        <w:rPr>
          <w:rFonts w:hint="eastAsia" w:ascii="Times New Roman" w:hAnsi="Times New Roman" w:eastAsia="宋体" w:cs="Times New Roman"/>
          <w:color w:val="auto"/>
          <w:highlight w:val="none"/>
          <w:u w:val="single"/>
        </w:rPr>
        <w:t>原宏保兴采石场矿石开采过程石粉产品不需要经过洗砂工序，直接外卖，其生产工艺流程</w:t>
      </w:r>
      <w:r>
        <w:rPr>
          <w:rFonts w:ascii="Times New Roman" w:hAnsi="Times New Roman" w:eastAsia="宋体"/>
          <w:color w:val="auto"/>
          <w:highlight w:val="none"/>
          <w:u w:val="single"/>
        </w:rPr>
        <w:t>及产污节点情况见图2.</w:t>
      </w:r>
      <w:r>
        <w:rPr>
          <w:rFonts w:hint="eastAsia" w:ascii="Times New Roman" w:hAnsi="Times New Roman" w:eastAsia="宋体"/>
          <w:color w:val="auto"/>
          <w:highlight w:val="none"/>
          <w:u w:val="single"/>
        </w:rPr>
        <w:t>2</w:t>
      </w:r>
      <w:r>
        <w:rPr>
          <w:rFonts w:ascii="Times New Roman" w:hAnsi="Times New Roman" w:eastAsia="宋体"/>
          <w:color w:val="auto"/>
          <w:highlight w:val="none"/>
          <w:u w:val="single"/>
        </w:rPr>
        <w:t>-</w:t>
      </w:r>
      <w:r>
        <w:rPr>
          <w:rFonts w:hint="eastAsia" w:ascii="Times New Roman" w:hAnsi="Times New Roman" w:eastAsia="宋体"/>
          <w:color w:val="auto"/>
          <w:highlight w:val="none"/>
          <w:u w:val="single"/>
          <w:lang w:val="en-US" w:eastAsia="zh-CN"/>
        </w:rPr>
        <w:t>3</w:t>
      </w:r>
      <w:r>
        <w:rPr>
          <w:rFonts w:ascii="Times New Roman" w:hAnsi="Times New Roman" w:eastAsia="宋体"/>
          <w:color w:val="auto"/>
          <w:highlight w:val="none"/>
          <w:u w:val="single"/>
        </w:rPr>
        <w:t>。</w:t>
      </w:r>
    </w:p>
    <w:p>
      <w:pPr>
        <w:ind w:firstLine="480"/>
        <w:rPr>
          <w:rFonts w:ascii="Times New Roman" w:hAnsi="Times New Roman" w:eastAsia="宋体"/>
          <w:color w:val="auto"/>
          <w:highlight w:val="none"/>
          <w:u w:val="single"/>
        </w:rPr>
      </w:pPr>
      <w:r>
        <w:rPr>
          <w:rFonts w:ascii="Times New Roman" w:hAnsi="Times New Roman" w:eastAsia="宋体"/>
          <w:color w:val="auto"/>
          <w:highlight w:val="none"/>
          <w:u w:val="single"/>
        </w:rPr>
        <w:object>
          <v:shape id="_x0000_i1027" o:spt="75" type="#_x0000_t75" style="height:448.5pt;width:378.75pt;" o:ole="t" filled="f" o:preferrelative="t" stroked="f" coordsize="21600,21600">
            <v:path/>
            <v:fill on="f" focussize="0,0"/>
            <v:stroke on="f"/>
            <v:imagedata r:id="rId47" o:title=""/>
            <o:lock v:ext="edit" aspectratio="f"/>
            <w10:wrap type="none"/>
            <w10:anchorlock/>
          </v:shape>
          <o:OLEObject Type="Embed" ProgID="Visio.Drawing.11" ShapeID="_x0000_i1027" DrawAspect="Content" ObjectID="_1468075727" r:id="rId46">
            <o:LockedField>false</o:LockedField>
          </o:OLEObject>
        </w:object>
      </w:r>
    </w:p>
    <w:p>
      <w:pPr>
        <w:ind w:firstLine="482"/>
        <w:rPr>
          <w:rFonts w:ascii="Times New Roman" w:hAnsi="Times New Roman" w:eastAsia="宋体"/>
          <w:b/>
          <w:bCs/>
          <w:color w:val="auto"/>
          <w:highlight w:val="none"/>
          <w:u w:val="single"/>
        </w:rPr>
      </w:pPr>
      <w:r>
        <w:rPr>
          <w:rFonts w:ascii="Times New Roman" w:hAnsi="Times New Roman" w:eastAsia="宋体"/>
          <w:b/>
          <w:bCs/>
          <w:color w:val="auto"/>
          <w:highlight w:val="none"/>
          <w:u w:val="single"/>
        </w:rPr>
        <w:t>工艺流程简介：</w:t>
      </w:r>
    </w:p>
    <w:p>
      <w:pPr>
        <w:ind w:firstLine="482"/>
        <w:rPr>
          <w:rFonts w:ascii="Times New Roman" w:hAnsi="Times New Roman" w:eastAsia="宋体" w:cs="Times New Roman"/>
          <w:color w:val="auto"/>
          <w:szCs w:val="20"/>
          <w:highlight w:val="none"/>
          <w:u w:val="single"/>
        </w:rPr>
      </w:pPr>
      <w:r>
        <w:rPr>
          <w:rFonts w:ascii="Times New Roman" w:hAnsi="Times New Roman" w:eastAsia="宋体" w:cs="Times New Roman"/>
          <w:b/>
          <w:bCs/>
          <w:color w:val="auto"/>
          <w:szCs w:val="20"/>
          <w:highlight w:val="none"/>
          <w:u w:val="single"/>
        </w:rPr>
        <w:t>表土剥离：</w:t>
      </w:r>
      <w:r>
        <w:rPr>
          <w:rFonts w:ascii="Times New Roman" w:hAnsi="Times New Roman" w:eastAsia="宋体" w:cs="Times New Roman"/>
          <w:color w:val="auto"/>
          <w:szCs w:val="20"/>
          <w:highlight w:val="none"/>
          <w:u w:val="single"/>
        </w:rPr>
        <w:t>矿山开采需要进行表土剥离，剥离过程产生少量无组织废气Gu</w:t>
      </w:r>
      <w:r>
        <w:rPr>
          <w:rFonts w:hint="eastAsia" w:ascii="Times New Roman" w:hAnsi="Times New Roman" w:eastAsia="宋体" w:cs="Times New Roman"/>
          <w:color w:val="auto"/>
          <w:szCs w:val="20"/>
          <w:highlight w:val="none"/>
          <w:u w:val="single"/>
        </w:rPr>
        <w:t>2</w:t>
      </w:r>
      <w:r>
        <w:rPr>
          <w:rFonts w:ascii="Times New Roman" w:hAnsi="Times New Roman" w:eastAsia="宋体" w:cs="Times New Roman"/>
          <w:color w:val="auto"/>
          <w:szCs w:val="20"/>
          <w:highlight w:val="none"/>
          <w:u w:val="single"/>
        </w:rPr>
        <w:t>-1和表土S</w:t>
      </w:r>
      <w:r>
        <w:rPr>
          <w:rFonts w:hint="eastAsia" w:ascii="Times New Roman" w:hAnsi="Times New Roman" w:eastAsia="宋体" w:cs="Times New Roman"/>
          <w:color w:val="auto"/>
          <w:szCs w:val="20"/>
          <w:highlight w:val="none"/>
          <w:u w:val="single"/>
        </w:rPr>
        <w:t>2</w:t>
      </w:r>
      <w:r>
        <w:rPr>
          <w:rFonts w:ascii="Times New Roman" w:hAnsi="Times New Roman" w:eastAsia="宋体" w:cs="Times New Roman"/>
          <w:color w:val="auto"/>
          <w:szCs w:val="20"/>
          <w:highlight w:val="none"/>
          <w:u w:val="single"/>
        </w:rPr>
        <w:t>-1，剥离出来的表土堆存于临时堆土场（位于矿区</w:t>
      </w:r>
      <w:r>
        <w:rPr>
          <w:rFonts w:hint="eastAsia" w:ascii="Times New Roman" w:hAnsi="Times New Roman" w:eastAsia="宋体" w:cs="Times New Roman"/>
          <w:color w:val="auto"/>
          <w:szCs w:val="20"/>
          <w:highlight w:val="none"/>
          <w:u w:val="single"/>
        </w:rPr>
        <w:t>西面</w:t>
      </w:r>
      <w:r>
        <w:rPr>
          <w:rFonts w:ascii="Times New Roman" w:hAnsi="Times New Roman" w:eastAsia="宋体" w:cs="Times New Roman"/>
          <w:color w:val="auto"/>
          <w:szCs w:val="20"/>
          <w:highlight w:val="none"/>
          <w:u w:val="single"/>
        </w:rPr>
        <w:t>），表土堆放过程产生扬尘Gu</w:t>
      </w:r>
      <w:r>
        <w:rPr>
          <w:rFonts w:hint="eastAsia" w:ascii="Times New Roman" w:hAnsi="Times New Roman" w:eastAsia="宋体" w:cs="Times New Roman"/>
          <w:color w:val="auto"/>
          <w:szCs w:val="20"/>
          <w:highlight w:val="none"/>
          <w:u w:val="single"/>
        </w:rPr>
        <w:t>2</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8</w:t>
      </w:r>
      <w:r>
        <w:rPr>
          <w:rFonts w:ascii="Times New Roman" w:hAnsi="Times New Roman" w:eastAsia="宋体" w:cs="Times New Roman"/>
          <w:color w:val="auto"/>
          <w:szCs w:val="20"/>
          <w:highlight w:val="none"/>
          <w:u w:val="single"/>
        </w:rPr>
        <w:t>。</w:t>
      </w:r>
    </w:p>
    <w:p>
      <w:pPr>
        <w:ind w:firstLine="482"/>
        <w:rPr>
          <w:rFonts w:ascii="Times New Roman" w:hAnsi="Times New Roman" w:eastAsia="宋体" w:cs="Times New Roman"/>
          <w:color w:val="auto"/>
          <w:szCs w:val="20"/>
          <w:highlight w:val="none"/>
          <w:u w:val="single"/>
        </w:rPr>
      </w:pPr>
      <w:r>
        <w:rPr>
          <w:rFonts w:ascii="Times New Roman" w:hAnsi="Times New Roman" w:eastAsia="宋体" w:cs="Times New Roman"/>
          <w:b/>
          <w:bCs/>
          <w:color w:val="auto"/>
          <w:szCs w:val="20"/>
          <w:highlight w:val="none"/>
          <w:u w:val="single"/>
        </w:rPr>
        <w:t>凿岩钻孔：</w:t>
      </w:r>
      <w:r>
        <w:rPr>
          <w:rFonts w:ascii="Times New Roman" w:hAnsi="Times New Roman" w:eastAsia="宋体" w:cs="Times New Roman"/>
          <w:color w:val="auto"/>
          <w:szCs w:val="20"/>
          <w:highlight w:val="none"/>
          <w:u w:val="single"/>
        </w:rPr>
        <w:t>钻孔选用高风压潜孔钻机，配套供风采用空压机，钻孔过程产生无组织排放废气</w:t>
      </w:r>
      <w:r>
        <w:rPr>
          <w:rFonts w:hint="eastAsia" w:ascii="Times New Roman" w:hAnsi="Times New Roman" w:eastAsia="宋体" w:cs="Times New Roman"/>
          <w:color w:val="auto"/>
          <w:szCs w:val="20"/>
          <w:highlight w:val="none"/>
          <w:u w:val="single"/>
        </w:rPr>
        <w:t>Gu2</w:t>
      </w:r>
      <w:r>
        <w:rPr>
          <w:rFonts w:ascii="Times New Roman" w:hAnsi="Times New Roman" w:eastAsia="宋体" w:cs="Times New Roman"/>
          <w:color w:val="auto"/>
          <w:szCs w:val="20"/>
          <w:highlight w:val="none"/>
          <w:u w:val="single"/>
        </w:rPr>
        <w:t>-2和噪声N，钻孔采用湿式作业，降低钻孔过程颗粒物排放量。</w:t>
      </w:r>
    </w:p>
    <w:p>
      <w:pPr>
        <w:ind w:firstLine="482"/>
        <w:rPr>
          <w:rFonts w:ascii="Times New Roman" w:hAnsi="Times New Roman" w:eastAsia="宋体" w:cs="Times New Roman"/>
          <w:color w:val="auto"/>
          <w:szCs w:val="20"/>
          <w:highlight w:val="none"/>
          <w:u w:val="single"/>
        </w:rPr>
      </w:pPr>
      <w:r>
        <w:rPr>
          <w:rFonts w:ascii="Times New Roman" w:hAnsi="Times New Roman" w:eastAsia="宋体" w:cs="Times New Roman"/>
          <w:b/>
          <w:bCs/>
          <w:color w:val="auto"/>
          <w:szCs w:val="20"/>
          <w:highlight w:val="none"/>
          <w:u w:val="single"/>
        </w:rPr>
        <w:t>爆破：</w:t>
      </w:r>
      <w:r>
        <w:rPr>
          <w:rFonts w:ascii="Times New Roman" w:hAnsi="Times New Roman" w:eastAsia="宋体" w:cs="Times New Roman"/>
          <w:color w:val="auto"/>
          <w:szCs w:val="20"/>
          <w:highlight w:val="none"/>
          <w:u w:val="single"/>
        </w:rPr>
        <w:t>矿山采用中深孔爆破方法开采，中深孔爆破采用多排控微差爆破方式，三角形布孔，使用外购的</w:t>
      </w:r>
      <w:r>
        <w:rPr>
          <w:rFonts w:hint="eastAsia" w:ascii="Times New Roman" w:hAnsi="Times New Roman" w:eastAsia="宋体" w:cs="Times New Roman"/>
          <w:color w:val="auto"/>
          <w:szCs w:val="20"/>
          <w:highlight w:val="none"/>
          <w:u w:val="single"/>
        </w:rPr>
        <w:t>乳化</w:t>
      </w:r>
      <w:r>
        <w:rPr>
          <w:rFonts w:ascii="Times New Roman" w:hAnsi="Times New Roman" w:eastAsia="宋体" w:cs="Times New Roman"/>
          <w:color w:val="auto"/>
          <w:szCs w:val="20"/>
          <w:highlight w:val="none"/>
          <w:u w:val="single"/>
        </w:rPr>
        <w:t>炸药，毫秒雷管引爆。爆破产生无组织排放量粉尘和</w:t>
      </w:r>
      <w:r>
        <w:rPr>
          <w:rFonts w:ascii="Times New Roman" w:hAnsi="Times New Roman" w:eastAsia="宋体" w:cs="Times New Roman"/>
          <w:color w:val="auto"/>
          <w:kern w:val="0"/>
          <w:highlight w:val="none"/>
          <w:u w:val="single"/>
        </w:rPr>
        <w:t>炮烟</w:t>
      </w:r>
      <w:r>
        <w:rPr>
          <w:rFonts w:hint="eastAsia" w:ascii="Times New Roman" w:hAnsi="Times New Roman" w:eastAsia="宋体" w:cs="Times New Roman"/>
          <w:color w:val="auto"/>
          <w:kern w:val="0"/>
          <w:highlight w:val="none"/>
          <w:u w:val="single"/>
        </w:rPr>
        <w:t>Gu2</w:t>
      </w:r>
      <w:r>
        <w:rPr>
          <w:rFonts w:ascii="Times New Roman" w:hAnsi="Times New Roman" w:eastAsia="宋体" w:cs="Times New Roman"/>
          <w:color w:val="auto"/>
          <w:kern w:val="0"/>
          <w:highlight w:val="none"/>
          <w:u w:val="single"/>
        </w:rPr>
        <w:t>-3，噪声N和爆破振动Z</w:t>
      </w:r>
      <w:r>
        <w:rPr>
          <w:rFonts w:ascii="Times New Roman" w:hAnsi="Times New Roman" w:eastAsia="宋体" w:cs="Times New Roman"/>
          <w:color w:val="auto"/>
          <w:szCs w:val="20"/>
          <w:highlight w:val="none"/>
          <w:u w:val="single"/>
        </w:rPr>
        <w:t>。</w:t>
      </w:r>
    </w:p>
    <w:p>
      <w:pPr>
        <w:ind w:firstLine="482"/>
        <w:rPr>
          <w:rFonts w:ascii="Times New Roman" w:hAnsi="Times New Roman" w:eastAsia="宋体" w:cs="Times New Roman"/>
          <w:color w:val="auto"/>
          <w:szCs w:val="20"/>
          <w:highlight w:val="none"/>
          <w:u w:val="single"/>
        </w:rPr>
      </w:pPr>
      <w:r>
        <w:rPr>
          <w:rFonts w:ascii="Times New Roman" w:hAnsi="Times New Roman" w:eastAsia="宋体" w:cs="Times New Roman"/>
          <w:b/>
          <w:bCs/>
          <w:color w:val="auto"/>
          <w:szCs w:val="20"/>
          <w:highlight w:val="none"/>
          <w:u w:val="single"/>
        </w:rPr>
        <w:t>采装</w:t>
      </w:r>
      <w:r>
        <w:rPr>
          <w:rFonts w:ascii="Times New Roman" w:hAnsi="Times New Roman" w:eastAsia="宋体" w:cs="Times New Roman"/>
          <w:color w:val="auto"/>
          <w:szCs w:val="20"/>
          <w:highlight w:val="none"/>
          <w:u w:val="single"/>
        </w:rPr>
        <w:t>：爆破后的石料经挖掘机装入自卸车，运输至破碎区喂料口，采装过程产生无组织排放废气Gu</w:t>
      </w:r>
      <w:r>
        <w:rPr>
          <w:rFonts w:hint="eastAsia" w:ascii="Times New Roman" w:hAnsi="Times New Roman" w:eastAsia="宋体" w:cs="Times New Roman"/>
          <w:color w:val="auto"/>
          <w:szCs w:val="20"/>
          <w:highlight w:val="none"/>
          <w:u w:val="single"/>
        </w:rPr>
        <w:t>2</w:t>
      </w:r>
      <w:r>
        <w:rPr>
          <w:rFonts w:ascii="Times New Roman" w:hAnsi="Times New Roman" w:eastAsia="宋体" w:cs="Times New Roman"/>
          <w:color w:val="auto"/>
          <w:szCs w:val="20"/>
          <w:highlight w:val="none"/>
          <w:u w:val="single"/>
        </w:rPr>
        <w:t>-4和噪声N。</w:t>
      </w:r>
    </w:p>
    <w:p>
      <w:pPr>
        <w:ind w:firstLine="482"/>
        <w:rPr>
          <w:rFonts w:ascii="Times New Roman" w:hAnsi="Times New Roman" w:eastAsia="宋体" w:cs="Times New Roman"/>
          <w:color w:val="auto"/>
          <w:szCs w:val="20"/>
          <w:highlight w:val="none"/>
          <w:u w:val="single"/>
        </w:rPr>
      </w:pPr>
      <w:r>
        <w:rPr>
          <w:rFonts w:hint="eastAsia" w:ascii="Times New Roman" w:hAnsi="Times New Roman" w:eastAsia="宋体" w:cs="Times New Roman"/>
          <w:b/>
          <w:color w:val="auto"/>
          <w:szCs w:val="20"/>
          <w:highlight w:val="none"/>
          <w:u w:val="single"/>
        </w:rPr>
        <w:t>筛选破碎</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项目硅质岩矿爆破后大块碎石中含有少量废土石渣，经泥筛筛选除去废土石渣S2-2，收集后用于矿区道路平整。振动给料机将石块振动投入颚式破碎机进行一次破碎。筛选破碎</w:t>
      </w:r>
      <w:r>
        <w:rPr>
          <w:rFonts w:ascii="Times New Roman" w:hAnsi="Times New Roman" w:eastAsia="宋体" w:cs="Times New Roman"/>
          <w:color w:val="auto"/>
          <w:szCs w:val="20"/>
          <w:highlight w:val="none"/>
          <w:u w:val="single"/>
        </w:rPr>
        <w:t>过程产生无组织排放废气Gu</w:t>
      </w:r>
      <w:r>
        <w:rPr>
          <w:rFonts w:hint="eastAsia" w:ascii="Times New Roman" w:hAnsi="Times New Roman" w:eastAsia="宋体" w:cs="Times New Roman"/>
          <w:color w:val="auto"/>
          <w:szCs w:val="20"/>
          <w:highlight w:val="none"/>
          <w:u w:val="single"/>
        </w:rPr>
        <w:t>2</w:t>
      </w:r>
      <w:r>
        <w:rPr>
          <w:rFonts w:ascii="Times New Roman" w:hAnsi="Times New Roman" w:eastAsia="宋体" w:cs="Times New Roman"/>
          <w:color w:val="auto"/>
          <w:szCs w:val="20"/>
          <w:highlight w:val="none"/>
          <w:u w:val="single"/>
        </w:rPr>
        <w:t>1-5和噪声N。</w:t>
      </w:r>
    </w:p>
    <w:p>
      <w:pPr>
        <w:ind w:firstLine="482"/>
        <w:rPr>
          <w:rFonts w:hint="eastAsia" w:ascii="Times New Roman" w:hAnsi="Times New Roman" w:eastAsia="宋体" w:cs="Times New Roman"/>
          <w:color w:val="auto"/>
          <w:szCs w:val="20"/>
          <w:highlight w:val="none"/>
          <w:u w:val="single"/>
        </w:rPr>
      </w:pPr>
      <w:r>
        <w:rPr>
          <w:rFonts w:hint="eastAsia" w:ascii="Times New Roman" w:hAnsi="Times New Roman" w:eastAsia="宋体" w:cs="Times New Roman"/>
          <w:b/>
          <w:bCs/>
          <w:color w:val="auto"/>
          <w:szCs w:val="20"/>
          <w:highlight w:val="none"/>
          <w:u w:val="single"/>
        </w:rPr>
        <w:t>二级破碎筛分</w:t>
      </w:r>
      <w:r>
        <w:rPr>
          <w:rFonts w:ascii="Times New Roman" w:hAnsi="Times New Roman" w:eastAsia="宋体" w:cs="Times New Roman"/>
          <w:color w:val="auto"/>
          <w:szCs w:val="20"/>
          <w:highlight w:val="none"/>
          <w:u w:val="single"/>
        </w:rPr>
        <w:t>：碎石经</w:t>
      </w:r>
      <w:r>
        <w:rPr>
          <w:rFonts w:hint="eastAsia" w:ascii="Times New Roman" w:hAnsi="Times New Roman" w:eastAsia="宋体" w:cs="Times New Roman"/>
          <w:color w:val="auto"/>
          <w:szCs w:val="20"/>
          <w:highlight w:val="none"/>
          <w:u w:val="single"/>
        </w:rPr>
        <w:t>二级破碎筛分</w:t>
      </w:r>
      <w:r>
        <w:rPr>
          <w:rFonts w:ascii="Times New Roman" w:hAnsi="Times New Roman" w:eastAsia="宋体" w:cs="Times New Roman"/>
          <w:color w:val="auto"/>
          <w:szCs w:val="20"/>
          <w:highlight w:val="none"/>
          <w:u w:val="single"/>
        </w:rPr>
        <w:t>，筛选</w:t>
      </w:r>
      <w:r>
        <w:rPr>
          <w:rFonts w:hint="eastAsia" w:ascii="Times New Roman" w:hAnsi="Times New Roman" w:eastAsia="宋体" w:cs="Times New Roman"/>
          <w:color w:val="auto"/>
          <w:szCs w:val="20"/>
          <w:highlight w:val="none"/>
          <w:u w:val="single"/>
        </w:rPr>
        <w:t>成品</w:t>
      </w:r>
      <w:r>
        <w:rPr>
          <w:rFonts w:ascii="Times New Roman" w:hAnsi="Times New Roman" w:eastAsia="宋体" w:cs="Times New Roman"/>
          <w:color w:val="auto"/>
          <w:szCs w:val="20"/>
          <w:highlight w:val="none"/>
          <w:u w:val="single"/>
        </w:rPr>
        <w:t>碎石（</w:t>
      </w:r>
      <w:r>
        <w:rPr>
          <w:rFonts w:hint="eastAsia" w:ascii="Times New Roman" w:hAnsi="Times New Roman" w:eastAsia="宋体" w:cs="Times New Roman"/>
          <w:color w:val="auto"/>
          <w:szCs w:val="20"/>
          <w:highlight w:val="none"/>
          <w:u w:val="single"/>
        </w:rPr>
        <w:t>0.5</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1.0cm、1.0</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2.0cm、2.0</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3.0cm</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和石粉</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0</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0.5cm</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碎石送往堆料场⑤⑥⑦，石粉送往三级破碎站。二级破碎</w:t>
      </w:r>
      <w:r>
        <w:rPr>
          <w:rFonts w:ascii="Times New Roman" w:hAnsi="Times New Roman" w:eastAsia="宋体" w:cs="Times New Roman"/>
          <w:color w:val="auto"/>
          <w:szCs w:val="20"/>
          <w:highlight w:val="none"/>
          <w:u w:val="single"/>
        </w:rPr>
        <w:t>筛分过程产生无组织排放废气Gu</w:t>
      </w:r>
      <w:r>
        <w:rPr>
          <w:rFonts w:hint="eastAsia" w:ascii="Times New Roman" w:hAnsi="Times New Roman" w:eastAsia="宋体" w:cs="Times New Roman"/>
          <w:color w:val="auto"/>
          <w:szCs w:val="20"/>
          <w:highlight w:val="none"/>
          <w:u w:val="single"/>
        </w:rPr>
        <w:t>2</w:t>
      </w:r>
      <w:r>
        <w:rPr>
          <w:rFonts w:ascii="Times New Roman" w:hAnsi="Times New Roman" w:eastAsia="宋体" w:cs="Times New Roman"/>
          <w:color w:val="auto"/>
          <w:szCs w:val="20"/>
          <w:highlight w:val="none"/>
          <w:u w:val="single"/>
        </w:rPr>
        <w:t>-6和噪声N</w:t>
      </w:r>
      <w:r>
        <w:rPr>
          <w:rFonts w:hint="eastAsia" w:ascii="Times New Roman" w:hAnsi="Times New Roman" w:eastAsia="宋体" w:cs="Times New Roman"/>
          <w:color w:val="auto"/>
          <w:szCs w:val="20"/>
          <w:highlight w:val="none"/>
          <w:u w:val="single"/>
        </w:rPr>
        <w:t>。</w:t>
      </w:r>
    </w:p>
    <w:p>
      <w:pPr>
        <w:ind w:firstLine="482"/>
        <w:rPr>
          <w:rFonts w:ascii="Times New Roman" w:hAnsi="Times New Roman" w:eastAsia="宋体" w:cs="Times New Roman"/>
          <w:color w:val="auto"/>
          <w:highlight w:val="none"/>
          <w:u w:val="single"/>
        </w:rPr>
      </w:pPr>
      <w:r>
        <w:rPr>
          <w:rFonts w:hint="eastAsia" w:ascii="Times New Roman" w:hAnsi="Times New Roman" w:eastAsia="宋体" w:cs="Times New Roman"/>
          <w:b/>
          <w:bCs/>
          <w:color w:val="auto"/>
          <w:szCs w:val="20"/>
          <w:highlight w:val="none"/>
          <w:u w:val="single"/>
        </w:rPr>
        <w:t>三级破碎筛分：</w:t>
      </w:r>
      <w:r>
        <w:rPr>
          <w:rFonts w:hint="eastAsia" w:ascii="Times New Roman" w:hAnsi="Times New Roman" w:eastAsia="宋体" w:cs="Times New Roman"/>
          <w:color w:val="auto"/>
          <w:szCs w:val="20"/>
          <w:highlight w:val="none"/>
          <w:u w:val="single"/>
        </w:rPr>
        <w:t>石粉经三级破碎筛分后</w:t>
      </w:r>
      <w:r>
        <w:rPr>
          <w:rFonts w:ascii="Times New Roman" w:hAnsi="Times New Roman" w:eastAsia="宋体" w:cs="Times New Roman"/>
          <w:color w:val="auto"/>
          <w:szCs w:val="20"/>
          <w:highlight w:val="none"/>
          <w:u w:val="single"/>
        </w:rPr>
        <w:t>经皮带输送机运输至堆料场</w:t>
      </w:r>
      <w:r>
        <w:rPr>
          <w:rFonts w:hint="eastAsia" w:ascii="Times New Roman" w:hAnsi="Times New Roman" w:eastAsia="宋体" w:cs="Times New Roman"/>
          <w:color w:val="auto"/>
          <w:szCs w:val="20"/>
          <w:highlight w:val="none"/>
          <w:u w:val="single"/>
        </w:rPr>
        <w:t>⑧。三级破碎筛分</w:t>
      </w:r>
      <w:r>
        <w:rPr>
          <w:rFonts w:ascii="Times New Roman" w:hAnsi="Times New Roman" w:eastAsia="宋体" w:cs="Times New Roman"/>
          <w:color w:val="auto"/>
          <w:szCs w:val="20"/>
          <w:highlight w:val="none"/>
          <w:u w:val="single"/>
        </w:rPr>
        <w:t>过程产生废气</w:t>
      </w:r>
      <w:r>
        <w:rPr>
          <w:rFonts w:hint="eastAsia" w:ascii="Times New Roman" w:hAnsi="Times New Roman" w:eastAsia="宋体" w:cs="Times New Roman"/>
          <w:color w:val="auto"/>
          <w:szCs w:val="20"/>
          <w:highlight w:val="none"/>
          <w:u w:val="single"/>
        </w:rPr>
        <w:t>Gu2</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7</w:t>
      </w:r>
      <w:r>
        <w:rPr>
          <w:rFonts w:ascii="Times New Roman" w:hAnsi="Times New Roman" w:eastAsia="宋体" w:cs="Times New Roman"/>
          <w:color w:val="auto"/>
          <w:szCs w:val="20"/>
          <w:highlight w:val="none"/>
          <w:u w:val="single"/>
        </w:rPr>
        <w:t>和噪声N</w:t>
      </w:r>
      <w:r>
        <w:rPr>
          <w:rFonts w:hint="eastAsia" w:ascii="Times New Roman" w:hAnsi="Times New Roman" w:eastAsia="宋体" w:cs="Times New Roman"/>
          <w:color w:val="auto"/>
          <w:szCs w:val="20"/>
          <w:highlight w:val="none"/>
          <w:u w:val="single"/>
        </w:rPr>
        <w:t>。</w:t>
      </w:r>
      <w:r>
        <w:rPr>
          <w:rFonts w:ascii="Times New Roman" w:hAnsi="Times New Roman" w:eastAsia="宋体" w:cs="Times New Roman"/>
          <w:color w:val="auto"/>
          <w:szCs w:val="20"/>
          <w:highlight w:val="none"/>
          <w:u w:val="single"/>
        </w:rPr>
        <w:t>堆料场堆存过程产生扬尘</w:t>
      </w:r>
      <w:r>
        <w:rPr>
          <w:rFonts w:hint="eastAsia" w:ascii="Times New Roman" w:hAnsi="Times New Roman" w:eastAsia="宋体" w:cs="Times New Roman"/>
          <w:color w:val="auto"/>
          <w:szCs w:val="20"/>
          <w:highlight w:val="none"/>
          <w:u w:val="single"/>
        </w:rPr>
        <w:t>Gu2</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9，</w:t>
      </w:r>
      <w:r>
        <w:rPr>
          <w:rFonts w:ascii="Times New Roman" w:hAnsi="Times New Roman" w:eastAsia="宋体" w:cs="Times New Roman"/>
          <w:color w:val="auto"/>
          <w:szCs w:val="20"/>
          <w:highlight w:val="none"/>
          <w:u w:val="single"/>
        </w:rPr>
        <w:t>装卸产生无组织排放废气Gu</w:t>
      </w:r>
      <w:r>
        <w:rPr>
          <w:rFonts w:hint="eastAsia" w:ascii="Times New Roman" w:hAnsi="Times New Roman" w:eastAsia="宋体" w:cs="Times New Roman"/>
          <w:color w:val="auto"/>
          <w:szCs w:val="20"/>
          <w:highlight w:val="none"/>
          <w:u w:val="single"/>
        </w:rPr>
        <w:t>2</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10、道路扬尘</w:t>
      </w:r>
      <w:r>
        <w:rPr>
          <w:rFonts w:ascii="Times New Roman" w:hAnsi="Times New Roman" w:eastAsia="宋体" w:cs="Times New Roman"/>
          <w:color w:val="auto"/>
          <w:szCs w:val="20"/>
          <w:highlight w:val="none"/>
          <w:u w:val="single"/>
        </w:rPr>
        <w:t>Gu</w:t>
      </w:r>
      <w:r>
        <w:rPr>
          <w:rFonts w:hint="eastAsia" w:ascii="Times New Roman" w:hAnsi="Times New Roman" w:eastAsia="宋体" w:cs="Times New Roman"/>
          <w:color w:val="auto"/>
          <w:szCs w:val="20"/>
          <w:highlight w:val="none"/>
          <w:u w:val="single"/>
        </w:rPr>
        <w:t>2</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11</w:t>
      </w:r>
      <w:r>
        <w:rPr>
          <w:rFonts w:ascii="Times New Roman" w:hAnsi="Times New Roman" w:eastAsia="宋体" w:cs="Times New Roman"/>
          <w:color w:val="auto"/>
          <w:szCs w:val="20"/>
          <w:highlight w:val="none"/>
          <w:u w:val="single"/>
        </w:rPr>
        <w:t>和噪声N。</w:t>
      </w:r>
    </w:p>
    <w:p>
      <w:pPr>
        <w:ind w:firstLine="480"/>
        <w:rPr>
          <w:rFonts w:ascii="Times New Roman" w:hAnsi="Times New Roman" w:eastAsia="宋体"/>
          <w:color w:val="auto"/>
          <w:highlight w:val="none"/>
          <w:u w:val="single"/>
        </w:rPr>
      </w:pPr>
      <w:r>
        <w:rPr>
          <w:rFonts w:hint="eastAsia" w:ascii="Times New Roman" w:hAnsi="Times New Roman" w:eastAsia="宋体"/>
          <w:color w:val="auto"/>
          <w:highlight w:val="none"/>
          <w:u w:val="single"/>
        </w:rPr>
        <w:t>原宏保兴采石场</w:t>
      </w:r>
      <w:r>
        <w:rPr>
          <w:rFonts w:ascii="Times New Roman" w:hAnsi="Times New Roman" w:eastAsia="宋体"/>
          <w:color w:val="auto"/>
          <w:highlight w:val="none"/>
          <w:u w:val="single"/>
        </w:rPr>
        <w:t>生产工艺排污节点详情见下表2.</w:t>
      </w:r>
      <w:r>
        <w:rPr>
          <w:rFonts w:hint="eastAsia" w:ascii="Times New Roman" w:hAnsi="Times New Roman" w:eastAsia="宋体"/>
          <w:color w:val="auto"/>
          <w:highlight w:val="none"/>
          <w:u w:val="single"/>
        </w:rPr>
        <w:t>2-</w:t>
      </w:r>
      <w:r>
        <w:rPr>
          <w:rFonts w:hint="eastAsia" w:ascii="Times New Roman" w:hAnsi="Times New Roman" w:eastAsia="宋体"/>
          <w:color w:val="auto"/>
          <w:highlight w:val="none"/>
          <w:u w:val="single"/>
          <w:lang w:val="en-US" w:eastAsia="zh-CN"/>
        </w:rPr>
        <w:t>8</w:t>
      </w:r>
      <w:r>
        <w:rPr>
          <w:rFonts w:ascii="Times New Roman" w:hAnsi="Times New Roman" w:eastAsia="宋体"/>
          <w:color w:val="auto"/>
          <w:highlight w:val="none"/>
          <w:u w:val="single"/>
        </w:rPr>
        <w:t>。</w:t>
      </w:r>
    </w:p>
    <w:p>
      <w:pPr>
        <w:adjustRightInd w:val="0"/>
        <w:snapToGrid w:val="0"/>
        <w:spacing w:line="240" w:lineRule="auto"/>
        <w:ind w:firstLine="0" w:firstLineChars="0"/>
        <w:jc w:val="center"/>
        <w:rPr>
          <w:rFonts w:ascii="Times New Roman" w:hAnsi="Times New Roman" w:eastAsia="宋体" w:cs="Times New Roman"/>
          <w:color w:val="auto"/>
          <w:szCs w:val="24"/>
          <w:highlight w:val="none"/>
          <w:u w:val="single"/>
        </w:rPr>
      </w:pPr>
      <w:r>
        <w:rPr>
          <w:rFonts w:ascii="Times New Roman" w:hAnsi="Times New Roman" w:eastAsia="宋体" w:cs="Times New Roman"/>
          <w:b/>
          <w:color w:val="auto"/>
          <w:szCs w:val="24"/>
          <w:highlight w:val="none"/>
          <w:u w:val="single"/>
        </w:rPr>
        <w:t>表2.</w:t>
      </w:r>
      <w:r>
        <w:rPr>
          <w:rFonts w:hint="eastAsia" w:ascii="Times New Roman" w:hAnsi="Times New Roman" w:eastAsia="宋体" w:cs="Times New Roman"/>
          <w:b/>
          <w:color w:val="auto"/>
          <w:szCs w:val="24"/>
          <w:highlight w:val="none"/>
          <w:u w:val="single"/>
        </w:rPr>
        <w:t>2-</w:t>
      </w:r>
      <w:r>
        <w:rPr>
          <w:rFonts w:hint="eastAsia" w:ascii="Times New Roman" w:hAnsi="Times New Roman" w:eastAsia="宋体" w:cs="Times New Roman"/>
          <w:b/>
          <w:color w:val="auto"/>
          <w:szCs w:val="24"/>
          <w:highlight w:val="none"/>
          <w:u w:val="single"/>
          <w:lang w:val="en-US" w:eastAsia="zh-CN"/>
        </w:rPr>
        <w:t>8</w:t>
      </w:r>
      <w:r>
        <w:rPr>
          <w:rFonts w:ascii="Times New Roman" w:hAnsi="Times New Roman" w:eastAsia="宋体" w:cs="Times New Roman"/>
          <w:b/>
          <w:color w:val="auto"/>
          <w:szCs w:val="24"/>
          <w:highlight w:val="none"/>
          <w:u w:val="single"/>
        </w:rPr>
        <w:t xml:space="preserve">  </w:t>
      </w:r>
      <w:r>
        <w:rPr>
          <w:rFonts w:ascii="Times New Roman" w:hAnsi="Times New Roman" w:eastAsia="宋体" w:cs="Times New Roman"/>
          <w:b/>
          <w:bCs/>
          <w:color w:val="auto"/>
          <w:kern w:val="0"/>
          <w:szCs w:val="24"/>
          <w:highlight w:val="none"/>
          <w:u w:val="single"/>
        </w:rPr>
        <w:t>生产工艺排污节点一览表</w:t>
      </w:r>
    </w:p>
    <w:tbl>
      <w:tblPr>
        <w:tblStyle w:val="48"/>
        <w:tblW w:w="9093"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740"/>
        <w:gridCol w:w="1040"/>
        <w:gridCol w:w="1690"/>
        <w:gridCol w:w="2124"/>
        <w:gridCol w:w="2362"/>
        <w:gridCol w:w="1137"/>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noWrap w:val="0"/>
            <w:vAlign w:val="center"/>
          </w:tcPr>
          <w:p>
            <w:pPr>
              <w:adjustRightInd w:val="0"/>
              <w:snapToGrid w:val="0"/>
              <w:spacing w:line="240" w:lineRule="atLeast"/>
              <w:ind w:firstLine="0" w:firstLineChars="0"/>
              <w:jc w:val="center"/>
              <w:rPr>
                <w:rFonts w:ascii="Times New Roman" w:hAnsi="Times New Roman" w:eastAsia="宋体" w:cs="Times New Roman"/>
                <w:b/>
                <w:bCs/>
                <w:color w:val="auto"/>
                <w:sz w:val="21"/>
                <w:highlight w:val="none"/>
                <w:u w:val="single"/>
              </w:rPr>
            </w:pPr>
            <w:r>
              <w:rPr>
                <w:rFonts w:ascii="Times New Roman" w:hAnsi="Times New Roman" w:eastAsia="宋体" w:cs="Times New Roman"/>
                <w:b/>
                <w:bCs/>
                <w:color w:val="auto"/>
                <w:sz w:val="21"/>
                <w:highlight w:val="none"/>
                <w:u w:val="single"/>
              </w:rPr>
              <w:t>类型</w:t>
            </w: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b/>
                <w:bCs/>
                <w:color w:val="auto"/>
                <w:sz w:val="21"/>
                <w:highlight w:val="none"/>
                <w:u w:val="single"/>
              </w:rPr>
            </w:pPr>
            <w:r>
              <w:rPr>
                <w:rFonts w:ascii="Times New Roman" w:hAnsi="Times New Roman" w:eastAsia="宋体" w:cs="Times New Roman"/>
                <w:b/>
                <w:bCs/>
                <w:color w:val="auto"/>
                <w:sz w:val="21"/>
                <w:highlight w:val="none"/>
                <w:u w:val="single"/>
              </w:rPr>
              <w:t>序号</w:t>
            </w:r>
          </w:p>
        </w:tc>
        <w:tc>
          <w:tcPr>
            <w:tcW w:w="1690" w:type="dxa"/>
            <w:noWrap w:val="0"/>
            <w:vAlign w:val="center"/>
          </w:tcPr>
          <w:p>
            <w:pPr>
              <w:adjustRightInd w:val="0"/>
              <w:snapToGrid w:val="0"/>
              <w:spacing w:line="240" w:lineRule="atLeast"/>
              <w:ind w:firstLine="0" w:firstLineChars="0"/>
              <w:jc w:val="center"/>
              <w:rPr>
                <w:rFonts w:ascii="Times New Roman" w:hAnsi="Times New Roman" w:eastAsia="宋体" w:cs="Times New Roman"/>
                <w:b/>
                <w:bCs/>
                <w:color w:val="auto"/>
                <w:sz w:val="21"/>
                <w:highlight w:val="none"/>
                <w:u w:val="single"/>
              </w:rPr>
            </w:pPr>
            <w:r>
              <w:rPr>
                <w:rFonts w:ascii="Times New Roman" w:hAnsi="Times New Roman" w:eastAsia="宋体" w:cs="Times New Roman"/>
                <w:b/>
                <w:bCs/>
                <w:color w:val="auto"/>
                <w:sz w:val="21"/>
                <w:highlight w:val="none"/>
                <w:u w:val="single"/>
              </w:rPr>
              <w:t>污染源</w:t>
            </w:r>
          </w:p>
        </w:tc>
        <w:tc>
          <w:tcPr>
            <w:tcW w:w="2124" w:type="dxa"/>
            <w:noWrap w:val="0"/>
            <w:vAlign w:val="center"/>
          </w:tcPr>
          <w:p>
            <w:pPr>
              <w:adjustRightInd w:val="0"/>
              <w:snapToGrid w:val="0"/>
              <w:spacing w:line="240" w:lineRule="atLeast"/>
              <w:ind w:firstLine="0" w:firstLineChars="0"/>
              <w:jc w:val="center"/>
              <w:rPr>
                <w:rFonts w:ascii="Times New Roman" w:hAnsi="Times New Roman" w:eastAsia="宋体" w:cs="Times New Roman"/>
                <w:b/>
                <w:bCs/>
                <w:color w:val="auto"/>
                <w:sz w:val="21"/>
                <w:highlight w:val="none"/>
                <w:u w:val="single"/>
              </w:rPr>
            </w:pPr>
            <w:r>
              <w:rPr>
                <w:rFonts w:ascii="Times New Roman" w:hAnsi="Times New Roman" w:eastAsia="宋体" w:cs="Times New Roman"/>
                <w:b/>
                <w:bCs/>
                <w:color w:val="auto"/>
                <w:sz w:val="21"/>
                <w:highlight w:val="none"/>
                <w:u w:val="single"/>
              </w:rPr>
              <w:t>主要污染物</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
                <w:bCs/>
                <w:color w:val="auto"/>
                <w:sz w:val="21"/>
                <w:highlight w:val="none"/>
                <w:u w:val="single"/>
              </w:rPr>
            </w:pPr>
            <w:r>
              <w:rPr>
                <w:rFonts w:ascii="Times New Roman" w:hAnsi="Times New Roman" w:eastAsia="宋体" w:cs="Times New Roman"/>
                <w:b/>
                <w:bCs/>
                <w:color w:val="auto"/>
                <w:sz w:val="21"/>
                <w:highlight w:val="none"/>
                <w:u w:val="single"/>
              </w:rPr>
              <w:t>治理措施</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
                <w:bCs/>
                <w:color w:val="auto"/>
                <w:sz w:val="21"/>
                <w:highlight w:val="none"/>
                <w:u w:val="single"/>
              </w:rPr>
            </w:pPr>
            <w:r>
              <w:rPr>
                <w:rFonts w:ascii="Times New Roman" w:hAnsi="Times New Roman" w:eastAsia="宋体" w:cs="Times New Roman"/>
                <w:b/>
                <w:bCs/>
                <w:color w:val="auto"/>
                <w:sz w:val="21"/>
                <w:highlight w:val="none"/>
                <w:u w:val="single"/>
              </w:rPr>
              <w:t>排放特点</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restart"/>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无</w:t>
            </w:r>
          </w:p>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组</w:t>
            </w:r>
          </w:p>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织</w:t>
            </w:r>
          </w:p>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废</w:t>
            </w:r>
          </w:p>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气</w:t>
            </w: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color w:val="auto"/>
                <w:sz w:val="21"/>
                <w:highlight w:val="none"/>
                <w:u w:val="single"/>
              </w:rPr>
              <w:t>Gu</w:t>
            </w:r>
            <w:r>
              <w:rPr>
                <w:rFonts w:hint="eastAsia" w:ascii="Times New Roman" w:hAnsi="Times New Roman" w:eastAsia="宋体" w:cs="Times New Roman"/>
                <w:color w:val="auto"/>
                <w:sz w:val="21"/>
                <w:highlight w:val="none"/>
                <w:u w:val="single"/>
              </w:rPr>
              <w:t>2</w:t>
            </w:r>
            <w:r>
              <w:rPr>
                <w:rFonts w:ascii="Times New Roman" w:hAnsi="Times New Roman" w:eastAsia="宋体" w:cs="Times New Roman"/>
                <w:color w:val="auto"/>
                <w:sz w:val="21"/>
                <w:highlight w:val="none"/>
                <w:u w:val="single"/>
              </w:rPr>
              <w:t>-1</w:t>
            </w:r>
          </w:p>
        </w:tc>
        <w:tc>
          <w:tcPr>
            <w:tcW w:w="169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表土剥离</w:t>
            </w:r>
          </w:p>
        </w:tc>
        <w:tc>
          <w:tcPr>
            <w:tcW w:w="2124"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颗粒物</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间歇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continue"/>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Gu</w:t>
            </w:r>
            <w:r>
              <w:rPr>
                <w:rFonts w:hint="eastAsia" w:ascii="Times New Roman" w:hAnsi="Times New Roman" w:eastAsia="宋体" w:cs="Times New Roman"/>
                <w:color w:val="auto"/>
                <w:sz w:val="21"/>
                <w:highlight w:val="none"/>
                <w:u w:val="single"/>
              </w:rPr>
              <w:t>2</w:t>
            </w:r>
            <w:r>
              <w:rPr>
                <w:rFonts w:ascii="Times New Roman" w:hAnsi="Times New Roman" w:eastAsia="宋体" w:cs="Times New Roman"/>
                <w:color w:val="auto"/>
                <w:sz w:val="21"/>
                <w:highlight w:val="none"/>
                <w:u w:val="single"/>
              </w:rPr>
              <w:t>-2</w:t>
            </w:r>
          </w:p>
        </w:tc>
        <w:tc>
          <w:tcPr>
            <w:tcW w:w="169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凿岩钻孔</w:t>
            </w:r>
          </w:p>
        </w:tc>
        <w:tc>
          <w:tcPr>
            <w:tcW w:w="2124"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颗粒物</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湿式作业</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间歇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continue"/>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Gu</w:t>
            </w:r>
            <w:r>
              <w:rPr>
                <w:rFonts w:hint="eastAsia" w:ascii="Times New Roman" w:hAnsi="Times New Roman" w:eastAsia="宋体" w:cs="Times New Roman"/>
                <w:color w:val="auto"/>
                <w:sz w:val="21"/>
                <w:highlight w:val="none"/>
                <w:u w:val="single"/>
              </w:rPr>
              <w:t>2</w:t>
            </w:r>
            <w:r>
              <w:rPr>
                <w:rFonts w:ascii="Times New Roman" w:hAnsi="Times New Roman" w:eastAsia="宋体" w:cs="Times New Roman"/>
                <w:color w:val="auto"/>
                <w:sz w:val="21"/>
                <w:highlight w:val="none"/>
                <w:u w:val="single"/>
              </w:rPr>
              <w:t>-3</w:t>
            </w:r>
          </w:p>
        </w:tc>
        <w:tc>
          <w:tcPr>
            <w:tcW w:w="169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爆破</w:t>
            </w:r>
          </w:p>
        </w:tc>
        <w:tc>
          <w:tcPr>
            <w:tcW w:w="2124"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color w:val="auto"/>
                <w:kern w:val="0"/>
                <w:sz w:val="21"/>
                <w:highlight w:val="none"/>
                <w:u w:val="single"/>
              </w:rPr>
              <w:t>颗粒物、NO</w:t>
            </w:r>
            <w:r>
              <w:rPr>
                <w:rFonts w:ascii="Times New Roman" w:hAnsi="Times New Roman" w:eastAsia="宋体" w:cs="Times New Roman"/>
                <w:color w:val="auto"/>
                <w:kern w:val="0"/>
                <w:sz w:val="21"/>
                <w:highlight w:val="none"/>
                <w:u w:val="single"/>
                <w:vertAlign w:val="subscript"/>
              </w:rPr>
              <w:t>x</w:t>
            </w:r>
            <w:r>
              <w:rPr>
                <w:rFonts w:ascii="Times New Roman" w:hAnsi="Times New Roman" w:eastAsia="宋体" w:cs="Times New Roman"/>
                <w:color w:val="auto"/>
                <w:kern w:val="0"/>
                <w:sz w:val="21"/>
                <w:highlight w:val="none"/>
                <w:u w:val="single"/>
              </w:rPr>
              <w:t>、CO</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间歇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continue"/>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color w:val="auto"/>
                <w:sz w:val="21"/>
                <w:highlight w:val="none"/>
                <w:u w:val="single"/>
              </w:rPr>
              <w:t>Gu</w:t>
            </w:r>
            <w:r>
              <w:rPr>
                <w:rFonts w:hint="eastAsia" w:ascii="Times New Roman" w:hAnsi="Times New Roman" w:eastAsia="宋体" w:cs="Times New Roman"/>
                <w:color w:val="auto"/>
                <w:sz w:val="21"/>
                <w:highlight w:val="none"/>
                <w:u w:val="single"/>
              </w:rPr>
              <w:t>2</w:t>
            </w:r>
            <w:r>
              <w:rPr>
                <w:rFonts w:ascii="Times New Roman" w:hAnsi="Times New Roman" w:eastAsia="宋体" w:cs="Times New Roman"/>
                <w:color w:val="auto"/>
                <w:sz w:val="21"/>
                <w:highlight w:val="none"/>
                <w:u w:val="single"/>
              </w:rPr>
              <w:t>-4</w:t>
            </w:r>
          </w:p>
        </w:tc>
        <w:tc>
          <w:tcPr>
            <w:tcW w:w="169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采装</w:t>
            </w:r>
          </w:p>
        </w:tc>
        <w:tc>
          <w:tcPr>
            <w:tcW w:w="2124"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颗粒物</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间歇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continue"/>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Gu</w:t>
            </w:r>
            <w:r>
              <w:rPr>
                <w:rFonts w:hint="eastAsia" w:ascii="Times New Roman" w:hAnsi="Times New Roman" w:eastAsia="宋体" w:cs="Times New Roman"/>
                <w:bCs/>
                <w:color w:val="auto"/>
                <w:sz w:val="21"/>
                <w:highlight w:val="none"/>
                <w:u w:val="single"/>
              </w:rPr>
              <w:t>2</w:t>
            </w:r>
            <w:r>
              <w:rPr>
                <w:rFonts w:ascii="Times New Roman" w:hAnsi="Times New Roman" w:eastAsia="宋体" w:cs="Times New Roman"/>
                <w:bCs/>
                <w:color w:val="auto"/>
                <w:sz w:val="21"/>
                <w:highlight w:val="none"/>
                <w:u w:val="single"/>
              </w:rPr>
              <w:t>-5</w:t>
            </w:r>
          </w:p>
        </w:tc>
        <w:tc>
          <w:tcPr>
            <w:tcW w:w="169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筛选破碎</w:t>
            </w:r>
          </w:p>
        </w:tc>
        <w:tc>
          <w:tcPr>
            <w:tcW w:w="2124"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颗粒物</w:t>
            </w:r>
          </w:p>
        </w:tc>
        <w:tc>
          <w:tcPr>
            <w:tcW w:w="2362" w:type="dxa"/>
            <w:noWrap w:val="0"/>
            <w:vAlign w:val="center"/>
          </w:tcPr>
          <w:p>
            <w:pPr>
              <w:adjustRightInd w:val="0"/>
              <w:snapToGrid w:val="0"/>
              <w:spacing w:line="240" w:lineRule="atLeast"/>
              <w:ind w:firstLine="0" w:firstLineChars="0"/>
              <w:jc w:val="center"/>
              <w:rPr>
                <w:rFonts w:hint="eastAsia"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continue"/>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Gu</w:t>
            </w:r>
            <w:r>
              <w:rPr>
                <w:rFonts w:hint="eastAsia" w:ascii="Times New Roman" w:hAnsi="Times New Roman" w:eastAsia="宋体" w:cs="Times New Roman"/>
                <w:bCs/>
                <w:color w:val="auto"/>
                <w:sz w:val="21"/>
                <w:highlight w:val="none"/>
                <w:u w:val="single"/>
              </w:rPr>
              <w:t>2</w:t>
            </w:r>
            <w:r>
              <w:rPr>
                <w:rFonts w:ascii="Times New Roman" w:hAnsi="Times New Roman" w:eastAsia="宋体" w:cs="Times New Roman"/>
                <w:bCs/>
                <w:color w:val="auto"/>
                <w:sz w:val="21"/>
                <w:highlight w:val="none"/>
                <w:u w:val="single"/>
              </w:rPr>
              <w:t>-6</w:t>
            </w:r>
          </w:p>
        </w:tc>
        <w:tc>
          <w:tcPr>
            <w:tcW w:w="1690" w:type="dxa"/>
            <w:noWrap w:val="0"/>
            <w:vAlign w:val="center"/>
          </w:tcPr>
          <w:p>
            <w:pPr>
              <w:adjustRightInd w:val="0"/>
              <w:snapToGrid w:val="0"/>
              <w:spacing w:line="240" w:lineRule="atLeast"/>
              <w:ind w:firstLine="0" w:firstLineChars="0"/>
              <w:jc w:val="center"/>
              <w:rPr>
                <w:rFonts w:hint="eastAsia"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二级破碎筛分</w:t>
            </w:r>
          </w:p>
        </w:tc>
        <w:tc>
          <w:tcPr>
            <w:tcW w:w="2124"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颗粒物</w:t>
            </w:r>
          </w:p>
        </w:tc>
        <w:tc>
          <w:tcPr>
            <w:tcW w:w="2362" w:type="dxa"/>
            <w:noWrap w:val="0"/>
            <w:vAlign w:val="center"/>
          </w:tcPr>
          <w:p>
            <w:pPr>
              <w:adjustRightInd w:val="0"/>
              <w:snapToGrid w:val="0"/>
              <w:spacing w:line="240" w:lineRule="atLeast"/>
              <w:ind w:firstLine="0" w:firstLineChars="0"/>
              <w:jc w:val="center"/>
              <w:rPr>
                <w:rFonts w:hint="eastAsia"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continue"/>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color w:val="auto"/>
                <w:sz w:val="21"/>
                <w:highlight w:val="none"/>
                <w:u w:val="single"/>
              </w:rPr>
              <w:t>Gu</w:t>
            </w:r>
            <w:r>
              <w:rPr>
                <w:rFonts w:hint="eastAsia" w:ascii="Times New Roman" w:hAnsi="Times New Roman" w:eastAsia="宋体" w:cs="Times New Roman"/>
                <w:color w:val="auto"/>
                <w:sz w:val="21"/>
                <w:highlight w:val="none"/>
                <w:u w:val="single"/>
              </w:rPr>
              <w:t>2</w:t>
            </w:r>
            <w:r>
              <w:rPr>
                <w:rFonts w:ascii="Times New Roman" w:hAnsi="Times New Roman" w:eastAsia="宋体" w:cs="Times New Roman"/>
                <w:color w:val="auto"/>
                <w:sz w:val="21"/>
                <w:highlight w:val="none"/>
                <w:u w:val="single"/>
              </w:rPr>
              <w:t>-7</w:t>
            </w:r>
          </w:p>
        </w:tc>
        <w:tc>
          <w:tcPr>
            <w:tcW w:w="1690" w:type="dxa"/>
            <w:noWrap w:val="0"/>
            <w:vAlign w:val="center"/>
          </w:tcPr>
          <w:p>
            <w:pPr>
              <w:adjustRightInd w:val="0"/>
              <w:snapToGrid w:val="0"/>
              <w:spacing w:line="240" w:lineRule="atLeast"/>
              <w:ind w:firstLine="0" w:firstLineChars="0"/>
              <w:jc w:val="center"/>
              <w:rPr>
                <w:rFonts w:hint="eastAsia"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三级破碎筛分</w:t>
            </w:r>
          </w:p>
        </w:tc>
        <w:tc>
          <w:tcPr>
            <w:tcW w:w="2124"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颗粒物</w:t>
            </w:r>
          </w:p>
        </w:tc>
        <w:tc>
          <w:tcPr>
            <w:tcW w:w="2362" w:type="dxa"/>
            <w:noWrap w:val="0"/>
            <w:vAlign w:val="center"/>
          </w:tcPr>
          <w:p>
            <w:pPr>
              <w:adjustRightInd w:val="0"/>
              <w:snapToGrid w:val="0"/>
              <w:spacing w:line="240" w:lineRule="atLeast"/>
              <w:ind w:firstLine="0" w:firstLineChars="0"/>
              <w:jc w:val="center"/>
              <w:rPr>
                <w:rFonts w:hint="eastAsia"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continue"/>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Gu</w:t>
            </w:r>
            <w:r>
              <w:rPr>
                <w:rFonts w:hint="eastAsia" w:ascii="Times New Roman" w:hAnsi="Times New Roman" w:eastAsia="宋体" w:cs="Times New Roman"/>
                <w:color w:val="auto"/>
                <w:sz w:val="21"/>
                <w:highlight w:val="none"/>
                <w:u w:val="single"/>
              </w:rPr>
              <w:t>2</w:t>
            </w:r>
            <w:r>
              <w:rPr>
                <w:rFonts w:ascii="Times New Roman" w:hAnsi="Times New Roman" w:eastAsia="宋体" w:cs="Times New Roman"/>
                <w:color w:val="auto"/>
                <w:sz w:val="21"/>
                <w:highlight w:val="none"/>
                <w:u w:val="single"/>
              </w:rPr>
              <w:t>-8</w:t>
            </w:r>
          </w:p>
        </w:tc>
        <w:tc>
          <w:tcPr>
            <w:tcW w:w="1690" w:type="dxa"/>
            <w:noWrap w:val="0"/>
            <w:vAlign w:val="center"/>
          </w:tcPr>
          <w:p>
            <w:pPr>
              <w:adjustRightInd w:val="0"/>
              <w:snapToGrid w:val="0"/>
              <w:spacing w:line="240" w:lineRule="atLeast"/>
              <w:ind w:firstLine="0" w:firstLineChars="0"/>
              <w:jc w:val="center"/>
              <w:rPr>
                <w:rFonts w:hint="eastAsia" w:ascii="Times New Roman" w:hAnsi="Times New Roman" w:eastAsia="宋体" w:cs="Times New Roman"/>
                <w:color w:val="auto"/>
                <w:kern w:val="0"/>
                <w:sz w:val="21"/>
                <w:highlight w:val="none"/>
                <w:u w:val="single"/>
              </w:rPr>
            </w:pPr>
            <w:r>
              <w:rPr>
                <w:rFonts w:ascii="Times New Roman" w:hAnsi="Times New Roman" w:eastAsia="宋体" w:cs="Times New Roman"/>
                <w:bCs/>
                <w:color w:val="auto"/>
                <w:sz w:val="21"/>
                <w:highlight w:val="none"/>
                <w:u w:val="single"/>
              </w:rPr>
              <w:t>临时堆土场</w:t>
            </w:r>
            <w:r>
              <w:rPr>
                <w:rFonts w:hint="eastAsia" w:ascii="Times New Roman" w:hAnsi="Times New Roman" w:eastAsia="宋体"/>
                <w:bCs/>
                <w:color w:val="auto"/>
                <w:sz w:val="21"/>
                <w:highlight w:val="none"/>
                <w:u w:val="single"/>
              </w:rPr>
              <w:t>②</w:t>
            </w:r>
          </w:p>
        </w:tc>
        <w:tc>
          <w:tcPr>
            <w:tcW w:w="2124"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颗粒物</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continue"/>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Gu</w:t>
            </w:r>
            <w:r>
              <w:rPr>
                <w:rFonts w:hint="eastAsia" w:ascii="Times New Roman" w:hAnsi="Times New Roman" w:eastAsia="宋体" w:cs="Times New Roman"/>
                <w:color w:val="auto"/>
                <w:sz w:val="21"/>
                <w:highlight w:val="none"/>
                <w:u w:val="single"/>
              </w:rPr>
              <w:t>2</w:t>
            </w:r>
            <w:r>
              <w:rPr>
                <w:rFonts w:ascii="Times New Roman" w:hAnsi="Times New Roman" w:eastAsia="宋体" w:cs="Times New Roman"/>
                <w:color w:val="auto"/>
                <w:sz w:val="21"/>
                <w:highlight w:val="none"/>
                <w:u w:val="single"/>
              </w:rPr>
              <w:t>-9</w:t>
            </w:r>
          </w:p>
        </w:tc>
        <w:tc>
          <w:tcPr>
            <w:tcW w:w="1690" w:type="dxa"/>
            <w:noWrap w:val="0"/>
            <w:vAlign w:val="center"/>
          </w:tcPr>
          <w:p>
            <w:pPr>
              <w:adjustRightInd w:val="0"/>
              <w:snapToGrid w:val="0"/>
              <w:spacing w:line="240" w:lineRule="atLeast"/>
              <w:ind w:firstLine="0" w:firstLineChars="0"/>
              <w:jc w:val="center"/>
              <w:rPr>
                <w:rFonts w:ascii="Times New Roman" w:hAnsi="Times New Roman" w:eastAsia="宋体" w:cs="Times New Roman"/>
                <w:color w:val="auto"/>
                <w:kern w:val="0"/>
                <w:sz w:val="21"/>
                <w:highlight w:val="none"/>
                <w:u w:val="single"/>
              </w:rPr>
            </w:pPr>
            <w:r>
              <w:rPr>
                <w:rFonts w:ascii="Times New Roman" w:hAnsi="Times New Roman" w:eastAsia="宋体" w:cs="Times New Roman"/>
                <w:bCs/>
                <w:color w:val="auto"/>
                <w:sz w:val="21"/>
                <w:highlight w:val="none"/>
                <w:u w:val="single"/>
              </w:rPr>
              <w:t>堆料场</w:t>
            </w:r>
            <w:r>
              <w:rPr>
                <w:rFonts w:hint="eastAsia" w:ascii="Times New Roman" w:hAnsi="Times New Roman" w:eastAsia="宋体"/>
                <w:bCs/>
                <w:color w:val="auto"/>
                <w:sz w:val="21"/>
                <w:highlight w:val="none"/>
                <w:u w:val="single"/>
              </w:rPr>
              <w:t>⑤⑥⑦⑧</w:t>
            </w:r>
          </w:p>
        </w:tc>
        <w:tc>
          <w:tcPr>
            <w:tcW w:w="2124"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颗粒物</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continue"/>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Gu</w:t>
            </w:r>
            <w:r>
              <w:rPr>
                <w:rFonts w:hint="eastAsia" w:ascii="Times New Roman" w:hAnsi="Times New Roman" w:eastAsia="宋体" w:cs="Times New Roman"/>
                <w:color w:val="auto"/>
                <w:sz w:val="21"/>
                <w:highlight w:val="none"/>
                <w:u w:val="single"/>
              </w:rPr>
              <w:t>2</w:t>
            </w:r>
            <w:r>
              <w:rPr>
                <w:rFonts w:ascii="Times New Roman" w:hAnsi="Times New Roman" w:eastAsia="宋体" w:cs="Times New Roman"/>
                <w:color w:val="auto"/>
                <w:sz w:val="21"/>
                <w:highlight w:val="none"/>
                <w:u w:val="single"/>
              </w:rPr>
              <w:t>-10</w:t>
            </w:r>
          </w:p>
        </w:tc>
        <w:tc>
          <w:tcPr>
            <w:tcW w:w="1690" w:type="dxa"/>
            <w:noWrap w:val="0"/>
            <w:vAlign w:val="center"/>
          </w:tcPr>
          <w:p>
            <w:pPr>
              <w:adjustRightInd w:val="0"/>
              <w:snapToGrid w:val="0"/>
              <w:spacing w:line="240" w:lineRule="atLeast"/>
              <w:ind w:firstLine="0" w:firstLineChars="0"/>
              <w:jc w:val="center"/>
              <w:rPr>
                <w:rFonts w:ascii="Times New Roman" w:hAnsi="Times New Roman" w:eastAsia="宋体" w:cs="Times New Roman"/>
                <w:color w:val="auto"/>
                <w:kern w:val="0"/>
                <w:sz w:val="21"/>
                <w:highlight w:val="none"/>
                <w:u w:val="single"/>
              </w:rPr>
            </w:pPr>
            <w:r>
              <w:rPr>
                <w:rFonts w:ascii="Times New Roman" w:hAnsi="Times New Roman" w:eastAsia="宋体" w:cs="Times New Roman"/>
                <w:bCs/>
                <w:color w:val="auto"/>
                <w:sz w:val="21"/>
                <w:highlight w:val="none"/>
                <w:u w:val="single"/>
              </w:rPr>
              <w:t>装卸</w:t>
            </w:r>
          </w:p>
        </w:tc>
        <w:tc>
          <w:tcPr>
            <w:tcW w:w="2124"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颗粒物</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间歇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continue"/>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p>
        </w:tc>
        <w:tc>
          <w:tcPr>
            <w:tcW w:w="1040" w:type="dxa"/>
            <w:noWrap w:val="0"/>
            <w:vAlign w:val="center"/>
          </w:tcPr>
          <w:p>
            <w:pPr>
              <w:adjustRightInd w:val="0"/>
              <w:snapToGrid w:val="0"/>
              <w:spacing w:line="240" w:lineRule="atLeast"/>
              <w:ind w:firstLine="0" w:firstLineChars="0"/>
              <w:jc w:val="center"/>
              <w:rPr>
                <w:rFonts w:hint="eastAsia"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Gu</w:t>
            </w:r>
            <w:r>
              <w:rPr>
                <w:rFonts w:hint="eastAsia" w:ascii="Times New Roman" w:hAnsi="Times New Roman" w:eastAsia="宋体" w:cs="Times New Roman"/>
                <w:color w:val="auto"/>
                <w:sz w:val="21"/>
                <w:highlight w:val="none"/>
                <w:u w:val="single"/>
              </w:rPr>
              <w:t>2</w:t>
            </w:r>
            <w:r>
              <w:rPr>
                <w:rFonts w:ascii="Times New Roman" w:hAnsi="Times New Roman" w:eastAsia="宋体" w:cs="Times New Roman"/>
                <w:color w:val="auto"/>
                <w:sz w:val="21"/>
                <w:highlight w:val="none"/>
                <w:u w:val="single"/>
              </w:rPr>
              <w:t>-1</w:t>
            </w:r>
            <w:r>
              <w:rPr>
                <w:rFonts w:hint="eastAsia" w:ascii="Times New Roman" w:hAnsi="Times New Roman" w:eastAsia="宋体" w:cs="Times New Roman"/>
                <w:color w:val="auto"/>
                <w:sz w:val="21"/>
                <w:highlight w:val="none"/>
                <w:u w:val="single"/>
              </w:rPr>
              <w:t>1</w:t>
            </w:r>
          </w:p>
        </w:tc>
        <w:tc>
          <w:tcPr>
            <w:tcW w:w="169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color w:val="auto"/>
                <w:sz w:val="21"/>
                <w:highlight w:val="none"/>
                <w:u w:val="single"/>
              </w:rPr>
              <w:t>道路扬尘</w:t>
            </w:r>
          </w:p>
        </w:tc>
        <w:tc>
          <w:tcPr>
            <w:tcW w:w="2124"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颗粒物</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间歇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noWrap w:val="0"/>
            <w:vAlign w:val="center"/>
          </w:tcPr>
          <w:p>
            <w:pPr>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color w:val="auto"/>
                <w:sz w:val="21"/>
                <w:highlight w:val="none"/>
                <w:u w:val="single"/>
              </w:rPr>
              <w:t>噪声</w:t>
            </w:r>
          </w:p>
        </w:tc>
        <w:tc>
          <w:tcPr>
            <w:tcW w:w="1040" w:type="dxa"/>
            <w:noWrap w:val="0"/>
            <w:vAlign w:val="center"/>
          </w:tcPr>
          <w:p>
            <w:pPr>
              <w:spacing w:line="240" w:lineRule="atLeast"/>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N</w:t>
            </w:r>
          </w:p>
        </w:tc>
        <w:tc>
          <w:tcPr>
            <w:tcW w:w="1690" w:type="dxa"/>
            <w:noWrap w:val="0"/>
            <w:vAlign w:val="center"/>
          </w:tcPr>
          <w:p>
            <w:pPr>
              <w:spacing w:line="240" w:lineRule="atLeast"/>
              <w:ind w:firstLine="0" w:firstLineChars="0"/>
              <w:jc w:val="center"/>
              <w:rPr>
                <w:rFonts w:ascii="Times New Roman" w:hAnsi="Times New Roman" w:eastAsia="宋体" w:cs="Times New Roman"/>
                <w:color w:val="auto"/>
                <w:kern w:val="0"/>
                <w:sz w:val="21"/>
                <w:highlight w:val="none"/>
                <w:u w:val="single"/>
              </w:rPr>
            </w:pPr>
            <w:r>
              <w:rPr>
                <w:rFonts w:ascii="Times New Roman" w:hAnsi="Times New Roman" w:eastAsia="宋体" w:cs="Times New Roman"/>
                <w:color w:val="auto"/>
                <w:sz w:val="21"/>
                <w:highlight w:val="none"/>
                <w:u w:val="single"/>
              </w:rPr>
              <w:t>设备</w:t>
            </w:r>
            <w:r>
              <w:rPr>
                <w:rFonts w:hint="eastAsia" w:ascii="Times New Roman" w:hAnsi="Times New Roman" w:eastAsia="宋体" w:cs="Times New Roman"/>
                <w:color w:val="auto"/>
                <w:sz w:val="21"/>
                <w:highlight w:val="none"/>
                <w:u w:val="single"/>
              </w:rPr>
              <w:t>、爆破</w:t>
            </w:r>
          </w:p>
        </w:tc>
        <w:tc>
          <w:tcPr>
            <w:tcW w:w="2124" w:type="dxa"/>
            <w:noWrap w:val="0"/>
            <w:vAlign w:val="center"/>
          </w:tcPr>
          <w:p>
            <w:pPr>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color w:val="auto"/>
                <w:sz w:val="21"/>
                <w:highlight w:val="none"/>
                <w:u w:val="single"/>
              </w:rPr>
              <w:t>噪声</w:t>
            </w:r>
          </w:p>
        </w:tc>
        <w:tc>
          <w:tcPr>
            <w:tcW w:w="2362" w:type="dxa"/>
            <w:noWrap w:val="0"/>
            <w:vAlign w:val="center"/>
          </w:tcPr>
          <w:p>
            <w:pPr>
              <w:spacing w:line="240" w:lineRule="atLeast"/>
              <w:ind w:firstLine="0" w:firstLineChars="0"/>
              <w:jc w:val="left"/>
              <w:rPr>
                <w:rFonts w:ascii="Times New Roman" w:hAnsi="Times New Roman" w:eastAsia="宋体" w:cs="Times New Roman"/>
                <w:bCs/>
                <w:color w:val="auto"/>
                <w:sz w:val="21"/>
                <w:highlight w:val="none"/>
                <w:u w:val="single"/>
              </w:rPr>
            </w:pPr>
            <w:r>
              <w:rPr>
                <w:rFonts w:ascii="Times New Roman" w:hAnsi="Times New Roman" w:eastAsia="宋体" w:cs="Times New Roman"/>
                <w:color w:val="auto"/>
                <w:sz w:val="21"/>
                <w:highlight w:val="none"/>
                <w:u w:val="single"/>
              </w:rPr>
              <w:t>合理布置设备、减振、消声、厂房隔声</w:t>
            </w:r>
          </w:p>
        </w:tc>
        <w:tc>
          <w:tcPr>
            <w:tcW w:w="1137" w:type="dxa"/>
            <w:noWrap w:val="0"/>
            <w:vAlign w:val="center"/>
          </w:tcPr>
          <w:p>
            <w:pPr>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color w:val="auto"/>
                <w:sz w:val="21"/>
                <w:highlight w:val="none"/>
                <w:u w:val="single"/>
              </w:rPr>
              <w:t>间歇排放</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restart"/>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固体废物</w:t>
            </w: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S</w:t>
            </w:r>
            <w:r>
              <w:rPr>
                <w:rFonts w:hint="eastAsia" w:ascii="Times New Roman" w:hAnsi="Times New Roman" w:eastAsia="宋体" w:cs="Times New Roman"/>
                <w:bCs/>
                <w:color w:val="auto"/>
                <w:sz w:val="21"/>
                <w:highlight w:val="none"/>
                <w:u w:val="single"/>
              </w:rPr>
              <w:t>2</w:t>
            </w:r>
            <w:r>
              <w:rPr>
                <w:rFonts w:ascii="Times New Roman" w:hAnsi="Times New Roman" w:eastAsia="宋体" w:cs="Times New Roman"/>
                <w:bCs/>
                <w:color w:val="auto"/>
                <w:sz w:val="21"/>
                <w:highlight w:val="none"/>
                <w:u w:val="single"/>
              </w:rPr>
              <w:t>-1</w:t>
            </w:r>
          </w:p>
        </w:tc>
        <w:tc>
          <w:tcPr>
            <w:tcW w:w="169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表土剥离</w:t>
            </w:r>
          </w:p>
        </w:tc>
        <w:tc>
          <w:tcPr>
            <w:tcW w:w="2124" w:type="dxa"/>
            <w:noWrap w:val="0"/>
            <w:vAlign w:val="center"/>
          </w:tcPr>
          <w:p>
            <w:pPr>
              <w:adjustRightInd w:val="0"/>
              <w:snapToGrid w:val="0"/>
              <w:spacing w:line="240" w:lineRule="atLeast"/>
              <w:ind w:firstLine="0" w:firstLineChars="0"/>
              <w:jc w:val="center"/>
              <w:rPr>
                <w:rFonts w:hint="eastAsia"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表土、</w:t>
            </w:r>
            <w:r>
              <w:rPr>
                <w:rFonts w:hint="eastAsia" w:ascii="Times New Roman" w:hAnsi="Times New Roman" w:eastAsia="宋体" w:cs="Times New Roman"/>
                <w:bCs/>
                <w:color w:val="auto"/>
                <w:sz w:val="21"/>
                <w:highlight w:val="none"/>
                <w:u w:val="single"/>
              </w:rPr>
              <w:t>废土石渣</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用于矿区道路平整</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vMerge w:val="continue"/>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p>
        </w:tc>
        <w:tc>
          <w:tcPr>
            <w:tcW w:w="1040" w:type="dxa"/>
            <w:noWrap w:val="0"/>
            <w:vAlign w:val="center"/>
          </w:tcPr>
          <w:p>
            <w:pPr>
              <w:adjustRightInd w:val="0"/>
              <w:snapToGrid w:val="0"/>
              <w:spacing w:line="240" w:lineRule="atLeast"/>
              <w:ind w:firstLine="0" w:firstLineChars="0"/>
              <w:jc w:val="center"/>
              <w:rPr>
                <w:rFonts w:hint="eastAsia"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S</w:t>
            </w:r>
            <w:r>
              <w:rPr>
                <w:rFonts w:hint="eastAsia" w:ascii="Times New Roman" w:hAnsi="Times New Roman" w:eastAsia="宋体" w:cs="Times New Roman"/>
                <w:bCs/>
                <w:color w:val="auto"/>
                <w:sz w:val="21"/>
                <w:highlight w:val="none"/>
                <w:u w:val="single"/>
              </w:rPr>
              <w:t>2</w:t>
            </w:r>
            <w:r>
              <w:rPr>
                <w:rFonts w:ascii="Times New Roman" w:hAnsi="Times New Roman" w:eastAsia="宋体" w:cs="Times New Roman"/>
                <w:bCs/>
                <w:color w:val="auto"/>
                <w:sz w:val="21"/>
                <w:highlight w:val="none"/>
                <w:u w:val="single"/>
              </w:rPr>
              <w:t>-</w:t>
            </w:r>
            <w:r>
              <w:rPr>
                <w:rFonts w:hint="eastAsia" w:ascii="Times New Roman" w:hAnsi="Times New Roman" w:eastAsia="宋体" w:cs="Times New Roman"/>
                <w:bCs/>
                <w:color w:val="auto"/>
                <w:sz w:val="21"/>
                <w:highlight w:val="none"/>
                <w:u w:val="single"/>
              </w:rPr>
              <w:t>2</w:t>
            </w:r>
          </w:p>
        </w:tc>
        <w:tc>
          <w:tcPr>
            <w:tcW w:w="169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筛选</w:t>
            </w:r>
          </w:p>
        </w:tc>
        <w:tc>
          <w:tcPr>
            <w:tcW w:w="2124"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废土石渣</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用于矿区道路平整</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74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振动</w:t>
            </w:r>
          </w:p>
        </w:tc>
        <w:tc>
          <w:tcPr>
            <w:tcW w:w="104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Z</w:t>
            </w:r>
          </w:p>
        </w:tc>
        <w:tc>
          <w:tcPr>
            <w:tcW w:w="1690"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爆破</w:t>
            </w:r>
          </w:p>
        </w:tc>
        <w:tc>
          <w:tcPr>
            <w:tcW w:w="2124"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振动</w:t>
            </w:r>
          </w:p>
        </w:tc>
        <w:tc>
          <w:tcPr>
            <w:tcW w:w="2362"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采取中深孔爆破</w:t>
            </w:r>
          </w:p>
        </w:tc>
        <w:tc>
          <w:tcPr>
            <w:tcW w:w="1137" w:type="dxa"/>
            <w:noWrap w:val="0"/>
            <w:vAlign w:val="center"/>
          </w:tcPr>
          <w:p>
            <w:pPr>
              <w:adjustRightInd w:val="0"/>
              <w:snapToGrid w:val="0"/>
              <w:spacing w:line="240" w:lineRule="atLeast"/>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w:t>
            </w:r>
          </w:p>
        </w:tc>
      </w:tr>
    </w:tbl>
    <w:p>
      <w:pPr>
        <w:pStyle w:val="5"/>
        <w:bidi w:val="0"/>
        <w:rPr>
          <w:color w:val="auto"/>
          <w:highlight w:val="none"/>
          <w:u w:val="single"/>
        </w:rPr>
      </w:pPr>
      <w:r>
        <w:rPr>
          <w:color w:val="auto"/>
          <w:highlight w:val="none"/>
          <w:u w:val="single"/>
        </w:rPr>
        <w:t>2.</w:t>
      </w:r>
      <w:r>
        <w:rPr>
          <w:rFonts w:hint="eastAsia"/>
          <w:color w:val="auto"/>
          <w:highlight w:val="none"/>
          <w:u w:val="single"/>
        </w:rPr>
        <w:t>2</w:t>
      </w:r>
      <w:r>
        <w:rPr>
          <w:color w:val="auto"/>
          <w:highlight w:val="none"/>
          <w:u w:val="single"/>
        </w:rPr>
        <w:t>.</w:t>
      </w:r>
      <w:r>
        <w:rPr>
          <w:rFonts w:hint="eastAsia"/>
          <w:color w:val="auto"/>
          <w:highlight w:val="none"/>
          <w:u w:val="single"/>
          <w:lang w:val="en-US" w:eastAsia="zh-CN"/>
        </w:rPr>
        <w:t>8</w:t>
      </w:r>
      <w:r>
        <w:rPr>
          <w:color w:val="auto"/>
          <w:highlight w:val="none"/>
          <w:u w:val="single"/>
        </w:rPr>
        <w:t xml:space="preserve"> 物料平衡</w:t>
      </w:r>
    </w:p>
    <w:p>
      <w:pPr>
        <w:ind w:firstLine="480"/>
        <w:rPr>
          <w:rFonts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t>原</w:t>
      </w:r>
      <w:r>
        <w:rPr>
          <w:rFonts w:hint="eastAsia" w:ascii="Times New Roman" w:hAnsi="Times New Roman" w:eastAsia="宋体"/>
          <w:color w:val="auto"/>
          <w:highlight w:val="none"/>
          <w:u w:val="single"/>
        </w:rPr>
        <w:t>海江采石场</w:t>
      </w:r>
      <w:r>
        <w:rPr>
          <w:rFonts w:hint="eastAsia" w:ascii="Times New Roman" w:hAnsi="Times New Roman" w:eastAsia="宋体" w:cs="Times New Roman"/>
          <w:color w:val="auto"/>
          <w:szCs w:val="24"/>
          <w:highlight w:val="none"/>
          <w:u w:val="single"/>
        </w:rPr>
        <w:t>矿石</w:t>
      </w:r>
      <w:r>
        <w:rPr>
          <w:rFonts w:ascii="Times New Roman" w:hAnsi="Times New Roman" w:eastAsia="宋体" w:cs="Times New Roman"/>
          <w:color w:val="auto"/>
          <w:szCs w:val="24"/>
          <w:highlight w:val="none"/>
          <w:u w:val="single"/>
        </w:rPr>
        <w:t>开采过程剥采比为0.0</w:t>
      </w:r>
      <w:r>
        <w:rPr>
          <w:rFonts w:hint="eastAsia" w:ascii="Times New Roman" w:hAnsi="Times New Roman" w:eastAsia="宋体" w:cs="Times New Roman"/>
          <w:color w:val="auto"/>
          <w:szCs w:val="24"/>
          <w:highlight w:val="none"/>
          <w:u w:val="single"/>
        </w:rPr>
        <w:t>1</w:t>
      </w:r>
      <w:r>
        <w:rPr>
          <w:rFonts w:ascii="Times New Roman" w:hAnsi="Times New Roman" w:eastAsia="宋体" w:cs="Times New Roman"/>
          <w:color w:val="auto"/>
          <w:szCs w:val="24"/>
          <w:highlight w:val="none"/>
          <w:u w:val="single"/>
        </w:rPr>
        <w:t>t/t，</w:t>
      </w:r>
      <w:r>
        <w:rPr>
          <w:rFonts w:hint="eastAsia" w:ascii="Times New Roman" w:hAnsi="Times New Roman" w:eastAsia="宋体" w:cs="Times New Roman"/>
          <w:color w:val="auto"/>
          <w:szCs w:val="24"/>
          <w:highlight w:val="none"/>
          <w:u w:val="single"/>
        </w:rPr>
        <w:t>筛选</w:t>
      </w:r>
      <w:r>
        <w:rPr>
          <w:rFonts w:ascii="Times New Roman" w:hAnsi="Times New Roman" w:eastAsia="宋体" w:cs="Times New Roman"/>
          <w:color w:val="auto"/>
          <w:szCs w:val="24"/>
          <w:highlight w:val="none"/>
          <w:u w:val="single"/>
        </w:rPr>
        <w:t>破碎产能</w:t>
      </w:r>
      <w:r>
        <w:rPr>
          <w:rFonts w:hint="eastAsia" w:ascii="Times New Roman" w:hAnsi="Times New Roman" w:eastAsia="宋体" w:cs="Times New Roman"/>
          <w:color w:val="auto"/>
          <w:szCs w:val="24"/>
          <w:highlight w:val="none"/>
          <w:u w:val="single"/>
        </w:rPr>
        <w:t>5</w:t>
      </w:r>
      <w:r>
        <w:rPr>
          <w:rFonts w:ascii="Times New Roman" w:hAnsi="Times New Roman" w:eastAsia="宋体" w:cs="Times New Roman"/>
          <w:color w:val="auto"/>
          <w:szCs w:val="24"/>
          <w:highlight w:val="none"/>
          <w:u w:val="single"/>
        </w:rPr>
        <w:t>万t/a，</w:t>
      </w:r>
      <w:r>
        <w:rPr>
          <w:rFonts w:hint="eastAsia" w:ascii="Times New Roman" w:hAnsi="Times New Roman" w:eastAsia="宋体" w:cs="Times New Roman"/>
          <w:color w:val="auto"/>
          <w:szCs w:val="24"/>
          <w:highlight w:val="none"/>
          <w:u w:val="single"/>
        </w:rPr>
        <w:t>二级破碎</w:t>
      </w:r>
      <w:r>
        <w:rPr>
          <w:rFonts w:ascii="Times New Roman" w:hAnsi="Times New Roman" w:eastAsia="宋体" w:cs="Times New Roman"/>
          <w:color w:val="auto"/>
          <w:szCs w:val="24"/>
          <w:highlight w:val="none"/>
          <w:u w:val="single"/>
        </w:rPr>
        <w:t>产能</w:t>
      </w:r>
      <w:r>
        <w:rPr>
          <w:rFonts w:hint="eastAsia" w:ascii="Times New Roman" w:hAnsi="Times New Roman" w:eastAsia="宋体" w:cs="Times New Roman"/>
          <w:color w:val="auto"/>
          <w:szCs w:val="24"/>
          <w:highlight w:val="none"/>
          <w:u w:val="single"/>
        </w:rPr>
        <w:t>5</w:t>
      </w:r>
      <w:r>
        <w:rPr>
          <w:rFonts w:ascii="Times New Roman" w:hAnsi="Times New Roman" w:eastAsia="宋体" w:cs="Times New Roman"/>
          <w:color w:val="auto"/>
          <w:szCs w:val="24"/>
          <w:highlight w:val="none"/>
          <w:u w:val="single"/>
        </w:rPr>
        <w:t>万t/a，</w:t>
      </w:r>
      <w:r>
        <w:rPr>
          <w:rFonts w:hint="eastAsia" w:ascii="Times New Roman" w:hAnsi="Times New Roman" w:eastAsia="宋体" w:cs="Times New Roman"/>
          <w:color w:val="auto"/>
          <w:szCs w:val="24"/>
          <w:highlight w:val="none"/>
          <w:u w:val="single"/>
        </w:rPr>
        <w:t>三级破碎筛分</w:t>
      </w:r>
      <w:r>
        <w:rPr>
          <w:rFonts w:ascii="Times New Roman" w:hAnsi="Times New Roman" w:eastAsia="宋体" w:cs="Times New Roman"/>
          <w:color w:val="auto"/>
          <w:szCs w:val="24"/>
          <w:highlight w:val="none"/>
          <w:u w:val="single"/>
        </w:rPr>
        <w:t>产能</w:t>
      </w:r>
      <w:r>
        <w:rPr>
          <w:rFonts w:hint="eastAsia" w:ascii="Times New Roman" w:hAnsi="Times New Roman" w:eastAsia="宋体" w:cs="Times New Roman"/>
          <w:color w:val="auto"/>
          <w:szCs w:val="24"/>
          <w:highlight w:val="none"/>
          <w:u w:val="single"/>
        </w:rPr>
        <w:t>5</w:t>
      </w:r>
      <w:r>
        <w:rPr>
          <w:rFonts w:ascii="Times New Roman" w:hAnsi="Times New Roman" w:eastAsia="宋体" w:cs="Times New Roman"/>
          <w:color w:val="auto"/>
          <w:szCs w:val="24"/>
          <w:highlight w:val="none"/>
          <w:u w:val="single"/>
        </w:rPr>
        <w:t>万t/a</w:t>
      </w:r>
      <w:r>
        <w:rPr>
          <w:rFonts w:hint="eastAsia" w:ascii="Times New Roman" w:hAnsi="Times New Roman" w:eastAsia="宋体" w:cs="Times New Roman"/>
          <w:color w:val="auto"/>
          <w:szCs w:val="24"/>
          <w:highlight w:val="none"/>
          <w:u w:val="single"/>
        </w:rPr>
        <w:t>，水洗砂产能0.5</w:t>
      </w:r>
      <w:r>
        <w:rPr>
          <w:rFonts w:ascii="Times New Roman" w:hAnsi="Times New Roman" w:eastAsia="宋体" w:cs="Times New Roman"/>
          <w:color w:val="auto"/>
          <w:szCs w:val="24"/>
          <w:highlight w:val="none"/>
          <w:u w:val="single"/>
        </w:rPr>
        <w:t>万t/a。</w:t>
      </w:r>
      <w:r>
        <w:rPr>
          <w:rFonts w:hint="eastAsia" w:ascii="Times New Roman" w:hAnsi="Times New Roman" w:eastAsia="宋体" w:cs="Times New Roman"/>
          <w:color w:val="auto"/>
          <w:highlight w:val="none"/>
          <w:u w:val="single"/>
        </w:rPr>
        <w:t>原</w:t>
      </w:r>
      <w:r>
        <w:rPr>
          <w:rFonts w:hint="eastAsia" w:ascii="Times New Roman" w:hAnsi="Times New Roman" w:eastAsia="宋体"/>
          <w:color w:val="auto"/>
          <w:highlight w:val="none"/>
          <w:u w:val="single"/>
        </w:rPr>
        <w:t>海江采石场</w:t>
      </w:r>
      <w:r>
        <w:rPr>
          <w:rFonts w:ascii="Times New Roman" w:hAnsi="Times New Roman" w:eastAsia="宋体" w:cs="Times New Roman"/>
          <w:color w:val="auto"/>
          <w:highlight w:val="none"/>
          <w:u w:val="single"/>
        </w:rPr>
        <w:t>物料平衡见图2.</w:t>
      </w:r>
      <w:r>
        <w:rPr>
          <w:rFonts w:hint="eastAsia" w:ascii="Times New Roman" w:hAnsi="Times New Roman" w:eastAsia="宋体" w:cs="Times New Roman"/>
          <w:color w:val="auto"/>
          <w:highlight w:val="none"/>
          <w:u w:val="single"/>
        </w:rPr>
        <w:t>2-</w:t>
      </w:r>
      <w:r>
        <w:rPr>
          <w:rFonts w:hint="eastAsia" w:ascii="Times New Roman" w:hAnsi="Times New Roman" w:eastAsia="宋体" w:cs="Times New Roman"/>
          <w:color w:val="auto"/>
          <w:highlight w:val="none"/>
          <w:u w:val="single"/>
          <w:lang w:val="en-US" w:eastAsia="zh-CN"/>
        </w:rPr>
        <w:t>4</w:t>
      </w:r>
      <w:r>
        <w:rPr>
          <w:rFonts w:ascii="Times New Roman" w:hAnsi="Times New Roman" w:eastAsia="宋体" w:cs="Times New Roman"/>
          <w:color w:val="auto"/>
          <w:highlight w:val="none"/>
          <w:u w:val="single"/>
        </w:rPr>
        <w:t>。</w:t>
      </w:r>
    </w:p>
    <w:p>
      <w:pPr>
        <w:ind w:firstLine="480"/>
        <w:rPr>
          <w:rFonts w:ascii="Times New Roman" w:hAnsi="Times New Roman" w:eastAsia="宋体" w:cs="Times New Roman"/>
          <w:color w:val="auto"/>
          <w:highlight w:val="none"/>
          <w:u w:val="single"/>
        </w:rPr>
      </w:pPr>
      <w:r>
        <w:rPr>
          <w:rFonts w:hint="eastAsia" w:ascii="Times New Roman" w:hAnsi="Times New Roman" w:eastAsia="宋体" w:cs="Times New Roman"/>
          <w:bCs/>
          <w:color w:val="auto"/>
          <w:szCs w:val="24"/>
          <w:highlight w:val="none"/>
          <w:u w:val="single"/>
        </w:rPr>
        <w:t>原</w:t>
      </w:r>
      <w:r>
        <w:rPr>
          <w:rFonts w:hint="eastAsia" w:ascii="Times New Roman" w:hAnsi="Times New Roman" w:eastAsia="宋体" w:cs="Times New Roman"/>
          <w:color w:val="auto"/>
          <w:highlight w:val="none"/>
          <w:u w:val="single"/>
        </w:rPr>
        <w:t>宏保兴采石场</w:t>
      </w:r>
      <w:r>
        <w:rPr>
          <w:rFonts w:hint="eastAsia" w:ascii="Times New Roman" w:hAnsi="Times New Roman" w:eastAsia="宋体" w:cs="Times New Roman"/>
          <w:color w:val="auto"/>
          <w:szCs w:val="24"/>
          <w:highlight w:val="none"/>
          <w:u w:val="single"/>
        </w:rPr>
        <w:t>矿石</w:t>
      </w:r>
      <w:r>
        <w:rPr>
          <w:rFonts w:ascii="Times New Roman" w:hAnsi="Times New Roman" w:eastAsia="宋体" w:cs="Times New Roman"/>
          <w:color w:val="auto"/>
          <w:szCs w:val="24"/>
          <w:highlight w:val="none"/>
          <w:u w:val="single"/>
        </w:rPr>
        <w:t>开采过程剥采比为0.0</w:t>
      </w:r>
      <w:r>
        <w:rPr>
          <w:rFonts w:hint="eastAsia" w:ascii="Times New Roman" w:hAnsi="Times New Roman" w:eastAsia="宋体" w:cs="Times New Roman"/>
          <w:color w:val="auto"/>
          <w:szCs w:val="24"/>
          <w:highlight w:val="none"/>
          <w:u w:val="single"/>
        </w:rPr>
        <w:t>1</w:t>
      </w:r>
      <w:r>
        <w:rPr>
          <w:rFonts w:ascii="Times New Roman" w:hAnsi="Times New Roman" w:eastAsia="宋体" w:cs="Times New Roman"/>
          <w:color w:val="auto"/>
          <w:szCs w:val="24"/>
          <w:highlight w:val="none"/>
          <w:u w:val="single"/>
        </w:rPr>
        <w:t>t/t，</w:t>
      </w:r>
      <w:r>
        <w:rPr>
          <w:rFonts w:hint="eastAsia" w:ascii="Times New Roman" w:hAnsi="Times New Roman" w:eastAsia="宋体" w:cs="Times New Roman"/>
          <w:color w:val="auto"/>
          <w:szCs w:val="24"/>
          <w:highlight w:val="none"/>
          <w:u w:val="single"/>
        </w:rPr>
        <w:t>筛选</w:t>
      </w:r>
      <w:r>
        <w:rPr>
          <w:rFonts w:ascii="Times New Roman" w:hAnsi="Times New Roman" w:eastAsia="宋体" w:cs="Times New Roman"/>
          <w:color w:val="auto"/>
          <w:szCs w:val="24"/>
          <w:highlight w:val="none"/>
          <w:u w:val="single"/>
        </w:rPr>
        <w:t>破碎产能</w:t>
      </w:r>
      <w:r>
        <w:rPr>
          <w:rFonts w:hint="eastAsia" w:ascii="Times New Roman" w:hAnsi="Times New Roman" w:eastAsia="宋体" w:cs="Times New Roman"/>
          <w:color w:val="auto"/>
          <w:szCs w:val="24"/>
          <w:highlight w:val="none"/>
          <w:u w:val="single"/>
        </w:rPr>
        <w:t>5</w:t>
      </w:r>
      <w:r>
        <w:rPr>
          <w:rFonts w:ascii="Times New Roman" w:hAnsi="Times New Roman" w:eastAsia="宋体" w:cs="Times New Roman"/>
          <w:color w:val="auto"/>
          <w:szCs w:val="24"/>
          <w:highlight w:val="none"/>
          <w:u w:val="single"/>
        </w:rPr>
        <w:t>万t/a，</w:t>
      </w:r>
      <w:r>
        <w:rPr>
          <w:rFonts w:hint="eastAsia" w:ascii="Times New Roman" w:hAnsi="Times New Roman" w:eastAsia="宋体" w:cs="Times New Roman"/>
          <w:color w:val="auto"/>
          <w:szCs w:val="24"/>
          <w:highlight w:val="none"/>
          <w:u w:val="single"/>
        </w:rPr>
        <w:t>二级破碎筛分</w:t>
      </w:r>
      <w:r>
        <w:rPr>
          <w:rFonts w:ascii="Times New Roman" w:hAnsi="Times New Roman" w:eastAsia="宋体" w:cs="Times New Roman"/>
          <w:color w:val="auto"/>
          <w:szCs w:val="24"/>
          <w:highlight w:val="none"/>
          <w:u w:val="single"/>
        </w:rPr>
        <w:t>产能</w:t>
      </w:r>
      <w:r>
        <w:rPr>
          <w:rFonts w:hint="eastAsia" w:ascii="Times New Roman" w:hAnsi="Times New Roman" w:eastAsia="宋体" w:cs="Times New Roman"/>
          <w:color w:val="auto"/>
          <w:szCs w:val="24"/>
          <w:highlight w:val="none"/>
          <w:u w:val="single"/>
        </w:rPr>
        <w:t>5</w:t>
      </w:r>
      <w:r>
        <w:rPr>
          <w:rFonts w:ascii="Times New Roman" w:hAnsi="Times New Roman" w:eastAsia="宋体" w:cs="Times New Roman"/>
          <w:color w:val="auto"/>
          <w:szCs w:val="24"/>
          <w:highlight w:val="none"/>
          <w:u w:val="single"/>
        </w:rPr>
        <w:t>万t/a</w:t>
      </w:r>
      <w:r>
        <w:rPr>
          <w:rFonts w:hint="eastAsia" w:ascii="Times New Roman" w:hAnsi="Times New Roman" w:eastAsia="宋体" w:cs="Times New Roman"/>
          <w:color w:val="auto"/>
          <w:szCs w:val="24"/>
          <w:highlight w:val="none"/>
          <w:u w:val="single"/>
          <w:lang w:eastAsia="zh-CN"/>
        </w:rPr>
        <w:t>，</w:t>
      </w:r>
      <w:r>
        <w:rPr>
          <w:rFonts w:hint="eastAsia" w:ascii="Times New Roman" w:hAnsi="Times New Roman" w:eastAsia="宋体" w:cs="Times New Roman"/>
          <w:color w:val="auto"/>
          <w:szCs w:val="24"/>
          <w:highlight w:val="none"/>
          <w:u w:val="single"/>
        </w:rPr>
        <w:t>三级破碎筛分</w:t>
      </w:r>
      <w:r>
        <w:rPr>
          <w:rFonts w:ascii="Times New Roman" w:hAnsi="Times New Roman" w:eastAsia="宋体" w:cs="Times New Roman"/>
          <w:color w:val="auto"/>
          <w:szCs w:val="24"/>
          <w:highlight w:val="none"/>
          <w:u w:val="single"/>
        </w:rPr>
        <w:t>产能</w:t>
      </w:r>
      <w:r>
        <w:rPr>
          <w:rFonts w:hint="eastAsia" w:ascii="Times New Roman" w:hAnsi="Times New Roman" w:eastAsia="宋体" w:cs="Times New Roman"/>
          <w:color w:val="auto"/>
          <w:szCs w:val="24"/>
          <w:highlight w:val="none"/>
          <w:u w:val="single"/>
          <w:lang w:val="en-US" w:eastAsia="zh-CN"/>
        </w:rPr>
        <w:t>0.</w:t>
      </w:r>
      <w:r>
        <w:rPr>
          <w:rFonts w:hint="eastAsia" w:ascii="Times New Roman" w:hAnsi="Times New Roman" w:eastAsia="宋体" w:cs="Times New Roman"/>
          <w:color w:val="auto"/>
          <w:szCs w:val="24"/>
          <w:highlight w:val="none"/>
          <w:u w:val="single"/>
        </w:rPr>
        <w:t>5</w:t>
      </w:r>
      <w:r>
        <w:rPr>
          <w:rFonts w:ascii="Times New Roman" w:hAnsi="Times New Roman" w:eastAsia="宋体" w:cs="Times New Roman"/>
          <w:color w:val="auto"/>
          <w:szCs w:val="24"/>
          <w:highlight w:val="none"/>
          <w:u w:val="single"/>
        </w:rPr>
        <w:t>万t/a。</w:t>
      </w:r>
      <w:r>
        <w:rPr>
          <w:rFonts w:hint="eastAsia" w:ascii="Times New Roman" w:hAnsi="Times New Roman" w:eastAsia="宋体" w:cs="Times New Roman"/>
          <w:bCs/>
          <w:color w:val="auto"/>
          <w:szCs w:val="24"/>
          <w:highlight w:val="none"/>
          <w:u w:val="single"/>
        </w:rPr>
        <w:t>原</w:t>
      </w:r>
      <w:r>
        <w:rPr>
          <w:rFonts w:hint="eastAsia" w:ascii="Times New Roman" w:hAnsi="Times New Roman" w:eastAsia="宋体" w:cs="Times New Roman"/>
          <w:color w:val="auto"/>
          <w:highlight w:val="none"/>
          <w:u w:val="single"/>
        </w:rPr>
        <w:t>宏保兴采石场生产过程</w:t>
      </w:r>
      <w:r>
        <w:rPr>
          <w:rFonts w:ascii="Times New Roman" w:hAnsi="Times New Roman" w:eastAsia="宋体" w:cs="Times New Roman"/>
          <w:color w:val="auto"/>
          <w:highlight w:val="none"/>
          <w:u w:val="single"/>
        </w:rPr>
        <w:t>物料平衡见图2.</w:t>
      </w:r>
      <w:r>
        <w:rPr>
          <w:rFonts w:hint="eastAsia" w:ascii="Times New Roman" w:hAnsi="Times New Roman" w:eastAsia="宋体" w:cs="Times New Roman"/>
          <w:color w:val="auto"/>
          <w:highlight w:val="none"/>
          <w:u w:val="single"/>
        </w:rPr>
        <w:t>2-</w:t>
      </w:r>
      <w:r>
        <w:rPr>
          <w:rFonts w:hint="eastAsia" w:ascii="Times New Roman" w:hAnsi="Times New Roman" w:eastAsia="宋体" w:cs="Times New Roman"/>
          <w:color w:val="auto"/>
          <w:highlight w:val="none"/>
          <w:u w:val="single"/>
          <w:lang w:val="en-US" w:eastAsia="zh-CN"/>
        </w:rPr>
        <w:t>5</w:t>
      </w:r>
      <w:r>
        <w:rPr>
          <w:rFonts w:ascii="Times New Roman" w:hAnsi="Times New Roman" w:eastAsia="宋体" w:cs="Times New Roman"/>
          <w:color w:val="auto"/>
          <w:highlight w:val="none"/>
          <w:u w:val="single"/>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u w:val="single"/>
        </w:rPr>
        <w:object>
          <v:shape id="_x0000_i1028" o:spt="75" type="#_x0000_t75" style="height:167.6pt;width:451.35pt;" o:ole="t" filled="f" o:preferrelative="t" stroked="f" coordsize="21600,21600">
            <v:path/>
            <v:fill on="f" focussize="0,0"/>
            <v:stroke on="f"/>
            <v:imagedata r:id="rId49" o:title=""/>
            <o:lock v:ext="edit" aspectratio="f"/>
            <w10:wrap type="none"/>
            <w10:anchorlock/>
          </v:shape>
          <o:OLEObject Type="Embed" ProgID="Visio.Drawing.11" ShapeID="_x0000_i1028" DrawAspect="Content" ObjectID="_1468075728" r:id="rId48">
            <o:LockedField>false</o:LockedField>
          </o:OLEObject>
        </w:objec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object>
          <v:shape id="_x0000_i1029" o:spt="75" type="#_x0000_t75" style="height:149.2pt;width:451.35pt;" o:ole="t" filled="f" o:preferrelative="t" stroked="f" coordsize="21600,21600">
            <v:path/>
            <v:fill on="f" focussize="0,0"/>
            <v:stroke on="f"/>
            <v:imagedata r:id="rId51" o:title=""/>
            <o:lock v:ext="edit" aspectratio="f"/>
            <w10:wrap type="none"/>
            <w10:anchorlock/>
          </v:shape>
          <o:OLEObject Type="Embed" ProgID="Visio.Drawing.11" ShapeID="_x0000_i1029" DrawAspect="Content" ObjectID="_1468075729" r:id="rId50">
            <o:LockedField>false</o:LockedField>
          </o:OLEObject>
        </w:object>
      </w:r>
    </w:p>
    <w:p>
      <w:pPr>
        <w:pStyle w:val="5"/>
        <w:bidi w:val="0"/>
        <w:rPr>
          <w:color w:val="auto"/>
          <w:highlight w:val="none"/>
          <w:u w:val="single"/>
        </w:rPr>
      </w:pPr>
      <w:r>
        <w:rPr>
          <w:color w:val="auto"/>
          <w:highlight w:val="none"/>
          <w:u w:val="single"/>
        </w:rPr>
        <w:t>2.</w:t>
      </w:r>
      <w:r>
        <w:rPr>
          <w:rFonts w:hint="eastAsia"/>
          <w:color w:val="auto"/>
          <w:highlight w:val="none"/>
          <w:u w:val="single"/>
        </w:rPr>
        <w:t>2</w:t>
      </w:r>
      <w:r>
        <w:rPr>
          <w:color w:val="auto"/>
          <w:highlight w:val="none"/>
          <w:u w:val="single"/>
        </w:rPr>
        <w:t>.</w:t>
      </w:r>
      <w:r>
        <w:rPr>
          <w:rFonts w:hint="eastAsia"/>
          <w:color w:val="auto"/>
          <w:highlight w:val="none"/>
          <w:u w:val="single"/>
          <w:lang w:val="en-US" w:eastAsia="zh-CN"/>
        </w:rPr>
        <w:t>9</w:t>
      </w:r>
      <w:r>
        <w:rPr>
          <w:color w:val="auto"/>
          <w:highlight w:val="none"/>
          <w:u w:val="single"/>
        </w:rPr>
        <w:t xml:space="preserve"> 污染物排放情况</w:t>
      </w:r>
    </w:p>
    <w:p>
      <w:pPr>
        <w:pStyle w:val="6"/>
        <w:bidi w:val="0"/>
        <w:rPr>
          <w:rFonts w:hint="eastAsia" w:cs="Times New Roman"/>
          <w:b/>
          <w:bCs/>
          <w:color w:val="auto"/>
          <w:highlight w:val="none"/>
          <w:lang w:val="en-US" w:eastAsia="zh-CN"/>
        </w:rPr>
      </w:pPr>
      <w:r>
        <w:rPr>
          <w:rFonts w:hint="eastAsia" w:cs="Times New Roman"/>
          <w:b/>
          <w:bCs/>
          <w:color w:val="auto"/>
          <w:highlight w:val="none"/>
          <w:lang w:val="en-US" w:eastAsia="zh-CN"/>
        </w:rPr>
        <w:t xml:space="preserve">2.2.9.1 </w:t>
      </w:r>
      <w:r>
        <w:rPr>
          <w:rFonts w:hint="eastAsia" w:ascii="Times New Roman" w:hAnsi="Times New Roman" w:eastAsia="宋体"/>
          <w:color w:val="auto"/>
          <w:highlight w:val="none"/>
        </w:rPr>
        <w:t>原海江采石场</w:t>
      </w:r>
    </w:p>
    <w:p>
      <w:pPr>
        <w:ind w:firstLine="482"/>
        <w:rPr>
          <w:rFonts w:hint="default" w:ascii="Times New Roman" w:hAnsi="Times New Roman" w:eastAsia="宋体"/>
          <w:color w:val="auto"/>
          <w:highlight w:val="none"/>
          <w:u w:val="single"/>
          <w:lang w:val="en-US" w:eastAsia="zh-CN"/>
        </w:rPr>
      </w:pPr>
      <w:r>
        <w:rPr>
          <w:rFonts w:hint="eastAsia" w:ascii="Times New Roman" w:hAnsi="Times New Roman" w:eastAsia="宋体"/>
          <w:color w:val="auto"/>
          <w:highlight w:val="none"/>
          <w:u w:val="single"/>
          <w:lang w:val="en-US" w:eastAsia="zh-CN"/>
        </w:rPr>
        <w:t>原海江采石场</w:t>
      </w:r>
      <w:r>
        <w:rPr>
          <w:rFonts w:hint="eastAsia" w:ascii="Times New Roman" w:hAnsi="Times New Roman" w:eastAsia="宋体"/>
          <w:color w:val="auto"/>
          <w:highlight w:val="none"/>
          <w:u w:val="single"/>
        </w:rPr>
        <w:t>于2010年6月委托来宾市环境保护科学研究所编制</w:t>
      </w:r>
      <w:r>
        <w:rPr>
          <w:rFonts w:hint="eastAsia"/>
          <w:color w:val="auto"/>
          <w:highlight w:val="none"/>
          <w:u w:val="single"/>
          <w:lang w:val="en-US" w:eastAsia="zh-CN"/>
        </w:rPr>
        <w:t>的</w:t>
      </w:r>
      <w:r>
        <w:rPr>
          <w:rFonts w:hint="eastAsia" w:ascii="Times New Roman" w:hAnsi="Times New Roman" w:eastAsia="宋体"/>
          <w:color w:val="auto"/>
          <w:highlight w:val="none"/>
          <w:u w:val="single"/>
        </w:rPr>
        <w:t>《三江县海江采石场年开采建筑用石料3万m</w:t>
      </w:r>
      <w:r>
        <w:rPr>
          <w:rFonts w:hint="eastAsia" w:ascii="Times New Roman" w:hAnsi="Times New Roman" w:eastAsia="宋体"/>
          <w:color w:val="auto"/>
          <w:highlight w:val="none"/>
          <w:u w:val="single"/>
          <w:vertAlign w:val="superscript"/>
        </w:rPr>
        <w:t>3</w:t>
      </w:r>
      <w:r>
        <w:rPr>
          <w:rFonts w:hint="eastAsia" w:ascii="Times New Roman" w:hAnsi="Times New Roman" w:eastAsia="宋体"/>
          <w:color w:val="auto"/>
          <w:highlight w:val="none"/>
          <w:u w:val="single"/>
        </w:rPr>
        <w:t>项目环境影响报告表》</w:t>
      </w:r>
      <w:r>
        <w:rPr>
          <w:rFonts w:hint="eastAsia"/>
          <w:color w:val="auto"/>
          <w:highlight w:val="none"/>
          <w:u w:val="single"/>
          <w:lang w:val="en-US" w:eastAsia="zh-CN"/>
        </w:rPr>
        <w:t>中石料生产规模为</w:t>
      </w:r>
      <w:r>
        <w:rPr>
          <w:rFonts w:hint="eastAsia" w:ascii="Times New Roman" w:hAnsi="Times New Roman" w:eastAsia="宋体"/>
          <w:color w:val="auto"/>
          <w:highlight w:val="none"/>
          <w:u w:val="single"/>
        </w:rPr>
        <w:t>3万m</w:t>
      </w:r>
      <w:r>
        <w:rPr>
          <w:rFonts w:hint="eastAsia" w:ascii="Times New Roman" w:hAnsi="Times New Roman" w:eastAsia="宋体"/>
          <w:color w:val="auto"/>
          <w:highlight w:val="none"/>
          <w:u w:val="single"/>
          <w:vertAlign w:val="superscript"/>
        </w:rPr>
        <w:t>3</w:t>
      </w:r>
      <w:r>
        <w:rPr>
          <w:rFonts w:hint="eastAsia"/>
          <w:color w:val="auto"/>
          <w:highlight w:val="none"/>
          <w:u w:val="single"/>
          <w:lang w:val="en-US" w:eastAsia="zh-CN"/>
        </w:rPr>
        <w:t>/a（按石料密度2.40g/cm</w:t>
      </w:r>
      <w:r>
        <w:rPr>
          <w:rFonts w:hint="eastAsia"/>
          <w:color w:val="auto"/>
          <w:highlight w:val="none"/>
          <w:u w:val="single"/>
          <w:vertAlign w:val="superscript"/>
          <w:lang w:val="en-US" w:eastAsia="zh-CN"/>
        </w:rPr>
        <w:t>3</w:t>
      </w:r>
      <w:r>
        <w:rPr>
          <w:rFonts w:hint="eastAsia"/>
          <w:color w:val="auto"/>
          <w:highlight w:val="none"/>
          <w:u w:val="single"/>
          <w:lang w:val="en-US" w:eastAsia="zh-CN"/>
        </w:rPr>
        <w:t>，折7.2万t/a），矿山实际开采量为5万t/a，原有项目各污染物排放量以实际开采量5万t/a进行计算。</w:t>
      </w:r>
    </w:p>
    <w:p>
      <w:pPr>
        <w:ind w:firstLine="482"/>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1</w:t>
      </w:r>
      <w:r>
        <w:rPr>
          <w:rFonts w:hint="eastAsia" w:cs="Times New Roman"/>
          <w:b/>
          <w:bCs/>
          <w:color w:val="auto"/>
          <w:highlight w:val="none"/>
          <w:lang w:val="en-US" w:eastAsia="zh-CN"/>
        </w:rPr>
        <w:t>.</w:t>
      </w:r>
      <w:r>
        <w:rPr>
          <w:rFonts w:ascii="Times New Roman" w:hAnsi="Times New Roman" w:eastAsia="宋体" w:cs="Times New Roman"/>
          <w:b/>
          <w:bCs/>
          <w:color w:val="auto"/>
          <w:highlight w:val="none"/>
        </w:rPr>
        <w:t>大气污染源</w:t>
      </w:r>
    </w:p>
    <w:p>
      <w:pPr>
        <w:widowControl/>
        <w:ind w:firstLine="482"/>
        <w:jc w:val="left"/>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4"/>
          <w:highlight w:val="none"/>
        </w:rPr>
        <w:t>（1）</w:t>
      </w:r>
      <w:r>
        <w:rPr>
          <w:rFonts w:hint="eastAsia" w:ascii="Times New Roman" w:hAnsi="Times New Roman" w:eastAsia="宋体" w:cs="Times New Roman"/>
          <w:b/>
          <w:color w:val="auto"/>
          <w:szCs w:val="24"/>
          <w:highlight w:val="none"/>
        </w:rPr>
        <w:t>矿石</w:t>
      </w:r>
      <w:r>
        <w:rPr>
          <w:rFonts w:ascii="Times New Roman" w:hAnsi="Times New Roman" w:eastAsia="宋体" w:cs="Times New Roman"/>
          <w:b/>
          <w:color w:val="auto"/>
          <w:szCs w:val="24"/>
          <w:highlight w:val="none"/>
        </w:rPr>
        <w:t>开采加工过程</w:t>
      </w:r>
      <w:r>
        <w:rPr>
          <w:rFonts w:hint="eastAsia" w:ascii="Times New Roman" w:hAnsi="Times New Roman" w:eastAsia="宋体" w:cs="Times New Roman"/>
          <w:b/>
          <w:color w:val="auto"/>
          <w:szCs w:val="24"/>
          <w:highlight w:val="none"/>
        </w:rPr>
        <w:t>废气</w:t>
      </w:r>
      <w:r>
        <w:rPr>
          <w:rFonts w:ascii="Times New Roman" w:hAnsi="Times New Roman" w:eastAsia="宋体" w:cs="Times New Roman"/>
          <w:b/>
          <w:color w:val="auto"/>
          <w:szCs w:val="24"/>
          <w:highlight w:val="none"/>
        </w:rPr>
        <w:t>排放</w:t>
      </w:r>
    </w:p>
    <w:p>
      <w:pPr>
        <w:ind w:firstLine="480" w:firstLineChars="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①表土剥离</w:t>
      </w:r>
    </w:p>
    <w:p>
      <w:pPr>
        <w:ind w:firstLine="480" w:firstLineChars="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u w:val="single"/>
        </w:rPr>
        <w:t>清理表土过程中会有扬尘产生，</w:t>
      </w:r>
      <w:r>
        <w:rPr>
          <w:rFonts w:hint="eastAsia" w:ascii="Times New Roman" w:hAnsi="Times New Roman" w:cs="Times New Roman"/>
          <w:color w:val="auto"/>
          <w:szCs w:val="24"/>
          <w:highlight w:val="none"/>
          <w:u w:val="single"/>
          <w:lang w:val="en-US" w:eastAsia="zh-CN"/>
        </w:rPr>
        <w:t>经洒水降尘后</w:t>
      </w:r>
      <w:r>
        <w:rPr>
          <w:rFonts w:ascii="Times New Roman" w:hAnsi="Times New Roman" w:eastAsia="宋体" w:cs="Times New Roman"/>
          <w:color w:val="auto"/>
          <w:szCs w:val="24"/>
          <w:highlight w:val="none"/>
          <w:u w:val="single"/>
        </w:rPr>
        <w:t>颗粒物产生量较少，可忽略不计。</w:t>
      </w:r>
    </w:p>
    <w:p>
      <w:pPr>
        <w:ind w:firstLine="480" w:firstLineChars="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②凿岩钻孔</w:t>
      </w:r>
    </w:p>
    <w:p>
      <w:pPr>
        <w:ind w:firstLine="480" w:firstLineChars="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参照《逸散性工业颗粒物控制技术》（中国环境科学出版社），无控制条件下钻孔颗粒物的排放系数为0.004kg/t（矿石），项目年开采量为</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万t，则矿山钻孔过程颗粒物产生量为0.2t/a。湿法作业时抑尘效率约为90%，凿岩钻孔颗粒物排放量约为0.02t/a。</w:t>
      </w:r>
    </w:p>
    <w:p>
      <w:pPr>
        <w:ind w:firstLine="480" w:firstLineChars="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③爆破</w:t>
      </w:r>
    </w:p>
    <w:p>
      <w:pPr>
        <w:ind w:firstLine="480"/>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根据《炮烟中有毒气体含量的确定》（吕早生.爆破.2004(9)）中实验测定，1kg岩石炸药爆炸后CO、NO</w:t>
      </w:r>
      <w:r>
        <w:rPr>
          <w:rFonts w:ascii="Times New Roman" w:hAnsi="Times New Roman" w:eastAsia="宋体" w:cs="Times New Roman"/>
          <w:color w:val="auto"/>
          <w:kern w:val="0"/>
          <w:szCs w:val="24"/>
          <w:highlight w:val="none"/>
          <w:vertAlign w:val="subscript"/>
        </w:rPr>
        <w:t>x</w:t>
      </w:r>
      <w:r>
        <w:rPr>
          <w:rFonts w:ascii="Times New Roman" w:hAnsi="Times New Roman" w:eastAsia="宋体" w:cs="Times New Roman"/>
          <w:color w:val="auto"/>
          <w:kern w:val="0"/>
          <w:szCs w:val="24"/>
          <w:highlight w:val="none"/>
        </w:rPr>
        <w:t>产生量分别为44.42g、11.50g</w:t>
      </w:r>
      <w:r>
        <w:rPr>
          <w:rFonts w:hint="eastAsia" w:cs="Times New Roman"/>
          <w:color w:val="auto"/>
          <w:kern w:val="0"/>
          <w:szCs w:val="24"/>
          <w:highlight w:val="none"/>
          <w:lang w:eastAsia="zh-CN"/>
        </w:rPr>
        <w:t>。</w:t>
      </w:r>
      <w:r>
        <w:rPr>
          <w:rFonts w:ascii="Times New Roman" w:hAnsi="Times New Roman" w:eastAsia="宋体" w:cs="Times New Roman"/>
          <w:color w:val="auto"/>
          <w:kern w:val="0"/>
          <w:szCs w:val="24"/>
          <w:highlight w:val="none"/>
        </w:rPr>
        <w:t>根据</w:t>
      </w:r>
      <w:r>
        <w:rPr>
          <w:rFonts w:ascii="Times New Roman" w:hAnsi="Times New Roman" w:eastAsia="宋体" w:cs="Times New Roman"/>
          <w:color w:val="auto"/>
          <w:szCs w:val="24"/>
          <w:highlight w:val="none"/>
        </w:rPr>
        <w:t>《逸散性工业颗粒物控制技术》（中国环境科学出版社），</w:t>
      </w:r>
      <w:r>
        <w:rPr>
          <w:rFonts w:hint="eastAsia" w:ascii="Times New Roman" w:hAnsi="Times New Roman" w:eastAsia="宋体" w:cs="Times New Roman"/>
          <w:color w:val="auto"/>
          <w:szCs w:val="24"/>
          <w:highlight w:val="none"/>
        </w:rPr>
        <w:t>爆破过程</w:t>
      </w:r>
      <w:r>
        <w:rPr>
          <w:rFonts w:ascii="Times New Roman" w:hAnsi="Times New Roman" w:eastAsia="宋体" w:cs="Times New Roman"/>
          <w:color w:val="auto"/>
          <w:szCs w:val="24"/>
          <w:highlight w:val="none"/>
        </w:rPr>
        <w:t>颗粒物排放系数为0.0</w:t>
      </w:r>
      <w:r>
        <w:rPr>
          <w:rFonts w:hint="eastAsia" w:ascii="Times New Roman" w:hAnsi="Times New Roman" w:eastAsia="宋体" w:cs="Times New Roman"/>
          <w:color w:val="auto"/>
          <w:szCs w:val="24"/>
          <w:highlight w:val="none"/>
        </w:rPr>
        <w:t>8</w:t>
      </w:r>
      <w:r>
        <w:rPr>
          <w:rFonts w:ascii="Times New Roman" w:hAnsi="Times New Roman" w:eastAsia="宋体" w:cs="Times New Roman"/>
          <w:color w:val="auto"/>
          <w:szCs w:val="24"/>
          <w:highlight w:val="none"/>
        </w:rPr>
        <w:t>kg/t（矿石），</w:t>
      </w:r>
      <w:r>
        <w:rPr>
          <w:rFonts w:hint="eastAsia" w:ascii="Times New Roman" w:hAnsi="Times New Roman" w:eastAsia="宋体"/>
          <w:color w:val="auto"/>
          <w:highlight w:val="none"/>
        </w:rPr>
        <w:t>原海江采石场</w:t>
      </w:r>
      <w:r>
        <w:rPr>
          <w:rFonts w:hint="eastAsia" w:ascii="Times New Roman" w:hAnsi="Times New Roman" w:eastAsia="宋体" w:cs="Times New Roman"/>
          <w:color w:val="auto"/>
          <w:szCs w:val="24"/>
          <w:highlight w:val="none"/>
        </w:rPr>
        <w:t>矿石</w:t>
      </w:r>
      <w:r>
        <w:rPr>
          <w:rFonts w:ascii="Times New Roman" w:hAnsi="Times New Roman" w:eastAsia="宋体" w:cs="Times New Roman"/>
          <w:color w:val="auto"/>
          <w:szCs w:val="24"/>
          <w:highlight w:val="none"/>
        </w:rPr>
        <w:t>开采量</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万t/a，则</w:t>
      </w:r>
      <w:r>
        <w:rPr>
          <w:rFonts w:ascii="Times New Roman" w:hAnsi="Times New Roman" w:eastAsia="宋体" w:cs="Times New Roman"/>
          <w:color w:val="auto"/>
          <w:kern w:val="0"/>
          <w:szCs w:val="24"/>
          <w:highlight w:val="none"/>
        </w:rPr>
        <w:t xml:space="preserve">爆破过程产生的颗粒物量为 </w:t>
      </w:r>
      <w:r>
        <w:rPr>
          <w:rFonts w:hint="eastAsia" w:ascii="Times New Roman" w:hAnsi="Times New Roman" w:eastAsia="宋体" w:cs="Times New Roman"/>
          <w:color w:val="auto"/>
          <w:kern w:val="0"/>
          <w:szCs w:val="24"/>
          <w:highlight w:val="none"/>
        </w:rPr>
        <w:t>4.0t</w:t>
      </w:r>
      <w:r>
        <w:rPr>
          <w:rFonts w:ascii="Times New Roman" w:hAnsi="Times New Roman" w:eastAsia="宋体" w:cs="Times New Roman"/>
          <w:color w:val="auto"/>
          <w:kern w:val="0"/>
          <w:szCs w:val="24"/>
          <w:highlight w:val="none"/>
        </w:rPr>
        <w:t>/</w:t>
      </w:r>
      <w:r>
        <w:rPr>
          <w:rFonts w:hint="eastAsia" w:ascii="Times New Roman" w:hAnsi="Times New Roman" w:eastAsia="宋体" w:cs="Times New Roman"/>
          <w:color w:val="auto"/>
          <w:kern w:val="0"/>
          <w:szCs w:val="24"/>
          <w:highlight w:val="none"/>
        </w:rPr>
        <w:t>a</w:t>
      </w:r>
      <w:r>
        <w:rPr>
          <w:rFonts w:ascii="Times New Roman" w:hAnsi="Times New Roman" w:eastAsia="宋体" w:cs="Times New Roman"/>
          <w:color w:val="auto"/>
          <w:kern w:val="0"/>
          <w:szCs w:val="24"/>
          <w:highlight w:val="none"/>
        </w:rPr>
        <w:t>。</w:t>
      </w:r>
    </w:p>
    <w:p>
      <w:pPr>
        <w:ind w:firstLine="480"/>
        <w:rPr>
          <w:rFonts w:ascii="Times New Roman" w:hAnsi="Times New Roman" w:eastAsia="宋体"/>
          <w:color w:val="auto"/>
          <w:highlight w:val="none"/>
        </w:rPr>
      </w:pPr>
      <w:r>
        <w:rPr>
          <w:rFonts w:ascii="Times New Roman" w:hAnsi="Times New Roman" w:eastAsia="宋体"/>
          <w:color w:val="auto"/>
          <w:highlight w:val="none"/>
        </w:rPr>
        <w:t>矿山炸药使用量为10t/a。则爆破废气中污染物产生量为CO：0.444t/a，NOx：0.115t/a，颗粒物：</w:t>
      </w:r>
      <w:r>
        <w:rPr>
          <w:rFonts w:hint="eastAsia" w:ascii="Times New Roman" w:hAnsi="Times New Roman" w:eastAsia="宋体"/>
          <w:color w:val="auto"/>
          <w:highlight w:val="none"/>
        </w:rPr>
        <w:t>4.0</w:t>
      </w:r>
      <w:r>
        <w:rPr>
          <w:rFonts w:ascii="Times New Roman" w:hAnsi="Times New Roman" w:eastAsia="宋体"/>
          <w:color w:val="auto"/>
          <w:highlight w:val="none"/>
        </w:rPr>
        <w:t>t/a。</w:t>
      </w:r>
    </w:p>
    <w:p>
      <w:pPr>
        <w:widowControl/>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④采装</w:t>
      </w:r>
    </w:p>
    <w:p>
      <w:pPr>
        <w:widowControl/>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根据《逸散性工业颗粒物控制技术》（中国环境科学出版社），采装过程逸散颗粒物排放系数为0.01kg/t（矿石），项目</w:t>
      </w:r>
      <w:r>
        <w:rPr>
          <w:rFonts w:hint="eastAsia" w:ascii="Times New Roman" w:hAnsi="Times New Roman" w:eastAsia="宋体" w:cs="Times New Roman"/>
          <w:color w:val="auto"/>
          <w:szCs w:val="24"/>
          <w:highlight w:val="none"/>
        </w:rPr>
        <w:t>矿石</w:t>
      </w:r>
      <w:r>
        <w:rPr>
          <w:rFonts w:ascii="Times New Roman" w:hAnsi="Times New Roman" w:eastAsia="宋体" w:cs="Times New Roman"/>
          <w:color w:val="auto"/>
          <w:szCs w:val="24"/>
          <w:highlight w:val="none"/>
        </w:rPr>
        <w:t>开采量</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万t/a，则</w:t>
      </w:r>
      <w:r>
        <w:rPr>
          <w:rFonts w:hint="eastAsia" w:ascii="Times New Roman" w:hAnsi="Times New Roman" w:eastAsia="宋体" w:cs="Times New Roman"/>
          <w:color w:val="auto"/>
          <w:szCs w:val="24"/>
          <w:highlight w:val="none"/>
        </w:rPr>
        <w:t>采装</w:t>
      </w:r>
      <w:r>
        <w:rPr>
          <w:rFonts w:ascii="Times New Roman" w:hAnsi="Times New Roman" w:eastAsia="宋体" w:cs="Times New Roman"/>
          <w:color w:val="auto"/>
          <w:szCs w:val="24"/>
          <w:highlight w:val="none"/>
        </w:rPr>
        <w:t>逸散颗粒物排放量为0.</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t/a。</w:t>
      </w:r>
    </w:p>
    <w:p>
      <w:pPr>
        <w:widowControl/>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⑤破碎筛分</w:t>
      </w:r>
    </w:p>
    <w:p>
      <w:pPr>
        <w:widowControl/>
        <w:ind w:firstLine="48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矿山</w:t>
      </w:r>
      <w:r>
        <w:rPr>
          <w:rFonts w:ascii="Times New Roman" w:hAnsi="Times New Roman" w:eastAsia="宋体" w:cs="Times New Roman"/>
          <w:color w:val="auto"/>
          <w:szCs w:val="24"/>
          <w:highlight w:val="none"/>
        </w:rPr>
        <w:t>设置一条破碎筛分生产线，其中</w:t>
      </w:r>
      <w:r>
        <w:rPr>
          <w:rFonts w:hint="eastAsia" w:ascii="Times New Roman" w:hAnsi="Times New Roman" w:eastAsia="宋体" w:cs="Times New Roman"/>
          <w:color w:val="auto"/>
          <w:szCs w:val="24"/>
          <w:highlight w:val="none"/>
        </w:rPr>
        <w:t>筛选破碎</w:t>
      </w:r>
      <w:r>
        <w:rPr>
          <w:rFonts w:ascii="Times New Roman" w:hAnsi="Times New Roman" w:eastAsia="宋体" w:cs="Times New Roman"/>
          <w:color w:val="auto"/>
          <w:szCs w:val="24"/>
          <w:highlight w:val="none"/>
        </w:rPr>
        <w:t>产能</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万t/a，</w:t>
      </w:r>
      <w:r>
        <w:rPr>
          <w:rFonts w:hint="eastAsia" w:ascii="Times New Roman" w:hAnsi="Times New Roman" w:eastAsia="宋体" w:cs="Times New Roman"/>
          <w:color w:val="auto"/>
          <w:szCs w:val="24"/>
          <w:highlight w:val="none"/>
        </w:rPr>
        <w:t>二级破碎</w:t>
      </w:r>
      <w:r>
        <w:rPr>
          <w:rFonts w:ascii="Times New Roman" w:hAnsi="Times New Roman" w:eastAsia="宋体" w:cs="Times New Roman"/>
          <w:color w:val="auto"/>
          <w:szCs w:val="24"/>
          <w:highlight w:val="none"/>
        </w:rPr>
        <w:t>产能</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万t/a</w:t>
      </w:r>
      <w:r>
        <w:rPr>
          <w:rFonts w:hint="eastAsia" w:ascii="Times New Roman" w:hAnsi="Times New Roman" w:eastAsia="宋体" w:cs="Times New Roman"/>
          <w:color w:val="auto"/>
          <w:szCs w:val="24"/>
          <w:highlight w:val="none"/>
        </w:rPr>
        <w:t>、三级破碎筛分</w:t>
      </w:r>
      <w:r>
        <w:rPr>
          <w:rFonts w:ascii="Times New Roman" w:hAnsi="Times New Roman" w:eastAsia="宋体" w:cs="Times New Roman"/>
          <w:color w:val="auto"/>
          <w:szCs w:val="24"/>
          <w:highlight w:val="none"/>
        </w:rPr>
        <w:t>产能</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万t/a。</w:t>
      </w:r>
      <w:r>
        <w:rPr>
          <w:rFonts w:hint="eastAsia" w:ascii="Times New Roman" w:hAnsi="Times New Roman" w:eastAsia="宋体" w:cs="Times New Roman"/>
          <w:color w:val="auto"/>
          <w:szCs w:val="24"/>
          <w:highlight w:val="none"/>
        </w:rPr>
        <w:t>参照</w:t>
      </w:r>
      <w:r>
        <w:rPr>
          <w:rFonts w:ascii="Times New Roman" w:hAnsi="Times New Roman" w:eastAsia="宋体" w:cs="Times New Roman"/>
          <w:color w:val="auto"/>
          <w:szCs w:val="24"/>
          <w:highlight w:val="none"/>
        </w:rPr>
        <w:t>《逸散性工业颗粒物控制技术》（中国环境科学出版社），</w:t>
      </w:r>
      <w:r>
        <w:rPr>
          <w:rFonts w:hint="eastAsia" w:ascii="Times New Roman" w:hAnsi="Times New Roman" w:eastAsia="宋体" w:cs="Times New Roman"/>
          <w:color w:val="auto"/>
          <w:szCs w:val="24"/>
          <w:highlight w:val="none"/>
        </w:rPr>
        <w:t>筛选破碎</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二级破碎、三级破碎筛分</w:t>
      </w:r>
      <w:r>
        <w:rPr>
          <w:rFonts w:ascii="Times New Roman" w:hAnsi="Times New Roman" w:eastAsia="宋体" w:cs="Times New Roman"/>
          <w:color w:val="auto"/>
          <w:szCs w:val="24"/>
          <w:highlight w:val="none"/>
        </w:rPr>
        <w:t>颗粒物产生量分别取0.25kg/t、0.5kg/t、</w:t>
      </w:r>
      <w:r>
        <w:rPr>
          <w:rFonts w:hint="eastAsia" w:ascii="Times New Roman" w:hAnsi="Times New Roman" w:eastAsia="宋体" w:cs="Times New Roman"/>
          <w:color w:val="auto"/>
          <w:szCs w:val="24"/>
          <w:highlight w:val="none"/>
        </w:rPr>
        <w:t>1.0</w:t>
      </w:r>
      <w:r>
        <w:rPr>
          <w:rFonts w:ascii="Times New Roman" w:hAnsi="Times New Roman" w:eastAsia="宋体" w:cs="Times New Roman"/>
          <w:color w:val="auto"/>
          <w:szCs w:val="24"/>
          <w:highlight w:val="none"/>
        </w:rPr>
        <w:t>kg/t，故</w:t>
      </w:r>
      <w:r>
        <w:rPr>
          <w:rFonts w:hint="eastAsia" w:ascii="Times New Roman" w:hAnsi="Times New Roman" w:eastAsia="宋体" w:cs="Times New Roman"/>
          <w:color w:val="auto"/>
          <w:szCs w:val="24"/>
          <w:highlight w:val="none"/>
        </w:rPr>
        <w:t>筛选破碎</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二级破碎、三级破碎筛分</w:t>
      </w:r>
      <w:r>
        <w:rPr>
          <w:rFonts w:ascii="Times New Roman" w:hAnsi="Times New Roman" w:eastAsia="宋体" w:cs="Times New Roman"/>
          <w:color w:val="auto"/>
          <w:szCs w:val="24"/>
          <w:highlight w:val="none"/>
        </w:rPr>
        <w:t>粉尘产生量分别为为1</w:t>
      </w:r>
      <w:r>
        <w:rPr>
          <w:rFonts w:hint="eastAsia" w:ascii="Times New Roman" w:hAnsi="Times New Roman" w:eastAsia="宋体" w:cs="Times New Roman"/>
          <w:color w:val="auto"/>
          <w:szCs w:val="24"/>
          <w:highlight w:val="none"/>
        </w:rPr>
        <w:t>2</w:t>
      </w:r>
      <w:r>
        <w:rPr>
          <w:rFonts w:ascii="Times New Roman" w:hAnsi="Times New Roman" w:eastAsia="宋体" w:cs="Times New Roman"/>
          <w:color w:val="auto"/>
          <w:szCs w:val="24"/>
          <w:highlight w:val="none"/>
        </w:rPr>
        <w:t>.5t/a、</w:t>
      </w:r>
      <w:r>
        <w:rPr>
          <w:rFonts w:hint="eastAsia" w:ascii="Times New Roman" w:hAnsi="Times New Roman" w:eastAsia="宋体" w:cs="Times New Roman"/>
          <w:color w:val="auto"/>
          <w:szCs w:val="24"/>
          <w:highlight w:val="none"/>
        </w:rPr>
        <w:t>25</w:t>
      </w:r>
      <w:r>
        <w:rPr>
          <w:rFonts w:ascii="Times New Roman" w:hAnsi="Times New Roman" w:eastAsia="宋体" w:cs="Times New Roman"/>
          <w:color w:val="auto"/>
          <w:szCs w:val="24"/>
          <w:highlight w:val="none"/>
        </w:rPr>
        <w:t>t/a</w:t>
      </w:r>
      <w:r>
        <w:rPr>
          <w:rFonts w:hint="eastAsia" w:ascii="Times New Roman" w:hAnsi="Times New Roman" w:eastAsia="宋体" w:cs="Times New Roman"/>
          <w:color w:val="auto"/>
          <w:szCs w:val="24"/>
          <w:highlight w:val="none"/>
        </w:rPr>
        <w:t>、50t/a</w:t>
      </w:r>
      <w:r>
        <w:rPr>
          <w:rFonts w:ascii="Times New Roman" w:hAnsi="Times New Roman" w:eastAsia="宋体" w:cs="Times New Roman"/>
          <w:color w:val="auto"/>
          <w:szCs w:val="24"/>
          <w:highlight w:val="none"/>
        </w:rPr>
        <w:t>。</w:t>
      </w:r>
    </w:p>
    <w:p>
      <w:pPr>
        <w:widowControl/>
        <w:ind w:firstLine="480"/>
        <w:rPr>
          <w:rFonts w:hint="eastAsia"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⑥</w:t>
      </w:r>
      <w:r>
        <w:rPr>
          <w:rFonts w:hint="eastAsia" w:ascii="Times New Roman" w:hAnsi="Times New Roman" w:eastAsia="宋体" w:cs="Times New Roman"/>
          <w:color w:val="auto"/>
          <w:szCs w:val="24"/>
          <w:highlight w:val="none"/>
        </w:rPr>
        <w:t>落料粉尘</w:t>
      </w:r>
    </w:p>
    <w:p>
      <w:pPr>
        <w:widowControl/>
        <w:ind w:firstLine="480"/>
        <w:rPr>
          <w:rFonts w:hint="eastAsia"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根据《逸散性工业颗粒物控制技术》（中国环境科学出版社），</w:t>
      </w:r>
      <w:r>
        <w:rPr>
          <w:rFonts w:hint="eastAsia" w:ascii="Times New Roman" w:hAnsi="Times New Roman" w:eastAsia="宋体" w:cs="Times New Roman"/>
          <w:color w:val="auto"/>
          <w:szCs w:val="24"/>
          <w:highlight w:val="none"/>
        </w:rPr>
        <w:t>碎石送料上堆过程</w:t>
      </w:r>
      <w:r>
        <w:rPr>
          <w:rFonts w:ascii="Times New Roman" w:hAnsi="Times New Roman" w:eastAsia="宋体" w:cs="Times New Roman"/>
          <w:color w:val="auto"/>
          <w:szCs w:val="24"/>
          <w:highlight w:val="none"/>
        </w:rPr>
        <w:t>逸散颗粒物排放系数为0.0</w:t>
      </w:r>
      <w:r>
        <w:rPr>
          <w:rFonts w:hint="eastAsia" w:ascii="Times New Roman" w:hAnsi="Times New Roman" w:eastAsia="宋体" w:cs="Times New Roman"/>
          <w:color w:val="auto"/>
          <w:szCs w:val="24"/>
          <w:highlight w:val="none"/>
        </w:rPr>
        <w:t>007</w:t>
      </w:r>
      <w:r>
        <w:rPr>
          <w:rFonts w:ascii="Times New Roman" w:hAnsi="Times New Roman" w:eastAsia="宋体" w:cs="Times New Roman"/>
          <w:color w:val="auto"/>
          <w:szCs w:val="24"/>
          <w:highlight w:val="none"/>
        </w:rPr>
        <w:t>kg/t（矿石），</w:t>
      </w:r>
      <w:r>
        <w:rPr>
          <w:rFonts w:hint="eastAsia" w:ascii="Times New Roman" w:hAnsi="Times New Roman" w:eastAsia="宋体" w:cs="Times New Roman"/>
          <w:color w:val="auto"/>
          <w:szCs w:val="24"/>
          <w:highlight w:val="none"/>
        </w:rPr>
        <w:t>矿石</w:t>
      </w:r>
      <w:r>
        <w:rPr>
          <w:rFonts w:ascii="Times New Roman" w:hAnsi="Times New Roman" w:eastAsia="宋体" w:cs="Times New Roman"/>
          <w:color w:val="auto"/>
          <w:szCs w:val="24"/>
          <w:highlight w:val="none"/>
        </w:rPr>
        <w:t>开</w:t>
      </w:r>
      <w:r>
        <w:rPr>
          <w:rFonts w:hint="eastAsia" w:ascii="Times New Roman" w:hAnsi="Times New Roman" w:eastAsia="宋体" w:cs="Times New Roman"/>
          <w:color w:val="auto"/>
          <w:szCs w:val="24"/>
          <w:highlight w:val="none"/>
        </w:rPr>
        <w:t>采</w:t>
      </w:r>
      <w:r>
        <w:rPr>
          <w:rFonts w:ascii="Times New Roman" w:hAnsi="Times New Roman" w:eastAsia="宋体" w:cs="Times New Roman"/>
          <w:color w:val="auto"/>
          <w:szCs w:val="24"/>
          <w:highlight w:val="none"/>
        </w:rPr>
        <w:t>量</w:t>
      </w:r>
      <w:r>
        <w:rPr>
          <w:rFonts w:hint="eastAsia" w:ascii="Times New Roman" w:hAnsi="Times New Roman" w:eastAsia="宋体" w:cs="Times New Roman"/>
          <w:color w:val="auto"/>
          <w:szCs w:val="24"/>
          <w:highlight w:val="none"/>
        </w:rPr>
        <w:t>为5</w:t>
      </w:r>
      <w:r>
        <w:rPr>
          <w:rFonts w:ascii="Times New Roman" w:hAnsi="Times New Roman" w:eastAsia="宋体" w:cs="Times New Roman"/>
          <w:color w:val="auto"/>
          <w:szCs w:val="24"/>
          <w:highlight w:val="none"/>
        </w:rPr>
        <w:t>万t/a，则</w:t>
      </w:r>
      <w:r>
        <w:rPr>
          <w:rFonts w:hint="eastAsia" w:ascii="Times New Roman" w:hAnsi="Times New Roman" w:eastAsia="宋体" w:cs="Times New Roman"/>
          <w:color w:val="auto"/>
          <w:szCs w:val="24"/>
          <w:highlight w:val="none"/>
        </w:rPr>
        <w:t>落料过程</w:t>
      </w:r>
      <w:r>
        <w:rPr>
          <w:rFonts w:ascii="Times New Roman" w:hAnsi="Times New Roman" w:eastAsia="宋体" w:cs="Times New Roman"/>
          <w:color w:val="auto"/>
          <w:szCs w:val="24"/>
          <w:highlight w:val="none"/>
        </w:rPr>
        <w:t>逸散颗粒物排放量为0.</w:t>
      </w:r>
      <w:r>
        <w:rPr>
          <w:rFonts w:hint="eastAsia" w:ascii="Times New Roman" w:hAnsi="Times New Roman" w:eastAsia="宋体" w:cs="Times New Roman"/>
          <w:color w:val="auto"/>
          <w:szCs w:val="24"/>
          <w:highlight w:val="none"/>
        </w:rPr>
        <w:t>035</w:t>
      </w:r>
      <w:r>
        <w:rPr>
          <w:rFonts w:ascii="Times New Roman" w:hAnsi="Times New Roman" w:eastAsia="宋体" w:cs="Times New Roman"/>
          <w:color w:val="auto"/>
          <w:szCs w:val="24"/>
          <w:highlight w:val="none"/>
        </w:rPr>
        <w:t>t/a。</w:t>
      </w:r>
    </w:p>
    <w:p>
      <w:pPr>
        <w:widowControl/>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⑦堆</w:t>
      </w:r>
      <w:r>
        <w:rPr>
          <w:rFonts w:hint="eastAsia" w:ascii="Times New Roman" w:hAnsi="Times New Roman" w:eastAsia="宋体" w:cs="Times New Roman"/>
          <w:color w:val="auto"/>
          <w:szCs w:val="24"/>
          <w:highlight w:val="none"/>
        </w:rPr>
        <w:t>料</w:t>
      </w:r>
      <w:r>
        <w:rPr>
          <w:rFonts w:ascii="Times New Roman" w:hAnsi="Times New Roman" w:eastAsia="宋体" w:cs="Times New Roman"/>
          <w:color w:val="auto"/>
          <w:szCs w:val="24"/>
          <w:highlight w:val="none"/>
        </w:rPr>
        <w:t>场扬尘</w:t>
      </w:r>
    </w:p>
    <w:p>
      <w:pPr>
        <w:widowControl/>
        <w:ind w:firstLine="480"/>
        <w:rPr>
          <w:rFonts w:ascii="Times New Roman" w:hAnsi="Times New Roman" w:eastAsia="宋体" w:cs="Times New Roman"/>
          <w:color w:val="auto"/>
          <w:highlight w:val="none"/>
        </w:rPr>
      </w:pPr>
      <w:r>
        <w:rPr>
          <w:rFonts w:ascii="Times New Roman" w:hAnsi="Times New Roman" w:eastAsia="宋体" w:cs="Times New Roman"/>
          <w:color w:val="auto"/>
          <w:szCs w:val="24"/>
          <w:highlight w:val="none"/>
        </w:rPr>
        <w:t>根据《扬尘源颗粒物排放清单编制技术指南（试行）》，堆场的扬尘源排放量是装卸、运输引起的扬尘与堆积存放期间风蚀扬尘的加和，计算公式如下：</w:t>
      </w:r>
    </w:p>
    <w:p>
      <w:pPr>
        <w:widowControl/>
        <w:ind w:firstLine="0" w:firstLineChars="0"/>
        <w:jc w:val="center"/>
        <w:rPr>
          <w:rFonts w:ascii="Times New Roman" w:hAnsi="Times New Roman" w:eastAsia="宋体" w:cs="Times New Roman"/>
          <w:color w:val="auto"/>
          <w:szCs w:val="24"/>
          <w:highlight w:val="none"/>
        </w:rPr>
      </w:pPr>
      <w:r>
        <w:rPr>
          <w:rFonts w:ascii="Times New Roman" w:hAnsi="Times New Roman" w:eastAsia="宋体" w:cs="Times New Roman"/>
          <w:color w:val="auto"/>
          <w:highlight w:val="none"/>
        </w:rPr>
        <w:drawing>
          <wp:inline distT="0" distB="0" distL="114300" distR="114300">
            <wp:extent cx="3635375" cy="564515"/>
            <wp:effectExtent l="0" t="0" r="3175" b="6985"/>
            <wp:docPr id="3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0"/>
                    <pic:cNvPicPr>
                      <a:picLocks noChangeAspect="1"/>
                    </pic:cNvPicPr>
                  </pic:nvPicPr>
                  <pic:blipFill>
                    <a:blip r:embed="rId52"/>
                    <a:stretch>
                      <a:fillRect/>
                    </a:stretch>
                  </pic:blipFill>
                  <pic:spPr>
                    <a:xfrm>
                      <a:off x="0" y="0"/>
                      <a:ext cx="3635375" cy="564515"/>
                    </a:xfrm>
                    <a:prstGeom prst="rect">
                      <a:avLst/>
                    </a:prstGeom>
                    <a:noFill/>
                    <a:ln>
                      <a:noFill/>
                    </a:ln>
                  </pic:spPr>
                </pic:pic>
              </a:graphicData>
            </a:graphic>
          </wp:inline>
        </w:drawing>
      </w:r>
      <w:r>
        <w:rPr>
          <w:rFonts w:ascii="Times New Roman" w:hAnsi="Times New Roman" w:eastAsia="宋体" w:cs="Times New Roman"/>
          <w:color w:val="auto"/>
          <w:highlight w:val="none"/>
        </w:rPr>
        <w:t xml:space="preserve">     </w:t>
      </w:r>
    </w:p>
    <w:p>
      <w:pPr>
        <w:ind w:firstLine="480"/>
        <w:rPr>
          <w:rStyle w:val="199"/>
          <w:rFonts w:ascii="Times New Roman" w:hAnsi="Times New Roman" w:eastAsia="宋体" w:cs="Times New Roman"/>
          <w:color w:val="auto"/>
          <w:sz w:val="24"/>
          <w:szCs w:val="24"/>
          <w:highlight w:val="none"/>
        </w:rPr>
      </w:pPr>
      <w:r>
        <w:rPr>
          <w:rStyle w:val="191"/>
          <w:rFonts w:ascii="Times New Roman" w:hAnsi="Times New Roman" w:eastAsia="宋体" w:cs="Times New Roman"/>
          <w:color w:val="auto"/>
          <w:sz w:val="24"/>
          <w:szCs w:val="24"/>
          <w:highlight w:val="none"/>
        </w:rPr>
        <w:t>式中：</w:t>
      </w:r>
      <w:r>
        <w:rPr>
          <w:rStyle w:val="199"/>
          <w:rFonts w:ascii="Times New Roman" w:hAnsi="Times New Roman" w:eastAsia="宋体" w:cs="Times New Roman"/>
          <w:color w:val="auto"/>
          <w:sz w:val="24"/>
          <w:szCs w:val="24"/>
          <w:highlight w:val="none"/>
        </w:rPr>
        <w:t xml:space="preserve"> </w:t>
      </w:r>
    </w:p>
    <w:p>
      <w:pPr>
        <w:ind w:firstLine="480"/>
        <w:rPr>
          <w:rFonts w:ascii="Times New Roman" w:hAnsi="Times New Roman" w:eastAsia="宋体" w:cs="Times New Roman"/>
          <w:color w:val="auto"/>
          <w:highlight w:val="none"/>
        </w:rPr>
      </w:pPr>
      <w:r>
        <w:rPr>
          <w:rStyle w:val="199"/>
          <w:rFonts w:ascii="Times New Roman" w:hAnsi="Times New Roman" w:eastAsia="宋体" w:cs="Times New Roman"/>
          <w:color w:val="auto"/>
          <w:sz w:val="24"/>
          <w:szCs w:val="24"/>
          <w:highlight w:val="none"/>
        </w:rPr>
        <w:t>W</w:t>
      </w:r>
      <w:r>
        <w:rPr>
          <w:rStyle w:val="199"/>
          <w:rFonts w:ascii="Times New Roman" w:hAnsi="Times New Roman" w:eastAsia="宋体" w:cs="Times New Roman"/>
          <w:color w:val="auto"/>
          <w:sz w:val="24"/>
          <w:szCs w:val="24"/>
          <w:highlight w:val="none"/>
          <w:vertAlign w:val="subscript"/>
        </w:rPr>
        <w:t>Y</w:t>
      </w:r>
      <w:r>
        <w:rPr>
          <w:rStyle w:val="191"/>
          <w:rFonts w:ascii="Times New Roman" w:hAnsi="Times New Roman" w:eastAsia="宋体" w:cs="Times New Roman"/>
          <w:color w:val="auto"/>
          <w:sz w:val="24"/>
          <w:szCs w:val="24"/>
          <w:highlight w:val="none"/>
        </w:rPr>
        <w:t>为堆场扬尘源中颗粒物总排放量，t</w:t>
      </w:r>
      <w:r>
        <w:rPr>
          <w:rStyle w:val="193"/>
          <w:rFonts w:ascii="Times New Roman" w:hAnsi="Times New Roman" w:eastAsia="宋体" w:cs="Times New Roman"/>
          <w:color w:val="auto"/>
          <w:sz w:val="24"/>
          <w:szCs w:val="24"/>
          <w:highlight w:val="none"/>
        </w:rPr>
        <w:t>/a</w:t>
      </w:r>
      <w:r>
        <w:rPr>
          <w:rStyle w:val="191"/>
          <w:rFonts w:ascii="Times New Roman" w:hAnsi="Times New Roman" w:eastAsia="宋体" w:cs="Times New Roman"/>
          <w:color w:val="auto"/>
          <w:sz w:val="24"/>
          <w:szCs w:val="24"/>
          <w:highlight w:val="none"/>
        </w:rPr>
        <w:t>。</w:t>
      </w:r>
    </w:p>
    <w:p>
      <w:pPr>
        <w:ind w:firstLine="480"/>
        <w:rPr>
          <w:rFonts w:ascii="Times New Roman" w:hAnsi="Times New Roman" w:eastAsia="宋体" w:cs="Times New Roman"/>
          <w:color w:val="auto"/>
          <w:highlight w:val="none"/>
        </w:rPr>
      </w:pPr>
      <w:r>
        <w:rPr>
          <w:rStyle w:val="199"/>
          <w:rFonts w:ascii="Times New Roman" w:hAnsi="Times New Roman" w:eastAsia="宋体" w:cs="Times New Roman"/>
          <w:color w:val="auto"/>
          <w:sz w:val="24"/>
          <w:szCs w:val="24"/>
          <w:highlight w:val="none"/>
        </w:rPr>
        <w:t>E</w:t>
      </w:r>
      <w:r>
        <w:rPr>
          <w:rStyle w:val="199"/>
          <w:rFonts w:ascii="Times New Roman" w:hAnsi="Times New Roman" w:eastAsia="宋体" w:cs="Times New Roman"/>
          <w:color w:val="auto"/>
          <w:sz w:val="24"/>
          <w:szCs w:val="24"/>
          <w:highlight w:val="none"/>
          <w:vertAlign w:val="subscript"/>
        </w:rPr>
        <w:t>h</w:t>
      </w:r>
      <w:r>
        <w:rPr>
          <w:rStyle w:val="191"/>
          <w:rFonts w:ascii="Times New Roman" w:hAnsi="Times New Roman" w:eastAsia="宋体" w:cs="Times New Roman"/>
          <w:color w:val="auto"/>
          <w:sz w:val="24"/>
          <w:szCs w:val="24"/>
          <w:highlight w:val="none"/>
        </w:rPr>
        <w:t>为堆场装卸运输过程的扬尘颗粒物排放系数，</w:t>
      </w:r>
      <w:r>
        <w:rPr>
          <w:rStyle w:val="193"/>
          <w:rFonts w:ascii="Times New Roman" w:hAnsi="Times New Roman" w:eastAsia="宋体" w:cs="Times New Roman"/>
          <w:color w:val="auto"/>
          <w:sz w:val="24"/>
          <w:szCs w:val="24"/>
          <w:highlight w:val="none"/>
        </w:rPr>
        <w:t>kg/t</w:t>
      </w:r>
      <w:r>
        <w:rPr>
          <w:rStyle w:val="199"/>
          <w:rFonts w:ascii="Times New Roman" w:hAnsi="Times New Roman" w:eastAsia="宋体" w:cs="Times New Roman"/>
          <w:i w:val="0"/>
          <w:color w:val="auto"/>
          <w:sz w:val="24"/>
          <w:szCs w:val="24"/>
          <w:highlight w:val="none"/>
        </w:rPr>
        <w:t>。</w:t>
      </w:r>
    </w:p>
    <w:p>
      <w:pPr>
        <w:ind w:firstLine="480"/>
        <w:rPr>
          <w:rFonts w:ascii="Times New Roman" w:hAnsi="Times New Roman" w:eastAsia="宋体" w:cs="Times New Roman"/>
          <w:color w:val="auto"/>
          <w:highlight w:val="none"/>
        </w:rPr>
      </w:pPr>
      <w:r>
        <w:rPr>
          <w:rStyle w:val="199"/>
          <w:rFonts w:ascii="Times New Roman" w:hAnsi="Times New Roman" w:eastAsia="宋体" w:cs="Times New Roman"/>
          <w:color w:val="auto"/>
          <w:sz w:val="24"/>
          <w:szCs w:val="24"/>
          <w:highlight w:val="none"/>
        </w:rPr>
        <w:t xml:space="preserve">m </w:t>
      </w:r>
      <w:r>
        <w:rPr>
          <w:rStyle w:val="191"/>
          <w:rFonts w:ascii="Times New Roman" w:hAnsi="Times New Roman" w:eastAsia="宋体" w:cs="Times New Roman"/>
          <w:color w:val="auto"/>
          <w:sz w:val="24"/>
          <w:szCs w:val="24"/>
          <w:highlight w:val="none"/>
        </w:rPr>
        <w:t>为每年料堆物料装卸总次数。</w:t>
      </w:r>
    </w:p>
    <w:p>
      <w:pPr>
        <w:ind w:firstLine="480"/>
        <w:rPr>
          <w:rStyle w:val="191"/>
          <w:rFonts w:ascii="Times New Roman" w:hAnsi="Times New Roman" w:eastAsia="宋体" w:cs="Times New Roman"/>
          <w:color w:val="auto"/>
          <w:sz w:val="24"/>
          <w:szCs w:val="24"/>
          <w:highlight w:val="none"/>
        </w:rPr>
      </w:pPr>
      <w:r>
        <w:rPr>
          <w:rStyle w:val="199"/>
          <w:rFonts w:ascii="Times New Roman" w:hAnsi="Times New Roman" w:eastAsia="宋体" w:cs="Times New Roman"/>
          <w:color w:val="auto"/>
          <w:sz w:val="24"/>
          <w:szCs w:val="24"/>
          <w:highlight w:val="none"/>
        </w:rPr>
        <w:t>G</w:t>
      </w:r>
      <w:r>
        <w:rPr>
          <w:rStyle w:val="199"/>
          <w:rFonts w:ascii="Times New Roman" w:hAnsi="Times New Roman" w:eastAsia="宋体" w:cs="Times New Roman"/>
          <w:color w:val="auto"/>
          <w:sz w:val="24"/>
          <w:szCs w:val="24"/>
          <w:highlight w:val="none"/>
          <w:vertAlign w:val="subscript"/>
        </w:rPr>
        <w:t>Yi</w:t>
      </w:r>
      <w:r>
        <w:rPr>
          <w:rStyle w:val="191"/>
          <w:rFonts w:ascii="Times New Roman" w:hAnsi="Times New Roman" w:eastAsia="宋体" w:cs="Times New Roman"/>
          <w:color w:val="auto"/>
          <w:sz w:val="24"/>
          <w:szCs w:val="24"/>
          <w:highlight w:val="none"/>
        </w:rPr>
        <w:t>为第</w:t>
      </w:r>
      <w:r>
        <w:rPr>
          <w:rStyle w:val="193"/>
          <w:rFonts w:ascii="Times New Roman" w:hAnsi="Times New Roman" w:eastAsia="宋体" w:cs="Times New Roman"/>
          <w:color w:val="auto"/>
          <w:sz w:val="24"/>
          <w:szCs w:val="24"/>
          <w:highlight w:val="none"/>
        </w:rPr>
        <w:t>i</w:t>
      </w:r>
      <w:r>
        <w:rPr>
          <w:rStyle w:val="191"/>
          <w:rFonts w:ascii="Times New Roman" w:hAnsi="Times New Roman" w:eastAsia="宋体" w:cs="Times New Roman"/>
          <w:color w:val="auto"/>
          <w:sz w:val="24"/>
          <w:szCs w:val="24"/>
          <w:highlight w:val="none"/>
        </w:rPr>
        <w:t>次装卸过程的物料装卸量，</w:t>
      </w:r>
      <w:r>
        <w:rPr>
          <w:rStyle w:val="193"/>
          <w:rFonts w:ascii="Times New Roman" w:hAnsi="Times New Roman" w:eastAsia="宋体" w:cs="Times New Roman"/>
          <w:color w:val="auto"/>
          <w:sz w:val="24"/>
          <w:szCs w:val="24"/>
          <w:highlight w:val="none"/>
        </w:rPr>
        <w:t>t</w:t>
      </w:r>
      <w:r>
        <w:rPr>
          <w:rStyle w:val="191"/>
          <w:rFonts w:ascii="Times New Roman" w:hAnsi="Times New Roman" w:eastAsia="宋体" w:cs="Times New Roman"/>
          <w:color w:val="auto"/>
          <w:sz w:val="24"/>
          <w:szCs w:val="24"/>
          <w:highlight w:val="none"/>
        </w:rPr>
        <w:t>。</w:t>
      </w:r>
    </w:p>
    <w:p>
      <w:pPr>
        <w:ind w:firstLine="480"/>
        <w:rPr>
          <w:rStyle w:val="191"/>
          <w:rFonts w:ascii="Times New Roman" w:hAnsi="Times New Roman" w:eastAsia="宋体" w:cs="Times New Roman"/>
          <w:color w:val="auto"/>
          <w:sz w:val="24"/>
          <w:szCs w:val="24"/>
          <w:highlight w:val="none"/>
        </w:rPr>
      </w:pPr>
      <w:r>
        <w:rPr>
          <w:rStyle w:val="191"/>
          <w:rFonts w:ascii="Times New Roman" w:hAnsi="Times New Roman" w:eastAsia="宋体" w:cs="Times New Roman"/>
          <w:color w:val="auto"/>
          <w:sz w:val="24"/>
          <w:szCs w:val="24"/>
          <w:highlight w:val="none"/>
        </w:rPr>
        <w:t>E</w:t>
      </w:r>
      <w:r>
        <w:rPr>
          <w:rStyle w:val="191"/>
          <w:rFonts w:ascii="Times New Roman" w:hAnsi="Times New Roman" w:eastAsia="宋体" w:cs="Times New Roman"/>
          <w:i/>
          <w:iCs/>
          <w:color w:val="auto"/>
          <w:sz w:val="24"/>
          <w:szCs w:val="24"/>
          <w:highlight w:val="none"/>
          <w:vertAlign w:val="subscript"/>
        </w:rPr>
        <w:t>w</w:t>
      </w:r>
      <w:r>
        <w:rPr>
          <w:rStyle w:val="191"/>
          <w:rFonts w:ascii="Times New Roman" w:hAnsi="Times New Roman" w:eastAsia="宋体" w:cs="Times New Roman"/>
          <w:color w:val="auto"/>
          <w:sz w:val="24"/>
          <w:szCs w:val="24"/>
          <w:highlight w:val="none"/>
        </w:rPr>
        <w:t>为料堆受到风蚀作用的颗粒物排放系数，kg/m</w:t>
      </w:r>
      <w:r>
        <w:rPr>
          <w:rStyle w:val="191"/>
          <w:rFonts w:ascii="Times New Roman" w:hAnsi="Times New Roman" w:eastAsia="宋体" w:cs="Times New Roman"/>
          <w:color w:val="auto"/>
          <w:sz w:val="24"/>
          <w:szCs w:val="24"/>
          <w:highlight w:val="none"/>
          <w:vertAlign w:val="superscript"/>
        </w:rPr>
        <w:t>2</w:t>
      </w:r>
      <w:r>
        <w:rPr>
          <w:rStyle w:val="191"/>
          <w:rFonts w:ascii="Times New Roman" w:hAnsi="Times New Roman" w:eastAsia="宋体" w:cs="Times New Roman"/>
          <w:color w:val="auto"/>
          <w:sz w:val="24"/>
          <w:szCs w:val="24"/>
          <w:highlight w:val="none"/>
        </w:rPr>
        <w:t>。</w:t>
      </w:r>
    </w:p>
    <w:p>
      <w:pPr>
        <w:ind w:firstLine="480"/>
        <w:rPr>
          <w:rStyle w:val="191"/>
          <w:rFonts w:ascii="Times New Roman" w:hAnsi="Times New Roman" w:eastAsia="宋体" w:cs="Times New Roman"/>
          <w:color w:val="auto"/>
          <w:sz w:val="24"/>
          <w:szCs w:val="24"/>
          <w:highlight w:val="none"/>
        </w:rPr>
      </w:pPr>
      <w:r>
        <w:rPr>
          <w:rStyle w:val="191"/>
          <w:rFonts w:ascii="Times New Roman" w:hAnsi="Times New Roman" w:eastAsia="宋体" w:cs="Times New Roman"/>
          <w:color w:val="auto"/>
          <w:sz w:val="24"/>
          <w:szCs w:val="24"/>
          <w:highlight w:val="none"/>
        </w:rPr>
        <w:t>A</w:t>
      </w:r>
      <w:r>
        <w:rPr>
          <w:rStyle w:val="191"/>
          <w:rFonts w:ascii="Times New Roman" w:hAnsi="Times New Roman" w:eastAsia="宋体" w:cs="Times New Roman"/>
          <w:i/>
          <w:iCs/>
          <w:color w:val="auto"/>
          <w:sz w:val="24"/>
          <w:szCs w:val="24"/>
          <w:highlight w:val="none"/>
          <w:vertAlign w:val="subscript"/>
        </w:rPr>
        <w:t>Y</w:t>
      </w:r>
      <w:r>
        <w:rPr>
          <w:rStyle w:val="191"/>
          <w:rFonts w:ascii="Times New Roman" w:hAnsi="Times New Roman" w:eastAsia="宋体" w:cs="Times New Roman"/>
          <w:color w:val="auto"/>
          <w:sz w:val="24"/>
          <w:szCs w:val="24"/>
          <w:highlight w:val="none"/>
        </w:rPr>
        <w:t>为料堆表面积，m</w:t>
      </w:r>
      <w:r>
        <w:rPr>
          <w:rStyle w:val="191"/>
          <w:rFonts w:ascii="Times New Roman" w:hAnsi="Times New Roman" w:eastAsia="宋体" w:cs="Times New Roman"/>
          <w:color w:val="auto"/>
          <w:sz w:val="24"/>
          <w:szCs w:val="24"/>
          <w:highlight w:val="none"/>
          <w:vertAlign w:val="superscript"/>
        </w:rPr>
        <w:t>2</w:t>
      </w:r>
      <w:r>
        <w:rPr>
          <w:rStyle w:val="191"/>
          <w:rFonts w:ascii="Times New Roman" w:hAnsi="Times New Roman" w:eastAsia="宋体" w:cs="Times New Roman"/>
          <w:color w:val="auto"/>
          <w:sz w:val="24"/>
          <w:szCs w:val="24"/>
          <w:highlight w:val="none"/>
        </w:rPr>
        <w:t>。</w:t>
      </w:r>
    </w:p>
    <w:p>
      <w:pPr>
        <w:ind w:firstLine="480"/>
        <w:rPr>
          <w:rStyle w:val="191"/>
          <w:rFonts w:ascii="Times New Roman" w:hAnsi="Times New Roman" w:eastAsia="宋体" w:cs="Times New Roman"/>
          <w:color w:val="auto"/>
          <w:sz w:val="24"/>
          <w:szCs w:val="24"/>
          <w:highlight w:val="none"/>
        </w:rPr>
      </w:pPr>
      <w:r>
        <w:rPr>
          <w:rStyle w:val="191"/>
          <w:rFonts w:ascii="Times New Roman" w:hAnsi="Times New Roman" w:eastAsia="宋体" w:cs="Times New Roman"/>
          <w:color w:val="auto"/>
          <w:sz w:val="24"/>
          <w:szCs w:val="24"/>
          <w:highlight w:val="none"/>
        </w:rPr>
        <w:t>装卸、运输物料过程扬尘排放系数</w:t>
      </w:r>
      <w:r>
        <w:rPr>
          <w:rStyle w:val="199"/>
          <w:rFonts w:ascii="Times New Roman" w:hAnsi="Times New Roman" w:eastAsia="宋体" w:cs="Times New Roman"/>
          <w:color w:val="auto"/>
          <w:sz w:val="24"/>
          <w:szCs w:val="24"/>
          <w:highlight w:val="none"/>
        </w:rPr>
        <w:t>E</w:t>
      </w:r>
      <w:r>
        <w:rPr>
          <w:rStyle w:val="199"/>
          <w:rFonts w:ascii="Times New Roman" w:hAnsi="Times New Roman" w:eastAsia="宋体" w:cs="Times New Roman"/>
          <w:color w:val="auto"/>
          <w:sz w:val="24"/>
          <w:szCs w:val="24"/>
          <w:highlight w:val="none"/>
          <w:vertAlign w:val="subscript"/>
        </w:rPr>
        <w:t>h</w:t>
      </w:r>
      <w:r>
        <w:rPr>
          <w:rStyle w:val="191"/>
          <w:rFonts w:ascii="Times New Roman" w:hAnsi="Times New Roman" w:eastAsia="宋体" w:cs="Times New Roman"/>
          <w:color w:val="auto"/>
          <w:sz w:val="24"/>
          <w:szCs w:val="24"/>
          <w:highlight w:val="none"/>
        </w:rPr>
        <w:t>的估算公式如下：</w:t>
      </w:r>
    </w:p>
    <w:p>
      <w:pPr>
        <w:ind w:firstLine="0" w:firstLineChars="0"/>
        <w:jc w:val="center"/>
        <w:rPr>
          <w:rStyle w:val="191"/>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drawing>
          <wp:inline distT="0" distB="0" distL="114300" distR="114300">
            <wp:extent cx="3076575" cy="971550"/>
            <wp:effectExtent l="0" t="0" r="9525" b="0"/>
            <wp:docPr id="3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1"/>
                    <pic:cNvPicPr>
                      <a:picLocks noChangeAspect="1"/>
                    </pic:cNvPicPr>
                  </pic:nvPicPr>
                  <pic:blipFill>
                    <a:blip r:embed="rId53"/>
                    <a:stretch>
                      <a:fillRect/>
                    </a:stretch>
                  </pic:blipFill>
                  <pic:spPr>
                    <a:xfrm>
                      <a:off x="0" y="0"/>
                      <a:ext cx="3076575" cy="971550"/>
                    </a:xfrm>
                    <a:prstGeom prst="rect">
                      <a:avLst/>
                    </a:prstGeom>
                    <a:noFill/>
                    <a:ln>
                      <a:noFill/>
                    </a:ln>
                  </pic:spPr>
                </pic:pic>
              </a:graphicData>
            </a:graphic>
          </wp:inline>
        </w:drawing>
      </w:r>
    </w:p>
    <w:p>
      <w:pPr>
        <w:ind w:firstLine="480"/>
        <w:rPr>
          <w:rStyle w:val="191"/>
          <w:rFonts w:ascii="Times New Roman" w:hAnsi="Times New Roman" w:eastAsia="宋体" w:cs="Times New Roman"/>
          <w:color w:val="auto"/>
          <w:sz w:val="24"/>
          <w:szCs w:val="24"/>
          <w:highlight w:val="none"/>
        </w:rPr>
      </w:pPr>
      <w:r>
        <w:rPr>
          <w:rStyle w:val="191"/>
          <w:rFonts w:ascii="Times New Roman" w:hAnsi="Times New Roman" w:eastAsia="宋体" w:cs="Times New Roman"/>
          <w:color w:val="auto"/>
          <w:sz w:val="24"/>
          <w:szCs w:val="24"/>
          <w:highlight w:val="none"/>
        </w:rPr>
        <w:t>式中：</w:t>
      </w:r>
    </w:p>
    <w:p>
      <w:pPr>
        <w:ind w:firstLine="480"/>
        <w:rPr>
          <w:rStyle w:val="199"/>
          <w:rFonts w:ascii="Times New Roman" w:hAnsi="Times New Roman" w:eastAsia="宋体" w:cs="Times New Roman"/>
          <w:i w:val="0"/>
          <w:color w:val="auto"/>
          <w:sz w:val="24"/>
          <w:szCs w:val="24"/>
          <w:highlight w:val="none"/>
        </w:rPr>
      </w:pPr>
      <w:r>
        <w:rPr>
          <w:rStyle w:val="199"/>
          <w:rFonts w:ascii="Times New Roman" w:hAnsi="Times New Roman" w:eastAsia="宋体" w:cs="Times New Roman"/>
          <w:i w:val="0"/>
          <w:color w:val="auto"/>
          <w:sz w:val="24"/>
          <w:szCs w:val="24"/>
          <w:highlight w:val="none"/>
        </w:rPr>
        <w:t>E</w:t>
      </w:r>
      <w:r>
        <w:rPr>
          <w:rStyle w:val="199"/>
          <w:rFonts w:ascii="Times New Roman" w:hAnsi="Times New Roman" w:eastAsia="宋体" w:cs="Times New Roman"/>
          <w:i w:val="0"/>
          <w:color w:val="auto"/>
          <w:sz w:val="24"/>
          <w:szCs w:val="24"/>
          <w:highlight w:val="none"/>
          <w:vertAlign w:val="subscript"/>
        </w:rPr>
        <w:t>h</w:t>
      </w:r>
      <w:r>
        <w:rPr>
          <w:rStyle w:val="199"/>
          <w:rFonts w:ascii="Times New Roman" w:hAnsi="Times New Roman" w:eastAsia="宋体" w:cs="Times New Roman"/>
          <w:i w:val="0"/>
          <w:color w:val="auto"/>
          <w:sz w:val="24"/>
          <w:szCs w:val="24"/>
          <w:highlight w:val="none"/>
        </w:rPr>
        <w:t>为堆场装卸扬尘的排放系数，kg/t。</w:t>
      </w:r>
    </w:p>
    <w:p>
      <w:pPr>
        <w:ind w:firstLine="480"/>
        <w:rPr>
          <w:rStyle w:val="199"/>
          <w:rFonts w:ascii="Times New Roman" w:hAnsi="Times New Roman" w:eastAsia="宋体" w:cs="Times New Roman"/>
          <w:i w:val="0"/>
          <w:color w:val="auto"/>
          <w:sz w:val="24"/>
          <w:szCs w:val="24"/>
          <w:highlight w:val="none"/>
        </w:rPr>
      </w:pPr>
      <w:r>
        <w:rPr>
          <w:rStyle w:val="199"/>
          <w:rFonts w:ascii="Times New Roman" w:hAnsi="Times New Roman" w:eastAsia="宋体" w:cs="Times New Roman"/>
          <w:i w:val="0"/>
          <w:color w:val="auto"/>
          <w:sz w:val="24"/>
          <w:szCs w:val="24"/>
          <w:highlight w:val="none"/>
        </w:rPr>
        <w:t>k</w:t>
      </w:r>
      <w:r>
        <w:rPr>
          <w:rStyle w:val="199"/>
          <w:rFonts w:ascii="Times New Roman" w:hAnsi="Times New Roman" w:eastAsia="宋体" w:cs="Times New Roman"/>
          <w:i w:val="0"/>
          <w:color w:val="auto"/>
          <w:sz w:val="24"/>
          <w:szCs w:val="24"/>
          <w:highlight w:val="none"/>
          <w:vertAlign w:val="subscript"/>
        </w:rPr>
        <w:t>i</w:t>
      </w:r>
      <w:r>
        <w:rPr>
          <w:rStyle w:val="199"/>
          <w:rFonts w:ascii="Times New Roman" w:hAnsi="Times New Roman" w:eastAsia="宋体" w:cs="Times New Roman"/>
          <w:i w:val="0"/>
          <w:color w:val="auto"/>
          <w:sz w:val="24"/>
          <w:szCs w:val="24"/>
          <w:highlight w:val="none"/>
        </w:rPr>
        <w:t>为物料的粒度乘数，无量纲，</w:t>
      </w:r>
      <w:r>
        <w:rPr>
          <w:rFonts w:ascii="Times New Roman" w:hAnsi="Times New Roman" w:eastAsia="宋体" w:cs="Times New Roman"/>
          <w:color w:val="auto"/>
          <w:szCs w:val="24"/>
          <w:highlight w:val="none"/>
        </w:rPr>
        <w:t>根据《扬尘源颗粒物排放清单编制技术指南（试行）》表10数据，装卸过程TSP的粒度乘数</w:t>
      </w:r>
      <w:r>
        <w:rPr>
          <w:rStyle w:val="199"/>
          <w:rFonts w:ascii="Times New Roman" w:hAnsi="Times New Roman" w:eastAsia="宋体" w:cs="Times New Roman"/>
          <w:i w:val="0"/>
          <w:color w:val="auto"/>
          <w:sz w:val="24"/>
          <w:szCs w:val="24"/>
          <w:highlight w:val="none"/>
        </w:rPr>
        <w:t>取0.74。</w:t>
      </w:r>
    </w:p>
    <w:p>
      <w:pPr>
        <w:ind w:firstLine="480"/>
        <w:rPr>
          <w:rStyle w:val="199"/>
          <w:rFonts w:ascii="Times New Roman" w:hAnsi="Times New Roman" w:eastAsia="宋体" w:cs="Times New Roman"/>
          <w:i w:val="0"/>
          <w:color w:val="auto"/>
          <w:sz w:val="24"/>
          <w:szCs w:val="24"/>
          <w:highlight w:val="none"/>
        </w:rPr>
      </w:pPr>
      <w:r>
        <w:rPr>
          <w:rStyle w:val="199"/>
          <w:rFonts w:ascii="Times New Roman" w:hAnsi="Times New Roman" w:eastAsia="宋体" w:cs="Times New Roman"/>
          <w:i w:val="0"/>
          <w:color w:val="auto"/>
          <w:sz w:val="24"/>
          <w:szCs w:val="24"/>
          <w:highlight w:val="none"/>
        </w:rPr>
        <w:t>u 为地面平均风速，m/s，项目所在区域多年平均风速为1.</w:t>
      </w:r>
      <w:r>
        <w:rPr>
          <w:rStyle w:val="199"/>
          <w:rFonts w:hint="eastAsia" w:ascii="Times New Roman" w:hAnsi="Times New Roman" w:eastAsia="宋体" w:cs="Times New Roman"/>
          <w:i w:val="0"/>
          <w:color w:val="auto"/>
          <w:sz w:val="24"/>
          <w:szCs w:val="24"/>
          <w:highlight w:val="none"/>
        </w:rPr>
        <w:t>3</w:t>
      </w:r>
      <w:r>
        <w:rPr>
          <w:rStyle w:val="199"/>
          <w:rFonts w:ascii="Times New Roman" w:hAnsi="Times New Roman" w:eastAsia="宋体" w:cs="Times New Roman"/>
          <w:i w:val="0"/>
          <w:color w:val="auto"/>
          <w:sz w:val="24"/>
          <w:szCs w:val="24"/>
          <w:highlight w:val="none"/>
        </w:rPr>
        <w:t>m/s。</w:t>
      </w:r>
    </w:p>
    <w:p>
      <w:pPr>
        <w:ind w:firstLine="480"/>
        <w:rPr>
          <w:rStyle w:val="199"/>
          <w:rFonts w:ascii="Times New Roman" w:hAnsi="Times New Roman" w:eastAsia="宋体" w:cs="Times New Roman"/>
          <w:i w:val="0"/>
          <w:color w:val="auto"/>
          <w:sz w:val="24"/>
          <w:szCs w:val="24"/>
          <w:highlight w:val="none"/>
        </w:rPr>
      </w:pPr>
      <w:r>
        <w:rPr>
          <w:rStyle w:val="199"/>
          <w:rFonts w:ascii="Times New Roman" w:hAnsi="Times New Roman" w:eastAsia="宋体" w:cs="Times New Roman"/>
          <w:i w:val="0"/>
          <w:color w:val="auto"/>
          <w:sz w:val="24"/>
          <w:szCs w:val="24"/>
          <w:highlight w:val="none"/>
        </w:rPr>
        <w:t>M 为物料含水率，%，</w:t>
      </w:r>
      <w:r>
        <w:rPr>
          <w:rFonts w:ascii="Times New Roman" w:hAnsi="Times New Roman" w:eastAsia="宋体" w:cs="Times New Roman"/>
          <w:color w:val="auto"/>
          <w:szCs w:val="24"/>
          <w:highlight w:val="none"/>
        </w:rPr>
        <w:t>根据《扬尘源颗粒物排放清单编制技术指南（试行）》表11数据，采石加工过程物料含水率</w:t>
      </w:r>
      <w:r>
        <w:rPr>
          <w:rStyle w:val="199"/>
          <w:rFonts w:ascii="Times New Roman" w:hAnsi="Times New Roman" w:eastAsia="宋体" w:cs="Times New Roman"/>
          <w:i w:val="0"/>
          <w:color w:val="auto"/>
          <w:sz w:val="24"/>
          <w:szCs w:val="24"/>
          <w:highlight w:val="none"/>
        </w:rPr>
        <w:t>取2.1%。</w:t>
      </w:r>
    </w:p>
    <w:p>
      <w:pPr>
        <w:ind w:firstLine="480"/>
        <w:rPr>
          <w:rStyle w:val="199"/>
          <w:rFonts w:ascii="Times New Roman" w:hAnsi="Times New Roman" w:eastAsia="宋体" w:cs="Times New Roman"/>
          <w:i w:val="0"/>
          <w:color w:val="auto"/>
          <w:sz w:val="24"/>
          <w:szCs w:val="24"/>
          <w:highlight w:val="none"/>
        </w:rPr>
      </w:pPr>
      <w:r>
        <w:rPr>
          <w:rStyle w:val="199"/>
          <w:rFonts w:ascii="Times New Roman" w:hAnsi="Times New Roman" w:eastAsia="宋体" w:cs="Times New Roman"/>
          <w:i w:val="0"/>
          <w:color w:val="auto"/>
          <w:sz w:val="24"/>
          <w:szCs w:val="24"/>
          <w:highlight w:val="none"/>
        </w:rPr>
        <w:t>η为污染控制技术对扬尘的去除效率，%，</w:t>
      </w:r>
      <w:r>
        <w:rPr>
          <w:rStyle w:val="199"/>
          <w:rFonts w:hint="eastAsia" w:ascii="Times New Roman" w:hAnsi="Times New Roman" w:eastAsia="宋体" w:cs="Times New Roman"/>
          <w:i w:val="0"/>
          <w:color w:val="auto"/>
          <w:sz w:val="24"/>
          <w:szCs w:val="24"/>
          <w:highlight w:val="none"/>
        </w:rPr>
        <w:t>矿山</w:t>
      </w:r>
      <w:r>
        <w:rPr>
          <w:rStyle w:val="199"/>
          <w:rFonts w:ascii="Times New Roman" w:hAnsi="Times New Roman" w:eastAsia="宋体" w:cs="Times New Roman"/>
          <w:i w:val="0"/>
          <w:color w:val="auto"/>
          <w:sz w:val="24"/>
          <w:szCs w:val="24"/>
          <w:highlight w:val="none"/>
        </w:rPr>
        <w:t>未采取降尘措施，η</w:t>
      </w:r>
      <w:r>
        <w:rPr>
          <w:rFonts w:ascii="Times New Roman" w:hAnsi="Times New Roman" w:eastAsia="宋体" w:cs="Times New Roman"/>
          <w:color w:val="auto"/>
          <w:szCs w:val="24"/>
          <w:highlight w:val="none"/>
        </w:rPr>
        <w:t>为0%</w:t>
      </w:r>
      <w:r>
        <w:rPr>
          <w:rStyle w:val="199"/>
          <w:rFonts w:ascii="Times New Roman" w:hAnsi="Times New Roman" w:eastAsia="宋体" w:cs="Times New Roman"/>
          <w:i w:val="0"/>
          <w:color w:val="auto"/>
          <w:sz w:val="24"/>
          <w:szCs w:val="24"/>
          <w:highlight w:val="none"/>
        </w:rPr>
        <w:t>；</w:t>
      </w:r>
    </w:p>
    <w:p>
      <w:pPr>
        <w:widowControl/>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经计算，未采取洒水措施时，</w:t>
      </w:r>
      <w:r>
        <w:rPr>
          <w:rStyle w:val="199"/>
          <w:rFonts w:ascii="Times New Roman" w:hAnsi="Times New Roman" w:eastAsia="宋体" w:cs="Times New Roman"/>
          <w:i w:val="0"/>
          <w:color w:val="auto"/>
          <w:sz w:val="24"/>
          <w:szCs w:val="24"/>
          <w:highlight w:val="none"/>
        </w:rPr>
        <w:t>堆场装卸扬尘的排放系数为</w:t>
      </w:r>
      <w:r>
        <w:rPr>
          <w:rFonts w:ascii="Times New Roman" w:hAnsi="Times New Roman" w:eastAsia="宋体" w:cs="Times New Roman"/>
          <w:color w:val="auto"/>
          <w:szCs w:val="24"/>
          <w:highlight w:val="none"/>
        </w:rPr>
        <w:t>0.000</w:t>
      </w:r>
      <w:r>
        <w:rPr>
          <w:rFonts w:hint="eastAsia" w:ascii="Times New Roman" w:hAnsi="Times New Roman" w:eastAsia="宋体" w:cs="Times New Roman"/>
          <w:color w:val="auto"/>
          <w:szCs w:val="24"/>
          <w:highlight w:val="none"/>
        </w:rPr>
        <w:t>558</w:t>
      </w:r>
      <w:r>
        <w:rPr>
          <w:rFonts w:ascii="Times New Roman" w:hAnsi="Times New Roman" w:eastAsia="宋体" w:cs="Times New Roman"/>
          <w:color w:val="auto"/>
          <w:szCs w:val="24"/>
          <w:highlight w:val="none"/>
        </w:rPr>
        <w:t>kg/t</w:t>
      </w:r>
      <w:r>
        <w:rPr>
          <w:rStyle w:val="199"/>
          <w:rFonts w:ascii="Times New Roman" w:hAnsi="Times New Roman" w:eastAsia="宋体" w:cs="Times New Roman"/>
          <w:i w:val="0"/>
          <w:color w:val="auto"/>
          <w:sz w:val="24"/>
          <w:szCs w:val="24"/>
          <w:highlight w:val="none"/>
        </w:rPr>
        <w:t>，堆场装卸</w:t>
      </w:r>
      <w:r>
        <w:rPr>
          <w:rFonts w:hint="eastAsia" w:ascii="Times New Roman" w:hAnsi="Times New Roman" w:eastAsia="宋体" w:cs="Times New Roman"/>
          <w:color w:val="auto"/>
          <w:szCs w:val="24"/>
          <w:highlight w:val="none"/>
        </w:rPr>
        <w:t>石料</w:t>
      </w:r>
      <w:r>
        <w:rPr>
          <w:rFonts w:ascii="Times New Roman" w:hAnsi="Times New Roman" w:eastAsia="宋体" w:cs="Times New Roman"/>
          <w:color w:val="auto"/>
          <w:szCs w:val="24"/>
          <w:highlight w:val="none"/>
        </w:rPr>
        <w:t>的装车量按2t/次计，项目装卸总量</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万t/a，则项目装卸运输过程颗粒物排放为0.0</w:t>
      </w:r>
      <w:r>
        <w:rPr>
          <w:rFonts w:hint="eastAsia" w:ascii="Times New Roman" w:hAnsi="Times New Roman" w:eastAsia="宋体" w:cs="Times New Roman"/>
          <w:color w:val="auto"/>
          <w:szCs w:val="24"/>
          <w:highlight w:val="none"/>
        </w:rPr>
        <w:t>28</w:t>
      </w:r>
      <w:r>
        <w:rPr>
          <w:rFonts w:ascii="Times New Roman" w:hAnsi="Times New Roman" w:eastAsia="宋体" w:cs="Times New Roman"/>
          <w:color w:val="auto"/>
          <w:szCs w:val="24"/>
          <w:highlight w:val="none"/>
        </w:rPr>
        <w:t>t/a。</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料堆表面遭受风扰动后引起颗粒物排放的排放系数E</w:t>
      </w:r>
      <w:r>
        <w:rPr>
          <w:rFonts w:ascii="Times New Roman" w:hAnsi="Times New Roman" w:eastAsia="宋体" w:cs="Times New Roman"/>
          <w:i/>
          <w:iCs/>
          <w:color w:val="auto"/>
          <w:highlight w:val="none"/>
          <w:vertAlign w:val="subscript"/>
        </w:rPr>
        <w:t>w</w:t>
      </w:r>
      <w:r>
        <w:rPr>
          <w:rFonts w:ascii="Times New Roman" w:hAnsi="Times New Roman" w:eastAsia="宋体" w:cs="Times New Roman"/>
          <w:color w:val="auto"/>
          <w:highlight w:val="none"/>
        </w:rPr>
        <w:t>可以用下式计算：</w:t>
      </w:r>
    </w:p>
    <w:p>
      <w:pPr>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inline distT="0" distB="0" distL="114300" distR="114300">
            <wp:extent cx="3931285" cy="1310640"/>
            <wp:effectExtent l="0" t="0" r="12065" b="3810"/>
            <wp:docPr id="3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2"/>
                    <pic:cNvPicPr>
                      <a:picLocks noChangeAspect="1"/>
                    </pic:cNvPicPr>
                  </pic:nvPicPr>
                  <pic:blipFill>
                    <a:blip r:embed="rId54"/>
                    <a:stretch>
                      <a:fillRect/>
                    </a:stretch>
                  </pic:blipFill>
                  <pic:spPr>
                    <a:xfrm>
                      <a:off x="0" y="0"/>
                      <a:ext cx="3931285" cy="1310640"/>
                    </a:xfrm>
                    <a:prstGeom prst="rect">
                      <a:avLst/>
                    </a:prstGeom>
                    <a:noFill/>
                    <a:ln>
                      <a:noFill/>
                    </a:ln>
                  </pic:spPr>
                </pic:pic>
              </a:graphicData>
            </a:graphic>
          </wp:inline>
        </w:drawing>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式中：</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i/>
          <w:color w:val="auto"/>
          <w:szCs w:val="24"/>
          <w:highlight w:val="none"/>
        </w:rPr>
        <w:t>E</w:t>
      </w:r>
      <w:r>
        <w:rPr>
          <w:rFonts w:ascii="Times New Roman" w:hAnsi="Times New Roman" w:eastAsia="宋体" w:cs="Times New Roman"/>
          <w:i/>
          <w:color w:val="auto"/>
          <w:szCs w:val="24"/>
          <w:highlight w:val="none"/>
          <w:vertAlign w:val="subscript"/>
        </w:rPr>
        <w:t>w</w:t>
      </w:r>
      <w:r>
        <w:rPr>
          <w:rFonts w:ascii="Times New Roman" w:hAnsi="Times New Roman" w:eastAsia="宋体" w:cs="Times New Roman"/>
          <w:color w:val="auto"/>
          <w:szCs w:val="24"/>
          <w:highlight w:val="none"/>
        </w:rPr>
        <w:t>为堆场风蚀扬尘的排放系数，kg/m</w:t>
      </w:r>
      <w:r>
        <w:rPr>
          <w:rFonts w:ascii="Times New Roman" w:hAnsi="Times New Roman" w:eastAsia="宋体" w:cs="Times New Roman"/>
          <w:color w:val="auto"/>
          <w:szCs w:val="24"/>
          <w:highlight w:val="none"/>
          <w:vertAlign w:val="superscript"/>
        </w:rPr>
        <w:t>2</w:t>
      </w:r>
      <w:r>
        <w:rPr>
          <w:rFonts w:ascii="Times New Roman" w:hAnsi="Times New Roman" w:eastAsia="宋体" w:cs="Times New Roman"/>
          <w:color w:val="auto"/>
          <w:szCs w:val="24"/>
          <w:highlight w:val="none"/>
        </w:rPr>
        <w:t>。</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i/>
          <w:color w:val="auto"/>
          <w:szCs w:val="24"/>
          <w:highlight w:val="none"/>
        </w:rPr>
        <w:t>ki</w:t>
      </w:r>
      <w:r>
        <w:rPr>
          <w:rFonts w:ascii="Times New Roman" w:hAnsi="Times New Roman" w:eastAsia="宋体" w:cs="Times New Roman"/>
          <w:color w:val="auto"/>
          <w:szCs w:val="24"/>
          <w:highlight w:val="none"/>
        </w:rPr>
        <w:t>为物料的粒度乘数，</w:t>
      </w:r>
      <w:r>
        <w:rPr>
          <w:rStyle w:val="199"/>
          <w:rFonts w:ascii="Times New Roman" w:hAnsi="Times New Roman" w:eastAsia="宋体" w:cs="Times New Roman"/>
          <w:i w:val="0"/>
          <w:color w:val="auto"/>
          <w:sz w:val="24"/>
          <w:szCs w:val="24"/>
          <w:highlight w:val="none"/>
        </w:rPr>
        <w:t>无量纲，</w:t>
      </w:r>
      <w:r>
        <w:rPr>
          <w:rFonts w:ascii="Times New Roman" w:hAnsi="Times New Roman" w:eastAsia="宋体" w:cs="Times New Roman"/>
          <w:color w:val="auto"/>
          <w:szCs w:val="24"/>
          <w:highlight w:val="none"/>
        </w:rPr>
        <w:t>根据《扬尘源颗粒物排放清单编制技术指南（试行）》表13数据，TSP风蚀过程粒度乘数</w:t>
      </w:r>
      <w:r>
        <w:rPr>
          <w:rStyle w:val="199"/>
          <w:rFonts w:ascii="Times New Roman" w:hAnsi="Times New Roman" w:eastAsia="宋体" w:cs="Times New Roman"/>
          <w:i w:val="0"/>
          <w:color w:val="auto"/>
          <w:sz w:val="24"/>
          <w:szCs w:val="24"/>
          <w:highlight w:val="none"/>
        </w:rPr>
        <w:t>取1。</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i/>
          <w:color w:val="auto"/>
          <w:szCs w:val="24"/>
          <w:highlight w:val="none"/>
        </w:rPr>
        <w:t>n</w:t>
      </w:r>
      <w:r>
        <w:rPr>
          <w:rFonts w:ascii="Times New Roman" w:hAnsi="Times New Roman" w:eastAsia="宋体" w:cs="Times New Roman"/>
          <w:color w:val="auto"/>
          <w:szCs w:val="24"/>
          <w:highlight w:val="none"/>
        </w:rPr>
        <w:t>为料堆每年受扰动的次数，项目年运行</w:t>
      </w:r>
      <w:r>
        <w:rPr>
          <w:rFonts w:hint="eastAsia" w:ascii="Times New Roman" w:hAnsi="Times New Roman" w:eastAsia="宋体" w:cs="Times New Roman"/>
          <w:color w:val="auto"/>
          <w:szCs w:val="24"/>
          <w:highlight w:val="none"/>
        </w:rPr>
        <w:t>30</w:t>
      </w:r>
      <w:r>
        <w:rPr>
          <w:rFonts w:ascii="Times New Roman" w:hAnsi="Times New Roman" w:eastAsia="宋体" w:cs="Times New Roman"/>
          <w:color w:val="auto"/>
          <w:szCs w:val="24"/>
          <w:highlight w:val="none"/>
        </w:rPr>
        <w:t>0d，取</w:t>
      </w:r>
      <w:r>
        <w:rPr>
          <w:rFonts w:hint="eastAsia" w:ascii="Times New Roman" w:hAnsi="Times New Roman" w:eastAsia="宋体" w:cs="Times New Roman"/>
          <w:color w:val="auto"/>
          <w:szCs w:val="24"/>
          <w:highlight w:val="none"/>
        </w:rPr>
        <w:t>30</w:t>
      </w:r>
      <w:r>
        <w:rPr>
          <w:rFonts w:ascii="Times New Roman" w:hAnsi="Times New Roman" w:eastAsia="宋体" w:cs="Times New Roman"/>
          <w:color w:val="auto"/>
          <w:szCs w:val="24"/>
          <w:highlight w:val="none"/>
        </w:rPr>
        <w:t>0。</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i/>
          <w:color w:val="auto"/>
          <w:szCs w:val="24"/>
          <w:highlight w:val="none"/>
        </w:rPr>
        <w:t>P</w:t>
      </w:r>
      <w:r>
        <w:rPr>
          <w:rFonts w:ascii="Times New Roman" w:hAnsi="Times New Roman" w:eastAsia="宋体" w:cs="Times New Roman"/>
          <w:i/>
          <w:color w:val="auto"/>
          <w:szCs w:val="24"/>
          <w:highlight w:val="none"/>
          <w:vertAlign w:val="subscript"/>
        </w:rPr>
        <w:t>i</w:t>
      </w:r>
      <w:r>
        <w:rPr>
          <w:rFonts w:ascii="Times New Roman" w:hAnsi="Times New Roman" w:eastAsia="宋体" w:cs="Times New Roman"/>
          <w:color w:val="auto"/>
          <w:szCs w:val="24"/>
          <w:highlight w:val="none"/>
        </w:rPr>
        <w:t>为第i次扰动中观测的最大风速的风蚀潜势，g/m</w:t>
      </w:r>
      <w:r>
        <w:rPr>
          <w:rFonts w:ascii="Times New Roman" w:hAnsi="Times New Roman" w:eastAsia="宋体" w:cs="Times New Roman"/>
          <w:color w:val="auto"/>
          <w:szCs w:val="24"/>
          <w:highlight w:val="none"/>
          <w:vertAlign w:val="superscript"/>
        </w:rPr>
        <w:t>2</w:t>
      </w:r>
      <w:r>
        <w:rPr>
          <w:rFonts w:ascii="Times New Roman" w:hAnsi="Times New Roman" w:eastAsia="宋体" w:cs="Times New Roman"/>
          <w:color w:val="auto"/>
          <w:szCs w:val="24"/>
          <w:highlight w:val="none"/>
        </w:rPr>
        <w:t>。</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i/>
          <w:color w:val="auto"/>
          <w:szCs w:val="24"/>
          <w:highlight w:val="none"/>
        </w:rPr>
        <w:t>η</w:t>
      </w:r>
      <w:r>
        <w:rPr>
          <w:rFonts w:ascii="Times New Roman" w:hAnsi="Times New Roman" w:eastAsia="宋体" w:cs="Times New Roman"/>
          <w:color w:val="auto"/>
          <w:szCs w:val="24"/>
          <w:highlight w:val="none"/>
        </w:rPr>
        <w:t>为污染控制技术对扬尘的去除效率，%。</w:t>
      </w:r>
      <w:r>
        <w:rPr>
          <w:rStyle w:val="199"/>
          <w:rFonts w:hint="eastAsia" w:ascii="Times New Roman" w:hAnsi="Times New Roman" w:eastAsia="宋体" w:cs="Times New Roman"/>
          <w:i w:val="0"/>
          <w:color w:val="auto"/>
          <w:sz w:val="24"/>
          <w:szCs w:val="24"/>
          <w:highlight w:val="none"/>
        </w:rPr>
        <w:t>矿山</w:t>
      </w:r>
      <w:r>
        <w:rPr>
          <w:rStyle w:val="199"/>
          <w:rFonts w:ascii="Times New Roman" w:hAnsi="Times New Roman" w:eastAsia="宋体" w:cs="Times New Roman"/>
          <w:i w:val="0"/>
          <w:color w:val="auto"/>
          <w:sz w:val="24"/>
          <w:szCs w:val="24"/>
          <w:highlight w:val="none"/>
        </w:rPr>
        <w:t>未采取降尘措施，η</w:t>
      </w:r>
      <w:r>
        <w:rPr>
          <w:rFonts w:ascii="Times New Roman" w:hAnsi="Times New Roman" w:eastAsia="宋体" w:cs="Times New Roman"/>
          <w:color w:val="auto"/>
          <w:szCs w:val="24"/>
          <w:highlight w:val="none"/>
        </w:rPr>
        <w:t>为0。</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u*为摩擦风速，m/s。</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u</w:t>
      </w:r>
      <w:r>
        <w:rPr>
          <w:rFonts w:ascii="Times New Roman" w:hAnsi="Times New Roman" w:eastAsia="宋体" w:cs="Times New Roman"/>
          <w:color w:val="auto"/>
          <w:szCs w:val="24"/>
          <w:highlight w:val="none"/>
          <w:vertAlign w:val="subscript"/>
        </w:rPr>
        <w:t>t</w:t>
      </w:r>
      <w:r>
        <w:rPr>
          <w:rFonts w:ascii="Times New Roman" w:hAnsi="Times New Roman" w:eastAsia="宋体" w:cs="Times New Roman"/>
          <w:color w:val="auto"/>
          <w:szCs w:val="24"/>
          <w:highlight w:val="none"/>
        </w:rPr>
        <w:t>*为阈值摩擦风速，即起尘的临界摩擦风速，m/s，本项目矿石堆场阈值摩擦风速取0.12m/s。</w:t>
      </w:r>
    </w:p>
    <w:p>
      <w:pPr>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inline distT="0" distB="0" distL="114300" distR="114300">
            <wp:extent cx="2841625" cy="516255"/>
            <wp:effectExtent l="0" t="0" r="15875" b="17145"/>
            <wp:docPr id="4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3"/>
                    <pic:cNvPicPr>
                      <a:picLocks noChangeAspect="1"/>
                    </pic:cNvPicPr>
                  </pic:nvPicPr>
                  <pic:blipFill>
                    <a:blip r:embed="rId55"/>
                    <a:stretch>
                      <a:fillRect/>
                    </a:stretch>
                  </pic:blipFill>
                  <pic:spPr>
                    <a:xfrm>
                      <a:off x="0" y="0"/>
                      <a:ext cx="2841625" cy="516255"/>
                    </a:xfrm>
                    <a:prstGeom prst="rect">
                      <a:avLst/>
                    </a:prstGeom>
                    <a:noFill/>
                    <a:ln>
                      <a:noFill/>
                    </a:ln>
                  </pic:spPr>
                </pic:pic>
              </a:graphicData>
            </a:graphic>
          </wp:inline>
        </w:drawing>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式中：</w:t>
      </w:r>
    </w:p>
    <w:p>
      <w:pPr>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u(z)为地面风速，m/s。</w:t>
      </w:r>
      <w:r>
        <w:rPr>
          <w:rStyle w:val="199"/>
          <w:rFonts w:ascii="Times New Roman" w:hAnsi="Times New Roman" w:eastAsia="宋体" w:cs="Times New Roman"/>
          <w:i w:val="0"/>
          <w:color w:val="auto"/>
          <w:sz w:val="24"/>
          <w:szCs w:val="24"/>
          <w:highlight w:val="none"/>
        </w:rPr>
        <w:t>取项目区域多年平均风速1.</w:t>
      </w:r>
      <w:r>
        <w:rPr>
          <w:rStyle w:val="199"/>
          <w:rFonts w:hint="eastAsia" w:ascii="Times New Roman" w:hAnsi="Times New Roman" w:eastAsia="宋体" w:cs="Times New Roman"/>
          <w:i w:val="0"/>
          <w:color w:val="auto"/>
          <w:sz w:val="24"/>
          <w:szCs w:val="24"/>
          <w:highlight w:val="none"/>
        </w:rPr>
        <w:t>3</w:t>
      </w:r>
      <w:r>
        <w:rPr>
          <w:rStyle w:val="199"/>
          <w:rFonts w:ascii="Times New Roman" w:hAnsi="Times New Roman" w:eastAsia="宋体" w:cs="Times New Roman"/>
          <w:i w:val="0"/>
          <w:color w:val="auto"/>
          <w:sz w:val="24"/>
          <w:szCs w:val="24"/>
          <w:highlight w:val="none"/>
        </w:rPr>
        <w:t>m/s。</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z 地面风速检测高度，m。取10m。</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z</w:t>
      </w:r>
      <w:r>
        <w:rPr>
          <w:rFonts w:ascii="Times New Roman" w:hAnsi="Times New Roman" w:eastAsia="宋体" w:cs="Times New Roman"/>
          <w:color w:val="auto"/>
          <w:szCs w:val="24"/>
          <w:highlight w:val="none"/>
          <w:vertAlign w:val="subscript"/>
        </w:rPr>
        <w:t>0</w:t>
      </w:r>
      <w:r>
        <w:rPr>
          <w:rFonts w:ascii="Times New Roman" w:hAnsi="Times New Roman" w:eastAsia="宋体" w:cs="Times New Roman"/>
          <w:color w:val="auto"/>
          <w:szCs w:val="24"/>
          <w:highlight w:val="none"/>
        </w:rPr>
        <w:t>为地面粗糙度，m，城市取值0.6，郊区取值0.2。项目处于郊区，取0.2。</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0.4为冯卡门常数，无量纲。</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highlight w:val="none"/>
        </w:rPr>
        <w:t>经计算，</w:t>
      </w:r>
      <w:r>
        <w:rPr>
          <w:rFonts w:ascii="Times New Roman" w:hAnsi="Times New Roman" w:eastAsia="宋体" w:cs="Times New Roman"/>
          <w:color w:val="auto"/>
          <w:szCs w:val="24"/>
          <w:highlight w:val="none"/>
        </w:rPr>
        <w:t>u*为0.1</w:t>
      </w:r>
      <w:r>
        <w:rPr>
          <w:rFonts w:hint="eastAsia" w:ascii="Times New Roman" w:hAnsi="Times New Roman" w:eastAsia="宋体" w:cs="Times New Roman"/>
          <w:color w:val="auto"/>
          <w:szCs w:val="24"/>
          <w:highlight w:val="none"/>
        </w:rPr>
        <w:t>33</w:t>
      </w:r>
      <w:r>
        <w:rPr>
          <w:rFonts w:ascii="Times New Roman" w:hAnsi="Times New Roman" w:eastAsia="宋体" w:cs="Times New Roman"/>
          <w:color w:val="auto"/>
          <w:szCs w:val="24"/>
          <w:highlight w:val="none"/>
        </w:rPr>
        <w:t>m/s，Pi为</w:t>
      </w:r>
      <w:r>
        <w:rPr>
          <w:rFonts w:hint="eastAsia" w:ascii="Times New Roman" w:hAnsi="Times New Roman" w:eastAsia="宋体" w:cs="Times New Roman"/>
          <w:color w:val="auto"/>
          <w:szCs w:val="24"/>
          <w:highlight w:val="none"/>
        </w:rPr>
        <w:t>0.333</w:t>
      </w:r>
      <w:r>
        <w:rPr>
          <w:rFonts w:ascii="Times New Roman" w:hAnsi="Times New Roman" w:eastAsia="宋体" w:cs="Times New Roman"/>
          <w:color w:val="auto"/>
          <w:szCs w:val="24"/>
          <w:highlight w:val="none"/>
        </w:rPr>
        <w:t>g/m</w:t>
      </w:r>
      <w:r>
        <w:rPr>
          <w:rFonts w:ascii="Times New Roman" w:hAnsi="Times New Roman" w:eastAsia="宋体" w:cs="Times New Roman"/>
          <w:color w:val="auto"/>
          <w:szCs w:val="24"/>
          <w:highlight w:val="none"/>
          <w:vertAlign w:val="superscript"/>
        </w:rPr>
        <w:t>2</w:t>
      </w:r>
      <w:r>
        <w:rPr>
          <w:rFonts w:ascii="Times New Roman" w:hAnsi="Times New Roman" w:eastAsia="宋体" w:cs="Times New Roman"/>
          <w:color w:val="auto"/>
          <w:szCs w:val="24"/>
          <w:highlight w:val="none"/>
        </w:rPr>
        <w:t>，未采取洒水措施时，</w:t>
      </w:r>
      <w:r>
        <w:rPr>
          <w:rStyle w:val="199"/>
          <w:rFonts w:ascii="Times New Roman" w:hAnsi="Times New Roman" w:eastAsia="宋体" w:cs="Times New Roman"/>
          <w:i w:val="0"/>
          <w:color w:val="auto"/>
          <w:sz w:val="24"/>
          <w:szCs w:val="24"/>
          <w:highlight w:val="none"/>
        </w:rPr>
        <w:t>堆场</w:t>
      </w:r>
      <w:r>
        <w:rPr>
          <w:rFonts w:ascii="Times New Roman" w:hAnsi="Times New Roman" w:eastAsia="宋体" w:cs="Times New Roman"/>
          <w:color w:val="auto"/>
          <w:szCs w:val="24"/>
          <w:highlight w:val="none"/>
        </w:rPr>
        <w:t>风蚀扬尘的排放系数</w:t>
      </w:r>
      <w:r>
        <w:rPr>
          <w:rStyle w:val="199"/>
          <w:rFonts w:ascii="Times New Roman" w:hAnsi="Times New Roman" w:eastAsia="宋体" w:cs="Times New Roman"/>
          <w:i w:val="0"/>
          <w:color w:val="auto"/>
          <w:sz w:val="24"/>
          <w:szCs w:val="24"/>
          <w:highlight w:val="none"/>
        </w:rPr>
        <w:t>为</w:t>
      </w:r>
      <w:r>
        <w:rPr>
          <w:rFonts w:ascii="Times New Roman" w:hAnsi="Times New Roman" w:eastAsia="宋体" w:cs="Times New Roman"/>
          <w:color w:val="auto"/>
          <w:szCs w:val="24"/>
          <w:highlight w:val="none"/>
        </w:rPr>
        <w:t>0.</w:t>
      </w:r>
      <w:r>
        <w:rPr>
          <w:rFonts w:hint="eastAsia" w:ascii="Times New Roman" w:hAnsi="Times New Roman" w:eastAsia="宋体" w:cs="Times New Roman"/>
          <w:color w:val="auto"/>
          <w:szCs w:val="24"/>
          <w:highlight w:val="none"/>
        </w:rPr>
        <w:t>1</w:t>
      </w:r>
      <w:r>
        <w:rPr>
          <w:rFonts w:ascii="Times New Roman" w:hAnsi="Times New Roman" w:eastAsia="宋体" w:cs="Times New Roman"/>
          <w:color w:val="auto"/>
          <w:szCs w:val="24"/>
          <w:highlight w:val="none"/>
        </w:rPr>
        <w:t>kg/m</w:t>
      </w:r>
      <w:r>
        <w:rPr>
          <w:rFonts w:ascii="Times New Roman" w:hAnsi="Times New Roman" w:eastAsia="宋体" w:cs="Times New Roman"/>
          <w:color w:val="auto"/>
          <w:szCs w:val="24"/>
          <w:highlight w:val="none"/>
          <w:vertAlign w:val="superscript"/>
        </w:rPr>
        <w:t>2</w:t>
      </w:r>
      <w:r>
        <w:rPr>
          <w:rFonts w:ascii="Times New Roman" w:hAnsi="Times New Roman" w:eastAsia="宋体" w:cs="Times New Roman"/>
          <w:color w:val="auto"/>
          <w:szCs w:val="24"/>
          <w:highlight w:val="none"/>
        </w:rPr>
        <w:t>。项目</w:t>
      </w:r>
      <w:r>
        <w:rPr>
          <w:rFonts w:ascii="Times New Roman" w:hAnsi="Times New Roman" w:eastAsia="宋体" w:cs="Times New Roman"/>
          <w:color w:val="auto"/>
          <w:kern w:val="0"/>
          <w:highlight w:val="none"/>
        </w:rPr>
        <w:t>堆料场①、堆料场②、堆料场</w:t>
      </w:r>
      <w:r>
        <w:rPr>
          <w:rFonts w:hint="eastAsia" w:ascii="Times New Roman" w:hAnsi="Times New Roman" w:eastAsia="宋体"/>
          <w:color w:val="auto"/>
          <w:kern w:val="0"/>
          <w:highlight w:val="none"/>
        </w:rPr>
        <w:t>③</w:t>
      </w:r>
      <w:r>
        <w:rPr>
          <w:rFonts w:ascii="Times New Roman" w:hAnsi="Times New Roman" w:eastAsia="宋体" w:cs="Times New Roman"/>
          <w:color w:val="auto"/>
          <w:kern w:val="0"/>
          <w:highlight w:val="none"/>
        </w:rPr>
        <w:t>、堆料场</w:t>
      </w:r>
      <w:r>
        <w:rPr>
          <w:rFonts w:hint="eastAsia" w:ascii="Times New Roman" w:hAnsi="Times New Roman" w:eastAsia="宋体"/>
          <w:color w:val="auto"/>
          <w:kern w:val="0"/>
          <w:highlight w:val="none"/>
        </w:rPr>
        <w:t>④</w:t>
      </w:r>
      <w:r>
        <w:rPr>
          <w:rFonts w:ascii="Times New Roman" w:hAnsi="Times New Roman" w:eastAsia="宋体" w:cs="Times New Roman"/>
          <w:color w:val="auto"/>
          <w:kern w:val="0"/>
          <w:highlight w:val="none"/>
        </w:rPr>
        <w:t>、临时</w:t>
      </w:r>
      <w:r>
        <w:rPr>
          <w:rFonts w:hint="eastAsia" w:ascii="Times New Roman" w:hAnsi="Times New Roman" w:eastAsia="宋体" w:cs="Times New Roman"/>
          <w:color w:val="auto"/>
          <w:kern w:val="0"/>
          <w:highlight w:val="none"/>
        </w:rPr>
        <w:t>排</w:t>
      </w:r>
      <w:r>
        <w:rPr>
          <w:rFonts w:ascii="Times New Roman" w:hAnsi="Times New Roman" w:eastAsia="宋体" w:cs="Times New Roman"/>
          <w:color w:val="auto"/>
          <w:kern w:val="0"/>
          <w:highlight w:val="none"/>
        </w:rPr>
        <w:t>土场表面积分别为</w:t>
      </w:r>
      <w:r>
        <w:rPr>
          <w:rFonts w:hint="eastAsia" w:ascii="Times New Roman" w:hAnsi="Times New Roman" w:eastAsia="宋体" w:cs="Times New Roman"/>
          <w:color w:val="auto"/>
          <w:kern w:val="0"/>
          <w:highlight w:val="none"/>
        </w:rPr>
        <w:t>10</w:t>
      </w:r>
      <w:r>
        <w:rPr>
          <w:rFonts w:ascii="Times New Roman" w:hAnsi="Times New Roman" w:eastAsia="宋体" w:cs="Times New Roman"/>
          <w:color w:val="auto"/>
          <w:kern w:val="0"/>
          <w:highlight w:val="none"/>
        </w:rPr>
        <w:t>00m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kern w:val="0"/>
          <w:highlight w:val="none"/>
        </w:rPr>
        <w:t>、</w:t>
      </w:r>
      <w:r>
        <w:rPr>
          <w:rFonts w:hint="eastAsia" w:ascii="Times New Roman" w:hAnsi="Times New Roman" w:eastAsia="宋体" w:cs="Times New Roman"/>
          <w:color w:val="auto"/>
          <w:kern w:val="0"/>
          <w:highlight w:val="none"/>
        </w:rPr>
        <w:t>5</w:t>
      </w:r>
      <w:r>
        <w:rPr>
          <w:rFonts w:ascii="Times New Roman" w:hAnsi="Times New Roman" w:eastAsia="宋体" w:cs="Times New Roman"/>
          <w:color w:val="auto"/>
          <w:kern w:val="0"/>
          <w:highlight w:val="none"/>
        </w:rPr>
        <w:t>00m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kern w:val="0"/>
          <w:highlight w:val="none"/>
        </w:rPr>
        <w:t>、</w:t>
      </w:r>
      <w:r>
        <w:rPr>
          <w:rFonts w:hint="eastAsia" w:ascii="Times New Roman" w:hAnsi="Times New Roman" w:eastAsia="宋体" w:cs="Times New Roman"/>
          <w:color w:val="auto"/>
          <w:kern w:val="0"/>
          <w:highlight w:val="none"/>
        </w:rPr>
        <w:t>5</w:t>
      </w:r>
      <w:r>
        <w:rPr>
          <w:rFonts w:ascii="Times New Roman" w:hAnsi="Times New Roman" w:eastAsia="宋体" w:cs="Times New Roman"/>
          <w:color w:val="auto"/>
          <w:kern w:val="0"/>
          <w:highlight w:val="none"/>
        </w:rPr>
        <w:t>00m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kern w:val="0"/>
          <w:highlight w:val="none"/>
        </w:rPr>
        <w:t>、</w:t>
      </w:r>
      <w:r>
        <w:rPr>
          <w:rFonts w:hint="eastAsia" w:ascii="Times New Roman" w:hAnsi="Times New Roman" w:eastAsia="宋体" w:cs="Times New Roman"/>
          <w:color w:val="auto"/>
          <w:kern w:val="0"/>
          <w:highlight w:val="none"/>
        </w:rPr>
        <w:t>3</w:t>
      </w:r>
      <w:r>
        <w:rPr>
          <w:rFonts w:ascii="Times New Roman" w:hAnsi="Times New Roman" w:eastAsia="宋体" w:cs="Times New Roman"/>
          <w:color w:val="auto"/>
          <w:kern w:val="0"/>
          <w:highlight w:val="none"/>
        </w:rPr>
        <w:t>00m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kern w:val="0"/>
          <w:highlight w:val="none"/>
        </w:rPr>
        <w:t>、</w:t>
      </w:r>
      <w:r>
        <w:rPr>
          <w:rFonts w:hint="eastAsia" w:ascii="Times New Roman" w:hAnsi="Times New Roman" w:eastAsia="宋体" w:cs="Times New Roman"/>
          <w:color w:val="auto"/>
          <w:kern w:val="0"/>
          <w:highlight w:val="none"/>
        </w:rPr>
        <w:t>3</w:t>
      </w:r>
      <w:r>
        <w:rPr>
          <w:rFonts w:ascii="Times New Roman" w:hAnsi="Times New Roman" w:eastAsia="宋体" w:cs="Times New Roman"/>
          <w:color w:val="auto"/>
          <w:kern w:val="0"/>
          <w:highlight w:val="none"/>
        </w:rPr>
        <w:t>00m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szCs w:val="24"/>
          <w:highlight w:val="none"/>
        </w:rPr>
        <w:t>，风蚀扬尘产生量分别为0.</w:t>
      </w:r>
      <w:r>
        <w:rPr>
          <w:rFonts w:hint="eastAsia" w:ascii="Times New Roman" w:hAnsi="Times New Roman" w:eastAsia="宋体" w:cs="Times New Roman"/>
          <w:color w:val="auto"/>
          <w:szCs w:val="24"/>
          <w:highlight w:val="none"/>
        </w:rPr>
        <w:t>1</w:t>
      </w:r>
      <w:r>
        <w:rPr>
          <w:rFonts w:ascii="Times New Roman" w:hAnsi="Times New Roman" w:eastAsia="宋体" w:cs="Times New Roman"/>
          <w:color w:val="auto"/>
          <w:szCs w:val="24"/>
          <w:highlight w:val="none"/>
        </w:rPr>
        <w:t>t/a、0.</w:t>
      </w:r>
      <w:r>
        <w:rPr>
          <w:rFonts w:hint="eastAsia" w:ascii="Times New Roman" w:hAnsi="Times New Roman" w:eastAsia="宋体" w:cs="Times New Roman"/>
          <w:color w:val="auto"/>
          <w:szCs w:val="24"/>
          <w:highlight w:val="none"/>
        </w:rPr>
        <w:t>05</w:t>
      </w:r>
      <w:r>
        <w:rPr>
          <w:rFonts w:ascii="Times New Roman" w:hAnsi="Times New Roman" w:eastAsia="宋体" w:cs="Times New Roman"/>
          <w:color w:val="auto"/>
          <w:szCs w:val="24"/>
          <w:highlight w:val="none"/>
        </w:rPr>
        <w:t>t/a、0.</w:t>
      </w:r>
      <w:r>
        <w:rPr>
          <w:rFonts w:hint="eastAsia" w:ascii="Times New Roman" w:hAnsi="Times New Roman" w:eastAsia="宋体" w:cs="Times New Roman"/>
          <w:color w:val="auto"/>
          <w:szCs w:val="24"/>
          <w:highlight w:val="none"/>
        </w:rPr>
        <w:t>05</w:t>
      </w:r>
      <w:r>
        <w:rPr>
          <w:rFonts w:ascii="Times New Roman" w:hAnsi="Times New Roman" w:eastAsia="宋体" w:cs="Times New Roman"/>
          <w:color w:val="auto"/>
          <w:szCs w:val="24"/>
          <w:highlight w:val="none"/>
        </w:rPr>
        <w:t>t/a、0.03t/a、0.</w:t>
      </w:r>
      <w:r>
        <w:rPr>
          <w:rFonts w:hint="eastAsia" w:ascii="Times New Roman" w:hAnsi="Times New Roman" w:eastAsia="宋体" w:cs="Times New Roman"/>
          <w:color w:val="auto"/>
          <w:szCs w:val="24"/>
          <w:highlight w:val="none"/>
        </w:rPr>
        <w:t>03</w:t>
      </w:r>
      <w:r>
        <w:rPr>
          <w:rFonts w:ascii="Times New Roman" w:hAnsi="Times New Roman" w:eastAsia="宋体" w:cs="Times New Roman"/>
          <w:color w:val="auto"/>
          <w:szCs w:val="24"/>
          <w:highlight w:val="none"/>
        </w:rPr>
        <w:t>t/a。</w:t>
      </w:r>
    </w:p>
    <w:p>
      <w:pPr>
        <w:widowControl/>
        <w:ind w:firstLine="480"/>
        <w:jc w:val="left"/>
        <w:rPr>
          <w:rFonts w:ascii="Times New Roman" w:hAnsi="Times New Roman" w:eastAsia="宋体" w:cs="Times New Roman"/>
          <w:color w:val="auto"/>
          <w:szCs w:val="24"/>
          <w:highlight w:val="none"/>
        </w:rPr>
      </w:pPr>
      <w:r>
        <w:rPr>
          <w:rFonts w:hint="eastAsia" w:ascii="Times New Roman" w:hAnsi="Times New Roman" w:eastAsia="宋体"/>
          <w:color w:val="auto"/>
          <w:szCs w:val="24"/>
          <w:highlight w:val="none"/>
        </w:rPr>
        <w:t>⑧</w:t>
      </w:r>
      <w:r>
        <w:rPr>
          <w:rFonts w:ascii="Times New Roman" w:hAnsi="Times New Roman" w:eastAsia="宋体" w:cs="Times New Roman"/>
          <w:color w:val="auto"/>
          <w:szCs w:val="24"/>
          <w:highlight w:val="none"/>
        </w:rPr>
        <w:t>道路扬尘</w:t>
      </w:r>
    </w:p>
    <w:p>
      <w:pPr>
        <w:widowControl/>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根据《扬尘源颗粒物排放清单编制技术指南（试行）》，道路扬尘排放计算公式如下：</w:t>
      </w:r>
    </w:p>
    <w:p>
      <w:pPr>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inline distT="0" distB="0" distL="114300" distR="114300">
            <wp:extent cx="3209925" cy="449580"/>
            <wp:effectExtent l="0" t="0" r="9525" b="7620"/>
            <wp:docPr id="41"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88"/>
                    <pic:cNvPicPr>
                      <a:picLocks noChangeAspect="1"/>
                    </pic:cNvPicPr>
                  </pic:nvPicPr>
                  <pic:blipFill>
                    <a:blip r:embed="rId56"/>
                    <a:stretch>
                      <a:fillRect/>
                    </a:stretch>
                  </pic:blipFill>
                  <pic:spPr>
                    <a:xfrm>
                      <a:off x="0" y="0"/>
                      <a:ext cx="3209925" cy="449580"/>
                    </a:xfrm>
                    <a:prstGeom prst="rect">
                      <a:avLst/>
                    </a:prstGeom>
                    <a:noFill/>
                    <a:ln>
                      <a:noFill/>
                    </a:ln>
                  </pic:spPr>
                </pic:pic>
              </a:graphicData>
            </a:graphic>
          </wp:inline>
        </w:drawing>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式中：</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W</w:t>
      </w:r>
      <w:r>
        <w:rPr>
          <w:rFonts w:ascii="Times New Roman" w:hAnsi="Times New Roman" w:eastAsia="宋体" w:cs="Times New Roman"/>
          <w:color w:val="auto"/>
          <w:highlight w:val="none"/>
          <w:vertAlign w:val="subscript"/>
        </w:rPr>
        <w:t>Ri</w:t>
      </w:r>
      <w:r>
        <w:rPr>
          <w:rFonts w:ascii="Times New Roman" w:hAnsi="Times New Roman" w:eastAsia="宋体" w:cs="Times New Roman"/>
          <w:color w:val="auto"/>
          <w:highlight w:val="none"/>
        </w:rPr>
        <w:t>为道路扬尘源中颗粒物PM</w:t>
      </w:r>
      <w:r>
        <w:rPr>
          <w:rFonts w:ascii="Times New Roman" w:hAnsi="Times New Roman" w:eastAsia="宋体" w:cs="Times New Roman"/>
          <w:color w:val="auto"/>
          <w:highlight w:val="none"/>
          <w:vertAlign w:val="subscript"/>
        </w:rPr>
        <w:t>i</w:t>
      </w:r>
      <w:r>
        <w:rPr>
          <w:rFonts w:ascii="Times New Roman" w:hAnsi="Times New Roman" w:eastAsia="宋体" w:cs="Times New Roman"/>
          <w:color w:val="auto"/>
          <w:highlight w:val="none"/>
        </w:rPr>
        <w:t>的总排放量，t/a。</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E</w:t>
      </w:r>
      <w:r>
        <w:rPr>
          <w:rFonts w:ascii="Times New Roman" w:hAnsi="Times New Roman" w:eastAsia="宋体" w:cs="Times New Roman"/>
          <w:color w:val="auto"/>
          <w:highlight w:val="none"/>
          <w:vertAlign w:val="subscript"/>
        </w:rPr>
        <w:t>Ri</w:t>
      </w:r>
      <w:r>
        <w:rPr>
          <w:rFonts w:ascii="Times New Roman" w:hAnsi="Times New Roman" w:eastAsia="宋体" w:cs="Times New Roman"/>
          <w:color w:val="auto"/>
          <w:highlight w:val="none"/>
        </w:rPr>
        <w:t>为道路扬尘源中PM</w:t>
      </w:r>
      <w:r>
        <w:rPr>
          <w:rFonts w:ascii="Times New Roman" w:hAnsi="Times New Roman" w:eastAsia="宋体" w:cs="Times New Roman"/>
          <w:color w:val="auto"/>
          <w:highlight w:val="none"/>
          <w:vertAlign w:val="subscript"/>
        </w:rPr>
        <w:t>i</w:t>
      </w:r>
      <w:r>
        <w:rPr>
          <w:rFonts w:ascii="Times New Roman" w:hAnsi="Times New Roman" w:eastAsia="宋体" w:cs="Times New Roman"/>
          <w:color w:val="auto"/>
          <w:highlight w:val="none"/>
        </w:rPr>
        <w:t>平均排放系数，g/(km•辆)。</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L</w:t>
      </w:r>
      <w:r>
        <w:rPr>
          <w:rFonts w:ascii="Times New Roman" w:hAnsi="Times New Roman" w:eastAsia="宋体" w:cs="Times New Roman"/>
          <w:color w:val="auto"/>
          <w:highlight w:val="none"/>
          <w:vertAlign w:val="subscript"/>
        </w:rPr>
        <w:t>R</w:t>
      </w:r>
      <w:r>
        <w:rPr>
          <w:rFonts w:ascii="Times New Roman" w:hAnsi="Times New Roman" w:eastAsia="宋体" w:cs="Times New Roman"/>
          <w:color w:val="auto"/>
          <w:highlight w:val="none"/>
        </w:rPr>
        <w:t>为道路长度，km。项目取0.1km。</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highlight w:val="none"/>
        </w:rPr>
        <w:t>N</w:t>
      </w:r>
      <w:r>
        <w:rPr>
          <w:rFonts w:ascii="Times New Roman" w:hAnsi="Times New Roman" w:eastAsia="宋体" w:cs="Times New Roman"/>
          <w:color w:val="auto"/>
          <w:highlight w:val="none"/>
          <w:vertAlign w:val="subscript"/>
        </w:rPr>
        <w:t>R</w:t>
      </w:r>
      <w:r>
        <w:rPr>
          <w:rFonts w:ascii="Times New Roman" w:hAnsi="Times New Roman" w:eastAsia="宋体" w:cs="Times New Roman"/>
          <w:color w:val="auto"/>
          <w:highlight w:val="none"/>
        </w:rPr>
        <w:t>为一定时期内车辆在该段道路上的平均车流量，辆/a。</w:t>
      </w:r>
      <w:r>
        <w:rPr>
          <w:rFonts w:hint="eastAsia" w:ascii="Times New Roman" w:hAnsi="Times New Roman" w:eastAsia="宋体" w:cs="Times New Roman"/>
          <w:color w:val="auto"/>
          <w:highlight w:val="none"/>
        </w:rPr>
        <w:t>矿石开采量</w:t>
      </w:r>
      <w:r>
        <w:rPr>
          <w:rFonts w:ascii="Times New Roman" w:hAnsi="Times New Roman" w:eastAsia="宋体" w:cs="Times New Roman"/>
          <w:color w:val="auto"/>
          <w:szCs w:val="24"/>
          <w:highlight w:val="none"/>
        </w:rPr>
        <w:t>为</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万t/a，采用自重8t，载重1</w:t>
      </w:r>
      <w:r>
        <w:rPr>
          <w:rFonts w:hint="eastAsia" w:ascii="Times New Roman" w:hAnsi="Times New Roman" w:eastAsia="宋体" w:cs="Times New Roman"/>
          <w:color w:val="auto"/>
          <w:szCs w:val="24"/>
          <w:highlight w:val="none"/>
        </w:rPr>
        <w:t>0</w:t>
      </w:r>
      <w:r>
        <w:rPr>
          <w:rFonts w:ascii="Times New Roman" w:hAnsi="Times New Roman" w:eastAsia="宋体" w:cs="Times New Roman"/>
          <w:color w:val="auto"/>
          <w:szCs w:val="24"/>
          <w:highlight w:val="none"/>
        </w:rPr>
        <w:t>t的汽车运输，需运输</w:t>
      </w:r>
      <w:r>
        <w:rPr>
          <w:rFonts w:hint="eastAsia" w:ascii="Times New Roman" w:hAnsi="Times New Roman" w:eastAsia="宋体" w:cs="Times New Roman"/>
          <w:color w:val="auto"/>
          <w:szCs w:val="24"/>
          <w:highlight w:val="none"/>
        </w:rPr>
        <w:t>5000</w:t>
      </w:r>
      <w:r>
        <w:rPr>
          <w:rFonts w:ascii="Times New Roman" w:hAnsi="Times New Roman" w:eastAsia="宋体" w:cs="Times New Roman"/>
          <w:color w:val="auto"/>
          <w:szCs w:val="24"/>
          <w:highlight w:val="none"/>
        </w:rPr>
        <w:t>车次/a。</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n</w:t>
      </w:r>
      <w:r>
        <w:rPr>
          <w:rFonts w:ascii="Times New Roman" w:hAnsi="Times New Roman" w:eastAsia="宋体" w:cs="Times New Roman"/>
          <w:color w:val="auto"/>
          <w:highlight w:val="none"/>
          <w:vertAlign w:val="subscript"/>
        </w:rPr>
        <w:t>r</w:t>
      </w:r>
      <w:r>
        <w:rPr>
          <w:rFonts w:ascii="Times New Roman" w:hAnsi="Times New Roman" w:eastAsia="宋体" w:cs="Times New Roman"/>
          <w:color w:val="auto"/>
          <w:highlight w:val="none"/>
        </w:rPr>
        <w:t>为不起尘天数，</w:t>
      </w:r>
      <w:r>
        <w:rPr>
          <w:rFonts w:hint="eastAsia" w:ascii="Times New Roman" w:hAnsi="Times New Roman" w:eastAsia="宋体" w:cs="Times New Roman"/>
          <w:color w:val="auto"/>
          <w:highlight w:val="none"/>
        </w:rPr>
        <w:t>三江县</w:t>
      </w:r>
      <w:r>
        <w:rPr>
          <w:rFonts w:ascii="Times New Roman" w:hAnsi="Times New Roman" w:eastAsia="宋体" w:cs="Times New Roman"/>
          <w:color w:val="auto"/>
          <w:highlight w:val="none"/>
        </w:rPr>
        <w:t>年降雨日数约1</w:t>
      </w:r>
      <w:r>
        <w:rPr>
          <w:rFonts w:hint="eastAsia" w:ascii="Times New Roman" w:hAnsi="Times New Roman" w:eastAsia="宋体" w:cs="Times New Roman"/>
          <w:color w:val="auto"/>
          <w:highlight w:val="none"/>
        </w:rPr>
        <w:t>5</w:t>
      </w:r>
      <w:r>
        <w:rPr>
          <w:rFonts w:ascii="Times New Roman" w:hAnsi="Times New Roman" w:eastAsia="宋体" w:cs="Times New Roman"/>
          <w:color w:val="auto"/>
          <w:highlight w:val="none"/>
        </w:rPr>
        <w:t>0天。</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对于未铺装道路，扬尘排放系数计算公式如下：</w:t>
      </w:r>
    </w:p>
    <w:p>
      <w:pPr>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inline distT="0" distB="0" distL="114300" distR="114300">
            <wp:extent cx="3581400" cy="647700"/>
            <wp:effectExtent l="0" t="0" r="0" b="0"/>
            <wp:docPr id="42"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9"/>
                    <pic:cNvPicPr>
                      <a:picLocks noChangeAspect="1"/>
                    </pic:cNvPicPr>
                  </pic:nvPicPr>
                  <pic:blipFill>
                    <a:blip r:embed="rId57"/>
                    <a:stretch>
                      <a:fillRect/>
                    </a:stretch>
                  </pic:blipFill>
                  <pic:spPr>
                    <a:xfrm>
                      <a:off x="0" y="0"/>
                      <a:ext cx="3581400" cy="647700"/>
                    </a:xfrm>
                    <a:prstGeom prst="rect">
                      <a:avLst/>
                    </a:prstGeom>
                    <a:noFill/>
                    <a:ln>
                      <a:noFill/>
                    </a:ln>
                  </pic:spPr>
                </pic:pic>
              </a:graphicData>
            </a:graphic>
          </wp:inline>
        </w:drawing>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式中：</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E</w:t>
      </w:r>
      <w:r>
        <w:rPr>
          <w:rFonts w:ascii="Times New Roman" w:hAnsi="Times New Roman" w:eastAsia="宋体" w:cs="Times New Roman"/>
          <w:color w:val="auto"/>
          <w:highlight w:val="none"/>
          <w:vertAlign w:val="subscript"/>
        </w:rPr>
        <w:t>UPi</w:t>
      </w:r>
      <w:r>
        <w:rPr>
          <w:rFonts w:ascii="Times New Roman" w:hAnsi="Times New Roman" w:eastAsia="宋体" w:cs="Times New Roman"/>
          <w:color w:val="auto"/>
          <w:highlight w:val="none"/>
        </w:rPr>
        <w:t>为未铺装道路扬尘中PM</w:t>
      </w:r>
      <w:r>
        <w:rPr>
          <w:rFonts w:ascii="Times New Roman" w:hAnsi="Times New Roman" w:eastAsia="宋体" w:cs="Times New Roman"/>
          <w:color w:val="auto"/>
          <w:highlight w:val="none"/>
          <w:vertAlign w:val="subscript"/>
        </w:rPr>
        <w:t>i</w:t>
      </w:r>
      <w:r>
        <w:rPr>
          <w:rFonts w:ascii="Times New Roman" w:hAnsi="Times New Roman" w:eastAsia="宋体" w:cs="Times New Roman"/>
          <w:color w:val="auto"/>
          <w:highlight w:val="none"/>
        </w:rPr>
        <w:t>排放系数，g/km。</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k</w:t>
      </w:r>
      <w:r>
        <w:rPr>
          <w:rFonts w:ascii="Times New Roman" w:hAnsi="Times New Roman" w:eastAsia="宋体" w:cs="Times New Roman"/>
          <w:color w:val="auto"/>
          <w:highlight w:val="none"/>
          <w:vertAlign w:val="subscript"/>
        </w:rPr>
        <w:t>i</w:t>
      </w:r>
      <w:r>
        <w:rPr>
          <w:rFonts w:ascii="Times New Roman" w:hAnsi="Times New Roman" w:eastAsia="宋体" w:cs="Times New Roman"/>
          <w:color w:val="auto"/>
          <w:highlight w:val="none"/>
        </w:rPr>
        <w:t>为产生的扬尘中PM</w:t>
      </w:r>
      <w:r>
        <w:rPr>
          <w:rFonts w:ascii="Times New Roman" w:hAnsi="Times New Roman" w:eastAsia="宋体" w:cs="Times New Roman"/>
          <w:color w:val="auto"/>
          <w:highlight w:val="none"/>
          <w:vertAlign w:val="subscript"/>
        </w:rPr>
        <w:t>i</w:t>
      </w:r>
      <w:r>
        <w:rPr>
          <w:rFonts w:ascii="Times New Roman" w:hAnsi="Times New Roman" w:eastAsia="宋体" w:cs="Times New Roman"/>
          <w:color w:val="auto"/>
          <w:highlight w:val="none"/>
        </w:rPr>
        <w:t>的粒度乘数，</w:t>
      </w:r>
      <w:r>
        <w:rPr>
          <w:rFonts w:ascii="Times New Roman" w:hAnsi="Times New Roman" w:eastAsia="宋体" w:cs="Times New Roman"/>
          <w:color w:val="auto"/>
          <w:szCs w:val="24"/>
          <w:highlight w:val="none"/>
        </w:rPr>
        <w:t>根据《扬尘源颗粒物排放清单编制技术指南（试行）》表7，未铺装道路TSP的粒度乘数为1691.4</w:t>
      </w:r>
      <w:r>
        <w:rPr>
          <w:rFonts w:ascii="Times New Roman" w:hAnsi="Times New Roman" w:eastAsia="宋体" w:cs="Times New Roman"/>
          <w:color w:val="auto"/>
          <w:highlight w:val="none"/>
        </w:rPr>
        <w:t>g/km，a为0.3，b为0.3。</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s为道路表面有效积尘率，%。取10%。</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v为平均车速，km/h，取15km/h。</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M为道路积尘含水率，%。项目取8%。</w:t>
      </w:r>
    </w:p>
    <w:p>
      <w:pPr>
        <w:bidi w:val="0"/>
        <w:rPr>
          <w:highlight w:val="none"/>
        </w:rPr>
      </w:pPr>
      <w:r>
        <w:rPr>
          <w:highlight w:val="none"/>
        </w:rPr>
        <w:t>η为污染控制技术对扬尘的去除效率，%。道路未未采取洒水降尘措施，η取0%。</w:t>
      </w:r>
    </w:p>
    <w:p>
      <w:pPr>
        <w:widowControl/>
        <w:snapToGrid w:val="0"/>
        <w:ind w:firstLine="480"/>
        <w:jc w:val="left"/>
        <w:rPr>
          <w:rFonts w:ascii="Times New Roman" w:hAnsi="Times New Roman" w:eastAsia="宋体" w:cs="Times New Roman"/>
          <w:color w:val="auto"/>
          <w:highlight w:val="none"/>
        </w:rPr>
      </w:pPr>
      <w:r>
        <w:rPr>
          <w:rFonts w:ascii="Times New Roman" w:hAnsi="Times New Roman" w:eastAsia="宋体" w:cs="Times New Roman"/>
          <w:color w:val="auto"/>
          <w:highlight w:val="none"/>
        </w:rPr>
        <w:t>经计算，E</w:t>
      </w:r>
      <w:r>
        <w:rPr>
          <w:rFonts w:ascii="Times New Roman" w:hAnsi="Times New Roman" w:eastAsia="宋体" w:cs="Times New Roman"/>
          <w:color w:val="auto"/>
          <w:highlight w:val="none"/>
          <w:vertAlign w:val="subscript"/>
        </w:rPr>
        <w:t>UPi</w:t>
      </w:r>
      <w:r>
        <w:rPr>
          <w:rFonts w:ascii="Times New Roman" w:hAnsi="Times New Roman" w:eastAsia="宋体" w:cs="Times New Roman"/>
          <w:color w:val="auto"/>
          <w:highlight w:val="none"/>
        </w:rPr>
        <w:t>为498.33g/km，道路扬尘</w:t>
      </w:r>
      <w:r>
        <w:rPr>
          <w:rFonts w:ascii="Times New Roman" w:hAnsi="Times New Roman" w:eastAsia="宋体" w:cs="Times New Roman"/>
          <w:color w:val="auto"/>
          <w:szCs w:val="24"/>
          <w:highlight w:val="none"/>
        </w:rPr>
        <w:t>排放量</w:t>
      </w:r>
      <w:r>
        <w:rPr>
          <w:rFonts w:ascii="Times New Roman" w:hAnsi="Times New Roman" w:eastAsia="宋体" w:cs="Times New Roman"/>
          <w:color w:val="auto"/>
          <w:highlight w:val="none"/>
        </w:rPr>
        <w:t>为0.1</w:t>
      </w:r>
      <w:r>
        <w:rPr>
          <w:rFonts w:hint="eastAsia" w:ascii="Times New Roman" w:hAnsi="Times New Roman" w:eastAsia="宋体" w:cs="Times New Roman"/>
          <w:color w:val="auto"/>
          <w:highlight w:val="none"/>
        </w:rPr>
        <w:t>47</w:t>
      </w:r>
      <w:r>
        <w:rPr>
          <w:rFonts w:ascii="Times New Roman" w:hAnsi="Times New Roman" w:eastAsia="宋体" w:cs="Times New Roman"/>
          <w:color w:val="auto"/>
          <w:highlight w:val="none"/>
        </w:rPr>
        <w:t>t/a。</w:t>
      </w:r>
    </w:p>
    <w:p>
      <w:pPr>
        <w:widowControl/>
        <w:ind w:firstLine="482"/>
        <w:jc w:val="left"/>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4"/>
          <w:highlight w:val="none"/>
        </w:rPr>
        <w:t>（2）汽车尾气</w:t>
      </w:r>
    </w:p>
    <w:p>
      <w:pPr>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根据《非道路移动源大气污染源排放清单编制技术指南（试行）》，非道路移动机械大气污染物排放量计算公式如下：</w:t>
      </w:r>
    </w:p>
    <w:p>
      <w:pPr>
        <w:ind w:firstLine="480"/>
        <w:jc w:val="center"/>
        <w:rPr>
          <w:rFonts w:ascii="Times New Roman" w:hAnsi="Times New Roman" w:eastAsia="宋体" w:cs="Times New Roman"/>
          <w:color w:val="auto"/>
          <w:szCs w:val="20"/>
          <w:highlight w:val="none"/>
        </w:rPr>
      </w:pPr>
      <w:r>
        <w:rPr>
          <w:rFonts w:ascii="Times New Roman" w:hAnsi="Times New Roman" w:eastAsia="宋体" w:cs="Times New Roman"/>
          <w:color w:val="auto"/>
          <w:highlight w:val="none"/>
        </w:rPr>
        <w:drawing>
          <wp:inline distT="0" distB="0" distL="114300" distR="114300">
            <wp:extent cx="1914525" cy="342900"/>
            <wp:effectExtent l="0" t="0" r="9525" b="0"/>
            <wp:docPr id="43"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8"/>
                    <pic:cNvPicPr>
                      <a:picLocks noChangeAspect="1"/>
                    </pic:cNvPicPr>
                  </pic:nvPicPr>
                  <pic:blipFill>
                    <a:blip r:embed="rId58"/>
                    <a:stretch>
                      <a:fillRect/>
                    </a:stretch>
                  </pic:blipFill>
                  <pic:spPr>
                    <a:xfrm>
                      <a:off x="0" y="0"/>
                      <a:ext cx="1914525" cy="342900"/>
                    </a:xfrm>
                    <a:prstGeom prst="rect">
                      <a:avLst/>
                    </a:prstGeom>
                    <a:noFill/>
                    <a:ln>
                      <a:noFill/>
                    </a:ln>
                  </pic:spPr>
                </pic:pic>
              </a:graphicData>
            </a:graphic>
          </wp:inline>
        </w:drawing>
      </w:r>
    </w:p>
    <w:p>
      <w:pPr>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式中：</w:t>
      </w:r>
    </w:p>
    <w:p>
      <w:pPr>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E 为非道路移动机械的CO、HC、NO</w:t>
      </w:r>
      <w:r>
        <w:rPr>
          <w:rFonts w:ascii="Times New Roman" w:hAnsi="Times New Roman" w:eastAsia="宋体" w:cs="Times New Roman"/>
          <w:color w:val="auto"/>
          <w:szCs w:val="20"/>
          <w:highlight w:val="none"/>
          <w:vertAlign w:val="subscript"/>
        </w:rPr>
        <w:t>x</w:t>
      </w:r>
      <w:r>
        <w:rPr>
          <w:rFonts w:ascii="Times New Roman" w:hAnsi="Times New Roman" w:eastAsia="宋体" w:cs="Times New Roman"/>
          <w:color w:val="auto"/>
          <w:szCs w:val="20"/>
          <w:highlight w:val="none"/>
        </w:rPr>
        <w:t>排放量，单位为t；</w:t>
      </w:r>
    </w:p>
    <w:p>
      <w:pPr>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Y 为燃油消耗量，单位为kg；</w:t>
      </w:r>
    </w:p>
    <w:p>
      <w:pPr>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EF 为排放系数，单位为克/kg燃料。</w:t>
      </w:r>
    </w:p>
    <w:p>
      <w:pPr>
        <w:ind w:firstLine="480"/>
        <w:rPr>
          <w:rFonts w:ascii="Times New Roman" w:hAnsi="Times New Roman" w:eastAsia="宋体" w:cs="Times New Roman"/>
          <w:color w:val="auto"/>
          <w:szCs w:val="24"/>
          <w:highlight w:val="none"/>
        </w:rPr>
      </w:pPr>
      <w:r>
        <w:rPr>
          <w:rFonts w:hint="default" w:ascii="Times New Roman" w:hAnsi="Times New Roman" w:eastAsia="宋体" w:cs="Times New Roman"/>
          <w:color w:val="auto"/>
          <w:szCs w:val="20"/>
          <w:highlight w:val="none"/>
        </w:rPr>
        <w:t>根据《非道路移动源大气污染源排放清单编制技术指南（试行）》表5数据，非道路移动机械CO、HC、NO</w:t>
      </w:r>
      <w:r>
        <w:rPr>
          <w:rFonts w:hint="default" w:ascii="Times New Roman" w:hAnsi="Times New Roman" w:eastAsia="宋体" w:cs="Times New Roman"/>
          <w:color w:val="auto"/>
          <w:szCs w:val="20"/>
          <w:highlight w:val="none"/>
          <w:vertAlign w:val="subscript"/>
        </w:rPr>
        <w:t>x</w:t>
      </w:r>
      <w:r>
        <w:rPr>
          <w:rFonts w:hint="default" w:ascii="Times New Roman" w:hAnsi="Times New Roman" w:eastAsia="宋体" w:cs="Times New Roman"/>
          <w:color w:val="auto"/>
          <w:szCs w:val="20"/>
          <w:highlight w:val="none"/>
        </w:rPr>
        <w:t>的排放系数分别为10.72g/kg、3.39g/kg、32.79g/kg，</w:t>
      </w:r>
      <w:r>
        <w:rPr>
          <w:rFonts w:hint="default" w:ascii="Times New Roman" w:hAnsi="Times New Roman" w:eastAsia="宋体" w:cs="Times New Roman"/>
          <w:color w:val="auto"/>
          <w:szCs w:val="24"/>
          <w:highlight w:val="none"/>
        </w:rPr>
        <w:t>矿山年消耗柴油6t，经计算，污染物的排放量分别为CO：0.064t/a、HC：0.02t/a、</w:t>
      </w:r>
      <w:r>
        <w:rPr>
          <w:rFonts w:hint="default" w:ascii="Times New Roman" w:hAnsi="Times New Roman" w:eastAsia="宋体" w:cs="Times New Roman"/>
          <w:color w:val="auto"/>
          <w:highlight w:val="none"/>
        </w:rPr>
        <w:t>NO</w:t>
      </w:r>
      <w:r>
        <w:rPr>
          <w:rFonts w:hint="default" w:ascii="Times New Roman" w:hAnsi="Times New Roman" w:eastAsia="宋体" w:cs="Times New Roman"/>
          <w:color w:val="auto"/>
          <w:highlight w:val="none"/>
          <w:vertAlign w:val="subscript"/>
        </w:rPr>
        <w:t>x</w:t>
      </w:r>
      <w:r>
        <w:rPr>
          <w:rFonts w:hint="default" w:ascii="Times New Roman" w:hAnsi="Times New Roman" w:eastAsia="宋体" w:cs="Times New Roman"/>
          <w:color w:val="auto"/>
          <w:szCs w:val="24"/>
          <w:highlight w:val="none"/>
        </w:rPr>
        <w:t>：0.197t/a</w:t>
      </w:r>
      <w:r>
        <w:rPr>
          <w:rFonts w:ascii="Times New Roman" w:hAnsi="Times New Roman" w:eastAsia="宋体" w:cs="Times New Roman"/>
          <w:color w:val="auto"/>
          <w:szCs w:val="24"/>
          <w:highlight w:val="none"/>
        </w:rPr>
        <w:t>。</w:t>
      </w:r>
    </w:p>
    <w:p>
      <w:pPr>
        <w:widowControl/>
        <w:ind w:firstLine="482"/>
        <w:jc w:val="left"/>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4"/>
          <w:highlight w:val="none"/>
        </w:rPr>
        <w:t>（</w:t>
      </w:r>
      <w:r>
        <w:rPr>
          <w:rFonts w:hint="eastAsia" w:ascii="Times New Roman" w:hAnsi="Times New Roman" w:eastAsia="宋体" w:cs="Times New Roman"/>
          <w:b/>
          <w:color w:val="auto"/>
          <w:szCs w:val="24"/>
          <w:highlight w:val="none"/>
        </w:rPr>
        <w:t>3</w:t>
      </w:r>
      <w:r>
        <w:rPr>
          <w:rFonts w:ascii="Times New Roman" w:hAnsi="Times New Roman" w:eastAsia="宋体" w:cs="Times New Roman"/>
          <w:b/>
          <w:color w:val="auto"/>
          <w:szCs w:val="24"/>
          <w:highlight w:val="none"/>
        </w:rPr>
        <w:t>）油烟、燃气废气</w:t>
      </w:r>
    </w:p>
    <w:p>
      <w:pPr>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①油烟</w:t>
      </w:r>
    </w:p>
    <w:p>
      <w:pPr>
        <w:ind w:firstLine="480"/>
        <w:rPr>
          <w:rFonts w:ascii="Times New Roman" w:hAnsi="Times New Roman" w:eastAsia="宋体" w:cs="Times New Roman"/>
          <w:bCs/>
          <w:color w:val="auto"/>
          <w:szCs w:val="20"/>
          <w:highlight w:val="none"/>
        </w:rPr>
      </w:pPr>
      <w:r>
        <w:rPr>
          <w:rFonts w:ascii="Times New Roman" w:hAnsi="Times New Roman" w:eastAsia="宋体" w:cs="Times New Roman"/>
          <w:color w:val="auto"/>
          <w:szCs w:val="24"/>
          <w:highlight w:val="none"/>
        </w:rPr>
        <w:t>项目现有职工</w:t>
      </w:r>
      <w:r>
        <w:rPr>
          <w:rFonts w:hint="eastAsia" w:ascii="Times New Roman" w:hAnsi="Times New Roman" w:eastAsia="宋体" w:cs="Times New Roman"/>
          <w:color w:val="auto"/>
          <w:szCs w:val="24"/>
          <w:highlight w:val="none"/>
        </w:rPr>
        <w:t>15</w:t>
      </w:r>
      <w:r>
        <w:rPr>
          <w:rFonts w:ascii="Times New Roman" w:hAnsi="Times New Roman" w:eastAsia="宋体" w:cs="Times New Roman"/>
          <w:color w:val="auto"/>
          <w:szCs w:val="24"/>
          <w:highlight w:val="none"/>
        </w:rPr>
        <w:t>人，</w:t>
      </w:r>
      <w:r>
        <w:rPr>
          <w:rFonts w:ascii="Times New Roman" w:hAnsi="Times New Roman" w:eastAsia="宋体" w:cs="Times New Roman"/>
          <w:bCs/>
          <w:color w:val="auto"/>
          <w:szCs w:val="20"/>
          <w:highlight w:val="none"/>
        </w:rPr>
        <w:t>人均食用油量（三餐）约0.03kg/d，则总耗油量约0.</w:t>
      </w:r>
      <w:r>
        <w:rPr>
          <w:rFonts w:hint="eastAsia" w:ascii="Times New Roman" w:hAnsi="Times New Roman" w:eastAsia="宋体" w:cs="Times New Roman"/>
          <w:bCs/>
          <w:color w:val="auto"/>
          <w:szCs w:val="20"/>
          <w:highlight w:val="none"/>
        </w:rPr>
        <w:t>45</w:t>
      </w:r>
      <w:r>
        <w:rPr>
          <w:rFonts w:ascii="Times New Roman" w:hAnsi="Times New Roman" w:eastAsia="宋体" w:cs="Times New Roman"/>
          <w:bCs/>
          <w:color w:val="auto"/>
          <w:szCs w:val="20"/>
          <w:highlight w:val="none"/>
        </w:rPr>
        <w:t>kg/d，一般油烟挥发量占总耗油量的3%，则油烟产生量约为0.01</w:t>
      </w:r>
      <w:r>
        <w:rPr>
          <w:rFonts w:hint="eastAsia" w:ascii="Times New Roman" w:hAnsi="Times New Roman" w:eastAsia="宋体" w:cs="Times New Roman"/>
          <w:bCs/>
          <w:color w:val="auto"/>
          <w:szCs w:val="20"/>
          <w:highlight w:val="none"/>
        </w:rPr>
        <w:t>35</w:t>
      </w:r>
      <w:r>
        <w:rPr>
          <w:rFonts w:ascii="Times New Roman" w:hAnsi="Times New Roman" w:eastAsia="宋体" w:cs="Times New Roman"/>
          <w:bCs/>
          <w:color w:val="auto"/>
          <w:szCs w:val="20"/>
          <w:highlight w:val="none"/>
        </w:rPr>
        <w:t>kg/d，年营运</w:t>
      </w:r>
      <w:r>
        <w:rPr>
          <w:rFonts w:hint="eastAsia" w:ascii="Times New Roman" w:hAnsi="Times New Roman" w:eastAsia="宋体" w:cs="Times New Roman"/>
          <w:bCs/>
          <w:color w:val="auto"/>
          <w:szCs w:val="20"/>
          <w:highlight w:val="none"/>
        </w:rPr>
        <w:t>30</w:t>
      </w:r>
      <w:r>
        <w:rPr>
          <w:rFonts w:ascii="Times New Roman" w:hAnsi="Times New Roman" w:eastAsia="宋体" w:cs="Times New Roman"/>
          <w:bCs/>
          <w:color w:val="auto"/>
          <w:szCs w:val="20"/>
          <w:highlight w:val="none"/>
        </w:rPr>
        <w:t>0天，油烟排放总量为4.</w:t>
      </w:r>
      <w:r>
        <w:rPr>
          <w:rFonts w:hint="eastAsia" w:ascii="Times New Roman" w:hAnsi="Times New Roman" w:eastAsia="宋体" w:cs="Times New Roman"/>
          <w:bCs/>
          <w:color w:val="auto"/>
          <w:szCs w:val="20"/>
          <w:highlight w:val="none"/>
        </w:rPr>
        <w:t>0</w:t>
      </w:r>
      <w:r>
        <w:rPr>
          <w:rFonts w:ascii="Times New Roman" w:hAnsi="Times New Roman" w:eastAsia="宋体" w:cs="Times New Roman"/>
          <w:bCs/>
          <w:color w:val="auto"/>
          <w:szCs w:val="20"/>
          <w:highlight w:val="none"/>
        </w:rPr>
        <w:t>5kg/a。</w:t>
      </w:r>
    </w:p>
    <w:p>
      <w:pPr>
        <w:widowControl/>
        <w:adjustRightInd w:val="0"/>
        <w:snapToGrid w:val="0"/>
        <w:ind w:firstLine="480"/>
        <w:jc w:val="left"/>
        <w:textAlignment w:val="baseline"/>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②燃气废气</w:t>
      </w:r>
    </w:p>
    <w:p>
      <w:pPr>
        <w:widowControl/>
        <w:adjustRightInd w:val="0"/>
        <w:snapToGrid w:val="0"/>
        <w:ind w:firstLine="480"/>
        <w:textAlignment w:val="baseline"/>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职工厨房燃料使用</w:t>
      </w:r>
      <w:r>
        <w:rPr>
          <w:rFonts w:ascii="Times New Roman" w:hAnsi="Times New Roman" w:eastAsia="宋体" w:cs="Times New Roman"/>
          <w:color w:val="auto"/>
          <w:szCs w:val="20"/>
          <w:highlight w:val="none"/>
          <w:u w:val="single"/>
        </w:rPr>
        <w:t>液化石油气</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lang w:val="en-US" w:eastAsia="zh-CN"/>
        </w:rPr>
        <w:t>其</w:t>
      </w:r>
      <w:r>
        <w:rPr>
          <w:rFonts w:ascii="Times New Roman" w:hAnsi="Times New Roman" w:eastAsia="宋体" w:cs="Times New Roman"/>
          <w:color w:val="auto"/>
          <w:szCs w:val="20"/>
          <w:highlight w:val="none"/>
        </w:rPr>
        <w:t>燃烧产生主要污染物为颗粒物、SO</w:t>
      </w:r>
      <w:r>
        <w:rPr>
          <w:rFonts w:ascii="Times New Roman" w:hAnsi="Times New Roman" w:eastAsia="宋体" w:cs="Times New Roman"/>
          <w:color w:val="auto"/>
          <w:szCs w:val="20"/>
          <w:highlight w:val="none"/>
          <w:vertAlign w:val="subscript"/>
        </w:rPr>
        <w:t>2</w:t>
      </w:r>
      <w:r>
        <w:rPr>
          <w:rFonts w:ascii="Times New Roman" w:hAnsi="Times New Roman" w:eastAsia="宋体" w:cs="Times New Roman"/>
          <w:color w:val="auto"/>
          <w:szCs w:val="20"/>
          <w:highlight w:val="none"/>
        </w:rPr>
        <w:t>、NO</w:t>
      </w:r>
      <w:r>
        <w:rPr>
          <w:rFonts w:ascii="Times New Roman" w:hAnsi="Times New Roman" w:eastAsia="宋体" w:cs="Times New Roman"/>
          <w:color w:val="auto"/>
          <w:szCs w:val="20"/>
          <w:highlight w:val="none"/>
          <w:vertAlign w:val="subscript"/>
        </w:rPr>
        <w:t>x</w:t>
      </w:r>
      <w:r>
        <w:rPr>
          <w:rFonts w:ascii="Times New Roman" w:hAnsi="Times New Roman" w:eastAsia="宋体" w:cs="Times New Roman"/>
          <w:color w:val="auto"/>
          <w:szCs w:val="20"/>
          <w:highlight w:val="none"/>
        </w:rPr>
        <w:t>。</w:t>
      </w:r>
      <w:r>
        <w:rPr>
          <w:rFonts w:ascii="Times New Roman" w:hAnsi="Times New Roman" w:eastAsia="宋体" w:cs="Times New Roman"/>
          <w:color w:val="auto"/>
          <w:szCs w:val="24"/>
          <w:highlight w:val="none"/>
        </w:rPr>
        <w:t>项目现有职工</w:t>
      </w:r>
      <w:r>
        <w:rPr>
          <w:rFonts w:hint="eastAsia" w:ascii="Times New Roman" w:hAnsi="Times New Roman" w:eastAsia="宋体" w:cs="Times New Roman"/>
          <w:color w:val="auto"/>
          <w:szCs w:val="24"/>
          <w:highlight w:val="none"/>
        </w:rPr>
        <w:t>15</w:t>
      </w:r>
      <w:r>
        <w:rPr>
          <w:rFonts w:ascii="Times New Roman" w:hAnsi="Times New Roman" w:eastAsia="宋体" w:cs="Times New Roman"/>
          <w:color w:val="auto"/>
          <w:szCs w:val="24"/>
          <w:highlight w:val="none"/>
        </w:rPr>
        <w:t>人</w:t>
      </w:r>
      <w:r>
        <w:rPr>
          <w:rFonts w:ascii="Times New Roman" w:hAnsi="Times New Roman" w:eastAsia="宋体" w:cs="Times New Roman"/>
          <w:color w:val="auto"/>
          <w:szCs w:val="20"/>
          <w:highlight w:val="none"/>
        </w:rPr>
        <w:t>，平均每人消耗</w:t>
      </w:r>
      <w:r>
        <w:rPr>
          <w:rFonts w:ascii="Times New Roman" w:hAnsi="Times New Roman" w:eastAsia="宋体" w:cs="Times New Roman"/>
          <w:color w:val="auto"/>
          <w:szCs w:val="20"/>
          <w:highlight w:val="none"/>
          <w:u w:val="single"/>
        </w:rPr>
        <w:t>液化石油气</w:t>
      </w:r>
      <w:r>
        <w:rPr>
          <w:rFonts w:ascii="Times New Roman" w:hAnsi="Times New Roman" w:eastAsia="宋体" w:cs="Times New Roman"/>
          <w:color w:val="auto"/>
          <w:szCs w:val="20"/>
          <w:highlight w:val="none"/>
        </w:rPr>
        <w:t>0.2Nm</w:t>
      </w:r>
      <w:r>
        <w:rPr>
          <w:rFonts w:ascii="Times New Roman" w:hAnsi="Times New Roman" w:eastAsia="宋体" w:cs="Times New Roman"/>
          <w:color w:val="auto"/>
          <w:szCs w:val="20"/>
          <w:highlight w:val="none"/>
          <w:vertAlign w:val="superscript"/>
        </w:rPr>
        <w:t>3</w:t>
      </w:r>
      <w:r>
        <w:rPr>
          <w:rFonts w:ascii="Times New Roman" w:hAnsi="Times New Roman" w:eastAsia="宋体" w:cs="Times New Roman"/>
          <w:color w:val="auto"/>
          <w:szCs w:val="20"/>
          <w:highlight w:val="none"/>
        </w:rPr>
        <w:t>/d，总消耗量为</w:t>
      </w:r>
      <w:r>
        <w:rPr>
          <w:rFonts w:hint="eastAsia" w:ascii="Times New Roman" w:hAnsi="Times New Roman" w:eastAsia="宋体" w:cs="Times New Roman"/>
          <w:color w:val="auto"/>
          <w:szCs w:val="20"/>
          <w:highlight w:val="none"/>
        </w:rPr>
        <w:t>3</w:t>
      </w:r>
      <w:r>
        <w:rPr>
          <w:rFonts w:ascii="Times New Roman" w:hAnsi="Times New Roman" w:eastAsia="宋体" w:cs="Times New Roman"/>
          <w:color w:val="auto"/>
          <w:szCs w:val="20"/>
          <w:highlight w:val="none"/>
        </w:rPr>
        <w:t>Nm</w:t>
      </w:r>
      <w:r>
        <w:rPr>
          <w:rFonts w:ascii="Times New Roman" w:hAnsi="Times New Roman" w:eastAsia="宋体" w:cs="Times New Roman"/>
          <w:color w:val="auto"/>
          <w:szCs w:val="20"/>
          <w:highlight w:val="none"/>
          <w:vertAlign w:val="superscript"/>
        </w:rPr>
        <w:t>3</w:t>
      </w:r>
      <w:r>
        <w:rPr>
          <w:rFonts w:ascii="Times New Roman" w:hAnsi="Times New Roman" w:eastAsia="宋体" w:cs="Times New Roman"/>
          <w:color w:val="auto"/>
          <w:szCs w:val="20"/>
          <w:highlight w:val="none"/>
        </w:rPr>
        <w:t>/d。根据《环境影响评价工程师职业资格登记培训系列教材-社会区域》推荐的污染物排放系数，计算职工厨房用</w:t>
      </w:r>
      <w:r>
        <w:rPr>
          <w:rFonts w:ascii="Times New Roman" w:hAnsi="Times New Roman" w:eastAsia="宋体" w:cs="Times New Roman"/>
          <w:color w:val="auto"/>
          <w:szCs w:val="20"/>
          <w:highlight w:val="none"/>
          <w:u w:val="single"/>
        </w:rPr>
        <w:t>液化石油气</w:t>
      </w:r>
      <w:r>
        <w:rPr>
          <w:rFonts w:ascii="Times New Roman" w:hAnsi="Times New Roman" w:eastAsia="宋体" w:cs="Times New Roman"/>
          <w:color w:val="auto"/>
          <w:szCs w:val="20"/>
          <w:highlight w:val="none"/>
        </w:rPr>
        <w:t>排放的各污染物量如表2.</w:t>
      </w:r>
      <w:r>
        <w:rPr>
          <w:rFonts w:hint="eastAsia" w:ascii="Times New Roman" w:hAnsi="Times New Roman" w:eastAsia="宋体" w:cs="Times New Roman"/>
          <w:color w:val="auto"/>
          <w:szCs w:val="20"/>
          <w:highlight w:val="none"/>
        </w:rPr>
        <w:t>2</w:t>
      </w:r>
      <w:r>
        <w:rPr>
          <w:rFonts w:ascii="Times New Roman" w:hAnsi="Times New Roman" w:eastAsia="宋体" w:cs="Times New Roman"/>
          <w:color w:val="auto"/>
          <w:szCs w:val="20"/>
          <w:highlight w:val="none"/>
        </w:rPr>
        <w:t>-</w:t>
      </w:r>
      <w:r>
        <w:rPr>
          <w:rFonts w:hint="eastAsia" w:cs="Times New Roman"/>
          <w:color w:val="auto"/>
          <w:szCs w:val="20"/>
          <w:highlight w:val="none"/>
          <w:lang w:val="en-US" w:eastAsia="zh-CN"/>
        </w:rPr>
        <w:t>9</w:t>
      </w:r>
      <w:r>
        <w:rPr>
          <w:rFonts w:ascii="Times New Roman" w:hAnsi="Times New Roman" w:eastAsia="宋体" w:cs="Times New Roman"/>
          <w:color w:val="auto"/>
          <w:szCs w:val="20"/>
          <w:highlight w:val="none"/>
        </w:rPr>
        <w:t>所示。</w:t>
      </w:r>
    </w:p>
    <w:p>
      <w:pPr>
        <w:adjustRightInd w:val="0"/>
        <w:snapToGrid w:val="0"/>
        <w:spacing w:line="240" w:lineRule="auto"/>
        <w:ind w:firstLine="0" w:firstLineChars="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表2.</w:t>
      </w:r>
      <w:r>
        <w:rPr>
          <w:rFonts w:hint="eastAsia" w:ascii="Times New Roman" w:hAnsi="Times New Roman" w:eastAsia="宋体" w:cs="Times New Roman"/>
          <w:b/>
          <w:color w:val="auto"/>
          <w:szCs w:val="20"/>
          <w:highlight w:val="none"/>
        </w:rPr>
        <w:t>2</w:t>
      </w:r>
      <w:r>
        <w:rPr>
          <w:rFonts w:ascii="Times New Roman" w:hAnsi="Times New Roman" w:eastAsia="宋体" w:cs="Times New Roman"/>
          <w:b/>
          <w:color w:val="auto"/>
          <w:szCs w:val="20"/>
          <w:highlight w:val="none"/>
        </w:rPr>
        <w:t>-</w:t>
      </w:r>
      <w:r>
        <w:rPr>
          <w:rFonts w:hint="eastAsia" w:cs="Times New Roman"/>
          <w:b/>
          <w:color w:val="auto"/>
          <w:szCs w:val="20"/>
          <w:highlight w:val="none"/>
          <w:lang w:val="en-US" w:eastAsia="zh-CN"/>
        </w:rPr>
        <w:t>9</w:t>
      </w:r>
      <w:r>
        <w:rPr>
          <w:rFonts w:ascii="Times New Roman" w:hAnsi="Times New Roman" w:eastAsia="宋体" w:cs="Times New Roman"/>
          <w:b/>
          <w:color w:val="auto"/>
          <w:szCs w:val="20"/>
          <w:highlight w:val="none"/>
        </w:rPr>
        <w:t xml:space="preserve"> 厨房用</w:t>
      </w:r>
      <w:r>
        <w:rPr>
          <w:rFonts w:ascii="Times New Roman" w:hAnsi="Times New Roman" w:eastAsia="宋体" w:cs="Times New Roman"/>
          <w:b/>
          <w:bCs/>
          <w:color w:val="auto"/>
          <w:szCs w:val="20"/>
          <w:highlight w:val="none"/>
          <w:u w:val="single"/>
        </w:rPr>
        <w:t>液化石油气</w:t>
      </w:r>
      <w:r>
        <w:rPr>
          <w:rFonts w:ascii="Times New Roman" w:hAnsi="Times New Roman" w:eastAsia="宋体" w:cs="Times New Roman"/>
          <w:b/>
          <w:color w:val="auto"/>
          <w:szCs w:val="20"/>
          <w:highlight w:val="none"/>
        </w:rPr>
        <w:t>主要污染物排放量</w:t>
      </w:r>
    </w:p>
    <w:tbl>
      <w:tblPr>
        <w:tblStyle w:val="48"/>
        <w:tblW w:w="9093"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4340"/>
        <w:gridCol w:w="1694"/>
        <w:gridCol w:w="1609"/>
        <w:gridCol w:w="1450"/>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4340"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项目</w:t>
            </w:r>
          </w:p>
        </w:tc>
        <w:tc>
          <w:tcPr>
            <w:tcW w:w="1694"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颗粒物</w:t>
            </w:r>
          </w:p>
        </w:tc>
        <w:tc>
          <w:tcPr>
            <w:tcW w:w="1609"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SO</w:t>
            </w:r>
            <w:r>
              <w:rPr>
                <w:rFonts w:ascii="Times New Roman" w:hAnsi="Times New Roman" w:eastAsia="宋体" w:cs="Times New Roman"/>
                <w:b/>
                <w:color w:val="auto"/>
                <w:sz w:val="21"/>
                <w:highlight w:val="none"/>
                <w:vertAlign w:val="subscript"/>
              </w:rPr>
              <w:t>2</w:t>
            </w:r>
          </w:p>
        </w:tc>
        <w:tc>
          <w:tcPr>
            <w:tcW w:w="1450"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NO</w:t>
            </w:r>
            <w:r>
              <w:rPr>
                <w:rFonts w:ascii="Times New Roman" w:hAnsi="Times New Roman" w:eastAsia="宋体" w:cs="Times New Roman"/>
                <w:b/>
                <w:color w:val="auto"/>
                <w:sz w:val="21"/>
                <w:highlight w:val="none"/>
                <w:vertAlign w:val="subscript"/>
              </w:rPr>
              <w:t>x</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4340" w:type="dxa"/>
            <w:noWrap w:val="0"/>
            <w:vAlign w:val="center"/>
          </w:tcPr>
          <w:p>
            <w:pPr>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排放系数：kg/1×10</w:t>
            </w:r>
            <w:r>
              <w:rPr>
                <w:rFonts w:ascii="Times New Roman" w:hAnsi="Times New Roman" w:eastAsia="宋体" w:cs="Times New Roman"/>
                <w:bCs/>
                <w:color w:val="auto"/>
                <w:sz w:val="21"/>
                <w:highlight w:val="none"/>
                <w:vertAlign w:val="superscript"/>
              </w:rPr>
              <w:t>3</w:t>
            </w:r>
            <w:r>
              <w:rPr>
                <w:rFonts w:ascii="Times New Roman" w:hAnsi="Times New Roman" w:eastAsia="宋体" w:cs="Times New Roman"/>
                <w:bCs/>
                <w:color w:val="auto"/>
                <w:sz w:val="21"/>
                <w:highlight w:val="none"/>
              </w:rPr>
              <w:t>Nm</w:t>
            </w:r>
            <w:r>
              <w:rPr>
                <w:rFonts w:ascii="Times New Roman" w:hAnsi="Times New Roman" w:eastAsia="宋体" w:cs="Times New Roman"/>
                <w:bCs/>
                <w:color w:val="auto"/>
                <w:sz w:val="21"/>
                <w:highlight w:val="none"/>
                <w:vertAlign w:val="superscript"/>
              </w:rPr>
              <w:t>3</w:t>
            </w:r>
            <w:r>
              <w:rPr>
                <w:rFonts w:ascii="Times New Roman" w:hAnsi="Times New Roman" w:eastAsia="宋体" w:cs="Times New Roman"/>
                <w:bCs/>
                <w:color w:val="auto"/>
                <w:sz w:val="21"/>
                <w:highlight w:val="none"/>
              </w:rPr>
              <w:t>燃料</w:t>
            </w:r>
          </w:p>
        </w:tc>
        <w:tc>
          <w:tcPr>
            <w:tcW w:w="169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0.14</w:t>
            </w:r>
          </w:p>
        </w:tc>
        <w:tc>
          <w:tcPr>
            <w:tcW w:w="160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0.18</w:t>
            </w:r>
          </w:p>
        </w:tc>
        <w:tc>
          <w:tcPr>
            <w:tcW w:w="14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1.76</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4340" w:type="dxa"/>
            <w:noWrap w:val="0"/>
            <w:vAlign w:val="center"/>
          </w:tcPr>
          <w:p>
            <w:pPr>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日排放量：（kg/d）</w:t>
            </w:r>
          </w:p>
        </w:tc>
        <w:tc>
          <w:tcPr>
            <w:tcW w:w="1694"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0.000</w:t>
            </w:r>
            <w:r>
              <w:rPr>
                <w:rFonts w:hint="eastAsia" w:ascii="Times New Roman" w:hAnsi="Times New Roman" w:eastAsia="宋体" w:cs="Times New Roman"/>
                <w:color w:val="auto"/>
                <w:sz w:val="21"/>
                <w:highlight w:val="none"/>
              </w:rPr>
              <w:t>42</w:t>
            </w:r>
          </w:p>
        </w:tc>
        <w:tc>
          <w:tcPr>
            <w:tcW w:w="160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0.000</w:t>
            </w:r>
            <w:r>
              <w:rPr>
                <w:rFonts w:hint="eastAsia" w:ascii="Times New Roman" w:hAnsi="Times New Roman" w:eastAsia="宋体" w:cs="Times New Roman"/>
                <w:color w:val="auto"/>
                <w:sz w:val="21"/>
                <w:highlight w:val="none"/>
              </w:rPr>
              <w:t>54</w:t>
            </w:r>
          </w:p>
        </w:tc>
        <w:tc>
          <w:tcPr>
            <w:tcW w:w="14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w:t>
            </w:r>
            <w:r>
              <w:rPr>
                <w:rFonts w:hint="eastAsia" w:ascii="Times New Roman" w:hAnsi="Times New Roman" w:eastAsia="宋体" w:cs="Times New Roman"/>
                <w:color w:val="auto"/>
                <w:sz w:val="21"/>
                <w:highlight w:val="none"/>
              </w:rPr>
              <w:t>528</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4340" w:type="dxa"/>
            <w:noWrap w:val="0"/>
            <w:vAlign w:val="center"/>
          </w:tcPr>
          <w:p>
            <w:pPr>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运营期总排放量：（kg/a）</w:t>
            </w:r>
          </w:p>
        </w:tc>
        <w:tc>
          <w:tcPr>
            <w:tcW w:w="169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w:t>
            </w:r>
            <w:r>
              <w:rPr>
                <w:rFonts w:hint="eastAsia" w:ascii="Times New Roman" w:hAnsi="Times New Roman" w:eastAsia="宋体" w:cs="Times New Roman"/>
                <w:color w:val="auto"/>
                <w:sz w:val="21"/>
                <w:highlight w:val="none"/>
              </w:rPr>
              <w:t>26</w:t>
            </w:r>
          </w:p>
        </w:tc>
        <w:tc>
          <w:tcPr>
            <w:tcW w:w="160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w:t>
            </w:r>
            <w:r>
              <w:rPr>
                <w:rFonts w:hint="eastAsia" w:ascii="Times New Roman" w:hAnsi="Times New Roman" w:eastAsia="宋体" w:cs="Times New Roman"/>
                <w:color w:val="auto"/>
                <w:sz w:val="21"/>
                <w:highlight w:val="none"/>
              </w:rPr>
              <w:t>62</w:t>
            </w:r>
          </w:p>
        </w:tc>
        <w:tc>
          <w:tcPr>
            <w:tcW w:w="14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584</w:t>
            </w:r>
          </w:p>
        </w:tc>
      </w:tr>
    </w:tbl>
    <w:p>
      <w:pPr>
        <w:ind w:firstLine="482"/>
        <w:rPr>
          <w:rFonts w:ascii="Times New Roman" w:hAnsi="Times New Roman" w:eastAsia="宋体" w:cs="Times New Roman"/>
          <w:b/>
          <w:bCs/>
          <w:color w:val="auto"/>
          <w:szCs w:val="24"/>
          <w:highlight w:val="none"/>
        </w:rPr>
      </w:pPr>
      <w:r>
        <w:rPr>
          <w:rFonts w:ascii="Times New Roman" w:hAnsi="Times New Roman" w:eastAsia="宋体" w:cs="Times New Roman"/>
          <w:b/>
          <w:bCs/>
          <w:color w:val="auto"/>
          <w:szCs w:val="24"/>
          <w:highlight w:val="none"/>
        </w:rPr>
        <w:t>2</w:t>
      </w:r>
      <w:r>
        <w:rPr>
          <w:rFonts w:hint="eastAsia" w:cs="Times New Roman"/>
          <w:b/>
          <w:bCs/>
          <w:color w:val="auto"/>
          <w:szCs w:val="24"/>
          <w:highlight w:val="none"/>
          <w:lang w:val="en-US" w:eastAsia="zh-CN"/>
        </w:rPr>
        <w:t>.</w:t>
      </w:r>
      <w:r>
        <w:rPr>
          <w:rFonts w:ascii="Times New Roman" w:hAnsi="Times New Roman" w:eastAsia="宋体" w:cs="Times New Roman"/>
          <w:b/>
          <w:bCs/>
          <w:color w:val="auto"/>
          <w:szCs w:val="24"/>
          <w:highlight w:val="none"/>
        </w:rPr>
        <w:t>水污染源</w:t>
      </w:r>
    </w:p>
    <w:p>
      <w:pPr>
        <w:ind w:firstLine="472"/>
        <w:rPr>
          <w:rFonts w:ascii="Times New Roman" w:hAnsi="Times New Roman" w:eastAsia="宋体" w:cs="Times New Roman"/>
          <w:color w:val="auto"/>
          <w:spacing w:val="-2"/>
          <w:kern w:val="0"/>
          <w:szCs w:val="24"/>
          <w:highlight w:val="none"/>
        </w:rPr>
      </w:pPr>
      <w:r>
        <w:rPr>
          <w:rFonts w:ascii="Times New Roman" w:hAnsi="Times New Roman" w:eastAsia="宋体" w:cs="Times New Roman"/>
          <w:color w:val="auto"/>
          <w:spacing w:val="-2"/>
          <w:kern w:val="0"/>
          <w:szCs w:val="24"/>
          <w:highlight w:val="none"/>
        </w:rPr>
        <w:t>（1）生产废水</w:t>
      </w:r>
    </w:p>
    <w:p>
      <w:pPr>
        <w:ind w:left="480" w:firstLine="0" w:firstLineChars="0"/>
        <w:rPr>
          <w:rFonts w:ascii="Times New Roman" w:hAnsi="Times New Roman" w:eastAsia="宋体" w:cs="Times New Roman"/>
          <w:color w:val="auto"/>
          <w:spacing w:val="-2"/>
          <w:kern w:val="0"/>
          <w:szCs w:val="24"/>
          <w:highlight w:val="none"/>
        </w:rPr>
      </w:pPr>
      <w:r>
        <w:rPr>
          <w:rFonts w:hint="eastAsia" w:ascii="Times New Roman" w:hAnsi="Times New Roman" w:eastAsia="宋体" w:cs="Times New Roman"/>
          <w:color w:val="auto"/>
          <w:spacing w:val="-2"/>
          <w:kern w:val="0"/>
          <w:szCs w:val="24"/>
          <w:highlight w:val="none"/>
        </w:rPr>
        <w:t>矿山</w:t>
      </w:r>
      <w:r>
        <w:rPr>
          <w:rFonts w:ascii="Times New Roman" w:hAnsi="Times New Roman" w:eastAsia="宋体" w:cs="Times New Roman"/>
          <w:color w:val="auto"/>
          <w:spacing w:val="-2"/>
          <w:kern w:val="0"/>
          <w:szCs w:val="24"/>
          <w:highlight w:val="none"/>
        </w:rPr>
        <w:t>生产过程中用水单元主要为凿岩钻孔</w:t>
      </w:r>
      <w:r>
        <w:rPr>
          <w:rFonts w:hint="eastAsia" w:ascii="Times New Roman" w:hAnsi="Times New Roman" w:eastAsia="宋体" w:cs="Times New Roman"/>
          <w:color w:val="auto"/>
          <w:spacing w:val="-2"/>
          <w:kern w:val="0"/>
          <w:szCs w:val="24"/>
          <w:highlight w:val="none"/>
        </w:rPr>
        <w:t>和洗砂</w:t>
      </w:r>
      <w:r>
        <w:rPr>
          <w:rFonts w:ascii="Times New Roman" w:hAnsi="Times New Roman" w:eastAsia="宋体" w:cs="Times New Roman"/>
          <w:color w:val="auto"/>
          <w:spacing w:val="-2"/>
          <w:kern w:val="0"/>
          <w:szCs w:val="24"/>
          <w:highlight w:val="none"/>
        </w:rPr>
        <w:t>用水。</w:t>
      </w:r>
    </w:p>
    <w:p>
      <w:pPr>
        <w:ind w:firstLine="472"/>
        <w:rPr>
          <w:rFonts w:ascii="Times New Roman" w:hAnsi="Times New Roman" w:eastAsia="宋体" w:cs="Times New Roman"/>
          <w:color w:val="auto"/>
          <w:spacing w:val="-2"/>
          <w:kern w:val="0"/>
          <w:szCs w:val="24"/>
          <w:highlight w:val="none"/>
        </w:rPr>
      </w:pPr>
      <w:r>
        <w:rPr>
          <w:rFonts w:ascii="Times New Roman" w:hAnsi="Times New Roman" w:eastAsia="宋体" w:cs="Times New Roman"/>
          <w:color w:val="auto"/>
          <w:spacing w:val="-2"/>
          <w:kern w:val="0"/>
          <w:szCs w:val="24"/>
          <w:highlight w:val="none"/>
        </w:rPr>
        <w:t>凿岩降尘用水按0.001m</w:t>
      </w:r>
      <w:r>
        <w:rPr>
          <w:rFonts w:ascii="Times New Roman" w:hAnsi="Times New Roman" w:eastAsia="宋体" w:cs="Times New Roman"/>
          <w:color w:val="auto"/>
          <w:spacing w:val="-2"/>
          <w:kern w:val="0"/>
          <w:szCs w:val="24"/>
          <w:highlight w:val="none"/>
          <w:vertAlign w:val="superscript"/>
        </w:rPr>
        <w:t>3</w:t>
      </w:r>
      <w:r>
        <w:rPr>
          <w:rFonts w:ascii="Times New Roman" w:hAnsi="Times New Roman" w:eastAsia="宋体" w:cs="Times New Roman"/>
          <w:color w:val="auto"/>
          <w:spacing w:val="-2"/>
          <w:kern w:val="0"/>
          <w:szCs w:val="24"/>
          <w:highlight w:val="none"/>
        </w:rPr>
        <w:t>/t矿石计，</w:t>
      </w:r>
      <w:r>
        <w:rPr>
          <w:rFonts w:hint="eastAsia" w:ascii="Times New Roman" w:hAnsi="Times New Roman" w:eastAsia="宋体" w:cs="Times New Roman"/>
          <w:color w:val="auto"/>
          <w:spacing w:val="-2"/>
          <w:kern w:val="0"/>
          <w:szCs w:val="24"/>
          <w:highlight w:val="none"/>
        </w:rPr>
        <w:t>项目</w:t>
      </w:r>
      <w:r>
        <w:rPr>
          <w:rFonts w:ascii="Times New Roman" w:hAnsi="Times New Roman" w:eastAsia="宋体" w:cs="Times New Roman"/>
          <w:color w:val="auto"/>
          <w:spacing w:val="-2"/>
          <w:kern w:val="0"/>
          <w:szCs w:val="24"/>
          <w:highlight w:val="none"/>
        </w:rPr>
        <w:t>开采矿石</w:t>
      </w:r>
      <w:r>
        <w:rPr>
          <w:rFonts w:hint="eastAsia" w:ascii="Times New Roman" w:hAnsi="Times New Roman" w:eastAsia="宋体" w:cs="Times New Roman"/>
          <w:color w:val="auto"/>
          <w:spacing w:val="-2"/>
          <w:kern w:val="0"/>
          <w:szCs w:val="24"/>
          <w:highlight w:val="none"/>
        </w:rPr>
        <w:t>5万t/a</w:t>
      </w:r>
      <w:r>
        <w:rPr>
          <w:rFonts w:ascii="Times New Roman" w:hAnsi="Times New Roman" w:eastAsia="宋体" w:cs="Times New Roman"/>
          <w:color w:val="auto"/>
          <w:spacing w:val="-2"/>
          <w:kern w:val="0"/>
          <w:szCs w:val="24"/>
          <w:highlight w:val="none"/>
        </w:rPr>
        <w:t>，则采场除尘用水量</w:t>
      </w:r>
      <w:r>
        <w:rPr>
          <w:rFonts w:hint="eastAsia" w:ascii="Times New Roman" w:hAnsi="Times New Roman" w:eastAsia="宋体" w:cs="Times New Roman"/>
          <w:color w:val="auto"/>
          <w:spacing w:val="-2"/>
          <w:kern w:val="0"/>
          <w:szCs w:val="24"/>
          <w:highlight w:val="none"/>
        </w:rPr>
        <w:t>5</w:t>
      </w:r>
      <w:r>
        <w:rPr>
          <w:rFonts w:ascii="Times New Roman" w:hAnsi="Times New Roman" w:eastAsia="宋体" w:cs="Times New Roman"/>
          <w:color w:val="auto"/>
          <w:spacing w:val="-2"/>
          <w:kern w:val="0"/>
          <w:szCs w:val="24"/>
          <w:highlight w:val="none"/>
        </w:rPr>
        <w:t>0m</w:t>
      </w:r>
      <w:r>
        <w:rPr>
          <w:rFonts w:ascii="Times New Roman" w:hAnsi="Times New Roman" w:eastAsia="宋体" w:cs="Times New Roman"/>
          <w:color w:val="auto"/>
          <w:spacing w:val="-2"/>
          <w:kern w:val="0"/>
          <w:szCs w:val="24"/>
          <w:highlight w:val="none"/>
          <w:vertAlign w:val="superscript"/>
        </w:rPr>
        <w:t>3</w:t>
      </w:r>
      <w:r>
        <w:rPr>
          <w:rFonts w:ascii="Times New Roman" w:hAnsi="Times New Roman" w:eastAsia="宋体" w:cs="Times New Roman"/>
          <w:color w:val="auto"/>
          <w:spacing w:val="-2"/>
          <w:kern w:val="0"/>
          <w:szCs w:val="24"/>
          <w:highlight w:val="none"/>
        </w:rPr>
        <w:t>/a，这部分水将全部蒸发或渗透入矿石</w:t>
      </w:r>
      <w:r>
        <w:rPr>
          <w:rFonts w:hint="eastAsia" w:ascii="Times New Roman" w:hAnsi="Times New Roman" w:eastAsia="宋体" w:cs="Times New Roman"/>
          <w:color w:val="auto"/>
          <w:spacing w:val="-2"/>
          <w:kern w:val="0"/>
          <w:szCs w:val="24"/>
          <w:highlight w:val="none"/>
        </w:rPr>
        <w:t>堆</w:t>
      </w:r>
      <w:r>
        <w:rPr>
          <w:rFonts w:ascii="Times New Roman" w:hAnsi="Times New Roman" w:eastAsia="宋体" w:cs="Times New Roman"/>
          <w:color w:val="auto"/>
          <w:spacing w:val="-2"/>
          <w:kern w:val="0"/>
          <w:szCs w:val="24"/>
          <w:highlight w:val="none"/>
        </w:rPr>
        <w:t>中。</w:t>
      </w:r>
    </w:p>
    <w:p>
      <w:pPr>
        <w:ind w:firstLine="472"/>
        <w:rPr>
          <w:rFonts w:ascii="Times New Roman" w:hAnsi="Times New Roman" w:eastAsia="宋体" w:cs="Times New Roman"/>
          <w:color w:val="auto"/>
          <w:spacing w:val="-2"/>
          <w:kern w:val="0"/>
          <w:szCs w:val="24"/>
          <w:highlight w:val="none"/>
        </w:rPr>
      </w:pPr>
      <w:r>
        <w:rPr>
          <w:rFonts w:hint="eastAsia" w:ascii="Times New Roman" w:hAnsi="Times New Roman" w:eastAsia="宋体" w:cs="Times New Roman"/>
          <w:color w:val="auto"/>
          <w:spacing w:val="-2"/>
          <w:kern w:val="0"/>
          <w:szCs w:val="24"/>
          <w:highlight w:val="none"/>
        </w:rPr>
        <w:t>石粉产品含有少量泥渣，需经过洗砂工序除去泥渣，根据建设单位提供资料，</w:t>
      </w:r>
      <w:r>
        <w:rPr>
          <w:rFonts w:hint="eastAsia" w:ascii="Times New Roman" w:hAnsi="Times New Roman" w:eastAsia="宋体"/>
          <w:color w:val="auto"/>
          <w:highlight w:val="none"/>
        </w:rPr>
        <w:t>洗砂用水量50m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/d（15000m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/a），</w:t>
      </w:r>
      <w:r>
        <w:rPr>
          <w:rFonts w:ascii="Times New Roman" w:hAnsi="Times New Roman" w:eastAsia="宋体" w:cs="Times New Roman"/>
          <w:color w:val="auto"/>
          <w:highlight w:val="none"/>
        </w:rPr>
        <w:t>其中新鲜用水</w:t>
      </w:r>
      <w:r>
        <w:rPr>
          <w:rFonts w:hint="eastAsia" w:ascii="Times New Roman" w:hAnsi="Times New Roman" w:eastAsia="宋体" w:cs="Times New Roman"/>
          <w:color w:val="auto"/>
          <w:highlight w:val="none"/>
        </w:rPr>
        <w:t>2.5</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/d（</w:t>
      </w:r>
      <w:r>
        <w:rPr>
          <w:rFonts w:hint="eastAsia" w:ascii="Times New Roman" w:hAnsi="Times New Roman" w:eastAsia="宋体" w:cs="Times New Roman"/>
          <w:color w:val="auto"/>
          <w:highlight w:val="none"/>
        </w:rPr>
        <w:t>75</w:t>
      </w:r>
      <w:r>
        <w:rPr>
          <w:rFonts w:ascii="Times New Roman" w:hAnsi="Times New Roman" w:eastAsia="宋体" w:cs="Times New Roman"/>
          <w:color w:val="auto"/>
          <w:highlight w:val="none"/>
        </w:rPr>
        <w:t>0m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/a），循环用水</w:t>
      </w:r>
      <w:r>
        <w:rPr>
          <w:rFonts w:hint="eastAsia" w:ascii="Times New Roman" w:hAnsi="Times New Roman" w:eastAsia="宋体" w:cs="Times New Roman"/>
          <w:color w:val="auto"/>
          <w:highlight w:val="none"/>
        </w:rPr>
        <w:t>47.5</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/d（</w:t>
      </w:r>
      <w:r>
        <w:rPr>
          <w:rFonts w:hint="eastAsia" w:ascii="Times New Roman" w:hAnsi="Times New Roman" w:eastAsia="宋体" w:cs="Times New Roman"/>
          <w:color w:val="auto"/>
          <w:highlight w:val="none"/>
        </w:rPr>
        <w:t>14250</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/a）</w:t>
      </w:r>
      <w:r>
        <w:rPr>
          <w:rFonts w:hint="eastAsia" w:ascii="Times New Roman" w:hAnsi="Times New Roman" w:eastAsia="宋体" w:cs="Times New Roman"/>
          <w:color w:val="auto"/>
          <w:highlight w:val="none"/>
        </w:rPr>
        <w:t>，废水中主要污染物为SS，浓度约2000mg/L，废水经沉淀后循环使用</w:t>
      </w:r>
      <w:r>
        <w:rPr>
          <w:rFonts w:ascii="Times New Roman" w:hAnsi="Times New Roman" w:eastAsia="宋体" w:cs="Times New Roman"/>
          <w:color w:val="auto"/>
          <w:highlight w:val="none"/>
        </w:rPr>
        <w:t>。</w:t>
      </w:r>
    </w:p>
    <w:p>
      <w:pPr>
        <w:bidi w:val="0"/>
        <w:rPr>
          <w:highlight w:val="none"/>
        </w:rPr>
      </w:pPr>
      <w:r>
        <w:rPr>
          <w:highlight w:val="none"/>
        </w:rPr>
        <w:t>（2）生活污水</w:t>
      </w:r>
    </w:p>
    <w:p>
      <w:pPr>
        <w:bidi w:val="0"/>
        <w:rPr>
          <w:rFonts w:ascii="Times New Roman" w:hAnsi="Times New Roman" w:eastAsia="宋体" w:cs="Times New Roman"/>
          <w:color w:val="auto"/>
          <w:szCs w:val="24"/>
          <w:highlight w:val="none"/>
        </w:rPr>
      </w:pPr>
      <w:r>
        <w:rPr>
          <w:rFonts w:ascii="Times New Roman" w:hAnsi="Times New Roman" w:eastAsia="宋体" w:cs="Times New Roman"/>
          <w:bCs/>
          <w:color w:val="auto"/>
          <w:szCs w:val="24"/>
          <w:highlight w:val="none"/>
        </w:rPr>
        <w:t>项目现有职工</w:t>
      </w:r>
      <w:r>
        <w:rPr>
          <w:rFonts w:hint="eastAsia" w:ascii="Times New Roman" w:hAnsi="Times New Roman" w:eastAsia="宋体" w:cs="Times New Roman"/>
          <w:bCs/>
          <w:color w:val="auto"/>
          <w:szCs w:val="24"/>
          <w:highlight w:val="none"/>
        </w:rPr>
        <w:t>15</w:t>
      </w:r>
      <w:r>
        <w:rPr>
          <w:rFonts w:ascii="Times New Roman" w:hAnsi="Times New Roman" w:eastAsia="宋体" w:cs="Times New Roman"/>
          <w:bCs/>
          <w:color w:val="auto"/>
          <w:szCs w:val="24"/>
          <w:highlight w:val="none"/>
        </w:rPr>
        <w:t>人，</w:t>
      </w:r>
      <w:r>
        <w:rPr>
          <w:rFonts w:ascii="Times New Roman" w:hAnsi="Times New Roman" w:eastAsia="宋体" w:cs="Times New Roman"/>
          <w:color w:val="auto"/>
          <w:szCs w:val="24"/>
          <w:highlight w:val="none"/>
        </w:rPr>
        <w:t>全部在厂内食宿，项目年运行</w:t>
      </w:r>
      <w:r>
        <w:rPr>
          <w:rFonts w:hint="eastAsia" w:ascii="Times New Roman" w:hAnsi="Times New Roman" w:eastAsia="宋体" w:cs="Times New Roman"/>
          <w:color w:val="auto"/>
          <w:szCs w:val="24"/>
          <w:highlight w:val="none"/>
        </w:rPr>
        <w:t>30</w:t>
      </w:r>
      <w:r>
        <w:rPr>
          <w:rFonts w:ascii="Times New Roman" w:hAnsi="Times New Roman" w:eastAsia="宋体" w:cs="Times New Roman"/>
          <w:color w:val="auto"/>
          <w:szCs w:val="24"/>
          <w:highlight w:val="none"/>
        </w:rPr>
        <w:t>0天。根据《城镇生活用水定额》（DB45/T 679-2017）中的用水定额标准，城镇居民食宿</w:t>
      </w:r>
      <w:r>
        <w:rPr>
          <w:rFonts w:ascii="Times New Roman" w:hAnsi="Times New Roman" w:eastAsia="宋体" w:cs="Times New Roman"/>
          <w:bCs/>
          <w:color w:val="auto"/>
          <w:szCs w:val="24"/>
          <w:highlight w:val="none"/>
        </w:rPr>
        <w:t>用水定额为150 L/人·d，</w:t>
      </w:r>
      <w:r>
        <w:rPr>
          <w:rFonts w:ascii="Times New Roman" w:hAnsi="Times New Roman" w:eastAsia="宋体" w:cs="Times New Roman"/>
          <w:color w:val="auto"/>
          <w:szCs w:val="24"/>
          <w:highlight w:val="none"/>
        </w:rPr>
        <w:t>厨房用水量按25L/人·d计，则生活用水量</w:t>
      </w:r>
      <w:r>
        <w:rPr>
          <w:rFonts w:hint="eastAsia" w:ascii="Times New Roman" w:hAnsi="Times New Roman" w:eastAsia="宋体" w:cs="Times New Roman"/>
          <w:color w:val="auto"/>
          <w:szCs w:val="24"/>
          <w:highlight w:val="none"/>
        </w:rPr>
        <w:t>675</w:t>
      </w:r>
      <w:r>
        <w:rPr>
          <w:rFonts w:ascii="Times New Roman" w:hAnsi="Times New Roman" w:eastAsia="宋体" w:cs="Times New Roman"/>
          <w:bCs/>
          <w:color w:val="auto"/>
          <w:szCs w:val="20"/>
          <w:highlight w:val="none"/>
        </w:rPr>
        <w:t>m</w:t>
      </w:r>
      <w:r>
        <w:rPr>
          <w:rFonts w:ascii="Times New Roman" w:hAnsi="Times New Roman" w:eastAsia="宋体" w:cs="Times New Roman"/>
          <w:bCs/>
          <w:color w:val="auto"/>
          <w:szCs w:val="20"/>
          <w:highlight w:val="none"/>
          <w:vertAlign w:val="superscript"/>
        </w:rPr>
        <w:t>3</w:t>
      </w:r>
      <w:r>
        <w:rPr>
          <w:rFonts w:ascii="Times New Roman" w:hAnsi="Times New Roman" w:eastAsia="宋体" w:cs="Times New Roman"/>
          <w:bCs/>
          <w:color w:val="auto"/>
          <w:szCs w:val="20"/>
          <w:highlight w:val="none"/>
        </w:rPr>
        <w:t>/a，</w:t>
      </w:r>
      <w:r>
        <w:rPr>
          <w:rFonts w:ascii="Times New Roman" w:hAnsi="Times New Roman" w:eastAsia="宋体" w:cs="Times New Roman"/>
          <w:color w:val="auto"/>
          <w:szCs w:val="24"/>
          <w:highlight w:val="none"/>
        </w:rPr>
        <w:t>厨房用水量1</w:t>
      </w:r>
      <w:r>
        <w:rPr>
          <w:rFonts w:hint="eastAsia" w:ascii="Times New Roman" w:hAnsi="Times New Roman" w:eastAsia="宋体" w:cs="Times New Roman"/>
          <w:color w:val="auto"/>
          <w:szCs w:val="24"/>
          <w:highlight w:val="none"/>
        </w:rPr>
        <w:t>1</w:t>
      </w:r>
      <w:r>
        <w:rPr>
          <w:rFonts w:ascii="Times New Roman" w:hAnsi="Times New Roman" w:eastAsia="宋体" w:cs="Times New Roman"/>
          <w:color w:val="auto"/>
          <w:szCs w:val="24"/>
          <w:highlight w:val="none"/>
        </w:rPr>
        <w:t>2</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5</w:t>
      </w:r>
      <w:r>
        <w:rPr>
          <w:rFonts w:ascii="Times New Roman" w:hAnsi="Times New Roman" w:eastAsia="宋体" w:cs="Times New Roman"/>
          <w:bCs/>
          <w:color w:val="auto"/>
          <w:szCs w:val="20"/>
          <w:highlight w:val="none"/>
        </w:rPr>
        <w:t>m</w:t>
      </w:r>
      <w:r>
        <w:rPr>
          <w:rFonts w:ascii="Times New Roman" w:hAnsi="Times New Roman" w:eastAsia="宋体" w:cs="Times New Roman"/>
          <w:bCs/>
          <w:color w:val="auto"/>
          <w:szCs w:val="20"/>
          <w:highlight w:val="none"/>
          <w:vertAlign w:val="superscript"/>
        </w:rPr>
        <w:t>3</w:t>
      </w:r>
      <w:r>
        <w:rPr>
          <w:rFonts w:ascii="Times New Roman" w:hAnsi="Times New Roman" w:eastAsia="宋体" w:cs="Times New Roman"/>
          <w:bCs/>
          <w:color w:val="auto"/>
          <w:szCs w:val="20"/>
          <w:highlight w:val="none"/>
        </w:rPr>
        <w:t>/a，</w:t>
      </w:r>
      <w:r>
        <w:rPr>
          <w:rFonts w:ascii="Times New Roman" w:hAnsi="Times New Roman" w:eastAsia="宋体" w:cs="Times New Roman"/>
          <w:color w:val="auto"/>
          <w:szCs w:val="24"/>
          <w:highlight w:val="none"/>
        </w:rPr>
        <w:t>总用水量</w:t>
      </w:r>
      <w:r>
        <w:rPr>
          <w:rFonts w:hint="eastAsia" w:ascii="Times New Roman" w:hAnsi="Times New Roman" w:eastAsia="宋体" w:cs="Times New Roman"/>
          <w:color w:val="auto"/>
          <w:szCs w:val="24"/>
          <w:highlight w:val="none"/>
        </w:rPr>
        <w:t>7</w:t>
      </w:r>
      <w:r>
        <w:rPr>
          <w:rFonts w:ascii="Times New Roman" w:hAnsi="Times New Roman" w:eastAsia="宋体" w:cs="Times New Roman"/>
          <w:color w:val="auto"/>
          <w:szCs w:val="24"/>
          <w:highlight w:val="none"/>
        </w:rPr>
        <w:t>87</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5</w:t>
      </w:r>
      <w:r>
        <w:rPr>
          <w:rFonts w:ascii="Times New Roman" w:hAnsi="Times New Roman" w:eastAsia="宋体" w:cs="Times New Roman"/>
          <w:bCs/>
          <w:color w:val="auto"/>
          <w:szCs w:val="20"/>
          <w:highlight w:val="none"/>
        </w:rPr>
        <w:t>m</w:t>
      </w:r>
      <w:r>
        <w:rPr>
          <w:rFonts w:ascii="Times New Roman" w:hAnsi="Times New Roman" w:eastAsia="宋体" w:cs="Times New Roman"/>
          <w:bCs/>
          <w:color w:val="auto"/>
          <w:szCs w:val="20"/>
          <w:highlight w:val="none"/>
          <w:vertAlign w:val="superscript"/>
        </w:rPr>
        <w:t>3</w:t>
      </w:r>
      <w:r>
        <w:rPr>
          <w:rFonts w:ascii="Times New Roman" w:hAnsi="Times New Roman" w:eastAsia="宋体" w:cs="Times New Roman"/>
          <w:bCs/>
          <w:color w:val="auto"/>
          <w:szCs w:val="20"/>
          <w:highlight w:val="none"/>
        </w:rPr>
        <w:t>/a，</w:t>
      </w:r>
      <w:r>
        <w:rPr>
          <w:rFonts w:ascii="Times New Roman" w:hAnsi="Times New Roman" w:eastAsia="宋体" w:cs="Times New Roman"/>
          <w:color w:val="auto"/>
          <w:szCs w:val="24"/>
          <w:highlight w:val="none"/>
        </w:rPr>
        <w:t>排放系数按80%计算，则生活污水排水量</w:t>
      </w:r>
      <w:r>
        <w:rPr>
          <w:rFonts w:hint="eastAsia" w:ascii="Times New Roman" w:hAnsi="Times New Roman" w:eastAsia="宋体" w:cs="Times New Roman"/>
          <w:color w:val="auto"/>
          <w:szCs w:val="24"/>
          <w:highlight w:val="none"/>
        </w:rPr>
        <w:t>54</w:t>
      </w:r>
      <w:r>
        <w:rPr>
          <w:rFonts w:ascii="Times New Roman" w:hAnsi="Times New Roman" w:eastAsia="宋体" w:cs="Times New Roman"/>
          <w:color w:val="auto"/>
          <w:szCs w:val="24"/>
          <w:highlight w:val="none"/>
        </w:rPr>
        <w:t>0</w:t>
      </w:r>
      <w:r>
        <w:rPr>
          <w:rFonts w:ascii="Times New Roman" w:hAnsi="Times New Roman" w:eastAsia="宋体" w:cs="Times New Roman"/>
          <w:bCs/>
          <w:color w:val="auto"/>
          <w:szCs w:val="20"/>
          <w:highlight w:val="none"/>
        </w:rPr>
        <w:t>m</w:t>
      </w:r>
      <w:r>
        <w:rPr>
          <w:rFonts w:ascii="Times New Roman" w:hAnsi="Times New Roman" w:eastAsia="宋体" w:cs="Times New Roman"/>
          <w:bCs/>
          <w:color w:val="auto"/>
          <w:szCs w:val="20"/>
          <w:highlight w:val="none"/>
          <w:vertAlign w:val="superscript"/>
        </w:rPr>
        <w:t>3</w:t>
      </w:r>
      <w:r>
        <w:rPr>
          <w:rFonts w:ascii="Times New Roman" w:hAnsi="Times New Roman" w:eastAsia="宋体" w:cs="Times New Roman"/>
          <w:bCs/>
          <w:color w:val="auto"/>
          <w:szCs w:val="20"/>
          <w:highlight w:val="none"/>
        </w:rPr>
        <w:t>/a，</w:t>
      </w:r>
      <w:r>
        <w:rPr>
          <w:rFonts w:ascii="Times New Roman" w:hAnsi="Times New Roman" w:eastAsia="宋体" w:cs="Times New Roman"/>
          <w:color w:val="auto"/>
          <w:szCs w:val="24"/>
          <w:highlight w:val="none"/>
        </w:rPr>
        <w:t>厨房废水排水量</w:t>
      </w:r>
      <w:r>
        <w:rPr>
          <w:rFonts w:hint="eastAsia" w:ascii="Times New Roman" w:hAnsi="Times New Roman" w:eastAsia="宋体" w:cs="Times New Roman"/>
          <w:color w:val="auto"/>
          <w:szCs w:val="24"/>
          <w:highlight w:val="none"/>
        </w:rPr>
        <w:t>9</w:t>
      </w:r>
      <w:r>
        <w:rPr>
          <w:rFonts w:ascii="Times New Roman" w:hAnsi="Times New Roman" w:eastAsia="宋体" w:cs="Times New Roman"/>
          <w:color w:val="auto"/>
          <w:szCs w:val="24"/>
          <w:highlight w:val="none"/>
        </w:rPr>
        <w:t>0</w:t>
      </w:r>
      <w:r>
        <w:rPr>
          <w:rFonts w:ascii="Times New Roman" w:hAnsi="Times New Roman" w:eastAsia="宋体" w:cs="Times New Roman"/>
          <w:bCs/>
          <w:color w:val="auto"/>
          <w:szCs w:val="20"/>
          <w:highlight w:val="none"/>
        </w:rPr>
        <w:t>m</w:t>
      </w:r>
      <w:r>
        <w:rPr>
          <w:rFonts w:ascii="Times New Roman" w:hAnsi="Times New Roman" w:eastAsia="宋体" w:cs="Times New Roman"/>
          <w:bCs/>
          <w:color w:val="auto"/>
          <w:szCs w:val="20"/>
          <w:highlight w:val="none"/>
          <w:vertAlign w:val="superscript"/>
        </w:rPr>
        <w:t>3</w:t>
      </w:r>
      <w:r>
        <w:rPr>
          <w:rFonts w:ascii="Times New Roman" w:hAnsi="Times New Roman" w:eastAsia="宋体" w:cs="Times New Roman"/>
          <w:bCs/>
          <w:color w:val="auto"/>
          <w:szCs w:val="20"/>
          <w:highlight w:val="none"/>
        </w:rPr>
        <w:t>/a，</w:t>
      </w:r>
      <w:r>
        <w:rPr>
          <w:rFonts w:ascii="Times New Roman" w:hAnsi="Times New Roman" w:eastAsia="宋体" w:cs="Times New Roman"/>
          <w:color w:val="auto"/>
          <w:szCs w:val="24"/>
          <w:highlight w:val="none"/>
        </w:rPr>
        <w:t>废水排放总量</w:t>
      </w:r>
      <w:r>
        <w:rPr>
          <w:rFonts w:hint="eastAsia" w:ascii="Times New Roman" w:hAnsi="Times New Roman" w:eastAsia="宋体" w:cs="Times New Roman"/>
          <w:color w:val="auto"/>
          <w:szCs w:val="24"/>
          <w:highlight w:val="none"/>
        </w:rPr>
        <w:t>63</w:t>
      </w:r>
      <w:r>
        <w:rPr>
          <w:rFonts w:ascii="Times New Roman" w:hAnsi="Times New Roman" w:eastAsia="宋体" w:cs="Times New Roman"/>
          <w:color w:val="auto"/>
          <w:szCs w:val="24"/>
          <w:highlight w:val="none"/>
        </w:rPr>
        <w:t>0m</w:t>
      </w:r>
      <w:r>
        <w:rPr>
          <w:rFonts w:ascii="Times New Roman" w:hAnsi="Times New Roman" w:eastAsia="宋体" w:cs="Times New Roman"/>
          <w:color w:val="auto"/>
          <w:szCs w:val="24"/>
          <w:highlight w:val="none"/>
          <w:vertAlign w:val="superscript"/>
        </w:rPr>
        <w:t>3</w:t>
      </w:r>
      <w:r>
        <w:rPr>
          <w:rFonts w:ascii="Times New Roman" w:hAnsi="Times New Roman" w:eastAsia="宋体" w:cs="Times New Roman"/>
          <w:color w:val="auto"/>
          <w:szCs w:val="24"/>
          <w:highlight w:val="none"/>
        </w:rPr>
        <w:t>/a。</w:t>
      </w:r>
      <w:r>
        <w:rPr>
          <w:rFonts w:ascii="Times New Roman" w:hAnsi="Times New Roman" w:eastAsia="宋体" w:cs="Times New Roman"/>
          <w:bCs/>
          <w:color w:val="auto"/>
          <w:szCs w:val="24"/>
          <w:highlight w:val="none"/>
        </w:rPr>
        <w:t>生活污水经化粪池处理后用于周边旱地施肥</w:t>
      </w:r>
      <w:r>
        <w:rPr>
          <w:rFonts w:ascii="Times New Roman" w:hAnsi="Times New Roman" w:eastAsia="宋体" w:cs="Times New Roman"/>
          <w:color w:val="auto"/>
          <w:szCs w:val="24"/>
          <w:highlight w:val="none"/>
        </w:rPr>
        <w:t>。生活污水主要污染物排放情况见表2.</w:t>
      </w:r>
      <w:r>
        <w:rPr>
          <w:rFonts w:hint="eastAsia" w:ascii="Times New Roman" w:hAnsi="Times New Roman" w:eastAsia="宋体" w:cs="Times New Roman"/>
          <w:color w:val="auto"/>
          <w:szCs w:val="24"/>
          <w:highlight w:val="none"/>
        </w:rPr>
        <w:t>2</w:t>
      </w:r>
      <w:r>
        <w:rPr>
          <w:rFonts w:ascii="Times New Roman" w:hAnsi="Times New Roman" w:eastAsia="宋体" w:cs="Times New Roman"/>
          <w:color w:val="auto"/>
          <w:szCs w:val="24"/>
          <w:highlight w:val="none"/>
        </w:rPr>
        <w:t>-</w:t>
      </w:r>
      <w:r>
        <w:rPr>
          <w:rFonts w:hint="eastAsia" w:cs="Times New Roman"/>
          <w:color w:val="auto"/>
          <w:szCs w:val="24"/>
          <w:highlight w:val="none"/>
          <w:lang w:val="en-US" w:eastAsia="zh-CN"/>
        </w:rPr>
        <w:t>10</w:t>
      </w:r>
      <w:r>
        <w:rPr>
          <w:rFonts w:ascii="Times New Roman" w:hAnsi="Times New Roman" w:eastAsia="宋体" w:cs="Times New Roman"/>
          <w:color w:val="auto"/>
          <w:szCs w:val="24"/>
          <w:highlight w:val="none"/>
        </w:rPr>
        <w:t>所示。</w:t>
      </w:r>
    </w:p>
    <w:p>
      <w:pPr>
        <w:adjustRightInd w:val="0"/>
        <w:snapToGrid w:val="0"/>
        <w:spacing w:line="240" w:lineRule="auto"/>
        <w:ind w:firstLine="0" w:firstLineChars="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表2.</w:t>
      </w:r>
      <w:r>
        <w:rPr>
          <w:rFonts w:hint="eastAsia" w:ascii="Times New Roman" w:hAnsi="Times New Roman" w:eastAsia="宋体" w:cs="Times New Roman"/>
          <w:b/>
          <w:color w:val="auto"/>
          <w:szCs w:val="20"/>
          <w:highlight w:val="none"/>
        </w:rPr>
        <w:t>2</w:t>
      </w:r>
      <w:r>
        <w:rPr>
          <w:rFonts w:ascii="Times New Roman" w:hAnsi="Times New Roman" w:eastAsia="宋体" w:cs="Times New Roman"/>
          <w:b/>
          <w:color w:val="auto"/>
          <w:szCs w:val="20"/>
          <w:highlight w:val="none"/>
        </w:rPr>
        <w:t>-</w:t>
      </w:r>
      <w:r>
        <w:rPr>
          <w:rFonts w:hint="eastAsia" w:cs="Times New Roman"/>
          <w:b/>
          <w:color w:val="auto"/>
          <w:szCs w:val="20"/>
          <w:highlight w:val="none"/>
          <w:lang w:val="en-US" w:eastAsia="zh-CN"/>
        </w:rPr>
        <w:t>10</w:t>
      </w:r>
      <w:r>
        <w:rPr>
          <w:rFonts w:ascii="Times New Roman" w:hAnsi="Times New Roman" w:eastAsia="宋体" w:cs="Times New Roman"/>
          <w:b/>
          <w:color w:val="auto"/>
          <w:szCs w:val="20"/>
          <w:highlight w:val="none"/>
        </w:rPr>
        <w:t xml:space="preserve"> </w:t>
      </w:r>
      <w:r>
        <w:rPr>
          <w:rFonts w:hint="eastAsia" w:ascii="Times New Roman" w:hAnsi="Times New Roman" w:eastAsia="宋体" w:cs="Times New Roman"/>
          <w:b/>
          <w:color w:val="auto"/>
          <w:szCs w:val="20"/>
          <w:highlight w:val="none"/>
        </w:rPr>
        <w:t>原海江采石场</w:t>
      </w:r>
      <w:r>
        <w:rPr>
          <w:rFonts w:ascii="Times New Roman" w:hAnsi="Times New Roman" w:eastAsia="宋体" w:cs="Times New Roman"/>
          <w:b/>
          <w:color w:val="auto"/>
          <w:szCs w:val="20"/>
          <w:highlight w:val="none"/>
        </w:rPr>
        <w:t>生活污水及主要污染物产生及排放情况</w:t>
      </w:r>
    </w:p>
    <w:tbl>
      <w:tblPr>
        <w:tblStyle w:val="48"/>
        <w:tblW w:w="9093" w:type="dxa"/>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1545"/>
        <w:gridCol w:w="1899"/>
        <w:gridCol w:w="1108"/>
        <w:gridCol w:w="1109"/>
        <w:gridCol w:w="1107"/>
        <w:gridCol w:w="1171"/>
        <w:gridCol w:w="1154"/>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3444" w:type="dxa"/>
            <w:gridSpan w:val="2"/>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w:t>
            </w:r>
          </w:p>
        </w:tc>
        <w:tc>
          <w:tcPr>
            <w:tcW w:w="1108"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COD</w:t>
            </w:r>
            <w:r>
              <w:rPr>
                <w:rFonts w:ascii="Times New Roman" w:hAnsi="Times New Roman" w:eastAsia="宋体" w:cs="Times New Roman"/>
                <w:color w:val="auto"/>
                <w:highlight w:val="none"/>
                <w:vertAlign w:val="subscript"/>
              </w:rPr>
              <w:t>Cr</w:t>
            </w:r>
          </w:p>
        </w:tc>
        <w:tc>
          <w:tcPr>
            <w:tcW w:w="1109"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BOD</w:t>
            </w:r>
            <w:r>
              <w:rPr>
                <w:rFonts w:ascii="Times New Roman" w:hAnsi="Times New Roman" w:eastAsia="宋体" w:cs="Times New Roman"/>
                <w:color w:val="auto"/>
                <w:highlight w:val="none"/>
                <w:vertAlign w:val="subscript"/>
              </w:rPr>
              <w:t>5</w:t>
            </w:r>
          </w:p>
        </w:tc>
        <w:tc>
          <w:tcPr>
            <w:tcW w:w="1107"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SS</w:t>
            </w:r>
          </w:p>
        </w:tc>
        <w:tc>
          <w:tcPr>
            <w:tcW w:w="1171"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NH</w:t>
            </w:r>
            <w:r>
              <w:rPr>
                <w:rFonts w:ascii="Times New Roman" w:hAnsi="Times New Roman" w:eastAsia="宋体" w:cs="Times New Roman"/>
                <w:color w:val="auto"/>
                <w:highlight w:val="none"/>
                <w:vertAlign w:val="subscript"/>
              </w:rPr>
              <w:t>3</w:t>
            </w:r>
            <w:r>
              <w:rPr>
                <w:rFonts w:ascii="Times New Roman" w:hAnsi="Times New Roman" w:eastAsia="宋体" w:cs="Times New Roman"/>
                <w:color w:val="auto"/>
                <w:highlight w:val="none"/>
              </w:rPr>
              <w:t>-N</w:t>
            </w:r>
          </w:p>
        </w:tc>
        <w:tc>
          <w:tcPr>
            <w:tcW w:w="1154" w:type="dxa"/>
            <w:noWrap w:val="0"/>
            <w:vAlign w:val="center"/>
          </w:tcPr>
          <w:p>
            <w:pPr>
              <w:tabs>
                <w:tab w:val="left" w:pos="5940"/>
              </w:tabs>
              <w:spacing w:line="260" w:lineRule="exact"/>
              <w:ind w:firstLine="0" w:firstLineChars="0"/>
              <w:jc w:val="center"/>
              <w:rPr>
                <w:rFonts w:ascii="Times New Roman" w:hAnsi="Times New Roman" w:eastAsia="宋体" w:cs="Times New Roman"/>
                <w:b/>
                <w:color w:val="auto"/>
                <w:highlight w:val="none"/>
              </w:rPr>
            </w:pPr>
            <w:r>
              <w:rPr>
                <w:rFonts w:ascii="Times New Roman" w:hAnsi="Times New Roman" w:eastAsia="宋体" w:cs="Times New Roman"/>
                <w:b/>
                <w:color w:val="auto"/>
                <w:sz w:val="21"/>
                <w:highlight w:val="none"/>
              </w:rPr>
              <w:t>动植物油</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545" w:type="dxa"/>
            <w:vMerge w:val="restart"/>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szCs w:val="24"/>
                <w:highlight w:val="none"/>
              </w:rPr>
              <w:t>生活污水</w:t>
            </w:r>
            <w:r>
              <w:rPr>
                <w:rFonts w:hint="eastAsia" w:ascii="Times New Roman" w:hAnsi="Times New Roman" w:eastAsia="宋体" w:cs="Times New Roman"/>
                <w:b w:val="0"/>
                <w:bCs/>
                <w:color w:val="auto"/>
                <w:highlight w:val="none"/>
              </w:rPr>
              <w:t>54</w:t>
            </w:r>
            <w:r>
              <w:rPr>
                <w:rFonts w:ascii="Times New Roman" w:hAnsi="Times New Roman" w:eastAsia="宋体" w:cs="Times New Roman"/>
                <w:b w:val="0"/>
                <w:bCs/>
                <w:color w:val="auto"/>
                <w:highlight w:val="none"/>
              </w:rPr>
              <w:t>0m</w:t>
            </w:r>
            <w:r>
              <w:rPr>
                <w:rFonts w:ascii="Times New Roman" w:hAnsi="Times New Roman" w:eastAsia="宋体" w:cs="Times New Roman"/>
                <w:b w:val="0"/>
                <w:bCs/>
                <w:color w:val="auto"/>
                <w:highlight w:val="none"/>
                <w:vertAlign w:val="superscript"/>
              </w:rPr>
              <w:t>3</w:t>
            </w:r>
            <w:r>
              <w:rPr>
                <w:rFonts w:ascii="Times New Roman" w:hAnsi="Times New Roman" w:eastAsia="宋体" w:cs="Times New Roman"/>
                <w:b w:val="0"/>
                <w:bCs/>
                <w:color w:val="auto"/>
                <w:highlight w:val="none"/>
              </w:rPr>
              <w:t>/a</w:t>
            </w:r>
          </w:p>
        </w:tc>
        <w:tc>
          <w:tcPr>
            <w:tcW w:w="189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产生浓度(mg/L)</w:t>
            </w:r>
          </w:p>
        </w:tc>
        <w:tc>
          <w:tcPr>
            <w:tcW w:w="110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300</w:t>
            </w:r>
          </w:p>
        </w:tc>
        <w:tc>
          <w:tcPr>
            <w:tcW w:w="110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200</w:t>
            </w:r>
          </w:p>
        </w:tc>
        <w:tc>
          <w:tcPr>
            <w:tcW w:w="1107"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200</w:t>
            </w:r>
          </w:p>
        </w:tc>
        <w:tc>
          <w:tcPr>
            <w:tcW w:w="117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30</w:t>
            </w:r>
          </w:p>
        </w:tc>
        <w:tc>
          <w:tcPr>
            <w:tcW w:w="115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545" w:type="dxa"/>
            <w:vMerge w:val="continue"/>
            <w:noWrap w:val="0"/>
            <w:vAlign w:val="center"/>
          </w:tcPr>
          <w:p>
            <w:pPr>
              <w:pStyle w:val="86"/>
              <w:rPr>
                <w:rFonts w:ascii="Times New Roman" w:hAnsi="Times New Roman" w:eastAsia="宋体" w:cs="Times New Roman"/>
                <w:b w:val="0"/>
                <w:bCs/>
                <w:color w:val="auto"/>
                <w:highlight w:val="none"/>
              </w:rPr>
            </w:pPr>
          </w:p>
        </w:tc>
        <w:tc>
          <w:tcPr>
            <w:tcW w:w="189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产生量(t/a)</w:t>
            </w:r>
          </w:p>
        </w:tc>
        <w:tc>
          <w:tcPr>
            <w:tcW w:w="110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0.1</w:t>
            </w:r>
            <w:r>
              <w:rPr>
                <w:rFonts w:hint="eastAsia" w:ascii="Times New Roman" w:hAnsi="Times New Roman" w:eastAsia="宋体" w:cs="Times New Roman"/>
                <w:b w:val="0"/>
                <w:bCs/>
                <w:color w:val="auto"/>
                <w:highlight w:val="none"/>
              </w:rPr>
              <w:t>62</w:t>
            </w:r>
          </w:p>
        </w:tc>
        <w:tc>
          <w:tcPr>
            <w:tcW w:w="110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0.1</w:t>
            </w:r>
            <w:r>
              <w:rPr>
                <w:rFonts w:hint="eastAsia" w:ascii="Times New Roman" w:hAnsi="Times New Roman" w:eastAsia="宋体" w:cs="Times New Roman"/>
                <w:b w:val="0"/>
                <w:bCs/>
                <w:color w:val="auto"/>
                <w:highlight w:val="none"/>
              </w:rPr>
              <w:t>08</w:t>
            </w:r>
          </w:p>
        </w:tc>
        <w:tc>
          <w:tcPr>
            <w:tcW w:w="1107"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0.1</w:t>
            </w:r>
            <w:r>
              <w:rPr>
                <w:rFonts w:hint="eastAsia" w:ascii="Times New Roman" w:hAnsi="Times New Roman" w:eastAsia="宋体" w:cs="Times New Roman"/>
                <w:b w:val="0"/>
                <w:bCs/>
                <w:color w:val="auto"/>
                <w:highlight w:val="none"/>
              </w:rPr>
              <w:t>08</w:t>
            </w:r>
          </w:p>
        </w:tc>
        <w:tc>
          <w:tcPr>
            <w:tcW w:w="117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0.01</w:t>
            </w:r>
            <w:r>
              <w:rPr>
                <w:rFonts w:hint="eastAsia" w:ascii="Times New Roman" w:hAnsi="Times New Roman" w:eastAsia="宋体" w:cs="Times New Roman"/>
                <w:b w:val="0"/>
                <w:bCs/>
                <w:color w:val="auto"/>
                <w:highlight w:val="none"/>
              </w:rPr>
              <w:t>62</w:t>
            </w:r>
          </w:p>
        </w:tc>
        <w:tc>
          <w:tcPr>
            <w:tcW w:w="115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545" w:type="dxa"/>
            <w:vMerge w:val="restart"/>
            <w:noWrap w:val="0"/>
            <w:vAlign w:val="center"/>
          </w:tcPr>
          <w:p>
            <w:pPr>
              <w:pStyle w:val="86"/>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厨房废水9</w:t>
            </w:r>
            <w:r>
              <w:rPr>
                <w:rFonts w:ascii="Times New Roman" w:hAnsi="Times New Roman" w:eastAsia="宋体" w:cs="Times New Roman"/>
                <w:b w:val="0"/>
                <w:bCs/>
                <w:color w:val="auto"/>
                <w:highlight w:val="none"/>
              </w:rPr>
              <w:t>0m</w:t>
            </w:r>
            <w:r>
              <w:rPr>
                <w:rFonts w:ascii="Times New Roman" w:hAnsi="Times New Roman" w:eastAsia="宋体" w:cs="Times New Roman"/>
                <w:b w:val="0"/>
                <w:bCs/>
                <w:color w:val="auto"/>
                <w:highlight w:val="none"/>
                <w:vertAlign w:val="superscript"/>
              </w:rPr>
              <w:t>3</w:t>
            </w:r>
            <w:r>
              <w:rPr>
                <w:rFonts w:ascii="Times New Roman" w:hAnsi="Times New Roman" w:eastAsia="宋体" w:cs="Times New Roman"/>
                <w:b w:val="0"/>
                <w:bCs/>
                <w:color w:val="auto"/>
                <w:highlight w:val="none"/>
              </w:rPr>
              <w:t>/a</w:t>
            </w:r>
          </w:p>
        </w:tc>
        <w:tc>
          <w:tcPr>
            <w:tcW w:w="189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产生浓度(mg/L)</w:t>
            </w:r>
          </w:p>
        </w:tc>
        <w:tc>
          <w:tcPr>
            <w:tcW w:w="110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800</w:t>
            </w:r>
          </w:p>
        </w:tc>
        <w:tc>
          <w:tcPr>
            <w:tcW w:w="110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500</w:t>
            </w:r>
          </w:p>
        </w:tc>
        <w:tc>
          <w:tcPr>
            <w:tcW w:w="1107"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400</w:t>
            </w:r>
          </w:p>
        </w:tc>
        <w:tc>
          <w:tcPr>
            <w:tcW w:w="117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10</w:t>
            </w:r>
          </w:p>
        </w:tc>
        <w:tc>
          <w:tcPr>
            <w:tcW w:w="115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300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545" w:type="dxa"/>
            <w:vMerge w:val="continue"/>
            <w:noWrap w:val="0"/>
            <w:vAlign w:val="center"/>
          </w:tcPr>
          <w:p>
            <w:pPr>
              <w:pStyle w:val="86"/>
              <w:rPr>
                <w:rFonts w:ascii="Times New Roman" w:hAnsi="Times New Roman" w:eastAsia="宋体" w:cs="Times New Roman"/>
                <w:b w:val="0"/>
                <w:bCs/>
                <w:color w:val="auto"/>
                <w:highlight w:val="none"/>
              </w:rPr>
            </w:pPr>
          </w:p>
        </w:tc>
        <w:tc>
          <w:tcPr>
            <w:tcW w:w="189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产生量(t/a)</w:t>
            </w:r>
          </w:p>
        </w:tc>
        <w:tc>
          <w:tcPr>
            <w:tcW w:w="110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w:t>
            </w:r>
            <w:r>
              <w:rPr>
                <w:rFonts w:hint="eastAsia" w:ascii="Times New Roman" w:hAnsi="Times New Roman" w:eastAsia="宋体" w:cs="Times New Roman"/>
                <w:b w:val="0"/>
                <w:bCs/>
                <w:color w:val="auto"/>
                <w:highlight w:val="none"/>
              </w:rPr>
              <w:t>72</w:t>
            </w:r>
          </w:p>
        </w:tc>
        <w:tc>
          <w:tcPr>
            <w:tcW w:w="1109" w:type="dxa"/>
            <w:noWrap w:val="0"/>
            <w:vAlign w:val="center"/>
          </w:tcPr>
          <w:p>
            <w:pPr>
              <w:pStyle w:val="86"/>
              <w:rPr>
                <w:rFonts w:hint="eastAsia"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w:t>
            </w:r>
            <w:r>
              <w:rPr>
                <w:rFonts w:hint="eastAsia" w:ascii="Times New Roman" w:hAnsi="Times New Roman" w:eastAsia="宋体" w:cs="Times New Roman"/>
                <w:b w:val="0"/>
                <w:bCs/>
                <w:color w:val="auto"/>
                <w:highlight w:val="none"/>
              </w:rPr>
              <w:t>4</w:t>
            </w:r>
          </w:p>
        </w:tc>
        <w:tc>
          <w:tcPr>
            <w:tcW w:w="1107"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w:t>
            </w:r>
            <w:r>
              <w:rPr>
                <w:rFonts w:hint="eastAsia" w:ascii="Times New Roman" w:hAnsi="Times New Roman" w:eastAsia="宋体" w:cs="Times New Roman"/>
                <w:b w:val="0"/>
                <w:bCs/>
                <w:color w:val="auto"/>
                <w:highlight w:val="none"/>
              </w:rPr>
              <w:t>32</w:t>
            </w:r>
          </w:p>
        </w:tc>
        <w:tc>
          <w:tcPr>
            <w:tcW w:w="117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0.00</w:t>
            </w:r>
            <w:r>
              <w:rPr>
                <w:rFonts w:hint="eastAsia" w:ascii="Times New Roman" w:hAnsi="Times New Roman" w:eastAsia="宋体" w:cs="Times New Roman"/>
                <w:b w:val="0"/>
                <w:bCs/>
                <w:color w:val="auto"/>
                <w:highlight w:val="none"/>
              </w:rPr>
              <w:t>09</w:t>
            </w:r>
          </w:p>
        </w:tc>
        <w:tc>
          <w:tcPr>
            <w:tcW w:w="115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w:t>
            </w:r>
            <w:r>
              <w:rPr>
                <w:rFonts w:hint="eastAsia" w:ascii="Times New Roman" w:hAnsi="Times New Roman" w:eastAsia="宋体" w:cs="Times New Roman"/>
                <w:b w:val="0"/>
                <w:bCs/>
                <w:color w:val="auto"/>
                <w:highlight w:val="none"/>
              </w:rPr>
              <w:t>27</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3444" w:type="dxa"/>
            <w:gridSpan w:val="2"/>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产生总量（t/a）</w:t>
            </w:r>
          </w:p>
        </w:tc>
        <w:tc>
          <w:tcPr>
            <w:tcW w:w="110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0.2</w:t>
            </w:r>
            <w:r>
              <w:rPr>
                <w:rFonts w:hint="eastAsia" w:ascii="Times New Roman" w:hAnsi="Times New Roman" w:eastAsia="宋体" w:cs="Times New Roman"/>
                <w:b w:val="0"/>
                <w:bCs/>
                <w:color w:val="auto"/>
                <w:highlight w:val="none"/>
              </w:rPr>
              <w:t>34</w:t>
            </w:r>
          </w:p>
        </w:tc>
        <w:tc>
          <w:tcPr>
            <w:tcW w:w="110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0.1</w:t>
            </w:r>
            <w:r>
              <w:rPr>
                <w:rFonts w:hint="eastAsia" w:ascii="Times New Roman" w:hAnsi="Times New Roman" w:eastAsia="宋体" w:cs="Times New Roman"/>
                <w:b w:val="0"/>
                <w:bCs/>
                <w:color w:val="auto"/>
                <w:highlight w:val="none"/>
              </w:rPr>
              <w:t>48</w:t>
            </w:r>
          </w:p>
        </w:tc>
        <w:tc>
          <w:tcPr>
            <w:tcW w:w="1107" w:type="dxa"/>
            <w:noWrap w:val="0"/>
            <w:vAlign w:val="center"/>
          </w:tcPr>
          <w:p>
            <w:pPr>
              <w:pStyle w:val="86"/>
              <w:rPr>
                <w:rFonts w:hint="eastAsia"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0.1</w:t>
            </w:r>
            <w:r>
              <w:rPr>
                <w:rFonts w:hint="eastAsia" w:ascii="Times New Roman" w:hAnsi="Times New Roman" w:eastAsia="宋体" w:cs="Times New Roman"/>
                <w:b w:val="0"/>
                <w:bCs/>
                <w:color w:val="auto"/>
                <w:highlight w:val="none"/>
              </w:rPr>
              <w:t>4</w:t>
            </w:r>
          </w:p>
        </w:tc>
        <w:tc>
          <w:tcPr>
            <w:tcW w:w="1171" w:type="dxa"/>
            <w:noWrap w:val="0"/>
            <w:vAlign w:val="center"/>
          </w:tcPr>
          <w:p>
            <w:pPr>
              <w:pStyle w:val="86"/>
              <w:rPr>
                <w:rFonts w:hint="eastAsia"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0.01</w:t>
            </w:r>
            <w:r>
              <w:rPr>
                <w:rFonts w:hint="eastAsia" w:ascii="Times New Roman" w:hAnsi="Times New Roman" w:eastAsia="宋体" w:cs="Times New Roman"/>
                <w:b w:val="0"/>
                <w:bCs/>
                <w:color w:val="auto"/>
                <w:highlight w:val="none"/>
              </w:rPr>
              <w:t>7</w:t>
            </w:r>
          </w:p>
        </w:tc>
        <w:tc>
          <w:tcPr>
            <w:tcW w:w="115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w:t>
            </w:r>
            <w:r>
              <w:rPr>
                <w:rFonts w:hint="eastAsia" w:ascii="Times New Roman" w:hAnsi="Times New Roman" w:eastAsia="宋体" w:cs="Times New Roman"/>
                <w:b w:val="0"/>
                <w:bCs/>
                <w:color w:val="auto"/>
                <w:highlight w:val="none"/>
              </w:rPr>
              <w:t>27</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3444" w:type="dxa"/>
            <w:gridSpan w:val="2"/>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化粪池处理效率（%）</w:t>
            </w:r>
          </w:p>
        </w:tc>
        <w:tc>
          <w:tcPr>
            <w:tcW w:w="110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15</w:t>
            </w:r>
          </w:p>
        </w:tc>
        <w:tc>
          <w:tcPr>
            <w:tcW w:w="110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10</w:t>
            </w:r>
          </w:p>
        </w:tc>
        <w:tc>
          <w:tcPr>
            <w:tcW w:w="1107"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30</w:t>
            </w:r>
          </w:p>
        </w:tc>
        <w:tc>
          <w:tcPr>
            <w:tcW w:w="117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p>
        </w:tc>
        <w:tc>
          <w:tcPr>
            <w:tcW w:w="115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545" w:type="dxa"/>
            <w:vMerge w:val="restart"/>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排水量</w:t>
            </w:r>
            <w:r>
              <w:rPr>
                <w:rFonts w:hint="eastAsia" w:ascii="Times New Roman" w:hAnsi="Times New Roman" w:eastAsia="宋体" w:cs="Times New Roman"/>
                <w:b w:val="0"/>
                <w:bCs/>
                <w:color w:val="auto"/>
                <w:highlight w:val="none"/>
              </w:rPr>
              <w:t>63</w:t>
            </w:r>
            <w:r>
              <w:rPr>
                <w:rFonts w:ascii="Times New Roman" w:hAnsi="Times New Roman" w:eastAsia="宋体" w:cs="Times New Roman"/>
                <w:b w:val="0"/>
                <w:bCs/>
                <w:color w:val="auto"/>
                <w:highlight w:val="none"/>
              </w:rPr>
              <w:t>0m</w:t>
            </w:r>
            <w:r>
              <w:rPr>
                <w:rFonts w:ascii="Times New Roman" w:hAnsi="Times New Roman" w:eastAsia="宋体" w:cs="Times New Roman"/>
                <w:b w:val="0"/>
                <w:bCs/>
                <w:color w:val="auto"/>
                <w:highlight w:val="none"/>
                <w:vertAlign w:val="superscript"/>
              </w:rPr>
              <w:t>3</w:t>
            </w:r>
            <w:r>
              <w:rPr>
                <w:rFonts w:ascii="Times New Roman" w:hAnsi="Times New Roman" w:eastAsia="宋体" w:cs="Times New Roman"/>
                <w:b w:val="0"/>
                <w:bCs/>
                <w:color w:val="auto"/>
                <w:highlight w:val="none"/>
              </w:rPr>
              <w:t>/a</w:t>
            </w:r>
          </w:p>
        </w:tc>
        <w:tc>
          <w:tcPr>
            <w:tcW w:w="189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排放浓度(mg/L)</w:t>
            </w:r>
          </w:p>
        </w:tc>
        <w:tc>
          <w:tcPr>
            <w:tcW w:w="110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315.7</w:t>
            </w:r>
          </w:p>
        </w:tc>
        <w:tc>
          <w:tcPr>
            <w:tcW w:w="110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218.6</w:t>
            </w:r>
          </w:p>
        </w:tc>
        <w:tc>
          <w:tcPr>
            <w:tcW w:w="1107"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1</w:t>
            </w:r>
            <w:r>
              <w:rPr>
                <w:rFonts w:hint="eastAsia" w:ascii="Times New Roman" w:hAnsi="Times New Roman" w:eastAsia="宋体" w:cs="Times New Roman"/>
                <w:b w:val="0"/>
                <w:bCs/>
                <w:color w:val="auto"/>
                <w:highlight w:val="none"/>
              </w:rPr>
              <w:t>55.6</w:t>
            </w:r>
          </w:p>
        </w:tc>
        <w:tc>
          <w:tcPr>
            <w:tcW w:w="117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27</w:t>
            </w:r>
          </w:p>
        </w:tc>
        <w:tc>
          <w:tcPr>
            <w:tcW w:w="115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42.9</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545" w:type="dxa"/>
            <w:vMerge w:val="continue"/>
            <w:noWrap w:val="0"/>
            <w:vAlign w:val="center"/>
          </w:tcPr>
          <w:p>
            <w:pPr>
              <w:pStyle w:val="86"/>
              <w:rPr>
                <w:rFonts w:ascii="Times New Roman" w:hAnsi="Times New Roman" w:eastAsia="宋体" w:cs="Times New Roman"/>
                <w:b w:val="0"/>
                <w:bCs/>
                <w:color w:val="auto"/>
                <w:highlight w:val="none"/>
              </w:rPr>
            </w:pPr>
          </w:p>
        </w:tc>
        <w:tc>
          <w:tcPr>
            <w:tcW w:w="189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排放量(t/a)</w:t>
            </w:r>
          </w:p>
        </w:tc>
        <w:tc>
          <w:tcPr>
            <w:tcW w:w="110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199</w:t>
            </w:r>
          </w:p>
        </w:tc>
        <w:tc>
          <w:tcPr>
            <w:tcW w:w="110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0.1</w:t>
            </w:r>
            <w:r>
              <w:rPr>
                <w:rFonts w:hint="eastAsia" w:ascii="Times New Roman" w:hAnsi="Times New Roman" w:eastAsia="宋体" w:cs="Times New Roman"/>
                <w:b w:val="0"/>
                <w:bCs/>
                <w:color w:val="auto"/>
                <w:highlight w:val="none"/>
              </w:rPr>
              <w:t>3</w:t>
            </w:r>
            <w:r>
              <w:rPr>
                <w:rFonts w:ascii="Times New Roman" w:hAnsi="Times New Roman" w:eastAsia="宋体" w:cs="Times New Roman"/>
                <w:b w:val="0"/>
                <w:bCs/>
                <w:color w:val="auto"/>
                <w:highlight w:val="none"/>
              </w:rPr>
              <w:t>3</w:t>
            </w:r>
          </w:p>
        </w:tc>
        <w:tc>
          <w:tcPr>
            <w:tcW w:w="1107"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098</w:t>
            </w:r>
          </w:p>
        </w:tc>
        <w:tc>
          <w:tcPr>
            <w:tcW w:w="1171" w:type="dxa"/>
            <w:noWrap w:val="0"/>
            <w:vAlign w:val="center"/>
          </w:tcPr>
          <w:p>
            <w:pPr>
              <w:pStyle w:val="86"/>
              <w:rPr>
                <w:rFonts w:hint="eastAsia"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0.01</w:t>
            </w:r>
            <w:r>
              <w:rPr>
                <w:rFonts w:hint="eastAsia" w:ascii="Times New Roman" w:hAnsi="Times New Roman" w:eastAsia="宋体" w:cs="Times New Roman"/>
                <w:b w:val="0"/>
                <w:bCs/>
                <w:color w:val="auto"/>
                <w:highlight w:val="none"/>
              </w:rPr>
              <w:t>7</w:t>
            </w:r>
          </w:p>
        </w:tc>
        <w:tc>
          <w:tcPr>
            <w:tcW w:w="115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w:t>
            </w:r>
            <w:r>
              <w:rPr>
                <w:rFonts w:hint="eastAsia" w:ascii="Times New Roman" w:hAnsi="Times New Roman" w:eastAsia="宋体" w:cs="Times New Roman"/>
                <w:b w:val="0"/>
                <w:bCs/>
                <w:color w:val="auto"/>
                <w:highlight w:val="none"/>
              </w:rPr>
              <w:t>27</w:t>
            </w:r>
          </w:p>
        </w:tc>
      </w:tr>
    </w:tbl>
    <w:p>
      <w:pPr>
        <w:snapToGrid w:val="0"/>
        <w:ind w:firstLine="480"/>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（3）初期雨水</w:t>
      </w:r>
    </w:p>
    <w:p>
      <w:pPr>
        <w:snapToGrid w:val="0"/>
        <w:ind w:firstLine="480"/>
        <w:rPr>
          <w:rFonts w:ascii="Times New Roman" w:hAnsi="Times New Roman" w:eastAsia="宋体" w:cs="Times New Roman"/>
          <w:color w:val="auto"/>
          <w:kern w:val="0"/>
          <w:szCs w:val="24"/>
          <w:highlight w:val="none"/>
        </w:rPr>
      </w:pPr>
      <w:r>
        <w:rPr>
          <w:rFonts w:hint="eastAsia" w:ascii="Times New Roman" w:hAnsi="Times New Roman" w:eastAsia="宋体" w:cs="Times New Roman"/>
          <w:color w:val="auto"/>
          <w:highlight w:val="none"/>
        </w:rPr>
        <w:t>矿山开采</w:t>
      </w:r>
      <w:r>
        <w:rPr>
          <w:rFonts w:ascii="Times New Roman" w:hAnsi="Times New Roman" w:eastAsia="宋体" w:cs="Times New Roman"/>
          <w:color w:val="auto"/>
          <w:highlight w:val="none"/>
        </w:rPr>
        <w:t>运营过程中水污染源主要为采区和加工区初期雨水，主要污染物为SS，初始浓度约为500mg/L。</w:t>
      </w:r>
      <w:r>
        <w:rPr>
          <w:rFonts w:ascii="Times New Roman" w:hAnsi="Times New Roman" w:eastAsia="宋体" w:cs="Times New Roman"/>
          <w:color w:val="auto"/>
          <w:kern w:val="0"/>
          <w:szCs w:val="24"/>
          <w:highlight w:val="none"/>
        </w:rPr>
        <w:t>根据《室外排水设计规范》（GB</w:t>
      </w:r>
      <w:r>
        <w:rPr>
          <w:rFonts w:hint="eastAsia" w:ascii="Times New Roman" w:hAnsi="Times New Roman" w:eastAsia="宋体" w:cs="Times New Roman"/>
          <w:color w:val="auto"/>
          <w:kern w:val="0"/>
          <w:szCs w:val="24"/>
          <w:highlight w:val="none"/>
          <w:lang w:val="en-US" w:eastAsia="zh-CN"/>
        </w:rPr>
        <w:t xml:space="preserve"> </w:t>
      </w:r>
      <w:r>
        <w:rPr>
          <w:rFonts w:ascii="Times New Roman" w:hAnsi="Times New Roman" w:eastAsia="宋体" w:cs="Times New Roman"/>
          <w:color w:val="auto"/>
          <w:kern w:val="0"/>
          <w:szCs w:val="24"/>
          <w:highlight w:val="none"/>
        </w:rPr>
        <w:t>50014-2006）（2011 年版），初期雨水按下式进行估算：</w:t>
      </w:r>
    </w:p>
    <w:p>
      <w:pPr>
        <w:ind w:firstLine="480"/>
        <w:jc w:val="center"/>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Q=qFΨ</w:t>
      </w:r>
    </w:p>
    <w:p>
      <w:pPr>
        <w:ind w:firstLine="480"/>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式中：Q——雨水径流量，L/s；</w:t>
      </w:r>
    </w:p>
    <w:p>
      <w:pPr>
        <w:ind w:firstLine="1200" w:firstLineChars="500"/>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F——汇水面积(公顷)；</w:t>
      </w:r>
    </w:p>
    <w:p>
      <w:pPr>
        <w:ind w:firstLine="1200" w:firstLineChars="500"/>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Ψ——为径流系数（非铺砌土路面为0.25~0.35，干砌砖石或碎石路面为0.35~0.4，本项目取0.</w:t>
      </w:r>
      <w:r>
        <w:rPr>
          <w:rFonts w:hint="eastAsia" w:ascii="Times New Roman" w:hAnsi="Times New Roman" w:eastAsia="宋体" w:cs="Times New Roman"/>
          <w:color w:val="auto"/>
          <w:kern w:val="0"/>
          <w:szCs w:val="24"/>
          <w:highlight w:val="none"/>
        </w:rPr>
        <w:t>2</w:t>
      </w:r>
      <w:r>
        <w:rPr>
          <w:rFonts w:ascii="Times New Roman" w:hAnsi="Times New Roman" w:eastAsia="宋体" w:cs="Times New Roman"/>
          <w:color w:val="auto"/>
          <w:kern w:val="0"/>
          <w:szCs w:val="24"/>
          <w:highlight w:val="none"/>
        </w:rPr>
        <w:t>5）；</w:t>
      </w:r>
    </w:p>
    <w:p>
      <w:pPr>
        <w:ind w:firstLine="1200" w:firstLineChars="500"/>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q——为降雨强度，L/s•ha</w:t>
      </w:r>
    </w:p>
    <w:p>
      <w:pPr>
        <w:ind w:firstLine="480"/>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根据柳州市暴雨强度公式：</w:t>
      </w:r>
    </w:p>
    <w:p>
      <w:pPr>
        <w:ind w:firstLine="480"/>
        <w:jc w:val="center"/>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q=1929.943(1+0.776LgP)/(t+9.507)</w:t>
      </w:r>
      <w:r>
        <w:rPr>
          <w:rFonts w:ascii="Times New Roman" w:hAnsi="Times New Roman" w:eastAsia="宋体" w:cs="Times New Roman"/>
          <w:color w:val="auto"/>
          <w:kern w:val="0"/>
          <w:szCs w:val="24"/>
          <w:highlight w:val="none"/>
          <w:vertAlign w:val="superscript"/>
        </w:rPr>
        <w:t>0.652</w:t>
      </w:r>
    </w:p>
    <w:p>
      <w:pPr>
        <w:ind w:firstLine="480"/>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式中：P——重现期，取2年；</w:t>
      </w:r>
    </w:p>
    <w:p>
      <w:pPr>
        <w:ind w:firstLine="1200" w:firstLineChars="500"/>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t——降雨历时，取30min。</w:t>
      </w:r>
    </w:p>
    <w:p>
      <w:pPr>
        <w:ind w:firstLine="480"/>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计算得降雨强度q为270L/s·ha。</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矿山</w:t>
      </w:r>
      <w:r>
        <w:rPr>
          <w:rFonts w:ascii="Times New Roman" w:hAnsi="Times New Roman" w:eastAsia="宋体" w:cs="Times New Roman"/>
          <w:color w:val="auto"/>
          <w:kern w:val="0"/>
          <w:szCs w:val="24"/>
          <w:highlight w:val="none"/>
        </w:rPr>
        <w:t>采区</w:t>
      </w:r>
      <w:r>
        <w:rPr>
          <w:rFonts w:hint="eastAsia" w:cs="Times New Roman"/>
          <w:color w:val="auto"/>
          <w:kern w:val="0"/>
          <w:szCs w:val="24"/>
          <w:highlight w:val="none"/>
          <w:lang w:val="en-US" w:eastAsia="zh-CN"/>
        </w:rPr>
        <w:t>面积约10000</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2</w:t>
      </w:r>
      <w:r>
        <w:rPr>
          <w:rFonts w:hint="eastAsia" w:cs="Times New Roman"/>
          <w:color w:val="auto"/>
          <w:kern w:val="0"/>
          <w:szCs w:val="24"/>
          <w:highlight w:val="none"/>
          <w:lang w:val="en-US" w:eastAsia="zh-CN"/>
        </w:rPr>
        <w:t>，</w:t>
      </w:r>
      <w:r>
        <w:rPr>
          <w:rFonts w:ascii="Times New Roman" w:hAnsi="Times New Roman" w:eastAsia="宋体" w:cs="Times New Roman"/>
          <w:color w:val="auto"/>
          <w:kern w:val="0"/>
          <w:szCs w:val="24"/>
          <w:highlight w:val="none"/>
        </w:rPr>
        <w:t>加工区</w:t>
      </w:r>
      <w:r>
        <w:rPr>
          <w:rFonts w:hint="eastAsia" w:cs="Times New Roman"/>
          <w:color w:val="auto"/>
          <w:kern w:val="0"/>
          <w:szCs w:val="24"/>
          <w:highlight w:val="none"/>
          <w:lang w:eastAsia="zh-CN"/>
        </w:rPr>
        <w:t>（</w:t>
      </w:r>
      <w:r>
        <w:rPr>
          <w:rFonts w:hint="eastAsia" w:cs="Times New Roman"/>
          <w:color w:val="auto"/>
          <w:kern w:val="0"/>
          <w:szCs w:val="24"/>
          <w:highlight w:val="none"/>
          <w:lang w:val="en-US" w:eastAsia="zh-CN"/>
        </w:rPr>
        <w:t>含堆料场</w:t>
      </w:r>
      <w:r>
        <w:rPr>
          <w:rFonts w:hint="eastAsia" w:cs="Times New Roman"/>
          <w:color w:val="auto"/>
          <w:kern w:val="0"/>
          <w:szCs w:val="24"/>
          <w:highlight w:val="none"/>
          <w:lang w:eastAsia="zh-CN"/>
        </w:rPr>
        <w:t>）</w:t>
      </w:r>
      <w:r>
        <w:rPr>
          <w:rFonts w:hint="eastAsia" w:cs="Times New Roman"/>
          <w:color w:val="auto"/>
          <w:kern w:val="0"/>
          <w:szCs w:val="24"/>
          <w:highlight w:val="none"/>
          <w:lang w:val="en-US" w:eastAsia="zh-CN"/>
        </w:rPr>
        <w:t>面积5300m</w:t>
      </w:r>
      <w:r>
        <w:rPr>
          <w:rFonts w:hint="eastAsia" w:cs="Times New Roman"/>
          <w:color w:val="auto"/>
          <w:kern w:val="0"/>
          <w:szCs w:val="24"/>
          <w:highlight w:val="none"/>
          <w:vertAlign w:val="superscript"/>
          <w:lang w:val="en-US" w:eastAsia="zh-CN"/>
        </w:rPr>
        <w:t>2</w:t>
      </w:r>
      <w:r>
        <w:rPr>
          <w:rFonts w:hint="eastAsia" w:cs="Times New Roman"/>
          <w:color w:val="auto"/>
          <w:kern w:val="0"/>
          <w:szCs w:val="24"/>
          <w:highlight w:val="none"/>
          <w:lang w:eastAsia="zh-CN"/>
        </w:rPr>
        <w:t>，</w:t>
      </w:r>
      <w:r>
        <w:rPr>
          <w:rFonts w:ascii="Times New Roman" w:hAnsi="Times New Roman" w:eastAsia="宋体" w:cs="Times New Roman"/>
          <w:color w:val="auto"/>
          <w:highlight w:val="none"/>
        </w:rPr>
        <w:t>总面积约</w:t>
      </w:r>
      <w:r>
        <w:rPr>
          <w:rFonts w:hint="eastAsia" w:cs="Times New Roman"/>
          <w:color w:val="auto"/>
          <w:highlight w:val="none"/>
          <w:lang w:val="en-US" w:eastAsia="zh-CN"/>
        </w:rPr>
        <w:t>153</w:t>
      </w:r>
      <w:r>
        <w:rPr>
          <w:rFonts w:ascii="Times New Roman" w:hAnsi="Times New Roman" w:eastAsia="宋体" w:cs="Times New Roman"/>
          <w:color w:val="auto"/>
          <w:highlight w:val="none"/>
        </w:rPr>
        <w:t>00m</w:t>
      </w:r>
      <w:r>
        <w:rPr>
          <w:rFonts w:ascii="Times New Roman" w:hAnsi="Times New Roman" w:eastAsia="宋体" w:cs="Times New Roman"/>
          <w:color w:val="auto"/>
          <w:highlight w:val="none"/>
          <w:vertAlign w:val="superscript"/>
        </w:rPr>
        <w:t>2</w:t>
      </w:r>
      <w:r>
        <w:rPr>
          <w:rFonts w:ascii="Times New Roman" w:hAnsi="Times New Roman" w:eastAsia="宋体" w:cs="Times New Roman"/>
          <w:color w:val="auto"/>
          <w:highlight w:val="none"/>
        </w:rPr>
        <w:t>，</w:t>
      </w:r>
      <w:r>
        <w:rPr>
          <w:rFonts w:ascii="Times New Roman" w:hAnsi="Times New Roman" w:eastAsia="宋体" w:cs="Times New Roman"/>
          <w:color w:val="auto"/>
          <w:kern w:val="0"/>
          <w:szCs w:val="24"/>
          <w:highlight w:val="none"/>
        </w:rPr>
        <w:t>收水时间按30min 计算，则初期雨水量为</w:t>
      </w:r>
      <w:r>
        <w:rPr>
          <w:rFonts w:hint="eastAsia" w:cs="Times New Roman"/>
          <w:color w:val="auto"/>
          <w:kern w:val="0"/>
          <w:szCs w:val="24"/>
          <w:highlight w:val="none"/>
          <w:lang w:val="en-US" w:eastAsia="zh-CN"/>
        </w:rPr>
        <w:t>185.9</w:t>
      </w:r>
      <w:r>
        <w:rPr>
          <w:rFonts w:ascii="Times New Roman" w:hAnsi="Times New Roman" w:eastAsia="宋体" w:cs="Times New Roman"/>
          <w:color w:val="auto"/>
          <w:kern w:val="0"/>
          <w:szCs w:val="24"/>
          <w:highlight w:val="none"/>
        </w:rPr>
        <w:t>m</w:t>
      </w:r>
      <w:r>
        <w:rPr>
          <w:rFonts w:ascii="Times New Roman" w:hAnsi="Times New Roman" w:eastAsia="宋体" w:cs="Times New Roman"/>
          <w:color w:val="auto"/>
          <w:kern w:val="0"/>
          <w:szCs w:val="24"/>
          <w:highlight w:val="none"/>
          <w:vertAlign w:val="superscript"/>
        </w:rPr>
        <w:t>3</w:t>
      </w:r>
      <w:r>
        <w:rPr>
          <w:rFonts w:ascii="Times New Roman" w:hAnsi="Times New Roman" w:eastAsia="宋体" w:cs="Times New Roman"/>
          <w:color w:val="auto"/>
          <w:kern w:val="0"/>
          <w:szCs w:val="24"/>
          <w:highlight w:val="none"/>
        </w:rPr>
        <w:t>/次。</w:t>
      </w:r>
      <w:r>
        <w:rPr>
          <w:rFonts w:hint="eastAsia" w:ascii="Times New Roman" w:hAnsi="Times New Roman" w:eastAsia="宋体"/>
          <w:color w:val="auto"/>
          <w:highlight w:val="none"/>
        </w:rPr>
        <w:t>原海江采石场</w:t>
      </w:r>
      <w:r>
        <w:rPr>
          <w:rFonts w:ascii="Times New Roman" w:hAnsi="Times New Roman" w:eastAsia="宋体" w:cs="Times New Roman"/>
          <w:color w:val="auto"/>
          <w:highlight w:val="none"/>
        </w:rPr>
        <w:t>未设置初期雨水池，初期雨水直接排入周边环境中。</w:t>
      </w:r>
    </w:p>
    <w:p>
      <w:pPr>
        <w:ind w:firstLine="482"/>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3</w:t>
      </w:r>
      <w:r>
        <w:rPr>
          <w:rFonts w:hint="eastAsia" w:cs="Times New Roman"/>
          <w:b/>
          <w:bCs/>
          <w:color w:val="auto"/>
          <w:highlight w:val="none"/>
          <w:lang w:val="en-US" w:eastAsia="zh-CN"/>
        </w:rPr>
        <w:t>.</w:t>
      </w:r>
      <w:r>
        <w:rPr>
          <w:rFonts w:ascii="Times New Roman" w:hAnsi="Times New Roman" w:eastAsia="宋体" w:cs="Times New Roman"/>
          <w:b/>
          <w:bCs/>
          <w:color w:val="auto"/>
          <w:highlight w:val="none"/>
        </w:rPr>
        <w:t>噪声污染源</w:t>
      </w:r>
    </w:p>
    <w:p>
      <w:pPr>
        <w:tabs>
          <w:tab w:val="left" w:pos="-213"/>
        </w:tabs>
        <w:ind w:firstLine="480"/>
        <w:rPr>
          <w:rFonts w:ascii="Times New Roman" w:hAnsi="Times New Roman" w:eastAsia="宋体" w:cs="Times New Roman"/>
          <w:color w:val="auto"/>
          <w:szCs w:val="20"/>
          <w:highlight w:val="none"/>
        </w:rPr>
      </w:pPr>
      <w:r>
        <w:rPr>
          <w:rFonts w:hint="eastAsia" w:ascii="Times New Roman" w:hAnsi="Times New Roman" w:eastAsia="宋体" w:cs="Times New Roman"/>
          <w:color w:val="auto"/>
          <w:szCs w:val="20"/>
          <w:highlight w:val="none"/>
        </w:rPr>
        <w:t>矿山日常</w:t>
      </w:r>
      <w:r>
        <w:rPr>
          <w:rFonts w:ascii="Times New Roman" w:hAnsi="Times New Roman" w:eastAsia="宋体" w:cs="Times New Roman"/>
          <w:color w:val="auto"/>
          <w:szCs w:val="20"/>
          <w:highlight w:val="none"/>
        </w:rPr>
        <w:t>生产过程中</w:t>
      </w:r>
      <w:r>
        <w:rPr>
          <w:rFonts w:hint="eastAsia" w:ascii="Times New Roman" w:hAnsi="Times New Roman" w:eastAsia="宋体" w:cs="Times New Roman"/>
          <w:color w:val="auto"/>
          <w:szCs w:val="20"/>
          <w:highlight w:val="none"/>
        </w:rPr>
        <w:t>凿岩</w:t>
      </w:r>
      <w:r>
        <w:rPr>
          <w:rFonts w:ascii="Times New Roman" w:hAnsi="Times New Roman" w:eastAsia="宋体" w:cs="Times New Roman"/>
          <w:color w:val="auto"/>
          <w:szCs w:val="20"/>
          <w:highlight w:val="none"/>
        </w:rPr>
        <w:t>钻孔、爆破、采装、破碎等工序都将产生不同程度的噪声。根据项目矿山采用生产工艺流程及所选设备，产生高噪声的设备主要有凿岩机、挖掘机、空压机、破碎机，其中以爆破时产生的噪声强度最大，爆破噪声是瞬时的，只能造成短时影响。各作业工序产生的噪声见表2.</w:t>
      </w:r>
      <w:r>
        <w:rPr>
          <w:rFonts w:hint="eastAsia" w:ascii="Times New Roman" w:hAnsi="Times New Roman" w:eastAsia="宋体" w:cs="Times New Roman"/>
          <w:color w:val="auto"/>
          <w:szCs w:val="20"/>
          <w:highlight w:val="none"/>
        </w:rPr>
        <w:t>2</w:t>
      </w:r>
      <w:r>
        <w:rPr>
          <w:rFonts w:ascii="Times New Roman" w:hAnsi="Times New Roman" w:eastAsia="宋体" w:cs="Times New Roman"/>
          <w:color w:val="auto"/>
          <w:szCs w:val="20"/>
          <w:highlight w:val="none"/>
        </w:rPr>
        <w:t>-1</w:t>
      </w:r>
      <w:r>
        <w:rPr>
          <w:rFonts w:hint="eastAsia" w:cs="Times New Roman"/>
          <w:color w:val="auto"/>
          <w:szCs w:val="20"/>
          <w:highlight w:val="none"/>
          <w:lang w:val="en-US" w:eastAsia="zh-CN"/>
        </w:rPr>
        <w:t>1</w:t>
      </w:r>
      <w:r>
        <w:rPr>
          <w:rFonts w:ascii="Times New Roman" w:hAnsi="Times New Roman" w:eastAsia="宋体" w:cs="Times New Roman"/>
          <w:color w:val="auto"/>
          <w:szCs w:val="20"/>
          <w:highlight w:val="none"/>
        </w:rPr>
        <w:t>所示。</w:t>
      </w:r>
    </w:p>
    <w:p>
      <w:pPr>
        <w:adjustRightInd w:val="0"/>
        <w:snapToGrid w:val="0"/>
        <w:spacing w:line="240" w:lineRule="auto"/>
        <w:ind w:firstLine="0" w:firstLineChars="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表2.</w:t>
      </w:r>
      <w:r>
        <w:rPr>
          <w:rFonts w:hint="eastAsia" w:ascii="Times New Roman" w:hAnsi="Times New Roman" w:eastAsia="宋体" w:cs="Times New Roman"/>
          <w:b/>
          <w:color w:val="auto"/>
          <w:szCs w:val="20"/>
          <w:highlight w:val="none"/>
        </w:rPr>
        <w:t>2</w:t>
      </w:r>
      <w:r>
        <w:rPr>
          <w:rFonts w:ascii="Times New Roman" w:hAnsi="Times New Roman" w:eastAsia="宋体" w:cs="Times New Roman"/>
          <w:b/>
          <w:color w:val="auto"/>
          <w:szCs w:val="20"/>
          <w:highlight w:val="none"/>
        </w:rPr>
        <w:t>-1</w:t>
      </w:r>
      <w:r>
        <w:rPr>
          <w:rFonts w:hint="eastAsia" w:cs="Times New Roman"/>
          <w:b/>
          <w:color w:val="auto"/>
          <w:szCs w:val="20"/>
          <w:highlight w:val="none"/>
          <w:lang w:val="en-US" w:eastAsia="zh-CN"/>
        </w:rPr>
        <w:t>1</w:t>
      </w:r>
      <w:r>
        <w:rPr>
          <w:rFonts w:ascii="Times New Roman" w:hAnsi="Times New Roman" w:eastAsia="宋体" w:cs="Times New Roman"/>
          <w:b/>
          <w:color w:val="auto"/>
          <w:szCs w:val="20"/>
          <w:highlight w:val="none"/>
        </w:rPr>
        <w:t xml:space="preserve"> 项目主要噪声源强及防治措施一栏表（单位：dB(A)）</w:t>
      </w:r>
    </w:p>
    <w:tbl>
      <w:tblPr>
        <w:tblStyle w:val="48"/>
        <w:tblW w:w="9071"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1173"/>
        <w:gridCol w:w="753"/>
        <w:gridCol w:w="1057"/>
        <w:gridCol w:w="1236"/>
        <w:gridCol w:w="1023"/>
        <w:gridCol w:w="2412"/>
        <w:gridCol w:w="1417"/>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设备</w:t>
            </w:r>
          </w:p>
        </w:tc>
        <w:tc>
          <w:tcPr>
            <w:tcW w:w="753" w:type="dxa"/>
            <w:noWrap w:val="0"/>
            <w:vAlign w:val="center"/>
          </w:tcPr>
          <w:p>
            <w:pPr>
              <w:widowControl/>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数量</w:t>
            </w:r>
          </w:p>
        </w:tc>
        <w:tc>
          <w:tcPr>
            <w:tcW w:w="1057" w:type="dxa"/>
            <w:noWrap w:val="0"/>
            <w:vAlign w:val="center"/>
          </w:tcPr>
          <w:p>
            <w:pPr>
              <w:widowControl/>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声压级</w:t>
            </w:r>
          </w:p>
        </w:tc>
        <w:tc>
          <w:tcPr>
            <w:tcW w:w="1236" w:type="dxa"/>
            <w:noWrap w:val="0"/>
            <w:vAlign w:val="center"/>
          </w:tcPr>
          <w:p>
            <w:pPr>
              <w:widowControl/>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排放特征</w:t>
            </w:r>
          </w:p>
        </w:tc>
        <w:tc>
          <w:tcPr>
            <w:tcW w:w="1023" w:type="dxa"/>
            <w:noWrap w:val="0"/>
            <w:vAlign w:val="center"/>
          </w:tcPr>
          <w:p>
            <w:pPr>
              <w:widowControl/>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位置</w:t>
            </w:r>
          </w:p>
        </w:tc>
        <w:tc>
          <w:tcPr>
            <w:tcW w:w="2412" w:type="dxa"/>
            <w:noWrap w:val="0"/>
            <w:vAlign w:val="center"/>
          </w:tcPr>
          <w:p>
            <w:pPr>
              <w:widowControl/>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bCs/>
                <w:color w:val="auto"/>
                <w:sz w:val="21"/>
                <w:highlight w:val="none"/>
              </w:rPr>
              <w:t>降噪措施</w:t>
            </w:r>
          </w:p>
        </w:tc>
        <w:tc>
          <w:tcPr>
            <w:tcW w:w="1417" w:type="dxa"/>
            <w:noWrap w:val="0"/>
            <w:vAlign w:val="center"/>
          </w:tcPr>
          <w:p>
            <w:pPr>
              <w:widowControl/>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bCs/>
                <w:color w:val="auto"/>
                <w:sz w:val="21"/>
                <w:highlight w:val="none"/>
              </w:rPr>
              <w:t>降噪后源强</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潜孔钻机</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w:t>
            </w:r>
          </w:p>
        </w:tc>
        <w:tc>
          <w:tcPr>
            <w:tcW w:w="105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95~100</w:t>
            </w:r>
          </w:p>
        </w:tc>
        <w:tc>
          <w:tcPr>
            <w:tcW w:w="1236" w:type="dxa"/>
            <w:noWrap w:val="0"/>
            <w:vAlign w:val="center"/>
          </w:tcPr>
          <w:p>
            <w:pPr>
              <w:spacing w:line="240" w:lineRule="auto"/>
              <w:ind w:firstLine="0" w:firstLineChars="0"/>
              <w:jc w:val="center"/>
              <w:rPr>
                <w:rFonts w:ascii="Times New Roman" w:hAnsi="Times New Roman" w:eastAsia="宋体" w:cs="Times New Roman"/>
                <w:bCs/>
                <w:color w:val="auto"/>
                <w:kern w:val="0"/>
                <w:sz w:val="21"/>
                <w:highlight w:val="none"/>
              </w:rPr>
            </w:pPr>
            <w:r>
              <w:rPr>
                <w:rFonts w:ascii="Times New Roman" w:hAnsi="Times New Roman" w:eastAsia="宋体" w:cs="Times New Roman"/>
                <w:color w:val="auto"/>
                <w:sz w:val="21"/>
                <w:highlight w:val="none"/>
              </w:rPr>
              <w:t>间断</w:t>
            </w:r>
          </w:p>
        </w:tc>
        <w:tc>
          <w:tcPr>
            <w:tcW w:w="1023" w:type="dxa"/>
            <w:vMerge w:val="restart"/>
            <w:noWrap w:val="0"/>
            <w:vAlign w:val="center"/>
          </w:tcPr>
          <w:p>
            <w:pPr>
              <w:spacing w:line="240" w:lineRule="auto"/>
              <w:ind w:firstLine="0" w:firstLineChars="0"/>
              <w:jc w:val="center"/>
              <w:rPr>
                <w:rFonts w:ascii="Times New Roman" w:hAnsi="Times New Roman" w:eastAsia="宋体" w:cs="Times New Roman"/>
                <w:bCs/>
                <w:color w:val="auto"/>
                <w:kern w:val="0"/>
                <w:sz w:val="21"/>
                <w:highlight w:val="none"/>
              </w:rPr>
            </w:pPr>
            <w:r>
              <w:rPr>
                <w:rFonts w:ascii="Times New Roman" w:hAnsi="Times New Roman" w:eastAsia="宋体" w:cs="Times New Roman"/>
                <w:bCs/>
                <w:color w:val="auto"/>
                <w:kern w:val="0"/>
                <w:sz w:val="21"/>
                <w:highlight w:val="none"/>
              </w:rPr>
              <w:t>开采区</w:t>
            </w:r>
          </w:p>
        </w:tc>
        <w:tc>
          <w:tcPr>
            <w:tcW w:w="2412"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kern w:val="0"/>
                <w:sz w:val="21"/>
                <w:highlight w:val="none"/>
              </w:rPr>
              <w:t>选择低噪音设备</w:t>
            </w:r>
          </w:p>
        </w:tc>
        <w:tc>
          <w:tcPr>
            <w:tcW w:w="141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90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挖掘机</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2</w:t>
            </w:r>
          </w:p>
        </w:tc>
        <w:tc>
          <w:tcPr>
            <w:tcW w:w="105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80～90</w:t>
            </w:r>
          </w:p>
        </w:tc>
        <w:tc>
          <w:tcPr>
            <w:tcW w:w="1236"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间断</w:t>
            </w:r>
          </w:p>
        </w:tc>
        <w:tc>
          <w:tcPr>
            <w:tcW w:w="1023" w:type="dxa"/>
            <w:vMerge w:val="continue"/>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p>
        </w:tc>
        <w:tc>
          <w:tcPr>
            <w:tcW w:w="2412" w:type="dxa"/>
            <w:vMerge w:val="continue"/>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p>
        </w:tc>
        <w:tc>
          <w:tcPr>
            <w:tcW w:w="141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空压机</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w:t>
            </w:r>
          </w:p>
        </w:tc>
        <w:tc>
          <w:tcPr>
            <w:tcW w:w="105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90~95</w:t>
            </w:r>
          </w:p>
        </w:tc>
        <w:tc>
          <w:tcPr>
            <w:tcW w:w="1236"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间断</w:t>
            </w:r>
          </w:p>
        </w:tc>
        <w:tc>
          <w:tcPr>
            <w:tcW w:w="1023" w:type="dxa"/>
            <w:vMerge w:val="continue"/>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p>
        </w:tc>
        <w:tc>
          <w:tcPr>
            <w:tcW w:w="2412" w:type="dxa"/>
            <w:vMerge w:val="continue"/>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p>
        </w:tc>
        <w:tc>
          <w:tcPr>
            <w:tcW w:w="1417" w:type="dxa"/>
            <w:noWrap w:val="0"/>
            <w:vAlign w:val="center"/>
          </w:tcPr>
          <w:p>
            <w:pPr>
              <w:keepNext/>
              <w:keepLines/>
              <w:spacing w:line="240" w:lineRule="auto"/>
              <w:ind w:left="420" w:hanging="420" w:hangingChars="20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w:t>
            </w:r>
            <w:r>
              <w:rPr>
                <w:rFonts w:hint="eastAsia" w:ascii="Times New Roman" w:hAnsi="Times New Roman" w:eastAsia="宋体" w:cs="Times New Roman"/>
                <w:color w:val="auto"/>
                <w:sz w:val="21"/>
                <w:highlight w:val="none"/>
              </w:rPr>
              <w:t>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爆破</w:t>
            </w:r>
          </w:p>
        </w:tc>
        <w:tc>
          <w:tcPr>
            <w:tcW w:w="753"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05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115</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间断</w:t>
            </w:r>
          </w:p>
        </w:tc>
        <w:tc>
          <w:tcPr>
            <w:tcW w:w="1023" w:type="dxa"/>
            <w:vMerge w:val="continue"/>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p>
        </w:tc>
        <w:tc>
          <w:tcPr>
            <w:tcW w:w="2412"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中深孔爆破</w:t>
            </w: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110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破碎机</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3</w:t>
            </w:r>
          </w:p>
        </w:tc>
        <w:tc>
          <w:tcPr>
            <w:tcW w:w="105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90</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持续</w:t>
            </w:r>
          </w:p>
        </w:tc>
        <w:tc>
          <w:tcPr>
            <w:tcW w:w="1023" w:type="dxa"/>
            <w:vMerge w:val="restart"/>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破碎生产线</w:t>
            </w:r>
          </w:p>
        </w:tc>
        <w:tc>
          <w:tcPr>
            <w:tcW w:w="2412" w:type="dxa"/>
            <w:vMerge w:val="restart"/>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kern w:val="0"/>
                <w:sz w:val="21"/>
                <w:highlight w:val="none"/>
              </w:rPr>
              <w:t>基础减震、隔声</w:t>
            </w:r>
            <w:r>
              <w:rPr>
                <w:rFonts w:hint="eastAsia" w:ascii="Times New Roman" w:hAnsi="Times New Roman" w:eastAsia="宋体" w:cs="Times New Roman"/>
                <w:bCs/>
                <w:color w:val="auto"/>
                <w:kern w:val="0"/>
                <w:sz w:val="21"/>
                <w:highlight w:val="none"/>
              </w:rPr>
              <w:t>、</w:t>
            </w:r>
            <w:r>
              <w:rPr>
                <w:rFonts w:ascii="Times New Roman" w:hAnsi="Times New Roman" w:eastAsia="宋体" w:cs="Times New Roman"/>
                <w:bCs/>
                <w:color w:val="auto"/>
                <w:kern w:val="0"/>
                <w:sz w:val="21"/>
                <w:highlight w:val="none"/>
              </w:rPr>
              <w:t>选择低噪音设备</w:t>
            </w: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80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振动筛</w:t>
            </w:r>
          </w:p>
        </w:tc>
        <w:tc>
          <w:tcPr>
            <w:tcW w:w="75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3</w:t>
            </w:r>
          </w:p>
        </w:tc>
        <w:tc>
          <w:tcPr>
            <w:tcW w:w="105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70~80</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持续</w:t>
            </w:r>
          </w:p>
        </w:tc>
        <w:tc>
          <w:tcPr>
            <w:tcW w:w="1023" w:type="dxa"/>
            <w:vMerge w:val="continue"/>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p>
        </w:tc>
        <w:tc>
          <w:tcPr>
            <w:tcW w:w="2412" w:type="dxa"/>
            <w:vMerge w:val="continue"/>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70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水泵</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w:t>
            </w:r>
          </w:p>
        </w:tc>
        <w:tc>
          <w:tcPr>
            <w:tcW w:w="105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80~90</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间断</w:t>
            </w:r>
          </w:p>
        </w:tc>
        <w:tc>
          <w:tcPr>
            <w:tcW w:w="102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水泵房</w:t>
            </w:r>
          </w:p>
        </w:tc>
        <w:tc>
          <w:tcPr>
            <w:tcW w:w="2412"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kern w:val="0"/>
                <w:sz w:val="21"/>
                <w:highlight w:val="none"/>
              </w:rPr>
              <w:t>基础减震、墙体隔音等</w:t>
            </w: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80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bCs/>
                <w:color w:val="auto"/>
                <w:kern w:val="0"/>
                <w:sz w:val="21"/>
                <w:highlight w:val="none"/>
              </w:rPr>
              <w:t>自卸汽车</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3</w:t>
            </w:r>
          </w:p>
        </w:tc>
        <w:tc>
          <w:tcPr>
            <w:tcW w:w="105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70~80</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间断</w:t>
            </w:r>
          </w:p>
        </w:tc>
        <w:tc>
          <w:tcPr>
            <w:tcW w:w="102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矿区内</w:t>
            </w:r>
          </w:p>
        </w:tc>
        <w:tc>
          <w:tcPr>
            <w:tcW w:w="2412"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严禁超载，减速慢行</w:t>
            </w: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70</w:t>
            </w:r>
          </w:p>
        </w:tc>
      </w:tr>
    </w:tbl>
    <w:p>
      <w:pPr>
        <w:ind w:firstLine="482"/>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4</w:t>
      </w:r>
      <w:r>
        <w:rPr>
          <w:rFonts w:hint="eastAsia" w:cs="Times New Roman"/>
          <w:b/>
          <w:bCs/>
          <w:color w:val="auto"/>
          <w:highlight w:val="none"/>
          <w:lang w:val="en-US" w:eastAsia="zh-CN"/>
        </w:rPr>
        <w:t>.</w:t>
      </w:r>
      <w:r>
        <w:rPr>
          <w:rFonts w:ascii="Times New Roman" w:hAnsi="Times New Roman" w:eastAsia="宋体" w:cs="Times New Roman"/>
          <w:b/>
          <w:bCs/>
          <w:color w:val="auto"/>
          <w:highlight w:val="none"/>
        </w:rPr>
        <w:t>固体废物污染源</w:t>
      </w:r>
    </w:p>
    <w:p>
      <w:pPr>
        <w:ind w:firstLine="480" w:firstLineChars="0"/>
        <w:rPr>
          <w:rFonts w:hint="eastAsia"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（1）表土和</w:t>
      </w:r>
      <w:r>
        <w:rPr>
          <w:rFonts w:hint="eastAsia" w:ascii="Times New Roman" w:hAnsi="Times New Roman" w:eastAsia="宋体" w:cs="Times New Roman"/>
          <w:color w:val="auto"/>
          <w:szCs w:val="20"/>
          <w:highlight w:val="none"/>
        </w:rPr>
        <w:t>废土石渣</w:t>
      </w:r>
    </w:p>
    <w:p>
      <w:pPr>
        <w:ind w:firstLine="480" w:firstLineChars="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矿山估算剥采比为0.0</w:t>
      </w:r>
      <w:r>
        <w:rPr>
          <w:rFonts w:hint="eastAsia" w:ascii="Times New Roman" w:hAnsi="Times New Roman" w:eastAsia="宋体" w:cs="Times New Roman"/>
          <w:color w:val="auto"/>
          <w:szCs w:val="24"/>
          <w:highlight w:val="none"/>
        </w:rPr>
        <w:t>1t</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t</w:t>
      </w:r>
      <w:r>
        <w:rPr>
          <w:rFonts w:ascii="Times New Roman" w:hAnsi="Times New Roman" w:eastAsia="宋体" w:cs="Times New Roman"/>
          <w:color w:val="auto"/>
          <w:szCs w:val="24"/>
          <w:highlight w:val="none"/>
        </w:rPr>
        <w:t>，项目年开采矿石</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万t，则产生的表土和</w:t>
      </w:r>
      <w:r>
        <w:rPr>
          <w:rFonts w:hint="eastAsia" w:ascii="Times New Roman" w:hAnsi="Times New Roman" w:eastAsia="宋体" w:cs="Times New Roman"/>
          <w:color w:val="auto"/>
          <w:szCs w:val="24"/>
          <w:highlight w:val="none"/>
        </w:rPr>
        <w:t>废土石渣</w:t>
      </w:r>
      <w:r>
        <w:rPr>
          <w:rFonts w:ascii="Times New Roman" w:hAnsi="Times New Roman" w:eastAsia="宋体" w:cs="Times New Roman"/>
          <w:color w:val="auto"/>
          <w:szCs w:val="24"/>
          <w:highlight w:val="none"/>
        </w:rPr>
        <w:t>总量为</w:t>
      </w:r>
      <w:r>
        <w:rPr>
          <w:rFonts w:hint="eastAsia" w:ascii="Times New Roman" w:hAnsi="Times New Roman" w:eastAsia="宋体" w:cs="Times New Roman"/>
          <w:color w:val="auto"/>
          <w:szCs w:val="24"/>
          <w:highlight w:val="none"/>
        </w:rPr>
        <w:t>50</w:t>
      </w:r>
      <w:r>
        <w:rPr>
          <w:rFonts w:ascii="Times New Roman" w:hAnsi="Times New Roman" w:eastAsia="宋体" w:cs="Times New Roman"/>
          <w:color w:val="auto"/>
          <w:szCs w:val="24"/>
          <w:highlight w:val="none"/>
        </w:rPr>
        <w:t>0t/a。其中表土占有量较少，约</w:t>
      </w:r>
      <w:r>
        <w:rPr>
          <w:rFonts w:hint="eastAsia" w:ascii="Times New Roman" w:hAnsi="Times New Roman" w:eastAsia="宋体" w:cs="Times New Roman"/>
          <w:color w:val="auto"/>
          <w:szCs w:val="24"/>
          <w:highlight w:val="none"/>
        </w:rPr>
        <w:t>为20%，即100</w:t>
      </w:r>
      <w:r>
        <w:rPr>
          <w:rFonts w:ascii="Times New Roman" w:hAnsi="Times New Roman" w:eastAsia="宋体" w:cs="Times New Roman"/>
          <w:color w:val="auto"/>
          <w:szCs w:val="24"/>
          <w:highlight w:val="none"/>
        </w:rPr>
        <w:t>t/a</w:t>
      </w:r>
      <w:r>
        <w:rPr>
          <w:rFonts w:hint="eastAsia" w:ascii="Times New Roman" w:hAnsi="Times New Roman" w:eastAsia="宋体" w:cs="Times New Roman"/>
          <w:color w:val="auto"/>
          <w:szCs w:val="24"/>
          <w:highlight w:val="none"/>
        </w:rPr>
        <w:t>，废土石渣占80%，约400</w:t>
      </w:r>
      <w:r>
        <w:rPr>
          <w:rFonts w:ascii="Times New Roman" w:hAnsi="Times New Roman" w:eastAsia="宋体" w:cs="Times New Roman"/>
          <w:color w:val="auto"/>
          <w:szCs w:val="24"/>
          <w:highlight w:val="none"/>
        </w:rPr>
        <w:t>t/a。表土和</w:t>
      </w:r>
      <w:r>
        <w:rPr>
          <w:rFonts w:hint="eastAsia" w:ascii="Times New Roman" w:hAnsi="Times New Roman" w:eastAsia="宋体" w:cs="Times New Roman"/>
          <w:color w:val="auto"/>
          <w:szCs w:val="24"/>
          <w:highlight w:val="none"/>
        </w:rPr>
        <w:t>废土石渣</w:t>
      </w:r>
      <w:r>
        <w:rPr>
          <w:rFonts w:ascii="Times New Roman" w:hAnsi="Times New Roman" w:eastAsia="宋体" w:cs="Times New Roman"/>
          <w:color w:val="auto"/>
          <w:szCs w:val="24"/>
          <w:highlight w:val="none"/>
        </w:rPr>
        <w:t>未分类存放，全部用于矿区道路平整。</w:t>
      </w:r>
    </w:p>
    <w:p>
      <w:pPr>
        <w:numPr>
          <w:ilvl w:val="0"/>
          <w:numId w:val="6"/>
        </w:numPr>
        <w:ind w:firstLine="480"/>
        <w:rPr>
          <w:rFonts w:hint="eastAsia" w:ascii="Times New Roman" w:hAnsi="Times New Roman" w:eastAsia="宋体" w:cs="Times New Roman"/>
          <w:color w:val="auto"/>
          <w:szCs w:val="20"/>
          <w:highlight w:val="none"/>
        </w:rPr>
      </w:pPr>
      <w:r>
        <w:rPr>
          <w:rFonts w:hint="eastAsia" w:ascii="Times New Roman" w:hAnsi="Times New Roman" w:eastAsia="宋体" w:cs="Times New Roman"/>
          <w:color w:val="auto"/>
          <w:szCs w:val="20"/>
          <w:highlight w:val="none"/>
        </w:rPr>
        <w:t>洗砂泥饼</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根据建设单位提供信息，石粉中泥渣含量约7%，</w:t>
      </w:r>
      <w:r>
        <w:rPr>
          <w:rFonts w:hint="eastAsia" w:ascii="Times New Roman" w:hAnsi="Times New Roman" w:eastAsia="宋体" w:cs="Times New Roman"/>
          <w:color w:val="auto"/>
          <w:szCs w:val="20"/>
          <w:highlight w:val="none"/>
        </w:rPr>
        <w:t>洗砂成品</w:t>
      </w:r>
      <w:r>
        <w:rPr>
          <w:rFonts w:hint="eastAsia" w:ascii="Times New Roman" w:hAnsi="Times New Roman" w:eastAsia="宋体" w:cs="Times New Roman"/>
          <w:color w:val="auto"/>
          <w:szCs w:val="20"/>
          <w:highlight w:val="none"/>
          <w:lang w:val="en-US" w:eastAsia="zh-CN"/>
        </w:rPr>
        <w:t>人工砂</w:t>
      </w:r>
      <w:r>
        <w:rPr>
          <w:rFonts w:hint="eastAsia" w:ascii="Times New Roman" w:hAnsi="Times New Roman" w:eastAsia="宋体" w:cs="Times New Roman"/>
          <w:color w:val="auto"/>
          <w:szCs w:val="20"/>
          <w:highlight w:val="none"/>
        </w:rPr>
        <w:t>产量0.5万t/a，</w:t>
      </w:r>
      <w:r>
        <w:rPr>
          <w:rFonts w:ascii="Times New Roman" w:hAnsi="Times New Roman" w:eastAsia="宋体" w:cs="Times New Roman"/>
          <w:color w:val="auto"/>
          <w:szCs w:val="20"/>
          <w:highlight w:val="none"/>
        </w:rPr>
        <w:t>则</w:t>
      </w:r>
      <w:r>
        <w:rPr>
          <w:rFonts w:hint="eastAsia" w:ascii="Times New Roman" w:hAnsi="Times New Roman" w:eastAsia="宋体" w:cs="Times New Roman"/>
          <w:color w:val="auto"/>
          <w:szCs w:val="20"/>
          <w:highlight w:val="none"/>
        </w:rPr>
        <w:t>石粉中泥渣量为376t/a。</w:t>
      </w:r>
      <w:r>
        <w:rPr>
          <w:rFonts w:hint="eastAsia" w:ascii="Times New Roman" w:hAnsi="Times New Roman" w:eastAsia="宋体"/>
          <w:color w:val="auto"/>
          <w:highlight w:val="none"/>
        </w:rPr>
        <w:t>洗砂过程定期清理洗砂池和处理废水过程产生洗砂泥饼，</w:t>
      </w:r>
      <w:r>
        <w:rPr>
          <w:rFonts w:hint="eastAsia" w:ascii="Times New Roman" w:hAnsi="Times New Roman" w:eastAsia="宋体" w:cs="Times New Roman"/>
          <w:color w:val="auto"/>
          <w:szCs w:val="20"/>
          <w:highlight w:val="none"/>
        </w:rPr>
        <w:t>泥饼</w:t>
      </w:r>
      <w:r>
        <w:rPr>
          <w:rFonts w:ascii="Times New Roman" w:hAnsi="Times New Roman" w:eastAsia="宋体" w:cs="Times New Roman"/>
          <w:color w:val="auto"/>
          <w:szCs w:val="20"/>
          <w:highlight w:val="none"/>
        </w:rPr>
        <w:t>含水率按</w:t>
      </w:r>
      <w:r>
        <w:rPr>
          <w:rFonts w:hint="eastAsia" w:ascii="Times New Roman" w:hAnsi="Times New Roman" w:eastAsia="宋体" w:cs="Times New Roman"/>
          <w:color w:val="auto"/>
          <w:szCs w:val="20"/>
          <w:highlight w:val="none"/>
        </w:rPr>
        <w:t>2</w:t>
      </w:r>
      <w:r>
        <w:rPr>
          <w:rFonts w:ascii="Times New Roman" w:hAnsi="Times New Roman" w:eastAsia="宋体" w:cs="Times New Roman"/>
          <w:color w:val="auto"/>
          <w:szCs w:val="20"/>
          <w:highlight w:val="none"/>
        </w:rPr>
        <w:t>0</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计算，</w:t>
      </w:r>
      <w:r>
        <w:rPr>
          <w:rFonts w:hint="eastAsia" w:ascii="Times New Roman" w:hAnsi="Times New Roman" w:eastAsia="宋体" w:cs="Times New Roman"/>
          <w:color w:val="auto"/>
          <w:szCs w:val="20"/>
          <w:highlight w:val="none"/>
        </w:rPr>
        <w:t>洗砂洗砂泥饼</w:t>
      </w:r>
      <w:r>
        <w:rPr>
          <w:rFonts w:ascii="Times New Roman" w:hAnsi="Times New Roman" w:eastAsia="宋体" w:cs="Times New Roman"/>
          <w:color w:val="auto"/>
          <w:szCs w:val="20"/>
          <w:highlight w:val="none"/>
        </w:rPr>
        <w:t>产量为</w:t>
      </w:r>
      <w:r>
        <w:rPr>
          <w:rFonts w:hint="eastAsia" w:ascii="Times New Roman" w:hAnsi="Times New Roman" w:eastAsia="宋体" w:cs="Times New Roman"/>
          <w:color w:val="auto"/>
          <w:szCs w:val="20"/>
          <w:highlight w:val="none"/>
        </w:rPr>
        <w:t>470</w:t>
      </w:r>
      <w:r>
        <w:rPr>
          <w:rFonts w:ascii="Times New Roman" w:hAnsi="Times New Roman" w:eastAsia="宋体" w:cs="Times New Roman"/>
          <w:color w:val="auto"/>
          <w:szCs w:val="20"/>
          <w:highlight w:val="none"/>
        </w:rPr>
        <w:t>t/a</w:t>
      </w:r>
      <w:r>
        <w:rPr>
          <w:rFonts w:hint="eastAsia" w:ascii="Times New Roman" w:hAnsi="Times New Roman" w:eastAsia="宋体" w:cs="Times New Roman"/>
          <w:color w:val="auto"/>
          <w:szCs w:val="20"/>
          <w:highlight w:val="none"/>
        </w:rPr>
        <w:t>，经收集后外卖砖厂。</w:t>
      </w:r>
    </w:p>
    <w:p>
      <w:pPr>
        <w:numPr>
          <w:ilvl w:val="0"/>
          <w:numId w:val="6"/>
        </w:numPr>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机修维修固体废物</w:t>
      </w:r>
    </w:p>
    <w:p>
      <w:pPr>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项目矿山机械设备维修时产生废零件0.5t/a，废机油0.02t/a，废含油抹布0.005t/a。根据《国家危险废物名录》（2016年版，2016年8月1日起施行），废机油属于名录中“HW08废矿物油与含矿物油废物/非特定行业/900-214-08/车辆、机械维修和拆解过程中产生的废发动机油、制动器油、自动变速器油、齿轮油等废润滑油”所列</w:t>
      </w:r>
      <w:r>
        <w:rPr>
          <w:rFonts w:hint="eastAsia" w:cs="Times New Roman"/>
          <w:color w:val="auto"/>
          <w:szCs w:val="20"/>
          <w:highlight w:val="none"/>
          <w:lang w:val="en-US" w:eastAsia="zh-CN"/>
        </w:rPr>
        <w:t>危险废物</w:t>
      </w:r>
      <w:r>
        <w:rPr>
          <w:rFonts w:hint="eastAsia" w:cs="Times New Roman"/>
          <w:color w:val="auto"/>
          <w:szCs w:val="20"/>
          <w:highlight w:val="none"/>
          <w:lang w:eastAsia="zh-CN"/>
        </w:rPr>
        <w:t>，</w:t>
      </w:r>
      <w:r>
        <w:rPr>
          <w:rFonts w:ascii="Times New Roman" w:hAnsi="Times New Roman" w:eastAsia="宋体" w:cs="Times New Roman"/>
          <w:color w:val="auto"/>
          <w:szCs w:val="20"/>
          <w:highlight w:val="none"/>
        </w:rPr>
        <w:t>应按危险废物管理</w:t>
      </w:r>
      <w:r>
        <w:rPr>
          <w:rFonts w:hint="eastAsia" w:cs="Times New Roman"/>
          <w:color w:val="auto"/>
          <w:szCs w:val="20"/>
          <w:highlight w:val="none"/>
          <w:lang w:eastAsia="zh-CN"/>
        </w:rPr>
        <w:t>。</w:t>
      </w:r>
      <w:r>
        <w:rPr>
          <w:rFonts w:ascii="Times New Roman" w:hAnsi="Times New Roman" w:eastAsia="宋体" w:cs="Times New Roman"/>
          <w:color w:val="auto"/>
          <w:szCs w:val="20"/>
          <w:highlight w:val="none"/>
        </w:rPr>
        <w:t>废含油抹布属于名录中“HW49其它废物/非特定行业/900-041-49/含有或直接沾染危险废物的废弃包装物、容器、清洗杂物”所列废弃清洗杂物，</w:t>
      </w:r>
      <w:r>
        <w:rPr>
          <w:rFonts w:hint="eastAsia" w:cs="Times New Roman"/>
          <w:color w:val="auto"/>
          <w:szCs w:val="20"/>
          <w:highlight w:val="none"/>
          <w:lang w:val="en-US" w:eastAsia="zh-CN"/>
        </w:rPr>
        <w:t>其列入危险废物豁免清单，可混入生活垃圾</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废零件属于一般性固体废物，收集后外卖给废品回收公司；废机油和废含油抹布收集后存放于机械维修间。</w:t>
      </w:r>
    </w:p>
    <w:p>
      <w:pPr>
        <w:numPr>
          <w:ilvl w:val="0"/>
          <w:numId w:val="6"/>
        </w:numPr>
        <w:ind w:firstLine="480"/>
        <w:rPr>
          <w:rFonts w:ascii="Times New Roman" w:hAnsi="Times New Roman" w:eastAsia="宋体"/>
          <w:color w:val="auto"/>
          <w:highlight w:val="none"/>
        </w:rPr>
      </w:pPr>
      <w:r>
        <w:rPr>
          <w:rFonts w:ascii="Times New Roman" w:hAnsi="Times New Roman" w:eastAsia="宋体"/>
          <w:color w:val="auto"/>
          <w:highlight w:val="none"/>
        </w:rPr>
        <w:t>生活垃圾</w:t>
      </w:r>
    </w:p>
    <w:p>
      <w:pPr>
        <w:ind w:firstLine="480"/>
        <w:rPr>
          <w:rFonts w:ascii="Times New Roman" w:hAnsi="Times New Roman" w:eastAsia="宋体" w:cs="Times New Roman"/>
          <w:bCs/>
          <w:color w:val="auto"/>
          <w:kern w:val="0"/>
          <w:szCs w:val="20"/>
          <w:highlight w:val="none"/>
        </w:rPr>
      </w:pPr>
      <w:r>
        <w:rPr>
          <w:rFonts w:ascii="Times New Roman" w:hAnsi="Times New Roman" w:eastAsia="宋体" w:cs="Times New Roman"/>
          <w:bCs/>
          <w:color w:val="auto"/>
          <w:kern w:val="0"/>
          <w:szCs w:val="20"/>
          <w:highlight w:val="none"/>
        </w:rPr>
        <w:t>项目职工人数</w:t>
      </w:r>
      <w:r>
        <w:rPr>
          <w:rFonts w:hint="eastAsia" w:ascii="Times New Roman" w:hAnsi="Times New Roman" w:eastAsia="宋体" w:cs="Times New Roman"/>
          <w:bCs/>
          <w:color w:val="auto"/>
          <w:kern w:val="0"/>
          <w:szCs w:val="20"/>
          <w:highlight w:val="none"/>
        </w:rPr>
        <w:t>15</w:t>
      </w:r>
      <w:r>
        <w:rPr>
          <w:rFonts w:ascii="Times New Roman" w:hAnsi="Times New Roman" w:eastAsia="宋体" w:cs="Times New Roman"/>
          <w:bCs/>
          <w:color w:val="auto"/>
          <w:kern w:val="0"/>
          <w:szCs w:val="20"/>
          <w:highlight w:val="none"/>
        </w:rPr>
        <w:t>人，均在厂内食宿，生活垃圾产生量按1.0kg/人·d计算，则生活垃圾产生量为</w:t>
      </w:r>
      <w:r>
        <w:rPr>
          <w:rFonts w:hint="eastAsia" w:ascii="Times New Roman" w:hAnsi="Times New Roman" w:eastAsia="宋体" w:cs="Times New Roman"/>
          <w:bCs/>
          <w:color w:val="auto"/>
          <w:kern w:val="0"/>
          <w:szCs w:val="20"/>
          <w:highlight w:val="none"/>
        </w:rPr>
        <w:t>15</w:t>
      </w:r>
      <w:r>
        <w:rPr>
          <w:rFonts w:ascii="Times New Roman" w:hAnsi="Times New Roman" w:eastAsia="宋体" w:cs="Times New Roman"/>
          <w:bCs/>
          <w:color w:val="auto"/>
          <w:kern w:val="0"/>
          <w:szCs w:val="20"/>
          <w:highlight w:val="none"/>
        </w:rPr>
        <w:t>kg/d（</w:t>
      </w:r>
      <w:r>
        <w:rPr>
          <w:rFonts w:hint="eastAsia" w:ascii="Times New Roman" w:hAnsi="Times New Roman" w:eastAsia="宋体" w:cs="Times New Roman"/>
          <w:bCs/>
          <w:color w:val="auto"/>
          <w:kern w:val="0"/>
          <w:szCs w:val="20"/>
          <w:highlight w:val="none"/>
        </w:rPr>
        <w:t>4.</w:t>
      </w:r>
      <w:r>
        <w:rPr>
          <w:rFonts w:ascii="Times New Roman" w:hAnsi="Times New Roman" w:eastAsia="宋体" w:cs="Times New Roman"/>
          <w:bCs/>
          <w:color w:val="auto"/>
          <w:kern w:val="0"/>
          <w:szCs w:val="20"/>
          <w:highlight w:val="none"/>
        </w:rPr>
        <w:t>5t/a）。生活垃圾</w:t>
      </w:r>
      <w:r>
        <w:rPr>
          <w:rFonts w:ascii="Times New Roman" w:hAnsi="Times New Roman" w:eastAsia="宋体" w:cs="Times New Roman"/>
          <w:color w:val="auto"/>
          <w:szCs w:val="24"/>
          <w:highlight w:val="none"/>
        </w:rPr>
        <w:t>收集后由环卫部门处理</w:t>
      </w:r>
      <w:r>
        <w:rPr>
          <w:rFonts w:ascii="Times New Roman" w:hAnsi="Times New Roman" w:eastAsia="宋体" w:cs="Times New Roman"/>
          <w:bCs/>
          <w:color w:val="auto"/>
          <w:kern w:val="0"/>
          <w:szCs w:val="20"/>
          <w:highlight w:val="none"/>
        </w:rPr>
        <w:t>。</w:t>
      </w:r>
    </w:p>
    <w:p>
      <w:pPr>
        <w:ind w:firstLine="460" w:firstLineChars="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项目</w:t>
      </w:r>
      <w:r>
        <w:rPr>
          <w:rFonts w:hint="eastAsia" w:ascii="Times New Roman" w:hAnsi="Times New Roman" w:eastAsia="宋体" w:cs="Times New Roman"/>
          <w:color w:val="auto"/>
          <w:szCs w:val="20"/>
          <w:highlight w:val="none"/>
        </w:rPr>
        <w:t>固体废物</w:t>
      </w:r>
      <w:r>
        <w:rPr>
          <w:rFonts w:ascii="Times New Roman" w:hAnsi="Times New Roman" w:eastAsia="宋体" w:cs="Times New Roman"/>
          <w:color w:val="auto"/>
          <w:szCs w:val="20"/>
          <w:highlight w:val="none"/>
        </w:rPr>
        <w:t>产生情况统计见表2.</w:t>
      </w:r>
      <w:r>
        <w:rPr>
          <w:rFonts w:hint="eastAsia" w:ascii="Times New Roman" w:hAnsi="Times New Roman" w:eastAsia="宋体" w:cs="Times New Roman"/>
          <w:color w:val="auto"/>
          <w:szCs w:val="20"/>
          <w:highlight w:val="none"/>
        </w:rPr>
        <w:t>2</w:t>
      </w:r>
      <w:r>
        <w:rPr>
          <w:rFonts w:ascii="Times New Roman" w:hAnsi="Times New Roman" w:eastAsia="宋体" w:cs="Times New Roman"/>
          <w:color w:val="auto"/>
          <w:szCs w:val="20"/>
          <w:highlight w:val="none"/>
        </w:rPr>
        <w:t>-1</w:t>
      </w:r>
      <w:r>
        <w:rPr>
          <w:rFonts w:hint="eastAsia" w:cs="Times New Roman"/>
          <w:color w:val="auto"/>
          <w:szCs w:val="20"/>
          <w:highlight w:val="none"/>
          <w:lang w:val="en-US" w:eastAsia="zh-CN"/>
        </w:rPr>
        <w:t>2</w:t>
      </w:r>
      <w:r>
        <w:rPr>
          <w:rFonts w:ascii="Times New Roman" w:hAnsi="Times New Roman" w:eastAsia="宋体" w:cs="Times New Roman"/>
          <w:color w:val="auto"/>
          <w:szCs w:val="20"/>
          <w:highlight w:val="none"/>
        </w:rPr>
        <w:t>。</w:t>
      </w:r>
    </w:p>
    <w:p>
      <w:pPr>
        <w:spacing w:line="240" w:lineRule="auto"/>
        <w:ind w:firstLine="0" w:firstLineChars="0"/>
        <w:jc w:val="center"/>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4"/>
          <w:highlight w:val="none"/>
        </w:rPr>
        <w:t>表2.</w:t>
      </w:r>
      <w:r>
        <w:rPr>
          <w:rFonts w:hint="eastAsia" w:ascii="Times New Roman" w:hAnsi="Times New Roman" w:eastAsia="宋体" w:cs="Times New Roman"/>
          <w:b/>
          <w:color w:val="auto"/>
          <w:szCs w:val="24"/>
          <w:highlight w:val="none"/>
        </w:rPr>
        <w:t>2</w:t>
      </w:r>
      <w:r>
        <w:rPr>
          <w:rFonts w:ascii="Times New Roman" w:hAnsi="Times New Roman" w:eastAsia="宋体" w:cs="Times New Roman"/>
          <w:b/>
          <w:color w:val="auto"/>
          <w:szCs w:val="24"/>
          <w:highlight w:val="none"/>
        </w:rPr>
        <w:t>-1</w:t>
      </w:r>
      <w:r>
        <w:rPr>
          <w:rFonts w:hint="eastAsia" w:cs="Times New Roman"/>
          <w:b/>
          <w:color w:val="auto"/>
          <w:szCs w:val="24"/>
          <w:highlight w:val="none"/>
          <w:lang w:val="en-US" w:eastAsia="zh-CN"/>
        </w:rPr>
        <w:t>2</w:t>
      </w:r>
      <w:r>
        <w:rPr>
          <w:rFonts w:ascii="Times New Roman" w:hAnsi="Times New Roman" w:eastAsia="宋体" w:cs="Times New Roman"/>
          <w:b/>
          <w:color w:val="auto"/>
          <w:szCs w:val="24"/>
          <w:highlight w:val="none"/>
        </w:rPr>
        <w:t xml:space="preserve"> 项目固体废物产生情况表</w:t>
      </w:r>
    </w:p>
    <w:tbl>
      <w:tblPr>
        <w:tblStyle w:val="48"/>
        <w:tblW w:w="9146" w:type="dxa"/>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561"/>
        <w:gridCol w:w="1042"/>
        <w:gridCol w:w="1205"/>
        <w:gridCol w:w="1160"/>
        <w:gridCol w:w="708"/>
        <w:gridCol w:w="1269"/>
        <w:gridCol w:w="1996"/>
        <w:gridCol w:w="1205"/>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trPr>
        <w:tc>
          <w:tcPr>
            <w:tcW w:w="561" w:type="dxa"/>
            <w:noWrap w:val="0"/>
            <w:tcMar>
              <w:top w:w="0" w:type="dxa"/>
              <w:left w:w="57" w:type="dxa"/>
              <w:bottom w:w="0" w:type="dxa"/>
              <w:right w:w="57" w:type="dxa"/>
            </w:tcMar>
            <w:vAlign w:val="center"/>
          </w:tcPr>
          <w:p>
            <w:pPr>
              <w:tabs>
                <w:tab w:val="center" w:pos="4153"/>
                <w:tab w:val="right" w:pos="8306"/>
              </w:tabs>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序号</w:t>
            </w:r>
          </w:p>
        </w:tc>
        <w:tc>
          <w:tcPr>
            <w:tcW w:w="1042" w:type="dxa"/>
            <w:noWrap w:val="0"/>
            <w:tcMar>
              <w:top w:w="0" w:type="dxa"/>
              <w:left w:w="57" w:type="dxa"/>
              <w:bottom w:w="0" w:type="dxa"/>
              <w:right w:w="57" w:type="dxa"/>
            </w:tcMar>
            <w:vAlign w:val="center"/>
          </w:tcPr>
          <w:p>
            <w:pPr>
              <w:tabs>
                <w:tab w:val="center" w:pos="4153"/>
                <w:tab w:val="right" w:pos="8306"/>
              </w:tabs>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hint="eastAsia" w:ascii="Times New Roman" w:hAnsi="Times New Roman" w:eastAsia="宋体" w:cs="Times New Roman"/>
                <w:b/>
                <w:color w:val="auto"/>
                <w:kern w:val="0"/>
                <w:sz w:val="21"/>
                <w:highlight w:val="none"/>
              </w:rPr>
              <w:t>固废属性</w:t>
            </w:r>
          </w:p>
        </w:tc>
        <w:tc>
          <w:tcPr>
            <w:tcW w:w="1205" w:type="dxa"/>
            <w:noWrap w:val="0"/>
            <w:tcMar>
              <w:top w:w="0" w:type="dxa"/>
              <w:left w:w="57" w:type="dxa"/>
              <w:bottom w:w="0" w:type="dxa"/>
              <w:right w:w="57" w:type="dxa"/>
            </w:tcMar>
            <w:vAlign w:val="center"/>
          </w:tcPr>
          <w:p>
            <w:pPr>
              <w:tabs>
                <w:tab w:val="center" w:pos="4153"/>
                <w:tab w:val="right" w:pos="8306"/>
              </w:tabs>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名称</w:t>
            </w:r>
          </w:p>
        </w:tc>
        <w:tc>
          <w:tcPr>
            <w:tcW w:w="1160" w:type="dxa"/>
            <w:noWrap w:val="0"/>
            <w:tcMar>
              <w:top w:w="0" w:type="dxa"/>
              <w:left w:w="57" w:type="dxa"/>
              <w:bottom w:w="0" w:type="dxa"/>
              <w:right w:w="57" w:type="dxa"/>
            </w:tcMar>
            <w:vAlign w:val="center"/>
          </w:tcPr>
          <w:p>
            <w:pPr>
              <w:tabs>
                <w:tab w:val="center" w:pos="4153"/>
                <w:tab w:val="right" w:pos="8306"/>
              </w:tabs>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产生环节</w:t>
            </w:r>
          </w:p>
        </w:tc>
        <w:tc>
          <w:tcPr>
            <w:tcW w:w="708" w:type="dxa"/>
            <w:noWrap w:val="0"/>
            <w:tcMar>
              <w:top w:w="0" w:type="dxa"/>
              <w:left w:w="57" w:type="dxa"/>
              <w:bottom w:w="0" w:type="dxa"/>
              <w:right w:w="57" w:type="dxa"/>
            </w:tcMar>
            <w:vAlign w:val="center"/>
          </w:tcPr>
          <w:p>
            <w:pPr>
              <w:tabs>
                <w:tab w:val="center" w:pos="4153"/>
                <w:tab w:val="right" w:pos="8306"/>
              </w:tabs>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形态</w:t>
            </w:r>
          </w:p>
        </w:tc>
        <w:tc>
          <w:tcPr>
            <w:tcW w:w="1269" w:type="dxa"/>
            <w:noWrap w:val="0"/>
            <w:tcMar>
              <w:top w:w="0" w:type="dxa"/>
              <w:left w:w="57" w:type="dxa"/>
              <w:bottom w:w="0" w:type="dxa"/>
              <w:right w:w="57" w:type="dxa"/>
            </w:tcMar>
            <w:vAlign w:val="center"/>
          </w:tcPr>
          <w:p>
            <w:pPr>
              <w:tabs>
                <w:tab w:val="center" w:pos="4153"/>
                <w:tab w:val="right" w:pos="8306"/>
              </w:tabs>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主要成份</w:t>
            </w:r>
          </w:p>
        </w:tc>
        <w:tc>
          <w:tcPr>
            <w:tcW w:w="1996" w:type="dxa"/>
            <w:noWrap w:val="0"/>
            <w:tcMar>
              <w:top w:w="0" w:type="dxa"/>
              <w:left w:w="57" w:type="dxa"/>
              <w:bottom w:w="0" w:type="dxa"/>
              <w:right w:w="57" w:type="dxa"/>
            </w:tcMar>
            <w:vAlign w:val="center"/>
          </w:tcPr>
          <w:p>
            <w:pPr>
              <w:tabs>
                <w:tab w:val="center" w:pos="4153"/>
                <w:tab w:val="right" w:pos="8306"/>
              </w:tabs>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处理措施</w:t>
            </w:r>
          </w:p>
        </w:tc>
        <w:tc>
          <w:tcPr>
            <w:tcW w:w="1205" w:type="dxa"/>
            <w:noWrap w:val="0"/>
            <w:tcMar>
              <w:top w:w="0" w:type="dxa"/>
              <w:left w:w="57" w:type="dxa"/>
              <w:bottom w:w="0" w:type="dxa"/>
              <w:right w:w="57" w:type="dxa"/>
            </w:tcMar>
            <w:vAlign w:val="center"/>
          </w:tcPr>
          <w:p>
            <w:pPr>
              <w:tabs>
                <w:tab w:val="center" w:pos="4153"/>
                <w:tab w:val="right" w:pos="8306"/>
              </w:tabs>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产生量（t/a）</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trPr>
        <w:tc>
          <w:tcPr>
            <w:tcW w:w="561"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042" w:type="dxa"/>
            <w:vMerge w:val="restart"/>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一般</w:t>
            </w:r>
            <w:r>
              <w:rPr>
                <w:rFonts w:hint="eastAsia" w:ascii="Times New Roman" w:hAnsi="Times New Roman" w:eastAsia="宋体" w:cs="Times New Roman"/>
                <w:color w:val="auto"/>
                <w:sz w:val="21"/>
                <w:highlight w:val="none"/>
              </w:rPr>
              <w:t>工业</w:t>
            </w:r>
            <w:r>
              <w:rPr>
                <w:rFonts w:ascii="Times New Roman" w:hAnsi="Times New Roman" w:eastAsia="宋体" w:cs="Times New Roman"/>
                <w:color w:val="auto"/>
                <w:sz w:val="21"/>
                <w:highlight w:val="none"/>
              </w:rPr>
              <w:t>固体废物</w:t>
            </w:r>
          </w:p>
        </w:tc>
        <w:tc>
          <w:tcPr>
            <w:tcW w:w="1205"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表土</w:t>
            </w:r>
          </w:p>
        </w:tc>
        <w:tc>
          <w:tcPr>
            <w:tcW w:w="1160" w:type="dxa"/>
            <w:noWrap w:val="0"/>
            <w:tcMar>
              <w:top w:w="0" w:type="dxa"/>
              <w:left w:w="57" w:type="dxa"/>
              <w:bottom w:w="0" w:type="dxa"/>
              <w:right w:w="57"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表土剥离</w:t>
            </w:r>
          </w:p>
        </w:tc>
        <w:tc>
          <w:tcPr>
            <w:tcW w:w="708"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固态</w:t>
            </w:r>
          </w:p>
        </w:tc>
        <w:tc>
          <w:tcPr>
            <w:tcW w:w="1269"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泥土、砂石</w:t>
            </w:r>
          </w:p>
        </w:tc>
        <w:tc>
          <w:tcPr>
            <w:tcW w:w="1996" w:type="dxa"/>
            <w:vMerge w:val="restart"/>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left"/>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全部用于矿区道路平整</w:t>
            </w:r>
          </w:p>
        </w:tc>
        <w:tc>
          <w:tcPr>
            <w:tcW w:w="1205"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trPr>
        <w:tc>
          <w:tcPr>
            <w:tcW w:w="561"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1042" w:type="dxa"/>
            <w:vMerge w:val="continue"/>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05"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废土石渣</w:t>
            </w:r>
          </w:p>
        </w:tc>
        <w:tc>
          <w:tcPr>
            <w:tcW w:w="1160" w:type="dxa"/>
            <w:noWrap w:val="0"/>
            <w:tcMar>
              <w:top w:w="0" w:type="dxa"/>
              <w:left w:w="57" w:type="dxa"/>
              <w:bottom w:w="0" w:type="dxa"/>
              <w:right w:w="57"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表土剥离</w:t>
            </w:r>
          </w:p>
        </w:tc>
        <w:tc>
          <w:tcPr>
            <w:tcW w:w="708"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固态</w:t>
            </w:r>
          </w:p>
        </w:tc>
        <w:tc>
          <w:tcPr>
            <w:tcW w:w="1269"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泥土、砂石</w:t>
            </w:r>
          </w:p>
        </w:tc>
        <w:tc>
          <w:tcPr>
            <w:tcW w:w="1996" w:type="dxa"/>
            <w:vMerge w:val="continue"/>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left"/>
              <w:rPr>
                <w:rFonts w:ascii="Times New Roman" w:hAnsi="Times New Roman" w:eastAsia="宋体" w:cs="Times New Roman"/>
                <w:color w:val="auto"/>
                <w:sz w:val="21"/>
                <w:highlight w:val="none"/>
              </w:rPr>
            </w:pPr>
          </w:p>
        </w:tc>
        <w:tc>
          <w:tcPr>
            <w:tcW w:w="1205"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trPr>
        <w:tc>
          <w:tcPr>
            <w:tcW w:w="561"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1042" w:type="dxa"/>
            <w:vMerge w:val="continue"/>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05"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洗砂泥饼</w:t>
            </w:r>
          </w:p>
        </w:tc>
        <w:tc>
          <w:tcPr>
            <w:tcW w:w="1160" w:type="dxa"/>
            <w:noWrap w:val="0"/>
            <w:tcMar>
              <w:top w:w="0" w:type="dxa"/>
              <w:left w:w="57" w:type="dxa"/>
              <w:bottom w:w="0" w:type="dxa"/>
              <w:right w:w="57" w:type="dxa"/>
            </w:tcMar>
            <w:vAlign w:val="center"/>
          </w:tcPr>
          <w:p>
            <w:pPr>
              <w:topLinePunct/>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水洗砂</w:t>
            </w:r>
          </w:p>
        </w:tc>
        <w:tc>
          <w:tcPr>
            <w:tcW w:w="708"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固态</w:t>
            </w:r>
          </w:p>
        </w:tc>
        <w:tc>
          <w:tcPr>
            <w:tcW w:w="1269"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泥</w:t>
            </w:r>
            <w:r>
              <w:rPr>
                <w:rFonts w:hint="eastAsia" w:ascii="Times New Roman" w:hAnsi="Times New Roman" w:eastAsia="宋体" w:cs="Times New Roman"/>
                <w:color w:val="auto"/>
                <w:kern w:val="0"/>
                <w:sz w:val="21"/>
                <w:highlight w:val="none"/>
              </w:rPr>
              <w:t>渣</w:t>
            </w:r>
          </w:p>
        </w:tc>
        <w:tc>
          <w:tcPr>
            <w:tcW w:w="1996"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外卖砖厂</w:t>
            </w:r>
          </w:p>
        </w:tc>
        <w:tc>
          <w:tcPr>
            <w:tcW w:w="1205"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470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trPr>
        <w:tc>
          <w:tcPr>
            <w:tcW w:w="561"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042" w:type="dxa"/>
            <w:vMerge w:val="continue"/>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05"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废零件</w:t>
            </w:r>
          </w:p>
        </w:tc>
        <w:tc>
          <w:tcPr>
            <w:tcW w:w="1160" w:type="dxa"/>
            <w:noWrap w:val="0"/>
            <w:tcMar>
              <w:top w:w="0" w:type="dxa"/>
              <w:left w:w="57" w:type="dxa"/>
              <w:bottom w:w="0" w:type="dxa"/>
              <w:right w:w="57"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机械维修</w:t>
            </w:r>
          </w:p>
        </w:tc>
        <w:tc>
          <w:tcPr>
            <w:tcW w:w="708"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固态</w:t>
            </w:r>
          </w:p>
        </w:tc>
        <w:tc>
          <w:tcPr>
            <w:tcW w:w="1269"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废金属</w:t>
            </w:r>
          </w:p>
        </w:tc>
        <w:tc>
          <w:tcPr>
            <w:tcW w:w="1996"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统一收集外卖</w:t>
            </w:r>
          </w:p>
        </w:tc>
        <w:tc>
          <w:tcPr>
            <w:tcW w:w="1205"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trPr>
        <w:tc>
          <w:tcPr>
            <w:tcW w:w="561"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w:t>
            </w:r>
          </w:p>
        </w:tc>
        <w:tc>
          <w:tcPr>
            <w:tcW w:w="1042" w:type="dxa"/>
            <w:vMerge w:val="restart"/>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危险废物</w:t>
            </w:r>
          </w:p>
        </w:tc>
        <w:tc>
          <w:tcPr>
            <w:tcW w:w="1205"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废含油抹布</w:t>
            </w:r>
          </w:p>
        </w:tc>
        <w:tc>
          <w:tcPr>
            <w:tcW w:w="1160" w:type="dxa"/>
            <w:noWrap w:val="0"/>
            <w:tcMar>
              <w:top w:w="0" w:type="dxa"/>
              <w:left w:w="57" w:type="dxa"/>
              <w:bottom w:w="0" w:type="dxa"/>
              <w:right w:w="57"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机械维修</w:t>
            </w:r>
          </w:p>
        </w:tc>
        <w:tc>
          <w:tcPr>
            <w:tcW w:w="708"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固态</w:t>
            </w:r>
          </w:p>
        </w:tc>
        <w:tc>
          <w:tcPr>
            <w:tcW w:w="1269"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抹布</w:t>
            </w:r>
          </w:p>
        </w:tc>
        <w:tc>
          <w:tcPr>
            <w:tcW w:w="1996" w:type="dxa"/>
            <w:vMerge w:val="restart"/>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left"/>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收集后存放于机械维修间</w:t>
            </w:r>
          </w:p>
        </w:tc>
        <w:tc>
          <w:tcPr>
            <w:tcW w:w="1205"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trPr>
        <w:tc>
          <w:tcPr>
            <w:tcW w:w="561"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w:t>
            </w:r>
          </w:p>
        </w:tc>
        <w:tc>
          <w:tcPr>
            <w:tcW w:w="1042" w:type="dxa"/>
            <w:vMerge w:val="continue"/>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05"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废机油</w:t>
            </w:r>
          </w:p>
        </w:tc>
        <w:tc>
          <w:tcPr>
            <w:tcW w:w="1160" w:type="dxa"/>
            <w:noWrap w:val="0"/>
            <w:tcMar>
              <w:top w:w="0" w:type="dxa"/>
              <w:left w:w="57" w:type="dxa"/>
              <w:bottom w:w="0" w:type="dxa"/>
              <w:right w:w="57"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机械维修</w:t>
            </w:r>
          </w:p>
        </w:tc>
        <w:tc>
          <w:tcPr>
            <w:tcW w:w="708"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液态</w:t>
            </w:r>
          </w:p>
        </w:tc>
        <w:tc>
          <w:tcPr>
            <w:tcW w:w="1269"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石油类</w:t>
            </w:r>
          </w:p>
        </w:tc>
        <w:tc>
          <w:tcPr>
            <w:tcW w:w="1996" w:type="dxa"/>
            <w:vMerge w:val="continue"/>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1205"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trPr>
        <w:tc>
          <w:tcPr>
            <w:tcW w:w="561"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w:t>
            </w:r>
          </w:p>
        </w:tc>
        <w:tc>
          <w:tcPr>
            <w:tcW w:w="2247" w:type="dxa"/>
            <w:gridSpan w:val="2"/>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生活垃圾</w:t>
            </w:r>
          </w:p>
        </w:tc>
        <w:tc>
          <w:tcPr>
            <w:tcW w:w="1160" w:type="dxa"/>
            <w:noWrap w:val="0"/>
            <w:tcMar>
              <w:top w:w="0" w:type="dxa"/>
              <w:left w:w="57" w:type="dxa"/>
              <w:bottom w:w="0" w:type="dxa"/>
              <w:right w:w="57"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日常</w:t>
            </w:r>
          </w:p>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生活办公</w:t>
            </w:r>
          </w:p>
        </w:tc>
        <w:tc>
          <w:tcPr>
            <w:tcW w:w="708"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固态</w:t>
            </w:r>
          </w:p>
        </w:tc>
        <w:tc>
          <w:tcPr>
            <w:tcW w:w="1269"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纸张/废弃物</w:t>
            </w:r>
          </w:p>
        </w:tc>
        <w:tc>
          <w:tcPr>
            <w:tcW w:w="1996"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left"/>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收集后由环卫部门处理</w:t>
            </w:r>
          </w:p>
        </w:tc>
        <w:tc>
          <w:tcPr>
            <w:tcW w:w="1205"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w:t>
            </w:r>
            <w:r>
              <w:rPr>
                <w:rFonts w:ascii="Times New Roman" w:hAnsi="Times New Roman" w:eastAsia="宋体" w:cs="Times New Roman"/>
                <w:color w:val="auto"/>
                <w:sz w:val="21"/>
                <w:highlight w:val="none"/>
              </w:rPr>
              <w:t>5</w:t>
            </w:r>
          </w:p>
        </w:tc>
      </w:tr>
    </w:tbl>
    <w:p>
      <w:pPr>
        <w:ind w:firstLine="482"/>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5</w:t>
      </w:r>
      <w:r>
        <w:rPr>
          <w:rFonts w:hint="eastAsia" w:cs="Times New Roman"/>
          <w:b/>
          <w:bCs/>
          <w:color w:val="auto"/>
          <w:highlight w:val="none"/>
          <w:lang w:val="en-US" w:eastAsia="zh-CN"/>
        </w:rPr>
        <w:t>..</w:t>
      </w:r>
      <w:r>
        <w:rPr>
          <w:rFonts w:ascii="Times New Roman" w:hAnsi="Times New Roman" w:eastAsia="宋体" w:cs="Times New Roman"/>
          <w:b/>
          <w:bCs/>
          <w:color w:val="auto"/>
          <w:highlight w:val="none"/>
        </w:rPr>
        <w:t>污染物产排情况汇总</w:t>
      </w:r>
    </w:p>
    <w:p>
      <w:pPr>
        <w:ind w:firstLine="480"/>
        <w:rPr>
          <w:rFonts w:ascii="Times New Roman" w:hAnsi="Times New Roman" w:eastAsia="宋体" w:cs="Times New Roman"/>
          <w:color w:val="auto"/>
          <w:spacing w:val="-2"/>
          <w:kern w:val="0"/>
          <w:szCs w:val="24"/>
          <w:highlight w:val="none"/>
        </w:rPr>
      </w:pPr>
      <w:r>
        <w:rPr>
          <w:rFonts w:hint="eastAsia" w:ascii="Times New Roman" w:hAnsi="Times New Roman" w:eastAsia="宋体"/>
          <w:color w:val="auto"/>
          <w:highlight w:val="none"/>
        </w:rPr>
        <w:t>原海江采石场</w:t>
      </w:r>
      <w:r>
        <w:rPr>
          <w:rFonts w:ascii="Times New Roman" w:hAnsi="Times New Roman" w:eastAsia="宋体" w:cs="Times New Roman"/>
          <w:color w:val="auto"/>
          <w:spacing w:val="-2"/>
          <w:kern w:val="0"/>
          <w:szCs w:val="24"/>
          <w:highlight w:val="none"/>
        </w:rPr>
        <w:t>污染物排放情况详见表2.</w:t>
      </w:r>
      <w:r>
        <w:rPr>
          <w:rFonts w:hint="eastAsia" w:ascii="Times New Roman" w:hAnsi="Times New Roman" w:eastAsia="宋体" w:cs="Times New Roman"/>
          <w:color w:val="auto"/>
          <w:spacing w:val="-2"/>
          <w:kern w:val="0"/>
          <w:szCs w:val="24"/>
          <w:highlight w:val="none"/>
        </w:rPr>
        <w:t>2</w:t>
      </w:r>
      <w:r>
        <w:rPr>
          <w:rFonts w:ascii="Times New Roman" w:hAnsi="Times New Roman" w:eastAsia="宋体" w:cs="Times New Roman"/>
          <w:color w:val="auto"/>
          <w:spacing w:val="-2"/>
          <w:kern w:val="0"/>
          <w:szCs w:val="24"/>
          <w:highlight w:val="none"/>
        </w:rPr>
        <w:t>-1</w:t>
      </w:r>
      <w:r>
        <w:rPr>
          <w:rFonts w:hint="eastAsia" w:cs="Times New Roman"/>
          <w:color w:val="auto"/>
          <w:spacing w:val="-2"/>
          <w:kern w:val="0"/>
          <w:szCs w:val="24"/>
          <w:highlight w:val="none"/>
          <w:lang w:val="en-US" w:eastAsia="zh-CN"/>
        </w:rPr>
        <w:t>3</w:t>
      </w:r>
      <w:r>
        <w:rPr>
          <w:rFonts w:ascii="Times New Roman" w:hAnsi="Times New Roman" w:eastAsia="宋体" w:cs="Times New Roman"/>
          <w:color w:val="auto"/>
          <w:spacing w:val="-2"/>
          <w:kern w:val="0"/>
          <w:szCs w:val="24"/>
          <w:highlight w:val="none"/>
        </w:rPr>
        <w:t>。</w:t>
      </w:r>
    </w:p>
    <w:p>
      <w:pPr>
        <w:pStyle w:val="13"/>
        <w:rPr>
          <w:rFonts w:ascii="Times New Roman" w:hAnsi="Times New Roman" w:eastAsia="宋体"/>
          <w:color w:val="auto"/>
          <w:highlight w:val="none"/>
        </w:rPr>
      </w:pPr>
      <w:r>
        <w:rPr>
          <w:rFonts w:ascii="Times New Roman" w:hAnsi="Times New Roman" w:eastAsia="宋体"/>
          <w:color w:val="auto"/>
          <w:highlight w:val="none"/>
        </w:rPr>
        <w:t>表2.</w:t>
      </w:r>
      <w:r>
        <w:rPr>
          <w:rFonts w:hint="eastAsia" w:ascii="Times New Roman" w:hAnsi="Times New Roman" w:eastAsia="宋体"/>
          <w:color w:val="auto"/>
          <w:highlight w:val="none"/>
        </w:rPr>
        <w:t>2</w:t>
      </w:r>
      <w:r>
        <w:rPr>
          <w:rFonts w:ascii="Times New Roman" w:hAnsi="Times New Roman" w:eastAsia="宋体"/>
          <w:color w:val="auto"/>
          <w:highlight w:val="none"/>
        </w:rPr>
        <w:t>-1</w:t>
      </w:r>
      <w:r>
        <w:rPr>
          <w:rFonts w:hint="eastAsia"/>
          <w:color w:val="auto"/>
          <w:highlight w:val="none"/>
          <w:lang w:val="en-US" w:eastAsia="zh-CN"/>
        </w:rPr>
        <w:t>3</w:t>
      </w:r>
      <w:r>
        <w:rPr>
          <w:rFonts w:ascii="Times New Roman" w:hAnsi="Times New Roman" w:eastAsia="宋体"/>
          <w:color w:val="auto"/>
          <w:highlight w:val="none"/>
        </w:rPr>
        <w:t xml:space="preserve"> </w:t>
      </w:r>
      <w:r>
        <w:rPr>
          <w:rFonts w:hint="eastAsia" w:ascii="Times New Roman" w:hAnsi="Times New Roman" w:eastAsia="宋体"/>
          <w:color w:val="auto"/>
          <w:highlight w:val="none"/>
        </w:rPr>
        <w:t>原海江采石场</w:t>
      </w:r>
      <w:r>
        <w:rPr>
          <w:rFonts w:ascii="Times New Roman" w:hAnsi="Times New Roman" w:eastAsia="宋体"/>
          <w:color w:val="auto"/>
          <w:highlight w:val="none"/>
        </w:rPr>
        <w:t>主要污染物产排情况汇总一览表</w:t>
      </w:r>
    </w:p>
    <w:tbl>
      <w:tblPr>
        <w:tblStyle w:val="48"/>
        <w:tblW w:w="9093"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20"/>
        <w:gridCol w:w="1602"/>
        <w:gridCol w:w="1343"/>
        <w:gridCol w:w="1630"/>
        <w:gridCol w:w="1581"/>
        <w:gridCol w:w="221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类别</w:t>
            </w:r>
          </w:p>
        </w:tc>
        <w:tc>
          <w:tcPr>
            <w:tcW w:w="160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污染源</w:t>
            </w: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污染物</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产生量（t/a）</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削减量（t/a）</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排放量（t/a）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restar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废气</w:t>
            </w:r>
          </w:p>
        </w:tc>
        <w:tc>
          <w:tcPr>
            <w:tcW w:w="160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表土剥离</w:t>
            </w: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少量</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少量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凿岩钻孔</w:t>
            </w: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0.2</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r>
              <w:rPr>
                <w:rFonts w:hint="eastAsia" w:ascii="Times New Roman" w:hAnsi="Times New Roman" w:eastAsia="宋体" w:cs="Times New Roman"/>
                <w:color w:val="auto"/>
                <w:kern w:val="0"/>
                <w:sz w:val="21"/>
                <w:highlight w:val="none"/>
                <w:lang w:bidi="ar"/>
              </w:rPr>
              <w:t>18</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restar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爆破</w:t>
            </w: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0.444</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0.444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0.115</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0.115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4</w:t>
            </w:r>
            <w:r>
              <w:rPr>
                <w:rFonts w:hint="eastAsia" w:ascii="Times New Roman" w:hAnsi="Times New Roman" w:eastAsia="宋体" w:cs="Times New Roman"/>
                <w:color w:val="auto"/>
                <w:kern w:val="0"/>
                <w:sz w:val="21"/>
                <w:highlight w:val="none"/>
              </w:rPr>
              <w:t>.0</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4.</w:t>
            </w:r>
            <w:r>
              <w:rPr>
                <w:rFonts w:hint="eastAsia" w:ascii="Times New Roman" w:hAnsi="Times New Roman" w:eastAsia="宋体" w:cs="Times New Roman"/>
                <w:color w:val="auto"/>
                <w:kern w:val="0"/>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采装</w:t>
            </w: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5</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筛选破碎</w:t>
            </w: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w:t>
            </w:r>
            <w:r>
              <w:rPr>
                <w:rFonts w:hint="eastAsia" w:ascii="Times New Roman" w:hAnsi="Times New Roman" w:eastAsia="宋体" w:cs="Times New Roman"/>
                <w:color w:val="auto"/>
                <w:kern w:val="0"/>
                <w:sz w:val="21"/>
                <w:highlight w:val="none"/>
              </w:rPr>
              <w:t>2</w:t>
            </w:r>
            <w:r>
              <w:rPr>
                <w:rFonts w:ascii="Times New Roman" w:hAnsi="Times New Roman" w:eastAsia="宋体" w:cs="Times New Roman"/>
                <w:color w:val="auto"/>
                <w:kern w:val="0"/>
                <w:sz w:val="21"/>
                <w:highlight w:val="none"/>
              </w:rPr>
              <w:t>.5</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12.</w:t>
            </w:r>
            <w:r>
              <w:rPr>
                <w:rFonts w:ascii="Times New Roman" w:hAnsi="Times New Roman" w:eastAsia="宋体" w:cs="Times New Roman"/>
                <w:color w:val="auto"/>
                <w:kern w:val="0"/>
                <w:sz w:val="21"/>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w:t>
            </w: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25</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50</w:t>
            </w:r>
          </w:p>
        </w:tc>
        <w:tc>
          <w:tcPr>
            <w:tcW w:w="1581"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宋体" w:hAnsi="宋体" w:eastAsia="宋体" w:cs="宋体"/>
                <w:color w:val="auto"/>
                <w:sz w:val="21"/>
                <w:highlight w:val="none"/>
              </w:rPr>
              <w:t>①</w:t>
            </w: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1</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宋体" w:hAnsi="宋体" w:eastAsia="宋体" w:cs="宋体"/>
                <w:color w:val="auto"/>
                <w:sz w:val="21"/>
                <w:highlight w:val="none"/>
              </w:rPr>
              <w:t>②</w:t>
            </w: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③</w:t>
            </w: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④</w:t>
            </w: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临时排</w:t>
            </w:r>
            <w:r>
              <w:rPr>
                <w:rFonts w:ascii="Times New Roman" w:hAnsi="Times New Roman" w:eastAsia="宋体" w:cs="Times New Roman"/>
                <w:color w:val="auto"/>
                <w:sz w:val="21"/>
                <w:highlight w:val="none"/>
              </w:rPr>
              <w:t>土场</w:t>
            </w:r>
            <w:r>
              <w:rPr>
                <w:rFonts w:hint="eastAsia" w:ascii="Times New Roman" w:hAnsi="Times New Roman" w:eastAsia="宋体"/>
                <w:color w:val="auto"/>
                <w:sz w:val="21"/>
                <w:highlight w:val="none"/>
              </w:rPr>
              <w:t>①</w:t>
            </w: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落料</w:t>
            </w: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0.0</w:t>
            </w:r>
            <w:r>
              <w:rPr>
                <w:rFonts w:hint="eastAsia" w:ascii="Times New Roman" w:hAnsi="Times New Roman" w:eastAsia="宋体" w:cs="Times New Roman"/>
                <w:color w:val="auto"/>
                <w:kern w:val="0"/>
                <w:sz w:val="21"/>
                <w:highlight w:val="none"/>
              </w:rPr>
              <w:t>35</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0.0</w:t>
            </w:r>
            <w:r>
              <w:rPr>
                <w:rFonts w:hint="eastAsia" w:ascii="Times New Roman" w:hAnsi="Times New Roman" w:eastAsia="宋体" w:cs="Times New Roman"/>
                <w:color w:val="auto"/>
                <w:kern w:val="0"/>
                <w:sz w:val="21"/>
                <w:highlight w:val="none"/>
              </w:rPr>
              <w:t>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装卸</w:t>
            </w: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0.0</w:t>
            </w:r>
            <w:r>
              <w:rPr>
                <w:rFonts w:hint="eastAsia" w:ascii="Times New Roman" w:hAnsi="Times New Roman" w:eastAsia="宋体" w:cs="Times New Roman"/>
                <w:color w:val="auto"/>
                <w:kern w:val="0"/>
                <w:sz w:val="21"/>
                <w:highlight w:val="none"/>
              </w:rPr>
              <w:t>28</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0.0</w:t>
            </w:r>
            <w:r>
              <w:rPr>
                <w:rFonts w:hint="eastAsia" w:ascii="Times New Roman" w:hAnsi="Times New Roman" w:eastAsia="宋体" w:cs="Times New Roman"/>
                <w:color w:val="auto"/>
                <w:kern w:val="0"/>
                <w:sz w:val="21"/>
                <w:highlight w:val="none"/>
              </w:rPr>
              <w:t>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道路扬尘</w:t>
            </w: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0.1</w:t>
            </w:r>
            <w:r>
              <w:rPr>
                <w:rFonts w:hint="eastAsia" w:ascii="Times New Roman" w:hAnsi="Times New Roman" w:eastAsia="宋体" w:cs="Times New Roman"/>
                <w:color w:val="auto"/>
                <w:kern w:val="0"/>
                <w:sz w:val="21"/>
                <w:highlight w:val="none"/>
              </w:rPr>
              <w:t>47</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0.1</w:t>
            </w:r>
            <w:r>
              <w:rPr>
                <w:rFonts w:hint="eastAsia" w:ascii="Times New Roman" w:hAnsi="Times New Roman" w:eastAsia="宋体" w:cs="Times New Roman"/>
                <w:color w:val="auto"/>
                <w:kern w:val="0"/>
                <w:sz w:val="21"/>
                <w:highlight w:val="none"/>
              </w:rPr>
              <w:t>47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restar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汽车尾气</w:t>
            </w: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pacing w:val="2"/>
                <w:sz w:val="21"/>
                <w:highlight w:val="none"/>
              </w:rPr>
            </w:pPr>
            <w:r>
              <w:rPr>
                <w:rFonts w:ascii="Times New Roman" w:hAnsi="Times New Roman" w:eastAsia="宋体" w:cs="Times New Roman"/>
                <w:color w:val="auto"/>
                <w:spacing w:val="2"/>
                <w:sz w:val="21"/>
                <w:highlight w:val="none"/>
              </w:rPr>
              <w:t>CO</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0.064</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pacing w:val="2"/>
                <w:sz w:val="21"/>
                <w:highlight w:val="none"/>
              </w:rPr>
            </w:pPr>
            <w:r>
              <w:rPr>
                <w:rFonts w:ascii="Times New Roman" w:hAnsi="Times New Roman" w:eastAsia="宋体" w:cs="Times New Roman"/>
                <w:color w:val="auto"/>
                <w:spacing w:val="2"/>
                <w:sz w:val="21"/>
                <w:highlight w:val="none"/>
              </w:rPr>
              <w:t>HC</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0.02</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pacing w:val="2"/>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0.197</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restar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厨房</w:t>
            </w: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油烟</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0.004</w:t>
            </w:r>
            <w:r>
              <w:rPr>
                <w:rFonts w:hint="eastAsia" w:ascii="Times New Roman" w:hAnsi="Times New Roman" w:eastAsia="宋体" w:cs="Times New Roman"/>
                <w:bCs/>
                <w:color w:val="auto"/>
                <w:sz w:val="21"/>
                <w:highlight w:val="none"/>
              </w:rPr>
              <w:t>0</w:t>
            </w:r>
            <w:r>
              <w:rPr>
                <w:rFonts w:ascii="Times New Roman" w:hAnsi="Times New Roman" w:eastAsia="宋体" w:cs="Times New Roman"/>
                <w:bCs/>
                <w:color w:val="auto"/>
                <w:sz w:val="21"/>
                <w:highlight w:val="none"/>
              </w:rPr>
              <w:t>5</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0.004</w:t>
            </w:r>
            <w:r>
              <w:rPr>
                <w:rFonts w:hint="eastAsia" w:ascii="Times New Roman" w:hAnsi="Times New Roman" w:eastAsia="宋体" w:cs="Times New Roman"/>
                <w:bCs/>
                <w:color w:val="auto"/>
                <w:sz w:val="21"/>
                <w:highlight w:val="none"/>
              </w:rPr>
              <w:t>0</w:t>
            </w:r>
            <w:r>
              <w:rPr>
                <w:rFonts w:ascii="Times New Roman" w:hAnsi="Times New Roman" w:eastAsia="宋体" w:cs="Times New Roman"/>
                <w:bCs/>
                <w:color w:val="auto"/>
                <w:sz w:val="21"/>
                <w:highlight w:val="none"/>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tcBorders>
              <w:tl2br w:val="nil"/>
              <w:tr2bl w:val="nil"/>
            </w:tcBorders>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tcBorders>
              <w:tl2br w:val="nil"/>
              <w:tr2bl w:val="nil"/>
            </w:tcBorders>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0.0001</w:t>
            </w:r>
            <w:r>
              <w:rPr>
                <w:rFonts w:hint="eastAsia" w:ascii="Times New Roman" w:hAnsi="Times New Roman" w:eastAsia="宋体" w:cs="Times New Roman"/>
                <w:bCs/>
                <w:color w:val="auto"/>
                <w:sz w:val="21"/>
                <w:highlight w:val="none"/>
              </w:rPr>
              <w:t>26</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0.0001</w:t>
            </w:r>
            <w:r>
              <w:rPr>
                <w:rFonts w:hint="eastAsia" w:ascii="Times New Roman" w:hAnsi="Times New Roman" w:eastAsia="宋体" w:cs="Times New Roman"/>
                <w:bCs/>
                <w:color w:val="auto"/>
                <w:sz w:val="21"/>
                <w:highlight w:val="none"/>
              </w:rPr>
              <w:t>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tcBorders>
              <w:tl2br w:val="nil"/>
              <w:tr2bl w:val="nil"/>
            </w:tcBorders>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tcBorders>
              <w:tl2br w:val="nil"/>
              <w:tr2bl w:val="nil"/>
            </w:tcBorders>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SO</w:t>
            </w:r>
            <w:r>
              <w:rPr>
                <w:rFonts w:ascii="Times New Roman" w:hAnsi="Times New Roman" w:eastAsia="宋体" w:cs="Times New Roman"/>
                <w:color w:val="auto"/>
                <w:sz w:val="21"/>
                <w:highlight w:val="none"/>
                <w:vertAlign w:val="subscript"/>
              </w:rPr>
              <w:t>2</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color w:val="auto"/>
                <w:sz w:val="21"/>
                <w:highlight w:val="none"/>
              </w:rPr>
              <w:t>0.0001</w:t>
            </w:r>
            <w:r>
              <w:rPr>
                <w:rFonts w:hint="eastAsia" w:ascii="Times New Roman" w:hAnsi="Times New Roman" w:eastAsia="宋体" w:cs="Times New Roman"/>
                <w:color w:val="auto"/>
                <w:sz w:val="21"/>
                <w:highlight w:val="none"/>
              </w:rPr>
              <w:t>62</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color w:val="auto"/>
                <w:sz w:val="21"/>
                <w:highlight w:val="none"/>
              </w:rPr>
              <w:t>0.0001</w:t>
            </w:r>
            <w:r>
              <w:rPr>
                <w:rFonts w:hint="eastAsia" w:ascii="Times New Roman" w:hAnsi="Times New Roman" w:eastAsia="宋体" w:cs="Times New Roman"/>
                <w:color w:val="auto"/>
                <w:sz w:val="21"/>
                <w:highlight w:val="none"/>
              </w:rPr>
              <w:t>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tcBorders>
              <w:tl2br w:val="nil"/>
              <w:tr2bl w:val="nil"/>
            </w:tcBorders>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tcBorders>
              <w:tl2br w:val="nil"/>
              <w:tr2bl w:val="nil"/>
            </w:tcBorders>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color w:val="auto"/>
                <w:sz w:val="21"/>
                <w:highlight w:val="none"/>
              </w:rPr>
              <w:t>0.001</w:t>
            </w:r>
            <w:r>
              <w:rPr>
                <w:rFonts w:hint="eastAsia" w:ascii="Times New Roman" w:hAnsi="Times New Roman" w:eastAsia="宋体" w:cs="Times New Roman"/>
                <w:color w:val="auto"/>
                <w:sz w:val="21"/>
                <w:highlight w:val="none"/>
              </w:rPr>
              <w:t>584</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color w:val="auto"/>
                <w:kern w:val="0"/>
                <w:sz w:val="21"/>
                <w:highlight w:val="none"/>
                <w:lang w:bidi="ar"/>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color w:val="auto"/>
                <w:sz w:val="21"/>
                <w:highlight w:val="none"/>
              </w:rPr>
              <w:t>0.001</w:t>
            </w:r>
            <w:r>
              <w:rPr>
                <w:rFonts w:hint="eastAsia" w:ascii="Times New Roman" w:hAnsi="Times New Roman" w:eastAsia="宋体" w:cs="Times New Roman"/>
                <w:color w:val="auto"/>
                <w:sz w:val="21"/>
                <w:highlight w:val="none"/>
              </w:rPr>
              <w:t>584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restar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w:t>
            </w:r>
          </w:p>
        </w:tc>
        <w:tc>
          <w:tcPr>
            <w:tcW w:w="1602" w:type="dxa"/>
            <w:tcBorders>
              <w:tl2br w:val="nil"/>
              <w:tr2bl w:val="nil"/>
            </w:tcBorders>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凿岩钻孔</w:t>
            </w:r>
          </w:p>
        </w:tc>
        <w:tc>
          <w:tcPr>
            <w:tcW w:w="1343" w:type="dxa"/>
            <w:tcBorders>
              <w:tl2br w:val="nil"/>
              <w:tr2bl w:val="nil"/>
            </w:tcBorders>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pacing w:val="-2"/>
                <w:kern w:val="0"/>
                <w:sz w:val="21"/>
                <w:highlight w:val="none"/>
              </w:rPr>
            </w:pPr>
            <w:r>
              <w:rPr>
                <w:rFonts w:hint="eastAsia" w:ascii="Times New Roman" w:hAnsi="Times New Roman" w:eastAsia="宋体" w:cs="Times New Roman"/>
                <w:color w:val="auto"/>
                <w:spacing w:val="-2"/>
                <w:kern w:val="0"/>
                <w:sz w:val="21"/>
                <w:highlight w:val="none"/>
              </w:rPr>
              <w:t>5</w:t>
            </w:r>
            <w:r>
              <w:rPr>
                <w:rFonts w:ascii="Times New Roman" w:hAnsi="Times New Roman" w:eastAsia="宋体" w:cs="Times New Roman"/>
                <w:color w:val="auto"/>
                <w:spacing w:val="-2"/>
                <w:kern w:val="0"/>
                <w:sz w:val="21"/>
                <w:highlight w:val="none"/>
              </w:rPr>
              <w:t>0</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5</w:t>
            </w:r>
            <w:r>
              <w:rPr>
                <w:rFonts w:ascii="Times New Roman" w:hAnsi="Times New Roman" w:eastAsia="宋体" w:cs="Times New Roman"/>
                <w:color w:val="auto"/>
                <w:kern w:val="0"/>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tcBorders>
              <w:tl2br w:val="nil"/>
              <w:tr2bl w:val="nil"/>
            </w:tcBorders>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洗砂废水</w:t>
            </w:r>
          </w:p>
        </w:tc>
        <w:tc>
          <w:tcPr>
            <w:tcW w:w="1343" w:type="dxa"/>
            <w:tcBorders>
              <w:tl2br w:val="nil"/>
              <w:tr2bl w:val="nil"/>
            </w:tcBorders>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pacing w:val="-2"/>
                <w:kern w:val="0"/>
                <w:sz w:val="21"/>
                <w:highlight w:val="none"/>
              </w:rPr>
            </w:pPr>
            <w:r>
              <w:rPr>
                <w:rFonts w:hint="eastAsia" w:ascii="Times New Roman" w:hAnsi="Times New Roman" w:eastAsia="宋体" w:cs="Times New Roman"/>
                <w:color w:val="auto"/>
                <w:spacing w:val="-2"/>
                <w:kern w:val="0"/>
                <w:sz w:val="21"/>
                <w:highlight w:val="none"/>
              </w:rPr>
              <w:t>15000</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15000</w:t>
            </w:r>
          </w:p>
        </w:tc>
        <w:tc>
          <w:tcPr>
            <w:tcW w:w="2217"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restar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w:t>
            </w:r>
          </w:p>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污水</w:t>
            </w: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63</w:t>
            </w:r>
            <w:r>
              <w:rPr>
                <w:rFonts w:ascii="Times New Roman" w:hAnsi="Times New Roman" w:eastAsia="宋体" w:cs="Times New Roman"/>
                <w:color w:val="auto"/>
                <w:sz w:val="21"/>
                <w:highlight w:val="none"/>
              </w:rPr>
              <w:t>0</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63</w:t>
            </w:r>
            <w:r>
              <w:rPr>
                <w:rFonts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COD</w:t>
            </w:r>
            <w:r>
              <w:rPr>
                <w:rFonts w:ascii="Times New Roman" w:hAnsi="Times New Roman" w:eastAsia="宋体" w:cs="Times New Roman"/>
                <w:color w:val="auto"/>
                <w:sz w:val="21"/>
                <w:highlight w:val="none"/>
                <w:vertAlign w:val="subscript"/>
              </w:rPr>
              <w:t>Cr</w:t>
            </w:r>
          </w:p>
        </w:tc>
        <w:tc>
          <w:tcPr>
            <w:tcW w:w="1630"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0.2</w:t>
            </w:r>
            <w:r>
              <w:rPr>
                <w:rFonts w:hint="eastAsia" w:ascii="Times New Roman" w:hAnsi="Times New Roman" w:eastAsia="宋体" w:cs="Times New Roman"/>
                <w:color w:val="auto"/>
                <w:sz w:val="21"/>
                <w:highlight w:val="none"/>
              </w:rPr>
              <w:t>34</w:t>
            </w:r>
          </w:p>
        </w:tc>
        <w:tc>
          <w:tcPr>
            <w:tcW w:w="1581"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0.03</w:t>
            </w:r>
            <w:r>
              <w:rPr>
                <w:rFonts w:hint="eastAsia" w:ascii="Times New Roman" w:hAnsi="Times New Roman" w:eastAsia="宋体" w:cs="Times New Roman"/>
                <w:color w:val="auto"/>
                <w:sz w:val="21"/>
                <w:highlight w:val="none"/>
              </w:rPr>
              <w:t>5</w:t>
            </w:r>
          </w:p>
        </w:tc>
        <w:tc>
          <w:tcPr>
            <w:tcW w:w="2217" w:type="dxa"/>
            <w:tcBorders>
              <w:tl2br w:val="nil"/>
              <w:tr2bl w:val="nil"/>
            </w:tcBorders>
            <w:noWrap w:val="0"/>
            <w:vAlign w:val="center"/>
          </w:tcPr>
          <w:p>
            <w:pPr>
              <w:tabs>
                <w:tab w:val="left" w:pos="5940"/>
              </w:tabs>
              <w:spacing w:line="26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199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BOD</w:t>
            </w:r>
            <w:r>
              <w:rPr>
                <w:rFonts w:ascii="Times New Roman" w:hAnsi="Times New Roman" w:eastAsia="宋体" w:cs="Times New Roman"/>
                <w:color w:val="auto"/>
                <w:sz w:val="21"/>
                <w:highlight w:val="none"/>
                <w:vertAlign w:val="subscript"/>
              </w:rPr>
              <w:t>5</w:t>
            </w:r>
          </w:p>
        </w:tc>
        <w:tc>
          <w:tcPr>
            <w:tcW w:w="1630"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w:t>
            </w:r>
            <w:r>
              <w:rPr>
                <w:rFonts w:hint="eastAsia" w:ascii="Times New Roman" w:hAnsi="Times New Roman" w:eastAsia="宋体" w:cs="Times New Roman"/>
                <w:color w:val="auto"/>
                <w:sz w:val="21"/>
                <w:highlight w:val="none"/>
              </w:rPr>
              <w:t>48</w:t>
            </w:r>
          </w:p>
        </w:tc>
        <w:tc>
          <w:tcPr>
            <w:tcW w:w="1581"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0.01</w:t>
            </w:r>
            <w:r>
              <w:rPr>
                <w:rFonts w:hint="eastAsia" w:ascii="Times New Roman" w:hAnsi="Times New Roman" w:eastAsia="宋体" w:cs="Times New Roman"/>
                <w:color w:val="auto"/>
                <w:sz w:val="21"/>
                <w:highlight w:val="none"/>
              </w:rPr>
              <w:t>5</w:t>
            </w:r>
          </w:p>
        </w:tc>
        <w:tc>
          <w:tcPr>
            <w:tcW w:w="2217" w:type="dxa"/>
            <w:tcBorders>
              <w:tl2br w:val="nil"/>
              <w:tr2bl w:val="nil"/>
            </w:tcBorders>
            <w:noWrap w:val="0"/>
            <w:vAlign w:val="center"/>
          </w:tcPr>
          <w:p>
            <w:pPr>
              <w:tabs>
                <w:tab w:val="left" w:pos="5940"/>
              </w:tabs>
              <w:spacing w:line="26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w:t>
            </w:r>
            <w:r>
              <w:rPr>
                <w:rFonts w:hint="eastAsia" w:ascii="Times New Roman" w:hAnsi="Times New Roman" w:eastAsia="宋体" w:cs="Times New Roman"/>
                <w:color w:val="auto"/>
                <w:sz w:val="21"/>
                <w:highlight w:val="none"/>
              </w:rPr>
              <w:t>3</w:t>
            </w:r>
            <w:r>
              <w:rPr>
                <w:rFonts w:ascii="Times New Roman" w:hAnsi="Times New Roman" w:eastAsia="宋体" w:cs="Times New Roman"/>
                <w:color w:val="auto"/>
                <w:sz w:val="21"/>
                <w:highlight w:val="none"/>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SS</w:t>
            </w:r>
          </w:p>
        </w:tc>
        <w:tc>
          <w:tcPr>
            <w:tcW w:w="1630" w:type="dxa"/>
            <w:tcBorders>
              <w:tl2br w:val="nil"/>
              <w:tr2bl w:val="nil"/>
            </w:tcBorders>
            <w:noWrap w:val="0"/>
            <w:vAlign w:val="center"/>
          </w:tcPr>
          <w:p>
            <w:pPr>
              <w:tabs>
                <w:tab w:val="left" w:pos="5940"/>
              </w:tabs>
              <w:spacing w:line="240" w:lineRule="exact"/>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w:t>
            </w:r>
            <w:r>
              <w:rPr>
                <w:rFonts w:hint="eastAsia" w:ascii="Times New Roman" w:hAnsi="Times New Roman" w:eastAsia="宋体" w:cs="Times New Roman"/>
                <w:color w:val="auto"/>
                <w:sz w:val="21"/>
                <w:highlight w:val="none"/>
              </w:rPr>
              <w:t>4</w:t>
            </w:r>
          </w:p>
        </w:tc>
        <w:tc>
          <w:tcPr>
            <w:tcW w:w="1581"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0.04</w:t>
            </w:r>
            <w:r>
              <w:rPr>
                <w:rFonts w:hint="eastAsia" w:ascii="Times New Roman" w:hAnsi="Times New Roman" w:eastAsia="宋体" w:cs="Times New Roman"/>
                <w:color w:val="auto"/>
                <w:sz w:val="21"/>
                <w:highlight w:val="none"/>
              </w:rPr>
              <w:t>2</w:t>
            </w:r>
          </w:p>
        </w:tc>
        <w:tc>
          <w:tcPr>
            <w:tcW w:w="2217" w:type="dxa"/>
            <w:tcBorders>
              <w:tl2br w:val="nil"/>
              <w:tr2bl w:val="nil"/>
            </w:tcBorders>
            <w:noWrap w:val="0"/>
            <w:vAlign w:val="center"/>
          </w:tcPr>
          <w:p>
            <w:pPr>
              <w:tabs>
                <w:tab w:val="left" w:pos="5940"/>
              </w:tabs>
              <w:spacing w:line="26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NH</w:t>
            </w:r>
            <w:r>
              <w:rPr>
                <w:rFonts w:ascii="Times New Roman" w:hAnsi="Times New Roman" w:eastAsia="宋体" w:cs="Times New Roman"/>
                <w:color w:val="auto"/>
                <w:sz w:val="21"/>
                <w:highlight w:val="none"/>
                <w:vertAlign w:val="subscript"/>
              </w:rPr>
              <w:t>3</w:t>
            </w:r>
            <w:r>
              <w:rPr>
                <w:rFonts w:ascii="Times New Roman" w:hAnsi="Times New Roman" w:eastAsia="宋体" w:cs="Times New Roman"/>
                <w:color w:val="auto"/>
                <w:sz w:val="21"/>
                <w:highlight w:val="none"/>
              </w:rPr>
              <w:t>-N</w:t>
            </w:r>
          </w:p>
        </w:tc>
        <w:tc>
          <w:tcPr>
            <w:tcW w:w="1630" w:type="dxa"/>
            <w:tcBorders>
              <w:tl2br w:val="nil"/>
              <w:tr2bl w:val="nil"/>
            </w:tcBorders>
            <w:noWrap w:val="0"/>
            <w:vAlign w:val="center"/>
          </w:tcPr>
          <w:p>
            <w:pPr>
              <w:tabs>
                <w:tab w:val="left" w:pos="5940"/>
              </w:tabs>
              <w:spacing w:line="240" w:lineRule="exact"/>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0.01</w:t>
            </w:r>
            <w:r>
              <w:rPr>
                <w:rFonts w:hint="eastAsia" w:ascii="Times New Roman" w:hAnsi="Times New Roman" w:eastAsia="宋体" w:cs="Times New Roman"/>
                <w:color w:val="auto"/>
                <w:sz w:val="21"/>
                <w:highlight w:val="none"/>
              </w:rPr>
              <w:t>7</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tcBorders>
              <w:tl2br w:val="nil"/>
              <w:tr2bl w:val="nil"/>
            </w:tcBorders>
            <w:noWrap w:val="0"/>
            <w:vAlign w:val="center"/>
          </w:tcPr>
          <w:p>
            <w:pPr>
              <w:tabs>
                <w:tab w:val="left" w:pos="5940"/>
              </w:tabs>
              <w:spacing w:line="260" w:lineRule="exact"/>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0.01</w:t>
            </w:r>
            <w:r>
              <w:rPr>
                <w:rFonts w:hint="eastAsia" w:ascii="Times New Roman" w:hAnsi="Times New Roman" w:eastAsia="宋体" w:cs="Times New Roman"/>
                <w:color w:val="auto"/>
                <w:sz w:val="21"/>
                <w:highlight w:val="none"/>
              </w:rPr>
              <w:t>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动植物油</w:t>
            </w:r>
          </w:p>
        </w:tc>
        <w:tc>
          <w:tcPr>
            <w:tcW w:w="1630"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27</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tcBorders>
              <w:tl2br w:val="nil"/>
              <w:tr2bl w:val="nil"/>
            </w:tcBorders>
            <w:noWrap w:val="0"/>
            <w:vAlign w:val="center"/>
          </w:tcPr>
          <w:p>
            <w:pPr>
              <w:tabs>
                <w:tab w:val="left" w:pos="5940"/>
              </w:tabs>
              <w:spacing w:line="26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初期雨水</w:t>
            </w:r>
          </w:p>
        </w:tc>
        <w:tc>
          <w:tcPr>
            <w:tcW w:w="1343" w:type="dxa"/>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1630"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18"/>
                <w:szCs w:val="18"/>
                <w:highlight w:val="none"/>
              </w:rPr>
            </w:pPr>
            <w:r>
              <w:rPr>
                <w:rFonts w:hint="eastAsia" w:cs="Times New Roman"/>
                <w:color w:val="auto"/>
                <w:sz w:val="21"/>
                <w:szCs w:val="18"/>
                <w:highlight w:val="none"/>
                <w:lang w:val="en-US" w:eastAsia="zh-CN"/>
              </w:rPr>
              <w:t>185.9</w:t>
            </w:r>
            <w:r>
              <w:rPr>
                <w:rFonts w:ascii="Times New Roman" w:hAnsi="Times New Roman" w:eastAsia="宋体" w:cs="Times New Roman"/>
                <w:color w:val="auto"/>
                <w:sz w:val="21"/>
                <w:szCs w:val="18"/>
                <w:highlight w:val="none"/>
              </w:rPr>
              <w:t>m</w:t>
            </w:r>
            <w:r>
              <w:rPr>
                <w:rFonts w:ascii="Times New Roman" w:hAnsi="Times New Roman" w:eastAsia="宋体" w:cs="Times New Roman"/>
                <w:color w:val="auto"/>
                <w:sz w:val="21"/>
                <w:szCs w:val="18"/>
                <w:highlight w:val="none"/>
                <w:vertAlign w:val="superscript"/>
              </w:rPr>
              <w:t>3</w:t>
            </w:r>
            <w:r>
              <w:rPr>
                <w:rFonts w:ascii="Times New Roman" w:hAnsi="Times New Roman" w:eastAsia="宋体" w:cs="Times New Roman"/>
                <w:color w:val="auto"/>
                <w:sz w:val="21"/>
                <w:szCs w:val="18"/>
                <w:highlight w:val="none"/>
              </w:rPr>
              <w:t>/次</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21"/>
                <w:szCs w:val="18"/>
                <w:highlight w:val="none"/>
              </w:rPr>
              <w:t>0</w:t>
            </w:r>
          </w:p>
        </w:tc>
        <w:tc>
          <w:tcPr>
            <w:tcW w:w="2217"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hint="eastAsia" w:cs="Times New Roman"/>
                <w:color w:val="auto"/>
                <w:sz w:val="21"/>
                <w:szCs w:val="18"/>
                <w:highlight w:val="none"/>
                <w:lang w:val="en-US" w:eastAsia="zh-CN"/>
              </w:rPr>
              <w:t>185.9</w:t>
            </w:r>
            <w:r>
              <w:rPr>
                <w:rFonts w:ascii="Times New Roman" w:hAnsi="Times New Roman" w:eastAsia="宋体" w:cs="Times New Roman"/>
                <w:color w:val="auto"/>
                <w:sz w:val="21"/>
                <w:szCs w:val="18"/>
                <w:highlight w:val="none"/>
              </w:rPr>
              <w:t>m</w:t>
            </w:r>
            <w:r>
              <w:rPr>
                <w:rFonts w:ascii="Times New Roman" w:hAnsi="Times New Roman" w:eastAsia="宋体" w:cs="Times New Roman"/>
                <w:color w:val="auto"/>
                <w:sz w:val="21"/>
                <w:szCs w:val="18"/>
                <w:highlight w:val="none"/>
                <w:vertAlign w:val="superscript"/>
              </w:rPr>
              <w:t>3</w:t>
            </w:r>
            <w:r>
              <w:rPr>
                <w:rFonts w:ascii="Times New Roman" w:hAnsi="Times New Roman" w:eastAsia="宋体" w:cs="Times New Roman"/>
                <w:color w:val="auto"/>
                <w:sz w:val="21"/>
                <w:szCs w:val="18"/>
                <w:highlight w:val="none"/>
              </w:rPr>
              <w:t>/次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噪声</w:t>
            </w:r>
          </w:p>
        </w:tc>
        <w:tc>
          <w:tcPr>
            <w:tcW w:w="1602" w:type="dxa"/>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设备</w:t>
            </w:r>
            <w:r>
              <w:rPr>
                <w:rFonts w:hint="eastAsia" w:ascii="Times New Roman" w:hAnsi="Times New Roman" w:eastAsia="宋体" w:cs="Times New Roman"/>
                <w:color w:val="auto"/>
                <w:sz w:val="21"/>
                <w:highlight w:val="none"/>
              </w:rPr>
              <w:t>、爆破</w:t>
            </w:r>
          </w:p>
        </w:tc>
        <w:tc>
          <w:tcPr>
            <w:tcW w:w="1343" w:type="dxa"/>
            <w:tcBorders>
              <w:tl2br w:val="nil"/>
              <w:tr2bl w:val="nil"/>
            </w:tcBorders>
            <w:noWrap w:val="0"/>
            <w:vAlign w:val="center"/>
          </w:tcPr>
          <w:p>
            <w:pPr>
              <w:widowControl/>
              <w:spacing w:line="240" w:lineRule="atLeas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Leq（A）</w:t>
            </w:r>
          </w:p>
        </w:tc>
        <w:tc>
          <w:tcPr>
            <w:tcW w:w="1630" w:type="dxa"/>
            <w:tcBorders>
              <w:tl2br w:val="nil"/>
              <w:tr2bl w:val="nil"/>
            </w:tcBorders>
            <w:noWrap w:val="0"/>
            <w:vAlign w:val="center"/>
          </w:tcPr>
          <w:p>
            <w:pPr>
              <w:widowControl/>
              <w:spacing w:line="240" w:lineRule="atLeas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70~11</w:t>
            </w:r>
            <w:r>
              <w:rPr>
                <w:rFonts w:hint="eastAsia" w:ascii="Times New Roman" w:hAnsi="Times New Roman" w:eastAsia="宋体" w:cs="Times New Roman"/>
                <w:color w:val="auto"/>
                <w:sz w:val="21"/>
                <w:highlight w:val="none"/>
              </w:rPr>
              <w:t>5</w:t>
            </w:r>
            <w:r>
              <w:rPr>
                <w:rFonts w:ascii="Times New Roman" w:hAnsi="Times New Roman" w:eastAsia="宋体" w:cs="Times New Roman"/>
                <w:color w:val="auto"/>
                <w:sz w:val="21"/>
                <w:highlight w:val="none"/>
              </w:rPr>
              <w:t>dB（A）</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消声、减振等</w:t>
            </w:r>
          </w:p>
        </w:tc>
        <w:tc>
          <w:tcPr>
            <w:tcW w:w="2217" w:type="dxa"/>
            <w:tcBorders>
              <w:tl2br w:val="nil"/>
              <w:tr2bl w:val="nil"/>
            </w:tcBorders>
            <w:noWrap w:val="0"/>
            <w:vAlign w:val="center"/>
          </w:tcPr>
          <w:p>
            <w:pPr>
              <w:widowControl/>
              <w:spacing w:line="240" w:lineRule="atLeas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厂界45-57dB（A）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restar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固体废物</w:t>
            </w:r>
          </w:p>
        </w:tc>
        <w:tc>
          <w:tcPr>
            <w:tcW w:w="160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采矿区</w:t>
            </w: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表土</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100</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采矿区</w:t>
            </w:r>
          </w:p>
        </w:tc>
        <w:tc>
          <w:tcPr>
            <w:tcW w:w="1343"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废土石渣</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400</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洗砂区</w:t>
            </w: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洗砂泥饼</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470</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restar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机修房</w:t>
            </w: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废零件</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废含油抹布</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0.005</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废机油</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0.02</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jc w:val="center"/>
        </w:trPr>
        <w:tc>
          <w:tcPr>
            <w:tcW w:w="720"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办公区</w:t>
            </w:r>
          </w:p>
        </w:tc>
        <w:tc>
          <w:tcPr>
            <w:tcW w:w="1343"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生活垃圾</w:t>
            </w:r>
          </w:p>
        </w:tc>
        <w:tc>
          <w:tcPr>
            <w:tcW w:w="163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4.5</w:t>
            </w:r>
          </w:p>
        </w:tc>
        <w:tc>
          <w:tcPr>
            <w:tcW w:w="15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4.5</w:t>
            </w:r>
          </w:p>
        </w:tc>
      </w:tr>
    </w:tbl>
    <w:p>
      <w:pPr>
        <w:pStyle w:val="6"/>
        <w:bidi w:val="0"/>
        <w:rPr>
          <w:rFonts w:hint="eastAsia"/>
          <w:color w:val="auto"/>
          <w:highlight w:val="none"/>
          <w:lang w:val="en-US" w:eastAsia="zh-CN"/>
        </w:rPr>
      </w:pPr>
      <w:r>
        <w:rPr>
          <w:rFonts w:hint="eastAsia"/>
          <w:color w:val="auto"/>
          <w:highlight w:val="none"/>
          <w:lang w:val="en-US" w:eastAsia="zh-CN"/>
        </w:rPr>
        <w:t>2.2.9.2 原宏保兴采石场</w:t>
      </w:r>
    </w:p>
    <w:p>
      <w:pPr>
        <w:ind w:firstLine="482"/>
        <w:rPr>
          <w:rFonts w:ascii="Times New Roman" w:hAnsi="Times New Roman" w:eastAsia="宋体" w:cs="Times New Roman"/>
          <w:b/>
          <w:bCs/>
          <w:color w:val="auto"/>
          <w:highlight w:val="none"/>
        </w:rPr>
      </w:pPr>
      <w:r>
        <w:rPr>
          <w:rFonts w:hint="eastAsia" w:ascii="Times New Roman" w:hAnsi="Times New Roman" w:eastAsia="宋体" w:cs="Times New Roman"/>
          <w:bCs/>
          <w:color w:val="auto"/>
          <w:szCs w:val="24"/>
          <w:highlight w:val="none"/>
          <w:u w:val="single"/>
        </w:rPr>
        <w:t>原</w:t>
      </w:r>
      <w:r>
        <w:rPr>
          <w:rFonts w:hint="eastAsia" w:ascii="Times New Roman" w:hAnsi="Times New Roman" w:eastAsia="宋体"/>
          <w:color w:val="auto"/>
          <w:highlight w:val="none"/>
          <w:u w:val="single"/>
        </w:rPr>
        <w:t>宏保兴采石场于2009年11月委托重庆市环保工程设计研究院有限公司编制</w:t>
      </w:r>
      <w:r>
        <w:rPr>
          <w:rFonts w:hint="eastAsia"/>
          <w:color w:val="auto"/>
          <w:highlight w:val="none"/>
          <w:u w:val="single"/>
          <w:lang w:val="en-US" w:eastAsia="zh-CN"/>
        </w:rPr>
        <w:t>的</w:t>
      </w:r>
      <w:r>
        <w:rPr>
          <w:rFonts w:hint="eastAsia" w:ascii="Times New Roman" w:hAnsi="Times New Roman" w:eastAsia="宋体"/>
          <w:color w:val="auto"/>
          <w:highlight w:val="none"/>
          <w:u w:val="single"/>
        </w:rPr>
        <w:t>《</w:t>
      </w:r>
      <w:r>
        <w:rPr>
          <w:rFonts w:hint="eastAsia" w:ascii="Times New Roman" w:hAnsi="Times New Roman" w:eastAsia="宋体"/>
          <w:bCs/>
          <w:color w:val="auto"/>
          <w:highlight w:val="none"/>
          <w:u w:val="single"/>
        </w:rPr>
        <w:t>三江县宏保兴采石场年开采8万立方米灰岩矿</w:t>
      </w:r>
      <w:r>
        <w:rPr>
          <w:rFonts w:hint="eastAsia" w:ascii="Times New Roman" w:hAnsi="Times New Roman" w:eastAsia="宋体"/>
          <w:color w:val="auto"/>
          <w:highlight w:val="none"/>
          <w:u w:val="single"/>
        </w:rPr>
        <w:t>项目环境影响评价报告表》</w:t>
      </w:r>
      <w:r>
        <w:rPr>
          <w:rFonts w:hint="eastAsia"/>
          <w:color w:val="auto"/>
          <w:highlight w:val="none"/>
          <w:u w:val="single"/>
          <w:lang w:val="en-US" w:eastAsia="zh-CN"/>
        </w:rPr>
        <w:t>中石料生产规模为8</w:t>
      </w:r>
      <w:r>
        <w:rPr>
          <w:rFonts w:hint="eastAsia" w:ascii="Times New Roman" w:hAnsi="Times New Roman" w:eastAsia="宋体"/>
          <w:color w:val="auto"/>
          <w:highlight w:val="none"/>
          <w:u w:val="single"/>
        </w:rPr>
        <w:t>万m</w:t>
      </w:r>
      <w:r>
        <w:rPr>
          <w:rFonts w:hint="eastAsia" w:ascii="Times New Roman" w:hAnsi="Times New Roman" w:eastAsia="宋体"/>
          <w:color w:val="auto"/>
          <w:highlight w:val="none"/>
          <w:u w:val="single"/>
          <w:vertAlign w:val="superscript"/>
        </w:rPr>
        <w:t>3</w:t>
      </w:r>
      <w:r>
        <w:rPr>
          <w:rFonts w:hint="eastAsia"/>
          <w:color w:val="auto"/>
          <w:highlight w:val="none"/>
          <w:u w:val="single"/>
          <w:lang w:val="en-US" w:eastAsia="zh-CN"/>
        </w:rPr>
        <w:t>/a（21万t/a），矿山实际开采量为5万t/a，原有项目各污染物排放量以实际开采量5万t/a进行计算。</w:t>
      </w:r>
    </w:p>
    <w:p>
      <w:pPr>
        <w:ind w:firstLine="482"/>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1</w:t>
      </w:r>
      <w:r>
        <w:rPr>
          <w:rFonts w:hint="eastAsia" w:ascii="Times New Roman" w:hAnsi="Times New Roman" w:cs="Times New Roman"/>
          <w:b/>
          <w:bCs/>
          <w:color w:val="auto"/>
          <w:highlight w:val="none"/>
          <w:lang w:val="en-US" w:eastAsia="zh-CN"/>
        </w:rPr>
        <w:t>.</w:t>
      </w:r>
      <w:r>
        <w:rPr>
          <w:rFonts w:ascii="Times New Roman" w:hAnsi="Times New Roman" w:eastAsia="宋体" w:cs="Times New Roman"/>
          <w:b/>
          <w:bCs/>
          <w:color w:val="auto"/>
          <w:highlight w:val="none"/>
        </w:rPr>
        <w:t>大气污染源</w:t>
      </w:r>
    </w:p>
    <w:p>
      <w:pPr>
        <w:widowControl/>
        <w:ind w:firstLine="482"/>
        <w:jc w:val="left"/>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4"/>
          <w:highlight w:val="none"/>
        </w:rPr>
        <w:t>（1）</w:t>
      </w:r>
      <w:r>
        <w:rPr>
          <w:rFonts w:hint="eastAsia" w:ascii="Times New Roman" w:hAnsi="Times New Roman" w:eastAsia="宋体" w:cs="Times New Roman"/>
          <w:b/>
          <w:color w:val="auto"/>
          <w:szCs w:val="24"/>
          <w:highlight w:val="none"/>
        </w:rPr>
        <w:t>矿石</w:t>
      </w:r>
      <w:r>
        <w:rPr>
          <w:rFonts w:ascii="Times New Roman" w:hAnsi="Times New Roman" w:eastAsia="宋体" w:cs="Times New Roman"/>
          <w:b/>
          <w:color w:val="auto"/>
          <w:szCs w:val="24"/>
          <w:highlight w:val="none"/>
        </w:rPr>
        <w:t>开采加工过程</w:t>
      </w:r>
      <w:r>
        <w:rPr>
          <w:rFonts w:hint="eastAsia" w:ascii="Times New Roman" w:hAnsi="Times New Roman" w:eastAsia="宋体" w:cs="Times New Roman"/>
          <w:b/>
          <w:color w:val="auto"/>
          <w:szCs w:val="24"/>
          <w:highlight w:val="none"/>
        </w:rPr>
        <w:t>废气</w:t>
      </w:r>
      <w:r>
        <w:rPr>
          <w:rFonts w:ascii="Times New Roman" w:hAnsi="Times New Roman" w:eastAsia="宋体" w:cs="Times New Roman"/>
          <w:b/>
          <w:color w:val="auto"/>
          <w:szCs w:val="24"/>
          <w:highlight w:val="none"/>
        </w:rPr>
        <w:t>排放</w:t>
      </w:r>
    </w:p>
    <w:p>
      <w:pPr>
        <w:ind w:firstLine="480" w:firstLineChars="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①表土剥离</w:t>
      </w:r>
    </w:p>
    <w:p>
      <w:pPr>
        <w:ind w:firstLine="480" w:firstLineChars="0"/>
        <w:rPr>
          <w:rFonts w:ascii="Times New Roman" w:hAnsi="Times New Roman" w:eastAsia="宋体" w:cs="Times New Roman"/>
          <w:color w:val="auto"/>
          <w:szCs w:val="24"/>
          <w:highlight w:val="none"/>
          <w:u w:val="single"/>
        </w:rPr>
      </w:pPr>
      <w:r>
        <w:rPr>
          <w:rFonts w:ascii="Times New Roman" w:hAnsi="Times New Roman" w:eastAsia="宋体" w:cs="Times New Roman"/>
          <w:color w:val="auto"/>
          <w:szCs w:val="24"/>
          <w:highlight w:val="none"/>
          <w:u w:val="single"/>
        </w:rPr>
        <w:t>清理表土过程中会有扬尘产生，</w:t>
      </w:r>
      <w:r>
        <w:rPr>
          <w:rFonts w:hint="eastAsia" w:ascii="Times New Roman" w:hAnsi="Times New Roman" w:cs="Times New Roman"/>
          <w:color w:val="auto"/>
          <w:szCs w:val="24"/>
          <w:highlight w:val="none"/>
          <w:u w:val="single"/>
          <w:lang w:val="en-US" w:eastAsia="zh-CN"/>
        </w:rPr>
        <w:t>经洒水降尘后</w:t>
      </w:r>
      <w:r>
        <w:rPr>
          <w:rFonts w:ascii="Times New Roman" w:hAnsi="Times New Roman" w:eastAsia="宋体" w:cs="Times New Roman"/>
          <w:color w:val="auto"/>
          <w:szCs w:val="24"/>
          <w:highlight w:val="none"/>
          <w:u w:val="single"/>
        </w:rPr>
        <w:t>颗粒物产生量较少，可忽略不计。</w:t>
      </w:r>
    </w:p>
    <w:p>
      <w:pPr>
        <w:ind w:firstLine="480" w:firstLineChars="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②凿岩钻孔</w:t>
      </w:r>
    </w:p>
    <w:p>
      <w:pPr>
        <w:ind w:firstLine="480" w:firstLineChars="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参照《逸散性工业颗粒物控制技术》（中国环境科学出版社），无控制条件下钻孔颗粒物的排放系数为0.004kg/t（矿石），项目年开采量为</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万t，则矿山钻孔过程颗粒物产生量为0.2t/a。根据湿式作业法工作原理，湿法作业时抑尘效率约为90%，经计算，凿岩钻孔颗粒物排放量约为0.02t/a。</w:t>
      </w:r>
    </w:p>
    <w:p>
      <w:pPr>
        <w:ind w:firstLine="480" w:firstLineChars="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③爆破</w:t>
      </w:r>
    </w:p>
    <w:p>
      <w:pPr>
        <w:ind w:firstLine="480"/>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根据《炮烟中有毒气体含量的确定》（吕早生.爆破.2004(9)）中实验测定，1kg岩石炸药爆炸后CO、NO</w:t>
      </w:r>
      <w:r>
        <w:rPr>
          <w:rFonts w:ascii="Times New Roman" w:hAnsi="Times New Roman" w:eastAsia="宋体" w:cs="Times New Roman"/>
          <w:color w:val="auto"/>
          <w:kern w:val="0"/>
          <w:szCs w:val="24"/>
          <w:highlight w:val="none"/>
          <w:vertAlign w:val="subscript"/>
        </w:rPr>
        <w:t>x</w:t>
      </w:r>
      <w:r>
        <w:rPr>
          <w:rFonts w:ascii="Times New Roman" w:hAnsi="Times New Roman" w:eastAsia="宋体" w:cs="Times New Roman"/>
          <w:color w:val="auto"/>
          <w:kern w:val="0"/>
          <w:szCs w:val="24"/>
          <w:highlight w:val="none"/>
        </w:rPr>
        <w:t>产生量分别为44.42g、11.50g</w:t>
      </w:r>
      <w:r>
        <w:rPr>
          <w:rFonts w:hint="eastAsia" w:ascii="Times New Roman" w:hAnsi="Times New Roman" w:cs="Times New Roman"/>
          <w:color w:val="auto"/>
          <w:kern w:val="0"/>
          <w:szCs w:val="24"/>
          <w:highlight w:val="none"/>
          <w:lang w:eastAsia="zh-CN"/>
        </w:rPr>
        <w:t>。</w:t>
      </w:r>
      <w:r>
        <w:rPr>
          <w:rFonts w:ascii="Times New Roman" w:hAnsi="Times New Roman" w:eastAsia="宋体" w:cs="Times New Roman"/>
          <w:color w:val="auto"/>
          <w:kern w:val="0"/>
          <w:szCs w:val="24"/>
          <w:highlight w:val="none"/>
        </w:rPr>
        <w:t>根据</w:t>
      </w:r>
      <w:r>
        <w:rPr>
          <w:rFonts w:ascii="Times New Roman" w:hAnsi="Times New Roman" w:eastAsia="宋体" w:cs="Times New Roman"/>
          <w:color w:val="auto"/>
          <w:szCs w:val="24"/>
          <w:highlight w:val="none"/>
        </w:rPr>
        <w:t>《逸散性工业颗粒物控制技术》（中国环境科学出版社），</w:t>
      </w:r>
      <w:r>
        <w:rPr>
          <w:rFonts w:hint="eastAsia" w:ascii="Times New Roman" w:hAnsi="Times New Roman" w:eastAsia="宋体" w:cs="Times New Roman"/>
          <w:color w:val="auto"/>
          <w:szCs w:val="24"/>
          <w:highlight w:val="none"/>
        </w:rPr>
        <w:t>爆破过程</w:t>
      </w:r>
      <w:r>
        <w:rPr>
          <w:rFonts w:ascii="Times New Roman" w:hAnsi="Times New Roman" w:eastAsia="宋体" w:cs="Times New Roman"/>
          <w:color w:val="auto"/>
          <w:szCs w:val="24"/>
          <w:highlight w:val="none"/>
        </w:rPr>
        <w:t>颗粒物排放系数为0.0</w:t>
      </w:r>
      <w:r>
        <w:rPr>
          <w:rFonts w:hint="eastAsia" w:ascii="Times New Roman" w:hAnsi="Times New Roman" w:eastAsia="宋体" w:cs="Times New Roman"/>
          <w:color w:val="auto"/>
          <w:szCs w:val="24"/>
          <w:highlight w:val="none"/>
        </w:rPr>
        <w:t>8</w:t>
      </w:r>
      <w:r>
        <w:rPr>
          <w:rFonts w:ascii="Times New Roman" w:hAnsi="Times New Roman" w:eastAsia="宋体" w:cs="Times New Roman"/>
          <w:color w:val="auto"/>
          <w:szCs w:val="24"/>
          <w:highlight w:val="none"/>
        </w:rPr>
        <w:t>kg/t（矿石），</w:t>
      </w:r>
      <w:r>
        <w:rPr>
          <w:rFonts w:hint="eastAsia" w:ascii="Times New Roman" w:hAnsi="Times New Roman" w:eastAsia="宋体" w:cs="Times New Roman"/>
          <w:color w:val="auto"/>
          <w:szCs w:val="24"/>
          <w:highlight w:val="none"/>
        </w:rPr>
        <w:t>项目矿石</w:t>
      </w:r>
      <w:r>
        <w:rPr>
          <w:rFonts w:ascii="Times New Roman" w:hAnsi="Times New Roman" w:eastAsia="宋体" w:cs="Times New Roman"/>
          <w:color w:val="auto"/>
          <w:szCs w:val="24"/>
          <w:highlight w:val="none"/>
        </w:rPr>
        <w:t>开采量</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万t/a，则</w:t>
      </w:r>
      <w:r>
        <w:rPr>
          <w:rFonts w:ascii="Times New Roman" w:hAnsi="Times New Roman" w:eastAsia="宋体" w:cs="Times New Roman"/>
          <w:color w:val="auto"/>
          <w:kern w:val="0"/>
          <w:szCs w:val="24"/>
          <w:highlight w:val="none"/>
        </w:rPr>
        <w:t xml:space="preserve">爆破过程产生的颗粒物量为 </w:t>
      </w:r>
      <w:r>
        <w:rPr>
          <w:rFonts w:hint="eastAsia" w:ascii="Times New Roman" w:hAnsi="Times New Roman" w:eastAsia="宋体" w:cs="Times New Roman"/>
          <w:color w:val="auto"/>
          <w:kern w:val="0"/>
          <w:szCs w:val="24"/>
          <w:highlight w:val="none"/>
        </w:rPr>
        <w:t>4.0t</w:t>
      </w:r>
      <w:r>
        <w:rPr>
          <w:rFonts w:ascii="Times New Roman" w:hAnsi="Times New Roman" w:eastAsia="宋体" w:cs="Times New Roman"/>
          <w:color w:val="auto"/>
          <w:kern w:val="0"/>
          <w:szCs w:val="24"/>
          <w:highlight w:val="none"/>
        </w:rPr>
        <w:t>/</w:t>
      </w:r>
      <w:r>
        <w:rPr>
          <w:rFonts w:hint="eastAsia" w:ascii="Times New Roman" w:hAnsi="Times New Roman" w:eastAsia="宋体" w:cs="Times New Roman"/>
          <w:color w:val="auto"/>
          <w:kern w:val="0"/>
          <w:szCs w:val="24"/>
          <w:highlight w:val="none"/>
        </w:rPr>
        <w:t>a</w:t>
      </w:r>
      <w:r>
        <w:rPr>
          <w:rFonts w:ascii="Times New Roman" w:hAnsi="Times New Roman" w:eastAsia="宋体" w:cs="Times New Roman"/>
          <w:color w:val="auto"/>
          <w:kern w:val="0"/>
          <w:szCs w:val="24"/>
          <w:highlight w:val="none"/>
        </w:rPr>
        <w:t>。</w:t>
      </w:r>
    </w:p>
    <w:p>
      <w:pPr>
        <w:ind w:firstLine="480"/>
        <w:rPr>
          <w:rFonts w:ascii="Times New Roman" w:hAnsi="Times New Roman" w:eastAsia="宋体"/>
          <w:color w:val="auto"/>
          <w:highlight w:val="none"/>
        </w:rPr>
      </w:pPr>
      <w:r>
        <w:rPr>
          <w:rFonts w:ascii="Times New Roman" w:hAnsi="Times New Roman" w:eastAsia="宋体"/>
          <w:color w:val="auto"/>
          <w:highlight w:val="none"/>
        </w:rPr>
        <w:t>项目矿山炸药使用量为10t/a。则爆破废气中污染物产生量为CO：0.444t/a，NOx：0.115t/a，颗粒物：</w:t>
      </w:r>
      <w:r>
        <w:rPr>
          <w:rFonts w:hint="eastAsia" w:ascii="Times New Roman" w:hAnsi="Times New Roman" w:eastAsia="宋体"/>
          <w:color w:val="auto"/>
          <w:highlight w:val="none"/>
        </w:rPr>
        <w:t>4.0</w:t>
      </w:r>
      <w:r>
        <w:rPr>
          <w:rFonts w:ascii="Times New Roman" w:hAnsi="Times New Roman" w:eastAsia="宋体"/>
          <w:color w:val="auto"/>
          <w:highlight w:val="none"/>
        </w:rPr>
        <w:t>t/a。</w:t>
      </w:r>
    </w:p>
    <w:p>
      <w:pPr>
        <w:widowControl/>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④采装</w:t>
      </w:r>
    </w:p>
    <w:p>
      <w:pPr>
        <w:widowControl/>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根据《逸散性工业颗粒物控制技术》（中国环境科学出版社），采装过程逸散颗粒物排放系数为0.01kg/t（矿石），项目</w:t>
      </w:r>
      <w:r>
        <w:rPr>
          <w:rFonts w:hint="eastAsia" w:ascii="Times New Roman" w:hAnsi="Times New Roman" w:eastAsia="宋体" w:cs="Times New Roman"/>
          <w:color w:val="auto"/>
          <w:szCs w:val="24"/>
          <w:highlight w:val="none"/>
        </w:rPr>
        <w:t>矿石</w:t>
      </w:r>
      <w:r>
        <w:rPr>
          <w:rFonts w:ascii="Times New Roman" w:hAnsi="Times New Roman" w:eastAsia="宋体" w:cs="Times New Roman"/>
          <w:color w:val="auto"/>
          <w:szCs w:val="24"/>
          <w:highlight w:val="none"/>
        </w:rPr>
        <w:t>开采量</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万t/a，则</w:t>
      </w:r>
      <w:r>
        <w:rPr>
          <w:rFonts w:hint="eastAsia" w:ascii="Times New Roman" w:hAnsi="Times New Roman" w:eastAsia="宋体" w:cs="Times New Roman"/>
          <w:color w:val="auto"/>
          <w:szCs w:val="24"/>
          <w:highlight w:val="none"/>
        </w:rPr>
        <w:t>采装</w:t>
      </w:r>
      <w:r>
        <w:rPr>
          <w:rFonts w:ascii="Times New Roman" w:hAnsi="Times New Roman" w:eastAsia="宋体" w:cs="Times New Roman"/>
          <w:color w:val="auto"/>
          <w:szCs w:val="24"/>
          <w:highlight w:val="none"/>
        </w:rPr>
        <w:t>逸散颗粒物排放量为0.</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t/a。</w:t>
      </w:r>
    </w:p>
    <w:p>
      <w:pPr>
        <w:widowControl/>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⑤破碎筛分</w:t>
      </w:r>
    </w:p>
    <w:p>
      <w:pPr>
        <w:widowControl/>
        <w:ind w:firstLine="480"/>
        <w:rPr>
          <w:rFonts w:ascii="Times New Roman" w:hAnsi="Times New Roman" w:eastAsia="宋体" w:cs="Times New Roman"/>
          <w:color w:val="auto"/>
          <w:szCs w:val="24"/>
          <w:highlight w:val="none"/>
        </w:rPr>
      </w:pPr>
      <w:r>
        <w:rPr>
          <w:rFonts w:hint="eastAsia" w:ascii="Times New Roman" w:hAnsi="Times New Roman" w:eastAsia="宋体" w:cs="Times New Roman"/>
          <w:bCs/>
          <w:color w:val="auto"/>
          <w:szCs w:val="24"/>
          <w:highlight w:val="none"/>
        </w:rPr>
        <w:t>原</w:t>
      </w:r>
      <w:r>
        <w:rPr>
          <w:rFonts w:hint="eastAsia" w:ascii="Times New Roman" w:hAnsi="Times New Roman" w:eastAsia="宋体" w:cs="Times New Roman"/>
          <w:color w:val="auto"/>
          <w:highlight w:val="none"/>
        </w:rPr>
        <w:t>宏保兴采石场</w:t>
      </w:r>
      <w:r>
        <w:rPr>
          <w:rFonts w:ascii="Times New Roman" w:hAnsi="Times New Roman" w:eastAsia="宋体" w:cs="Times New Roman"/>
          <w:color w:val="auto"/>
          <w:szCs w:val="24"/>
          <w:highlight w:val="none"/>
        </w:rPr>
        <w:t>设置一条破碎筛分生产线，其中</w:t>
      </w:r>
      <w:r>
        <w:rPr>
          <w:rFonts w:hint="eastAsia" w:ascii="Times New Roman" w:hAnsi="Times New Roman" w:eastAsia="宋体" w:cs="Times New Roman"/>
          <w:color w:val="auto"/>
          <w:szCs w:val="24"/>
          <w:highlight w:val="none"/>
        </w:rPr>
        <w:t>筛选破碎</w:t>
      </w:r>
      <w:r>
        <w:rPr>
          <w:rFonts w:ascii="Times New Roman" w:hAnsi="Times New Roman" w:eastAsia="宋体" w:cs="Times New Roman"/>
          <w:color w:val="auto"/>
          <w:szCs w:val="24"/>
          <w:highlight w:val="none"/>
        </w:rPr>
        <w:t>产能</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万t/a，</w:t>
      </w:r>
      <w:r>
        <w:rPr>
          <w:rFonts w:hint="eastAsia" w:ascii="Times New Roman" w:hAnsi="Times New Roman" w:eastAsia="宋体" w:cs="Times New Roman"/>
          <w:color w:val="auto"/>
          <w:szCs w:val="24"/>
          <w:highlight w:val="none"/>
        </w:rPr>
        <w:t>二级破碎筛分</w:t>
      </w:r>
      <w:r>
        <w:rPr>
          <w:rFonts w:ascii="Times New Roman" w:hAnsi="Times New Roman" w:eastAsia="宋体" w:cs="Times New Roman"/>
          <w:color w:val="auto"/>
          <w:szCs w:val="24"/>
          <w:highlight w:val="none"/>
        </w:rPr>
        <w:t>产能</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万t/a</w:t>
      </w:r>
      <w:r>
        <w:rPr>
          <w:rFonts w:hint="eastAsia" w:ascii="Times New Roman" w:hAnsi="Times New Roman" w:eastAsia="宋体" w:cs="Times New Roman"/>
          <w:color w:val="auto"/>
          <w:szCs w:val="24"/>
          <w:highlight w:val="none"/>
        </w:rPr>
        <w:t>、三级破碎筛分</w:t>
      </w:r>
      <w:r>
        <w:rPr>
          <w:rFonts w:ascii="Times New Roman" w:hAnsi="Times New Roman" w:eastAsia="宋体" w:cs="Times New Roman"/>
          <w:color w:val="auto"/>
          <w:szCs w:val="24"/>
          <w:highlight w:val="none"/>
        </w:rPr>
        <w:t>产能</w:t>
      </w:r>
      <w:r>
        <w:rPr>
          <w:rFonts w:hint="eastAsia" w:ascii="Times New Roman" w:hAnsi="Times New Roman" w:eastAsia="宋体" w:cs="Times New Roman"/>
          <w:color w:val="auto"/>
          <w:szCs w:val="24"/>
          <w:highlight w:val="none"/>
        </w:rPr>
        <w:t>0.5</w:t>
      </w:r>
      <w:r>
        <w:rPr>
          <w:rFonts w:ascii="Times New Roman" w:hAnsi="Times New Roman" w:eastAsia="宋体" w:cs="Times New Roman"/>
          <w:color w:val="auto"/>
          <w:szCs w:val="24"/>
          <w:highlight w:val="none"/>
        </w:rPr>
        <w:t>万t/a。</w:t>
      </w:r>
      <w:r>
        <w:rPr>
          <w:rFonts w:hint="eastAsia" w:ascii="Times New Roman" w:hAnsi="Times New Roman" w:eastAsia="宋体" w:cs="Times New Roman"/>
          <w:color w:val="auto"/>
          <w:szCs w:val="24"/>
          <w:highlight w:val="none"/>
        </w:rPr>
        <w:t>参照</w:t>
      </w:r>
      <w:r>
        <w:rPr>
          <w:rFonts w:ascii="Times New Roman" w:hAnsi="Times New Roman" w:eastAsia="宋体" w:cs="Times New Roman"/>
          <w:color w:val="auto"/>
          <w:szCs w:val="24"/>
          <w:highlight w:val="none"/>
        </w:rPr>
        <w:t>《逸散性工业颗粒物控制技术》（中国环境科学出版社），</w:t>
      </w:r>
      <w:r>
        <w:rPr>
          <w:rFonts w:hint="eastAsia" w:ascii="Times New Roman" w:hAnsi="Times New Roman" w:eastAsia="宋体" w:cs="Times New Roman"/>
          <w:color w:val="auto"/>
          <w:szCs w:val="24"/>
          <w:highlight w:val="none"/>
        </w:rPr>
        <w:t>筛选破碎</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二级破碎筛分、三级破碎筛分</w:t>
      </w:r>
      <w:r>
        <w:rPr>
          <w:rFonts w:ascii="Times New Roman" w:hAnsi="Times New Roman" w:eastAsia="宋体" w:cs="Times New Roman"/>
          <w:color w:val="auto"/>
          <w:szCs w:val="24"/>
          <w:highlight w:val="none"/>
        </w:rPr>
        <w:t>颗粒物产生量分别取0.25kg/t、0.5kg/t、</w:t>
      </w:r>
      <w:r>
        <w:rPr>
          <w:rFonts w:hint="eastAsia" w:ascii="Times New Roman" w:hAnsi="Times New Roman" w:eastAsia="宋体" w:cs="Times New Roman"/>
          <w:color w:val="auto"/>
          <w:szCs w:val="24"/>
          <w:highlight w:val="none"/>
        </w:rPr>
        <w:t>1.0</w:t>
      </w:r>
      <w:r>
        <w:rPr>
          <w:rFonts w:ascii="Times New Roman" w:hAnsi="Times New Roman" w:eastAsia="宋体" w:cs="Times New Roman"/>
          <w:color w:val="auto"/>
          <w:szCs w:val="24"/>
          <w:highlight w:val="none"/>
        </w:rPr>
        <w:t>kg/t，故</w:t>
      </w:r>
      <w:r>
        <w:rPr>
          <w:rFonts w:hint="eastAsia" w:ascii="Times New Roman" w:hAnsi="Times New Roman" w:eastAsia="宋体" w:cs="Times New Roman"/>
          <w:color w:val="auto"/>
          <w:szCs w:val="24"/>
          <w:highlight w:val="none"/>
        </w:rPr>
        <w:t>筛选破碎</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二级破碎筛分、三级破碎筛分</w:t>
      </w:r>
      <w:r>
        <w:rPr>
          <w:rFonts w:ascii="Times New Roman" w:hAnsi="Times New Roman" w:eastAsia="宋体" w:cs="Times New Roman"/>
          <w:color w:val="auto"/>
          <w:szCs w:val="24"/>
          <w:highlight w:val="none"/>
        </w:rPr>
        <w:t>粉尘产生量分别为为1</w:t>
      </w:r>
      <w:r>
        <w:rPr>
          <w:rFonts w:hint="eastAsia" w:ascii="Times New Roman" w:hAnsi="Times New Roman" w:eastAsia="宋体" w:cs="Times New Roman"/>
          <w:color w:val="auto"/>
          <w:szCs w:val="24"/>
          <w:highlight w:val="none"/>
        </w:rPr>
        <w:t>2</w:t>
      </w:r>
      <w:r>
        <w:rPr>
          <w:rFonts w:ascii="Times New Roman" w:hAnsi="Times New Roman" w:eastAsia="宋体" w:cs="Times New Roman"/>
          <w:color w:val="auto"/>
          <w:szCs w:val="24"/>
          <w:highlight w:val="none"/>
        </w:rPr>
        <w:t>.5t/a、</w:t>
      </w:r>
      <w:r>
        <w:rPr>
          <w:rFonts w:hint="eastAsia" w:ascii="Times New Roman" w:hAnsi="Times New Roman" w:eastAsia="宋体" w:cs="Times New Roman"/>
          <w:color w:val="auto"/>
          <w:szCs w:val="24"/>
          <w:highlight w:val="none"/>
        </w:rPr>
        <w:t>25</w:t>
      </w:r>
      <w:r>
        <w:rPr>
          <w:rFonts w:ascii="Times New Roman" w:hAnsi="Times New Roman" w:eastAsia="宋体" w:cs="Times New Roman"/>
          <w:color w:val="auto"/>
          <w:szCs w:val="24"/>
          <w:highlight w:val="none"/>
        </w:rPr>
        <w:t>t/a</w:t>
      </w:r>
      <w:r>
        <w:rPr>
          <w:rFonts w:hint="eastAsia" w:ascii="Times New Roman" w:hAnsi="Times New Roman" w:eastAsia="宋体" w:cs="Times New Roman"/>
          <w:color w:val="auto"/>
          <w:szCs w:val="24"/>
          <w:highlight w:val="none"/>
        </w:rPr>
        <w:t>、5t/a</w:t>
      </w:r>
      <w:r>
        <w:rPr>
          <w:rFonts w:ascii="Times New Roman" w:hAnsi="Times New Roman" w:eastAsia="宋体" w:cs="Times New Roman"/>
          <w:color w:val="auto"/>
          <w:szCs w:val="24"/>
          <w:highlight w:val="none"/>
        </w:rPr>
        <w:t>。</w:t>
      </w:r>
    </w:p>
    <w:p>
      <w:pPr>
        <w:widowControl/>
        <w:ind w:firstLine="480"/>
        <w:rPr>
          <w:rFonts w:hint="eastAsia"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⑥</w:t>
      </w:r>
      <w:r>
        <w:rPr>
          <w:rFonts w:hint="eastAsia" w:ascii="Times New Roman" w:hAnsi="Times New Roman" w:eastAsia="宋体" w:cs="Times New Roman"/>
          <w:color w:val="auto"/>
          <w:szCs w:val="24"/>
          <w:highlight w:val="none"/>
        </w:rPr>
        <w:t>落料粉尘</w:t>
      </w:r>
    </w:p>
    <w:p>
      <w:pPr>
        <w:widowControl/>
        <w:ind w:firstLine="480"/>
        <w:rPr>
          <w:rFonts w:hint="eastAsia"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根据《逸散性工业颗粒物控制技术》（中国环境科学出版社），</w:t>
      </w:r>
      <w:r>
        <w:rPr>
          <w:rFonts w:hint="eastAsia" w:ascii="Times New Roman" w:hAnsi="Times New Roman" w:eastAsia="宋体" w:cs="Times New Roman"/>
          <w:color w:val="auto"/>
          <w:szCs w:val="24"/>
          <w:highlight w:val="none"/>
        </w:rPr>
        <w:t>碎石送料上堆过程</w:t>
      </w:r>
      <w:r>
        <w:rPr>
          <w:rFonts w:ascii="Times New Roman" w:hAnsi="Times New Roman" w:eastAsia="宋体" w:cs="Times New Roman"/>
          <w:color w:val="auto"/>
          <w:szCs w:val="24"/>
          <w:highlight w:val="none"/>
        </w:rPr>
        <w:t>逸散颗粒物排放系数为0.0</w:t>
      </w:r>
      <w:r>
        <w:rPr>
          <w:rFonts w:hint="eastAsia" w:ascii="Times New Roman" w:hAnsi="Times New Roman" w:eastAsia="宋体" w:cs="Times New Roman"/>
          <w:color w:val="auto"/>
          <w:szCs w:val="24"/>
          <w:highlight w:val="none"/>
        </w:rPr>
        <w:t>007</w:t>
      </w:r>
      <w:r>
        <w:rPr>
          <w:rFonts w:ascii="Times New Roman" w:hAnsi="Times New Roman" w:eastAsia="宋体" w:cs="Times New Roman"/>
          <w:color w:val="auto"/>
          <w:szCs w:val="24"/>
          <w:highlight w:val="none"/>
        </w:rPr>
        <w:t>kg/t（矿石），</w:t>
      </w:r>
      <w:r>
        <w:rPr>
          <w:rFonts w:hint="eastAsia" w:ascii="Times New Roman" w:hAnsi="Times New Roman" w:eastAsia="宋体" w:cs="Times New Roman"/>
          <w:color w:val="auto"/>
          <w:szCs w:val="24"/>
          <w:highlight w:val="none"/>
        </w:rPr>
        <w:t>项目矿石</w:t>
      </w:r>
      <w:r>
        <w:rPr>
          <w:rFonts w:ascii="Times New Roman" w:hAnsi="Times New Roman" w:eastAsia="宋体" w:cs="Times New Roman"/>
          <w:color w:val="auto"/>
          <w:szCs w:val="24"/>
          <w:highlight w:val="none"/>
        </w:rPr>
        <w:t>开</w:t>
      </w:r>
      <w:r>
        <w:rPr>
          <w:rFonts w:hint="eastAsia" w:ascii="Times New Roman" w:hAnsi="Times New Roman" w:eastAsia="宋体" w:cs="Times New Roman"/>
          <w:color w:val="auto"/>
          <w:szCs w:val="24"/>
          <w:highlight w:val="none"/>
        </w:rPr>
        <w:t>产</w:t>
      </w:r>
      <w:r>
        <w:rPr>
          <w:rFonts w:ascii="Times New Roman" w:hAnsi="Times New Roman" w:eastAsia="宋体" w:cs="Times New Roman"/>
          <w:color w:val="auto"/>
          <w:szCs w:val="24"/>
          <w:highlight w:val="none"/>
        </w:rPr>
        <w:t>量</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万t/a，则</w:t>
      </w:r>
      <w:r>
        <w:rPr>
          <w:rFonts w:hint="eastAsia" w:ascii="Times New Roman" w:hAnsi="Times New Roman" w:eastAsia="宋体" w:cs="Times New Roman"/>
          <w:color w:val="auto"/>
          <w:szCs w:val="24"/>
          <w:highlight w:val="none"/>
        </w:rPr>
        <w:t>落料过程</w:t>
      </w:r>
      <w:r>
        <w:rPr>
          <w:rFonts w:ascii="Times New Roman" w:hAnsi="Times New Roman" w:eastAsia="宋体" w:cs="Times New Roman"/>
          <w:color w:val="auto"/>
          <w:szCs w:val="24"/>
          <w:highlight w:val="none"/>
        </w:rPr>
        <w:t>逸散颗粒物排放量为0.</w:t>
      </w:r>
      <w:r>
        <w:rPr>
          <w:rFonts w:hint="eastAsia" w:ascii="Times New Roman" w:hAnsi="Times New Roman" w:eastAsia="宋体" w:cs="Times New Roman"/>
          <w:color w:val="auto"/>
          <w:szCs w:val="24"/>
          <w:highlight w:val="none"/>
        </w:rPr>
        <w:t>035</w:t>
      </w:r>
      <w:r>
        <w:rPr>
          <w:rFonts w:ascii="Times New Roman" w:hAnsi="Times New Roman" w:eastAsia="宋体" w:cs="Times New Roman"/>
          <w:color w:val="auto"/>
          <w:szCs w:val="24"/>
          <w:highlight w:val="none"/>
        </w:rPr>
        <w:t>t/a。</w:t>
      </w:r>
    </w:p>
    <w:p>
      <w:pPr>
        <w:widowControl/>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⑦堆</w:t>
      </w:r>
      <w:r>
        <w:rPr>
          <w:rFonts w:hint="eastAsia" w:ascii="Times New Roman" w:hAnsi="Times New Roman" w:eastAsia="宋体" w:cs="Times New Roman"/>
          <w:color w:val="auto"/>
          <w:szCs w:val="24"/>
          <w:highlight w:val="none"/>
        </w:rPr>
        <w:t>料</w:t>
      </w:r>
      <w:r>
        <w:rPr>
          <w:rFonts w:ascii="Times New Roman" w:hAnsi="Times New Roman" w:eastAsia="宋体" w:cs="Times New Roman"/>
          <w:color w:val="auto"/>
          <w:szCs w:val="24"/>
          <w:highlight w:val="none"/>
        </w:rPr>
        <w:t>场扬尘</w:t>
      </w:r>
    </w:p>
    <w:p>
      <w:pPr>
        <w:widowControl/>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根据《扬尘源颗粒物排放清单编制技术指南（试行）》</w:t>
      </w:r>
      <w:r>
        <w:rPr>
          <w:rFonts w:hint="eastAsia" w:ascii="Times New Roman" w:hAnsi="Times New Roman" w:cs="Times New Roman"/>
          <w:color w:val="auto"/>
          <w:szCs w:val="24"/>
          <w:highlight w:val="none"/>
          <w:lang w:val="en-US" w:eastAsia="zh-CN"/>
        </w:rPr>
        <w:t>及计算公式（见本报告第2.2.9.1节）</w:t>
      </w:r>
      <w:r>
        <w:rPr>
          <w:rFonts w:ascii="Times New Roman" w:hAnsi="Times New Roman" w:eastAsia="宋体" w:cs="Times New Roman"/>
          <w:color w:val="auto"/>
          <w:szCs w:val="24"/>
          <w:highlight w:val="none"/>
        </w:rPr>
        <w:t>，未采取洒水措施时，</w:t>
      </w:r>
      <w:r>
        <w:rPr>
          <w:rStyle w:val="199"/>
          <w:rFonts w:ascii="Times New Roman" w:hAnsi="Times New Roman" w:eastAsia="宋体" w:cs="Times New Roman"/>
          <w:i w:val="0"/>
          <w:color w:val="auto"/>
          <w:sz w:val="24"/>
          <w:szCs w:val="24"/>
          <w:highlight w:val="none"/>
        </w:rPr>
        <w:t>堆场装卸扬尘的排放系数为</w:t>
      </w:r>
      <w:r>
        <w:rPr>
          <w:rFonts w:ascii="Times New Roman" w:hAnsi="Times New Roman" w:eastAsia="宋体" w:cs="Times New Roman"/>
          <w:color w:val="auto"/>
          <w:szCs w:val="24"/>
          <w:highlight w:val="none"/>
        </w:rPr>
        <w:t>0.000</w:t>
      </w:r>
      <w:r>
        <w:rPr>
          <w:rFonts w:hint="eastAsia" w:ascii="Times New Roman" w:hAnsi="Times New Roman" w:eastAsia="宋体" w:cs="Times New Roman"/>
          <w:color w:val="auto"/>
          <w:szCs w:val="24"/>
          <w:highlight w:val="none"/>
        </w:rPr>
        <w:t>558</w:t>
      </w:r>
      <w:r>
        <w:rPr>
          <w:rFonts w:ascii="Times New Roman" w:hAnsi="Times New Roman" w:eastAsia="宋体" w:cs="Times New Roman"/>
          <w:color w:val="auto"/>
          <w:szCs w:val="24"/>
          <w:highlight w:val="none"/>
        </w:rPr>
        <w:t>kg/t</w:t>
      </w:r>
      <w:r>
        <w:rPr>
          <w:rStyle w:val="199"/>
          <w:rFonts w:ascii="Times New Roman" w:hAnsi="Times New Roman" w:eastAsia="宋体" w:cs="Times New Roman"/>
          <w:i w:val="0"/>
          <w:color w:val="auto"/>
          <w:sz w:val="24"/>
          <w:szCs w:val="24"/>
          <w:highlight w:val="none"/>
        </w:rPr>
        <w:t>，堆场装卸</w:t>
      </w:r>
      <w:r>
        <w:rPr>
          <w:rStyle w:val="199"/>
          <w:rFonts w:hint="eastAsia" w:ascii="Times New Roman" w:hAnsi="Times New Roman" w:eastAsia="宋体" w:cs="Times New Roman"/>
          <w:i w:val="0"/>
          <w:color w:val="auto"/>
          <w:sz w:val="24"/>
          <w:szCs w:val="24"/>
          <w:highlight w:val="none"/>
        </w:rPr>
        <w:t>石料</w:t>
      </w:r>
      <w:r>
        <w:rPr>
          <w:rFonts w:ascii="Times New Roman" w:hAnsi="Times New Roman" w:eastAsia="宋体" w:cs="Times New Roman"/>
          <w:color w:val="auto"/>
          <w:szCs w:val="24"/>
          <w:highlight w:val="none"/>
        </w:rPr>
        <w:t>的装车量按2t/次计，项目装卸总量</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万t/a，则项目</w:t>
      </w:r>
      <w:r>
        <w:rPr>
          <w:rFonts w:hint="eastAsia" w:ascii="Times New Roman" w:hAnsi="Times New Roman" w:eastAsia="宋体" w:cs="Times New Roman"/>
          <w:color w:val="auto"/>
          <w:szCs w:val="24"/>
          <w:highlight w:val="none"/>
        </w:rPr>
        <w:t>矿山</w:t>
      </w:r>
      <w:r>
        <w:rPr>
          <w:rFonts w:ascii="Times New Roman" w:hAnsi="Times New Roman" w:eastAsia="宋体" w:cs="Times New Roman"/>
          <w:color w:val="auto"/>
          <w:szCs w:val="24"/>
          <w:highlight w:val="none"/>
        </w:rPr>
        <w:t>装卸运输过程颗粒物排放为0.0</w:t>
      </w:r>
      <w:r>
        <w:rPr>
          <w:rFonts w:hint="eastAsia" w:ascii="Times New Roman" w:hAnsi="Times New Roman" w:eastAsia="宋体" w:cs="Times New Roman"/>
          <w:color w:val="auto"/>
          <w:szCs w:val="24"/>
          <w:highlight w:val="none"/>
        </w:rPr>
        <w:t>28</w:t>
      </w:r>
      <w:r>
        <w:rPr>
          <w:rFonts w:ascii="Times New Roman" w:hAnsi="Times New Roman" w:eastAsia="宋体" w:cs="Times New Roman"/>
          <w:color w:val="auto"/>
          <w:szCs w:val="24"/>
          <w:highlight w:val="none"/>
        </w:rPr>
        <w:t>t/a。</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未采取洒水措施时，</w:t>
      </w:r>
      <w:r>
        <w:rPr>
          <w:rStyle w:val="199"/>
          <w:rFonts w:ascii="Times New Roman" w:hAnsi="Times New Roman" w:eastAsia="宋体" w:cs="Times New Roman"/>
          <w:i w:val="0"/>
          <w:color w:val="auto"/>
          <w:sz w:val="24"/>
          <w:szCs w:val="24"/>
          <w:highlight w:val="none"/>
        </w:rPr>
        <w:t>堆场</w:t>
      </w:r>
      <w:r>
        <w:rPr>
          <w:rFonts w:ascii="Times New Roman" w:hAnsi="Times New Roman" w:eastAsia="宋体" w:cs="Times New Roman"/>
          <w:color w:val="auto"/>
          <w:szCs w:val="24"/>
          <w:highlight w:val="none"/>
        </w:rPr>
        <w:t>风蚀扬尘的排放系数</w:t>
      </w:r>
      <w:r>
        <w:rPr>
          <w:rStyle w:val="199"/>
          <w:rFonts w:ascii="Times New Roman" w:hAnsi="Times New Roman" w:eastAsia="宋体" w:cs="Times New Roman"/>
          <w:i w:val="0"/>
          <w:color w:val="auto"/>
          <w:sz w:val="24"/>
          <w:szCs w:val="24"/>
          <w:highlight w:val="none"/>
        </w:rPr>
        <w:t>为</w:t>
      </w:r>
      <w:r>
        <w:rPr>
          <w:rFonts w:ascii="Times New Roman" w:hAnsi="Times New Roman" w:eastAsia="宋体" w:cs="Times New Roman"/>
          <w:color w:val="auto"/>
          <w:szCs w:val="24"/>
          <w:highlight w:val="none"/>
        </w:rPr>
        <w:t>0.</w:t>
      </w:r>
      <w:r>
        <w:rPr>
          <w:rFonts w:hint="eastAsia" w:ascii="Times New Roman" w:hAnsi="Times New Roman" w:eastAsia="宋体" w:cs="Times New Roman"/>
          <w:color w:val="auto"/>
          <w:szCs w:val="24"/>
          <w:highlight w:val="none"/>
        </w:rPr>
        <w:t>1</w:t>
      </w:r>
      <w:r>
        <w:rPr>
          <w:rFonts w:ascii="Times New Roman" w:hAnsi="Times New Roman" w:eastAsia="宋体" w:cs="Times New Roman"/>
          <w:color w:val="auto"/>
          <w:szCs w:val="24"/>
          <w:highlight w:val="none"/>
        </w:rPr>
        <w:t>kg/m</w:t>
      </w:r>
      <w:r>
        <w:rPr>
          <w:rFonts w:ascii="Times New Roman" w:hAnsi="Times New Roman" w:eastAsia="宋体" w:cs="Times New Roman"/>
          <w:color w:val="auto"/>
          <w:szCs w:val="24"/>
          <w:highlight w:val="none"/>
          <w:vertAlign w:val="superscript"/>
        </w:rPr>
        <w:t>2</w:t>
      </w:r>
      <w:r>
        <w:rPr>
          <w:rFonts w:ascii="Times New Roman" w:hAnsi="Times New Roman" w:eastAsia="宋体" w:cs="Times New Roman"/>
          <w:color w:val="auto"/>
          <w:szCs w:val="24"/>
          <w:highlight w:val="none"/>
        </w:rPr>
        <w:t>。项目</w:t>
      </w:r>
      <w:r>
        <w:rPr>
          <w:rFonts w:ascii="Times New Roman" w:hAnsi="Times New Roman" w:eastAsia="宋体" w:cs="Times New Roman"/>
          <w:color w:val="auto"/>
          <w:kern w:val="0"/>
          <w:highlight w:val="none"/>
        </w:rPr>
        <w:t>堆料场①、堆料场②、堆料场</w:t>
      </w:r>
      <w:r>
        <w:rPr>
          <w:rFonts w:hint="eastAsia" w:ascii="Times New Roman" w:hAnsi="Times New Roman" w:eastAsia="宋体"/>
          <w:color w:val="auto"/>
          <w:kern w:val="0"/>
          <w:highlight w:val="none"/>
        </w:rPr>
        <w:t>③</w:t>
      </w:r>
      <w:r>
        <w:rPr>
          <w:rFonts w:ascii="Times New Roman" w:hAnsi="Times New Roman" w:eastAsia="宋体" w:cs="Times New Roman"/>
          <w:color w:val="auto"/>
          <w:kern w:val="0"/>
          <w:highlight w:val="none"/>
        </w:rPr>
        <w:t>、堆料场</w:t>
      </w:r>
      <w:r>
        <w:rPr>
          <w:rFonts w:hint="eastAsia" w:ascii="Times New Roman" w:hAnsi="Times New Roman" w:eastAsia="宋体"/>
          <w:color w:val="auto"/>
          <w:kern w:val="0"/>
          <w:highlight w:val="none"/>
        </w:rPr>
        <w:t>④</w:t>
      </w:r>
      <w:r>
        <w:rPr>
          <w:rFonts w:ascii="Times New Roman" w:hAnsi="Times New Roman" w:eastAsia="宋体" w:cs="Times New Roman"/>
          <w:color w:val="auto"/>
          <w:kern w:val="0"/>
          <w:highlight w:val="none"/>
        </w:rPr>
        <w:t>、</w:t>
      </w:r>
      <w:r>
        <w:rPr>
          <w:rFonts w:hint="eastAsia" w:ascii="Times New Roman" w:hAnsi="Times New Roman" w:eastAsia="宋体" w:cs="Times New Roman"/>
          <w:color w:val="auto"/>
          <w:kern w:val="0"/>
          <w:highlight w:val="none"/>
        </w:rPr>
        <w:t>临时排土场</w:t>
      </w:r>
      <w:r>
        <w:rPr>
          <w:rFonts w:ascii="Times New Roman" w:hAnsi="Times New Roman" w:eastAsia="宋体" w:cs="Times New Roman"/>
          <w:color w:val="auto"/>
          <w:kern w:val="0"/>
          <w:highlight w:val="none"/>
        </w:rPr>
        <w:t>表面积分别为</w:t>
      </w:r>
      <w:r>
        <w:rPr>
          <w:rFonts w:hint="eastAsia" w:ascii="Times New Roman" w:hAnsi="Times New Roman" w:eastAsia="宋体" w:cs="Times New Roman"/>
          <w:color w:val="auto"/>
          <w:kern w:val="0"/>
          <w:highlight w:val="none"/>
        </w:rPr>
        <w:t>10</w:t>
      </w:r>
      <w:r>
        <w:rPr>
          <w:rFonts w:ascii="Times New Roman" w:hAnsi="Times New Roman" w:eastAsia="宋体" w:cs="Times New Roman"/>
          <w:color w:val="auto"/>
          <w:kern w:val="0"/>
          <w:highlight w:val="none"/>
        </w:rPr>
        <w:t>00m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kern w:val="0"/>
          <w:highlight w:val="none"/>
        </w:rPr>
        <w:t>、</w:t>
      </w:r>
      <w:r>
        <w:rPr>
          <w:rFonts w:hint="eastAsia" w:ascii="Times New Roman" w:hAnsi="Times New Roman" w:eastAsia="宋体" w:cs="Times New Roman"/>
          <w:color w:val="auto"/>
          <w:kern w:val="0"/>
          <w:highlight w:val="none"/>
        </w:rPr>
        <w:t>5</w:t>
      </w:r>
      <w:r>
        <w:rPr>
          <w:rFonts w:ascii="Times New Roman" w:hAnsi="Times New Roman" w:eastAsia="宋体" w:cs="Times New Roman"/>
          <w:color w:val="auto"/>
          <w:kern w:val="0"/>
          <w:highlight w:val="none"/>
        </w:rPr>
        <w:t>00m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kern w:val="0"/>
          <w:highlight w:val="none"/>
        </w:rPr>
        <w:t>、</w:t>
      </w:r>
      <w:r>
        <w:rPr>
          <w:rFonts w:hint="eastAsia" w:ascii="Times New Roman" w:hAnsi="Times New Roman" w:eastAsia="宋体" w:cs="Times New Roman"/>
          <w:color w:val="auto"/>
          <w:kern w:val="0"/>
          <w:highlight w:val="none"/>
        </w:rPr>
        <w:t>5</w:t>
      </w:r>
      <w:r>
        <w:rPr>
          <w:rFonts w:ascii="Times New Roman" w:hAnsi="Times New Roman" w:eastAsia="宋体" w:cs="Times New Roman"/>
          <w:color w:val="auto"/>
          <w:kern w:val="0"/>
          <w:highlight w:val="none"/>
        </w:rPr>
        <w:t>00m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kern w:val="0"/>
          <w:highlight w:val="none"/>
        </w:rPr>
        <w:t>、</w:t>
      </w:r>
      <w:r>
        <w:rPr>
          <w:rFonts w:hint="eastAsia" w:ascii="Times New Roman" w:hAnsi="Times New Roman" w:eastAsia="宋体" w:cs="Times New Roman"/>
          <w:color w:val="auto"/>
          <w:kern w:val="0"/>
          <w:highlight w:val="none"/>
        </w:rPr>
        <w:t>3</w:t>
      </w:r>
      <w:r>
        <w:rPr>
          <w:rFonts w:ascii="Times New Roman" w:hAnsi="Times New Roman" w:eastAsia="宋体" w:cs="Times New Roman"/>
          <w:color w:val="auto"/>
          <w:kern w:val="0"/>
          <w:highlight w:val="none"/>
        </w:rPr>
        <w:t>00m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kern w:val="0"/>
          <w:highlight w:val="none"/>
        </w:rPr>
        <w:t>、</w:t>
      </w:r>
      <w:r>
        <w:rPr>
          <w:rFonts w:hint="eastAsia" w:ascii="Times New Roman" w:hAnsi="Times New Roman" w:eastAsia="宋体" w:cs="Times New Roman"/>
          <w:color w:val="auto"/>
          <w:kern w:val="0"/>
          <w:highlight w:val="none"/>
        </w:rPr>
        <w:t>3</w:t>
      </w:r>
      <w:r>
        <w:rPr>
          <w:rFonts w:ascii="Times New Roman" w:hAnsi="Times New Roman" w:eastAsia="宋体" w:cs="Times New Roman"/>
          <w:color w:val="auto"/>
          <w:kern w:val="0"/>
          <w:highlight w:val="none"/>
        </w:rPr>
        <w:t>00m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szCs w:val="24"/>
          <w:highlight w:val="none"/>
        </w:rPr>
        <w:t>，风蚀扬尘产生量分别为0.</w:t>
      </w:r>
      <w:r>
        <w:rPr>
          <w:rFonts w:hint="eastAsia" w:ascii="Times New Roman" w:hAnsi="Times New Roman" w:eastAsia="宋体" w:cs="Times New Roman"/>
          <w:color w:val="auto"/>
          <w:szCs w:val="24"/>
          <w:highlight w:val="none"/>
        </w:rPr>
        <w:t>1</w:t>
      </w:r>
      <w:r>
        <w:rPr>
          <w:rFonts w:ascii="Times New Roman" w:hAnsi="Times New Roman" w:eastAsia="宋体" w:cs="Times New Roman"/>
          <w:color w:val="auto"/>
          <w:szCs w:val="24"/>
          <w:highlight w:val="none"/>
        </w:rPr>
        <w:t>t/a、0.</w:t>
      </w:r>
      <w:r>
        <w:rPr>
          <w:rFonts w:hint="eastAsia" w:ascii="Times New Roman" w:hAnsi="Times New Roman" w:eastAsia="宋体" w:cs="Times New Roman"/>
          <w:color w:val="auto"/>
          <w:szCs w:val="24"/>
          <w:highlight w:val="none"/>
        </w:rPr>
        <w:t>05</w:t>
      </w:r>
      <w:r>
        <w:rPr>
          <w:rFonts w:ascii="Times New Roman" w:hAnsi="Times New Roman" w:eastAsia="宋体" w:cs="Times New Roman"/>
          <w:color w:val="auto"/>
          <w:szCs w:val="24"/>
          <w:highlight w:val="none"/>
        </w:rPr>
        <w:t>t/a、0.</w:t>
      </w:r>
      <w:r>
        <w:rPr>
          <w:rFonts w:hint="eastAsia" w:ascii="Times New Roman" w:hAnsi="Times New Roman" w:eastAsia="宋体" w:cs="Times New Roman"/>
          <w:color w:val="auto"/>
          <w:szCs w:val="24"/>
          <w:highlight w:val="none"/>
        </w:rPr>
        <w:t>05</w:t>
      </w:r>
      <w:r>
        <w:rPr>
          <w:rFonts w:ascii="Times New Roman" w:hAnsi="Times New Roman" w:eastAsia="宋体" w:cs="Times New Roman"/>
          <w:color w:val="auto"/>
          <w:szCs w:val="24"/>
          <w:highlight w:val="none"/>
        </w:rPr>
        <w:t>t/a、0.03t/a、0.</w:t>
      </w:r>
      <w:r>
        <w:rPr>
          <w:rFonts w:hint="eastAsia" w:ascii="Times New Roman" w:hAnsi="Times New Roman" w:eastAsia="宋体" w:cs="Times New Roman"/>
          <w:color w:val="auto"/>
          <w:szCs w:val="24"/>
          <w:highlight w:val="none"/>
        </w:rPr>
        <w:t>03</w:t>
      </w:r>
      <w:r>
        <w:rPr>
          <w:rFonts w:ascii="Times New Roman" w:hAnsi="Times New Roman" w:eastAsia="宋体" w:cs="Times New Roman"/>
          <w:color w:val="auto"/>
          <w:szCs w:val="24"/>
          <w:highlight w:val="none"/>
        </w:rPr>
        <w:t>t/a。</w:t>
      </w:r>
    </w:p>
    <w:p>
      <w:pPr>
        <w:widowControl/>
        <w:ind w:firstLine="480"/>
        <w:jc w:val="left"/>
        <w:rPr>
          <w:rFonts w:ascii="Times New Roman" w:hAnsi="Times New Roman" w:eastAsia="宋体" w:cs="Times New Roman"/>
          <w:color w:val="auto"/>
          <w:szCs w:val="24"/>
          <w:highlight w:val="none"/>
        </w:rPr>
      </w:pPr>
      <w:r>
        <w:rPr>
          <w:rFonts w:hint="eastAsia" w:ascii="Times New Roman" w:hAnsi="Times New Roman" w:eastAsia="宋体"/>
          <w:color w:val="auto"/>
          <w:szCs w:val="24"/>
          <w:highlight w:val="none"/>
        </w:rPr>
        <w:t>⑧</w:t>
      </w:r>
      <w:r>
        <w:rPr>
          <w:rFonts w:ascii="Times New Roman" w:hAnsi="Times New Roman" w:eastAsia="宋体" w:cs="Times New Roman"/>
          <w:color w:val="auto"/>
          <w:szCs w:val="24"/>
          <w:highlight w:val="none"/>
        </w:rPr>
        <w:t>道路扬尘</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szCs w:val="24"/>
          <w:highlight w:val="none"/>
        </w:rPr>
        <w:t>根据《扬尘源颗粒物排放清单编制技术指南（试行）》</w:t>
      </w:r>
      <w:r>
        <w:rPr>
          <w:rFonts w:hint="eastAsia" w:ascii="Times New Roman" w:hAnsi="Times New Roman" w:cs="Times New Roman"/>
          <w:color w:val="auto"/>
          <w:szCs w:val="24"/>
          <w:highlight w:val="none"/>
          <w:lang w:val="en-US" w:eastAsia="zh-CN"/>
        </w:rPr>
        <w:t>及计算公式（见本报告第2.2.9.1节）</w:t>
      </w:r>
      <w:r>
        <w:rPr>
          <w:rFonts w:ascii="Times New Roman" w:hAnsi="Times New Roman" w:eastAsia="宋体" w:cs="Times New Roman"/>
          <w:color w:val="auto"/>
          <w:szCs w:val="24"/>
          <w:highlight w:val="none"/>
        </w:rPr>
        <w:t>，</w:t>
      </w:r>
      <w:r>
        <w:rPr>
          <w:rFonts w:ascii="Times New Roman" w:hAnsi="Times New Roman" w:eastAsia="宋体" w:cs="Times New Roman"/>
          <w:color w:val="auto"/>
          <w:highlight w:val="none"/>
        </w:rPr>
        <w:t>道路扬尘</w:t>
      </w:r>
      <w:r>
        <w:rPr>
          <w:rFonts w:ascii="Times New Roman" w:hAnsi="Times New Roman" w:eastAsia="宋体" w:cs="Times New Roman"/>
          <w:color w:val="auto"/>
          <w:szCs w:val="24"/>
          <w:highlight w:val="none"/>
        </w:rPr>
        <w:t>排放量</w:t>
      </w:r>
      <w:r>
        <w:rPr>
          <w:rFonts w:ascii="Times New Roman" w:hAnsi="Times New Roman" w:eastAsia="宋体" w:cs="Times New Roman"/>
          <w:color w:val="auto"/>
          <w:highlight w:val="none"/>
        </w:rPr>
        <w:t>为0.1</w:t>
      </w:r>
      <w:r>
        <w:rPr>
          <w:rFonts w:hint="eastAsia" w:ascii="Times New Roman" w:hAnsi="Times New Roman" w:eastAsia="宋体" w:cs="Times New Roman"/>
          <w:color w:val="auto"/>
          <w:highlight w:val="none"/>
        </w:rPr>
        <w:t>47</w:t>
      </w:r>
      <w:r>
        <w:rPr>
          <w:rFonts w:ascii="Times New Roman" w:hAnsi="Times New Roman" w:eastAsia="宋体" w:cs="Times New Roman"/>
          <w:color w:val="auto"/>
          <w:highlight w:val="none"/>
        </w:rPr>
        <w:t>t/a。</w:t>
      </w:r>
    </w:p>
    <w:p>
      <w:pPr>
        <w:widowControl/>
        <w:ind w:firstLine="482"/>
        <w:jc w:val="left"/>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4"/>
          <w:highlight w:val="none"/>
        </w:rPr>
        <w:t>（2）汽车尾气</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0"/>
          <w:highlight w:val="none"/>
        </w:rPr>
        <w:t>根据《非道路移动源大气污染源排放清单编制技术指南（试行）》表5数据，非道路移动机械CO、HC、NO</w:t>
      </w:r>
      <w:r>
        <w:rPr>
          <w:rFonts w:ascii="Times New Roman" w:hAnsi="Times New Roman" w:eastAsia="宋体" w:cs="Times New Roman"/>
          <w:color w:val="auto"/>
          <w:szCs w:val="20"/>
          <w:highlight w:val="none"/>
          <w:vertAlign w:val="subscript"/>
        </w:rPr>
        <w:t>x</w:t>
      </w:r>
      <w:r>
        <w:rPr>
          <w:rFonts w:ascii="Times New Roman" w:hAnsi="Times New Roman" w:eastAsia="宋体" w:cs="Times New Roman"/>
          <w:color w:val="auto"/>
          <w:szCs w:val="20"/>
          <w:highlight w:val="none"/>
        </w:rPr>
        <w:t>的排放系数分别为10.72g/kg、3.39g/kg、32.79g/kg，</w:t>
      </w:r>
      <w:r>
        <w:rPr>
          <w:rFonts w:hint="eastAsia" w:ascii="Times New Roman" w:hAnsi="Times New Roman" w:eastAsia="宋体" w:cs="Times New Roman"/>
          <w:bCs/>
          <w:color w:val="auto"/>
          <w:szCs w:val="24"/>
          <w:highlight w:val="none"/>
        </w:rPr>
        <w:t>原</w:t>
      </w:r>
      <w:r>
        <w:rPr>
          <w:rFonts w:hint="eastAsia" w:ascii="Times New Roman" w:hAnsi="Times New Roman" w:eastAsia="宋体" w:cs="Times New Roman"/>
          <w:color w:val="auto"/>
          <w:highlight w:val="none"/>
        </w:rPr>
        <w:t>宏保兴采石场</w:t>
      </w:r>
      <w:r>
        <w:rPr>
          <w:rFonts w:ascii="Times New Roman" w:hAnsi="Times New Roman" w:eastAsia="宋体" w:cs="Times New Roman"/>
          <w:color w:val="auto"/>
          <w:szCs w:val="24"/>
          <w:highlight w:val="none"/>
        </w:rPr>
        <w:t>年消耗柴油6t，经计算，污染物的排放量分别为CO：0.064t/a、HC：0.02t/a、</w:t>
      </w:r>
      <w:r>
        <w:rPr>
          <w:rFonts w:ascii="Times New Roman" w:hAnsi="Times New Roman" w:eastAsia="宋体" w:cs="Times New Roman"/>
          <w:color w:val="auto"/>
          <w:highlight w:val="none"/>
        </w:rPr>
        <w:t>NO</w:t>
      </w:r>
      <w:r>
        <w:rPr>
          <w:rFonts w:ascii="Times New Roman" w:hAnsi="Times New Roman" w:eastAsia="宋体" w:cs="Times New Roman"/>
          <w:color w:val="auto"/>
          <w:highlight w:val="none"/>
          <w:vertAlign w:val="subscript"/>
        </w:rPr>
        <w:t>x</w:t>
      </w:r>
      <w:r>
        <w:rPr>
          <w:rFonts w:ascii="Times New Roman" w:hAnsi="Times New Roman" w:eastAsia="宋体" w:cs="Times New Roman"/>
          <w:color w:val="auto"/>
          <w:szCs w:val="24"/>
          <w:highlight w:val="none"/>
        </w:rPr>
        <w:t>：0.197t/a。</w:t>
      </w:r>
    </w:p>
    <w:p>
      <w:pPr>
        <w:widowControl/>
        <w:ind w:firstLine="482"/>
        <w:jc w:val="left"/>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4"/>
          <w:highlight w:val="none"/>
        </w:rPr>
        <w:t>（</w:t>
      </w:r>
      <w:r>
        <w:rPr>
          <w:rFonts w:hint="eastAsia" w:ascii="Times New Roman" w:hAnsi="Times New Roman" w:eastAsia="宋体" w:cs="Times New Roman"/>
          <w:b/>
          <w:color w:val="auto"/>
          <w:szCs w:val="24"/>
          <w:highlight w:val="none"/>
        </w:rPr>
        <w:t>3</w:t>
      </w:r>
      <w:r>
        <w:rPr>
          <w:rFonts w:ascii="Times New Roman" w:hAnsi="Times New Roman" w:eastAsia="宋体" w:cs="Times New Roman"/>
          <w:b/>
          <w:color w:val="auto"/>
          <w:szCs w:val="24"/>
          <w:highlight w:val="none"/>
        </w:rPr>
        <w:t>）油烟、燃气废气</w:t>
      </w:r>
    </w:p>
    <w:p>
      <w:pPr>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①油烟</w:t>
      </w:r>
    </w:p>
    <w:p>
      <w:pPr>
        <w:ind w:firstLine="480"/>
        <w:rPr>
          <w:rFonts w:ascii="Times New Roman" w:hAnsi="Times New Roman" w:eastAsia="宋体" w:cs="Times New Roman"/>
          <w:bCs/>
          <w:color w:val="auto"/>
          <w:szCs w:val="20"/>
          <w:highlight w:val="none"/>
        </w:rPr>
      </w:pPr>
      <w:r>
        <w:rPr>
          <w:rFonts w:ascii="Times New Roman" w:hAnsi="Times New Roman" w:eastAsia="宋体" w:cs="Times New Roman"/>
          <w:color w:val="auto"/>
          <w:szCs w:val="24"/>
          <w:highlight w:val="none"/>
        </w:rPr>
        <w:t>项目现有职工</w:t>
      </w:r>
      <w:r>
        <w:rPr>
          <w:rFonts w:hint="eastAsia" w:ascii="Times New Roman" w:hAnsi="Times New Roman" w:eastAsia="宋体" w:cs="Times New Roman"/>
          <w:color w:val="auto"/>
          <w:szCs w:val="24"/>
          <w:highlight w:val="none"/>
        </w:rPr>
        <w:t>10</w:t>
      </w:r>
      <w:r>
        <w:rPr>
          <w:rFonts w:ascii="Times New Roman" w:hAnsi="Times New Roman" w:eastAsia="宋体" w:cs="Times New Roman"/>
          <w:color w:val="auto"/>
          <w:szCs w:val="24"/>
          <w:highlight w:val="none"/>
        </w:rPr>
        <w:t>人，</w:t>
      </w:r>
      <w:r>
        <w:rPr>
          <w:rFonts w:ascii="Times New Roman" w:hAnsi="Times New Roman" w:eastAsia="宋体" w:cs="Times New Roman"/>
          <w:bCs/>
          <w:color w:val="auto"/>
          <w:szCs w:val="20"/>
          <w:highlight w:val="none"/>
        </w:rPr>
        <w:t>人均食用油量（三餐）约0.03kg/d，则总耗油量约0.</w:t>
      </w:r>
      <w:r>
        <w:rPr>
          <w:rFonts w:hint="eastAsia" w:ascii="Times New Roman" w:hAnsi="Times New Roman" w:eastAsia="宋体" w:cs="Times New Roman"/>
          <w:bCs/>
          <w:color w:val="auto"/>
          <w:szCs w:val="20"/>
          <w:highlight w:val="none"/>
        </w:rPr>
        <w:t>3</w:t>
      </w:r>
      <w:r>
        <w:rPr>
          <w:rFonts w:ascii="Times New Roman" w:hAnsi="Times New Roman" w:eastAsia="宋体" w:cs="Times New Roman"/>
          <w:bCs/>
          <w:color w:val="auto"/>
          <w:szCs w:val="20"/>
          <w:highlight w:val="none"/>
        </w:rPr>
        <w:t>kg/d，一般油烟挥发量占总耗油量的3%，则油烟产生量约为0.0</w:t>
      </w:r>
      <w:r>
        <w:rPr>
          <w:rFonts w:hint="eastAsia" w:ascii="Times New Roman" w:hAnsi="Times New Roman" w:eastAsia="宋体" w:cs="Times New Roman"/>
          <w:bCs/>
          <w:color w:val="auto"/>
          <w:szCs w:val="20"/>
          <w:highlight w:val="none"/>
        </w:rPr>
        <w:t>09</w:t>
      </w:r>
      <w:r>
        <w:rPr>
          <w:rFonts w:ascii="Times New Roman" w:hAnsi="Times New Roman" w:eastAsia="宋体" w:cs="Times New Roman"/>
          <w:bCs/>
          <w:color w:val="auto"/>
          <w:szCs w:val="20"/>
          <w:highlight w:val="none"/>
        </w:rPr>
        <w:t>kg/d，年营运</w:t>
      </w:r>
      <w:r>
        <w:rPr>
          <w:rFonts w:hint="eastAsia" w:ascii="Times New Roman" w:hAnsi="Times New Roman" w:eastAsia="宋体" w:cs="Times New Roman"/>
          <w:bCs/>
          <w:color w:val="auto"/>
          <w:szCs w:val="20"/>
          <w:highlight w:val="none"/>
        </w:rPr>
        <w:t>25</w:t>
      </w:r>
      <w:r>
        <w:rPr>
          <w:rFonts w:ascii="Times New Roman" w:hAnsi="Times New Roman" w:eastAsia="宋体" w:cs="Times New Roman"/>
          <w:bCs/>
          <w:color w:val="auto"/>
          <w:szCs w:val="20"/>
          <w:highlight w:val="none"/>
        </w:rPr>
        <w:t>0天，油烟排放总量为</w:t>
      </w:r>
      <w:r>
        <w:rPr>
          <w:rFonts w:hint="eastAsia" w:ascii="Times New Roman" w:hAnsi="Times New Roman" w:eastAsia="宋体" w:cs="Times New Roman"/>
          <w:bCs/>
          <w:color w:val="auto"/>
          <w:szCs w:val="20"/>
          <w:highlight w:val="none"/>
        </w:rPr>
        <w:t>2.2</w:t>
      </w:r>
      <w:r>
        <w:rPr>
          <w:rFonts w:ascii="Times New Roman" w:hAnsi="Times New Roman" w:eastAsia="宋体" w:cs="Times New Roman"/>
          <w:bCs/>
          <w:color w:val="auto"/>
          <w:szCs w:val="20"/>
          <w:highlight w:val="none"/>
        </w:rPr>
        <w:t>5kg/a。</w:t>
      </w:r>
    </w:p>
    <w:p>
      <w:pPr>
        <w:widowControl/>
        <w:adjustRightInd w:val="0"/>
        <w:snapToGrid w:val="0"/>
        <w:ind w:firstLine="480"/>
        <w:jc w:val="left"/>
        <w:textAlignment w:val="baseline"/>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②燃气废气</w:t>
      </w:r>
    </w:p>
    <w:p>
      <w:pPr>
        <w:widowControl/>
        <w:adjustRightInd w:val="0"/>
        <w:snapToGrid w:val="0"/>
        <w:ind w:firstLine="480"/>
        <w:textAlignment w:val="baseline"/>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职工厨房燃料使用</w:t>
      </w:r>
      <w:r>
        <w:rPr>
          <w:rFonts w:ascii="Times New Roman" w:hAnsi="Times New Roman" w:eastAsia="宋体" w:cs="Times New Roman"/>
          <w:color w:val="auto"/>
          <w:szCs w:val="20"/>
          <w:highlight w:val="none"/>
          <w:u w:val="single"/>
        </w:rPr>
        <w:t>液化石油气</w:t>
      </w:r>
      <w:r>
        <w:rPr>
          <w:rFonts w:ascii="Times New Roman" w:hAnsi="Times New Roman" w:eastAsia="宋体" w:cs="Times New Roman"/>
          <w:color w:val="auto"/>
          <w:szCs w:val="20"/>
          <w:highlight w:val="none"/>
        </w:rPr>
        <w:t>，</w:t>
      </w:r>
      <w:r>
        <w:rPr>
          <w:rFonts w:hint="eastAsia" w:ascii="Times New Roman" w:hAnsi="Times New Roman" w:cs="Times New Roman"/>
          <w:color w:val="auto"/>
          <w:szCs w:val="20"/>
          <w:highlight w:val="none"/>
          <w:lang w:val="en-US" w:eastAsia="zh-CN"/>
        </w:rPr>
        <w:t>其</w:t>
      </w:r>
      <w:r>
        <w:rPr>
          <w:rFonts w:ascii="Times New Roman" w:hAnsi="Times New Roman" w:eastAsia="宋体" w:cs="Times New Roman"/>
          <w:color w:val="auto"/>
          <w:szCs w:val="20"/>
          <w:highlight w:val="none"/>
        </w:rPr>
        <w:t>燃烧产生主要污染物为颗粒物、SO</w:t>
      </w:r>
      <w:r>
        <w:rPr>
          <w:rFonts w:ascii="Times New Roman" w:hAnsi="Times New Roman" w:eastAsia="宋体" w:cs="Times New Roman"/>
          <w:color w:val="auto"/>
          <w:szCs w:val="20"/>
          <w:highlight w:val="none"/>
          <w:vertAlign w:val="subscript"/>
        </w:rPr>
        <w:t>2</w:t>
      </w:r>
      <w:r>
        <w:rPr>
          <w:rFonts w:ascii="Times New Roman" w:hAnsi="Times New Roman" w:eastAsia="宋体" w:cs="Times New Roman"/>
          <w:color w:val="auto"/>
          <w:szCs w:val="20"/>
          <w:highlight w:val="none"/>
        </w:rPr>
        <w:t>、NO</w:t>
      </w:r>
      <w:r>
        <w:rPr>
          <w:rFonts w:ascii="Times New Roman" w:hAnsi="Times New Roman" w:eastAsia="宋体" w:cs="Times New Roman"/>
          <w:color w:val="auto"/>
          <w:szCs w:val="20"/>
          <w:highlight w:val="none"/>
          <w:vertAlign w:val="subscript"/>
        </w:rPr>
        <w:t>x</w:t>
      </w:r>
      <w:r>
        <w:rPr>
          <w:rFonts w:ascii="Times New Roman" w:hAnsi="Times New Roman" w:eastAsia="宋体" w:cs="Times New Roman"/>
          <w:color w:val="auto"/>
          <w:szCs w:val="20"/>
          <w:highlight w:val="none"/>
        </w:rPr>
        <w:t>。</w:t>
      </w:r>
      <w:r>
        <w:rPr>
          <w:rFonts w:ascii="Times New Roman" w:hAnsi="Times New Roman" w:eastAsia="宋体" w:cs="Times New Roman"/>
          <w:color w:val="auto"/>
          <w:szCs w:val="24"/>
          <w:highlight w:val="none"/>
        </w:rPr>
        <w:t>项目现有职工</w:t>
      </w:r>
      <w:r>
        <w:rPr>
          <w:rFonts w:hint="eastAsia" w:ascii="Times New Roman" w:hAnsi="Times New Roman" w:eastAsia="宋体" w:cs="Times New Roman"/>
          <w:color w:val="auto"/>
          <w:szCs w:val="24"/>
          <w:highlight w:val="none"/>
        </w:rPr>
        <w:t>10</w:t>
      </w:r>
      <w:r>
        <w:rPr>
          <w:rFonts w:ascii="Times New Roman" w:hAnsi="Times New Roman" w:eastAsia="宋体" w:cs="Times New Roman"/>
          <w:color w:val="auto"/>
          <w:szCs w:val="24"/>
          <w:highlight w:val="none"/>
        </w:rPr>
        <w:t>人</w:t>
      </w:r>
      <w:r>
        <w:rPr>
          <w:rFonts w:ascii="Times New Roman" w:hAnsi="Times New Roman" w:eastAsia="宋体" w:cs="Times New Roman"/>
          <w:color w:val="auto"/>
          <w:szCs w:val="20"/>
          <w:highlight w:val="none"/>
        </w:rPr>
        <w:t>，平均每人消耗</w:t>
      </w:r>
      <w:r>
        <w:rPr>
          <w:rFonts w:ascii="Times New Roman" w:hAnsi="Times New Roman" w:eastAsia="宋体" w:cs="Times New Roman"/>
          <w:color w:val="auto"/>
          <w:szCs w:val="20"/>
          <w:highlight w:val="none"/>
          <w:u w:val="single"/>
        </w:rPr>
        <w:t>液化石油气</w:t>
      </w:r>
      <w:r>
        <w:rPr>
          <w:rFonts w:ascii="Times New Roman" w:hAnsi="Times New Roman" w:eastAsia="宋体" w:cs="Times New Roman"/>
          <w:color w:val="auto"/>
          <w:szCs w:val="20"/>
          <w:highlight w:val="none"/>
        </w:rPr>
        <w:t>0.2Nm</w:t>
      </w:r>
      <w:r>
        <w:rPr>
          <w:rFonts w:ascii="Times New Roman" w:hAnsi="Times New Roman" w:eastAsia="宋体" w:cs="Times New Roman"/>
          <w:color w:val="auto"/>
          <w:szCs w:val="20"/>
          <w:highlight w:val="none"/>
          <w:vertAlign w:val="superscript"/>
        </w:rPr>
        <w:t>3</w:t>
      </w:r>
      <w:r>
        <w:rPr>
          <w:rFonts w:ascii="Times New Roman" w:hAnsi="Times New Roman" w:eastAsia="宋体" w:cs="Times New Roman"/>
          <w:color w:val="auto"/>
          <w:szCs w:val="20"/>
          <w:highlight w:val="none"/>
        </w:rPr>
        <w:t>/d，天然气总消耗量为</w:t>
      </w:r>
      <w:r>
        <w:rPr>
          <w:rFonts w:hint="eastAsia" w:ascii="Times New Roman" w:hAnsi="Times New Roman" w:eastAsia="宋体" w:cs="Times New Roman"/>
          <w:color w:val="auto"/>
          <w:szCs w:val="20"/>
          <w:highlight w:val="none"/>
        </w:rPr>
        <w:t>2</w:t>
      </w:r>
      <w:r>
        <w:rPr>
          <w:rFonts w:ascii="Times New Roman" w:hAnsi="Times New Roman" w:eastAsia="宋体" w:cs="Times New Roman"/>
          <w:color w:val="auto"/>
          <w:szCs w:val="20"/>
          <w:highlight w:val="none"/>
        </w:rPr>
        <w:t>Nm</w:t>
      </w:r>
      <w:r>
        <w:rPr>
          <w:rFonts w:ascii="Times New Roman" w:hAnsi="Times New Roman" w:eastAsia="宋体" w:cs="Times New Roman"/>
          <w:color w:val="auto"/>
          <w:szCs w:val="20"/>
          <w:highlight w:val="none"/>
          <w:vertAlign w:val="superscript"/>
        </w:rPr>
        <w:t>3</w:t>
      </w:r>
      <w:r>
        <w:rPr>
          <w:rFonts w:ascii="Times New Roman" w:hAnsi="Times New Roman" w:eastAsia="宋体" w:cs="Times New Roman"/>
          <w:color w:val="auto"/>
          <w:szCs w:val="20"/>
          <w:highlight w:val="none"/>
        </w:rPr>
        <w:t>/d。根据《环境影响评价工程师职业资格登记培训系列教材-社会区域》推荐的污染物排放系数，计算职工厨房用</w:t>
      </w:r>
      <w:r>
        <w:rPr>
          <w:rFonts w:ascii="Times New Roman" w:hAnsi="Times New Roman" w:eastAsia="宋体" w:cs="Times New Roman"/>
          <w:color w:val="auto"/>
          <w:szCs w:val="20"/>
          <w:highlight w:val="none"/>
          <w:u w:val="single"/>
        </w:rPr>
        <w:t>液化石油气</w:t>
      </w:r>
      <w:r>
        <w:rPr>
          <w:rFonts w:ascii="Times New Roman" w:hAnsi="Times New Roman" w:eastAsia="宋体" w:cs="Times New Roman"/>
          <w:color w:val="auto"/>
          <w:szCs w:val="20"/>
          <w:highlight w:val="none"/>
        </w:rPr>
        <w:t>排放的各污染物量如表2.</w:t>
      </w:r>
      <w:r>
        <w:rPr>
          <w:rFonts w:hint="eastAsia" w:ascii="Times New Roman" w:hAnsi="Times New Roman" w:eastAsia="宋体" w:cs="Times New Roman"/>
          <w:color w:val="auto"/>
          <w:szCs w:val="20"/>
          <w:highlight w:val="none"/>
        </w:rPr>
        <w:t>2</w:t>
      </w:r>
      <w:r>
        <w:rPr>
          <w:rFonts w:ascii="Times New Roman" w:hAnsi="Times New Roman" w:eastAsia="宋体" w:cs="Times New Roman"/>
          <w:color w:val="auto"/>
          <w:szCs w:val="20"/>
          <w:highlight w:val="none"/>
        </w:rPr>
        <w:t>-</w:t>
      </w:r>
      <w:r>
        <w:rPr>
          <w:rFonts w:hint="eastAsia" w:ascii="Times New Roman" w:hAnsi="Times New Roman" w:cs="Times New Roman"/>
          <w:color w:val="auto"/>
          <w:szCs w:val="20"/>
          <w:highlight w:val="none"/>
          <w:lang w:val="en-US" w:eastAsia="zh-CN"/>
        </w:rPr>
        <w:t>14</w:t>
      </w:r>
      <w:r>
        <w:rPr>
          <w:rFonts w:ascii="Times New Roman" w:hAnsi="Times New Roman" w:eastAsia="宋体" w:cs="Times New Roman"/>
          <w:color w:val="auto"/>
          <w:szCs w:val="20"/>
          <w:highlight w:val="none"/>
        </w:rPr>
        <w:t>所示。</w:t>
      </w:r>
    </w:p>
    <w:p>
      <w:pPr>
        <w:adjustRightInd w:val="0"/>
        <w:snapToGrid w:val="0"/>
        <w:spacing w:line="240" w:lineRule="auto"/>
        <w:ind w:firstLine="0" w:firstLineChars="0"/>
        <w:jc w:val="center"/>
        <w:rPr>
          <w:rFonts w:ascii="Times New Roman" w:hAnsi="Times New Roman" w:eastAsia="宋体" w:cs="Times New Roman"/>
          <w:b/>
          <w:color w:val="auto"/>
          <w:szCs w:val="20"/>
          <w:highlight w:val="none"/>
        </w:rPr>
      </w:pPr>
    </w:p>
    <w:p>
      <w:pPr>
        <w:adjustRightInd w:val="0"/>
        <w:snapToGrid w:val="0"/>
        <w:spacing w:line="240" w:lineRule="auto"/>
        <w:ind w:firstLine="0" w:firstLineChars="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表2.</w:t>
      </w:r>
      <w:r>
        <w:rPr>
          <w:rFonts w:hint="eastAsia" w:ascii="Times New Roman" w:hAnsi="Times New Roman" w:eastAsia="宋体" w:cs="Times New Roman"/>
          <w:b/>
          <w:color w:val="auto"/>
          <w:szCs w:val="20"/>
          <w:highlight w:val="none"/>
        </w:rPr>
        <w:t>2</w:t>
      </w:r>
      <w:r>
        <w:rPr>
          <w:rFonts w:ascii="Times New Roman" w:hAnsi="Times New Roman" w:eastAsia="宋体" w:cs="Times New Roman"/>
          <w:b/>
          <w:color w:val="auto"/>
          <w:szCs w:val="20"/>
          <w:highlight w:val="none"/>
        </w:rPr>
        <w:t>-</w:t>
      </w:r>
      <w:r>
        <w:rPr>
          <w:rFonts w:hint="eastAsia" w:ascii="Times New Roman" w:hAnsi="Times New Roman" w:cs="Times New Roman"/>
          <w:b/>
          <w:color w:val="auto"/>
          <w:szCs w:val="20"/>
          <w:highlight w:val="none"/>
          <w:lang w:val="en-US" w:eastAsia="zh-CN"/>
        </w:rPr>
        <w:t>14</w:t>
      </w:r>
      <w:r>
        <w:rPr>
          <w:rFonts w:ascii="Times New Roman" w:hAnsi="Times New Roman" w:eastAsia="宋体" w:cs="Times New Roman"/>
          <w:b/>
          <w:color w:val="auto"/>
          <w:szCs w:val="20"/>
          <w:highlight w:val="none"/>
        </w:rPr>
        <w:t xml:space="preserve"> 厨房用液化石油气主要污染物排放量</w:t>
      </w:r>
    </w:p>
    <w:tbl>
      <w:tblPr>
        <w:tblStyle w:val="48"/>
        <w:tblW w:w="9093"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4340"/>
        <w:gridCol w:w="1694"/>
        <w:gridCol w:w="1609"/>
        <w:gridCol w:w="1450"/>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4340"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项目</w:t>
            </w:r>
          </w:p>
        </w:tc>
        <w:tc>
          <w:tcPr>
            <w:tcW w:w="1694"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颗粒物</w:t>
            </w:r>
          </w:p>
        </w:tc>
        <w:tc>
          <w:tcPr>
            <w:tcW w:w="1609"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SO</w:t>
            </w:r>
            <w:r>
              <w:rPr>
                <w:rFonts w:ascii="Times New Roman" w:hAnsi="Times New Roman" w:eastAsia="宋体" w:cs="Times New Roman"/>
                <w:b/>
                <w:color w:val="auto"/>
                <w:sz w:val="21"/>
                <w:highlight w:val="none"/>
                <w:vertAlign w:val="subscript"/>
              </w:rPr>
              <w:t>2</w:t>
            </w:r>
          </w:p>
        </w:tc>
        <w:tc>
          <w:tcPr>
            <w:tcW w:w="1450"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NO</w:t>
            </w:r>
            <w:r>
              <w:rPr>
                <w:rFonts w:ascii="Times New Roman" w:hAnsi="Times New Roman" w:eastAsia="宋体" w:cs="Times New Roman"/>
                <w:b/>
                <w:color w:val="auto"/>
                <w:sz w:val="21"/>
                <w:highlight w:val="none"/>
                <w:vertAlign w:val="subscript"/>
              </w:rPr>
              <w:t>x</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4340" w:type="dxa"/>
            <w:noWrap w:val="0"/>
            <w:vAlign w:val="center"/>
          </w:tcPr>
          <w:p>
            <w:pPr>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排放系数：kg/1×10</w:t>
            </w:r>
            <w:r>
              <w:rPr>
                <w:rFonts w:ascii="Times New Roman" w:hAnsi="Times New Roman" w:eastAsia="宋体" w:cs="Times New Roman"/>
                <w:bCs/>
                <w:color w:val="auto"/>
                <w:sz w:val="21"/>
                <w:highlight w:val="none"/>
                <w:vertAlign w:val="superscript"/>
              </w:rPr>
              <w:t>3</w:t>
            </w:r>
            <w:r>
              <w:rPr>
                <w:rFonts w:ascii="Times New Roman" w:hAnsi="Times New Roman" w:eastAsia="宋体" w:cs="Times New Roman"/>
                <w:bCs/>
                <w:color w:val="auto"/>
                <w:sz w:val="21"/>
                <w:highlight w:val="none"/>
              </w:rPr>
              <w:t>Nm</w:t>
            </w:r>
            <w:r>
              <w:rPr>
                <w:rFonts w:ascii="Times New Roman" w:hAnsi="Times New Roman" w:eastAsia="宋体" w:cs="Times New Roman"/>
                <w:bCs/>
                <w:color w:val="auto"/>
                <w:sz w:val="21"/>
                <w:highlight w:val="none"/>
                <w:vertAlign w:val="superscript"/>
              </w:rPr>
              <w:t>3</w:t>
            </w:r>
            <w:r>
              <w:rPr>
                <w:rFonts w:ascii="Times New Roman" w:hAnsi="Times New Roman" w:eastAsia="宋体" w:cs="Times New Roman"/>
                <w:bCs/>
                <w:color w:val="auto"/>
                <w:sz w:val="21"/>
                <w:highlight w:val="none"/>
              </w:rPr>
              <w:t>燃料</w:t>
            </w:r>
          </w:p>
        </w:tc>
        <w:tc>
          <w:tcPr>
            <w:tcW w:w="169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0.14</w:t>
            </w:r>
          </w:p>
        </w:tc>
        <w:tc>
          <w:tcPr>
            <w:tcW w:w="160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0.18</w:t>
            </w:r>
          </w:p>
        </w:tc>
        <w:tc>
          <w:tcPr>
            <w:tcW w:w="14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1.76</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4340" w:type="dxa"/>
            <w:noWrap w:val="0"/>
            <w:vAlign w:val="center"/>
          </w:tcPr>
          <w:p>
            <w:pPr>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日排放量：（kg/d）</w:t>
            </w:r>
          </w:p>
        </w:tc>
        <w:tc>
          <w:tcPr>
            <w:tcW w:w="169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0.000</w:t>
            </w:r>
            <w:r>
              <w:rPr>
                <w:rFonts w:hint="eastAsia" w:ascii="Times New Roman" w:hAnsi="Times New Roman" w:eastAsia="宋体" w:cs="Times New Roman"/>
                <w:color w:val="auto"/>
                <w:sz w:val="21"/>
                <w:highlight w:val="none"/>
              </w:rPr>
              <w:t>28</w:t>
            </w:r>
          </w:p>
        </w:tc>
        <w:tc>
          <w:tcPr>
            <w:tcW w:w="160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0.000</w:t>
            </w:r>
            <w:r>
              <w:rPr>
                <w:rFonts w:hint="eastAsia" w:ascii="Times New Roman" w:hAnsi="Times New Roman" w:eastAsia="宋体" w:cs="Times New Roman"/>
                <w:color w:val="auto"/>
                <w:sz w:val="21"/>
                <w:highlight w:val="none"/>
              </w:rPr>
              <w:t>36</w:t>
            </w:r>
          </w:p>
        </w:tc>
        <w:tc>
          <w:tcPr>
            <w:tcW w:w="14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w:t>
            </w:r>
            <w:r>
              <w:rPr>
                <w:rFonts w:hint="eastAsia" w:ascii="Times New Roman" w:hAnsi="Times New Roman" w:eastAsia="宋体" w:cs="Times New Roman"/>
                <w:color w:val="auto"/>
                <w:sz w:val="21"/>
                <w:highlight w:val="none"/>
              </w:rPr>
              <w:t>352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4340" w:type="dxa"/>
            <w:noWrap w:val="0"/>
            <w:vAlign w:val="center"/>
          </w:tcPr>
          <w:p>
            <w:pPr>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运营期总排放量：（kg/a）</w:t>
            </w:r>
          </w:p>
        </w:tc>
        <w:tc>
          <w:tcPr>
            <w:tcW w:w="169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07</w:t>
            </w:r>
          </w:p>
        </w:tc>
        <w:tc>
          <w:tcPr>
            <w:tcW w:w="160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09</w:t>
            </w:r>
          </w:p>
        </w:tc>
        <w:tc>
          <w:tcPr>
            <w:tcW w:w="14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0.88</w:t>
            </w:r>
          </w:p>
        </w:tc>
      </w:tr>
    </w:tbl>
    <w:p>
      <w:pPr>
        <w:ind w:firstLine="482"/>
        <w:rPr>
          <w:rFonts w:ascii="Times New Roman" w:hAnsi="Times New Roman" w:eastAsia="宋体" w:cs="Times New Roman"/>
          <w:b/>
          <w:bCs/>
          <w:color w:val="auto"/>
          <w:szCs w:val="24"/>
          <w:highlight w:val="none"/>
        </w:rPr>
      </w:pPr>
      <w:r>
        <w:rPr>
          <w:rFonts w:ascii="Times New Roman" w:hAnsi="Times New Roman" w:eastAsia="宋体" w:cs="Times New Roman"/>
          <w:b/>
          <w:bCs/>
          <w:color w:val="auto"/>
          <w:szCs w:val="24"/>
          <w:highlight w:val="none"/>
        </w:rPr>
        <w:t>2</w:t>
      </w:r>
      <w:r>
        <w:rPr>
          <w:rFonts w:hint="eastAsia" w:ascii="Times New Roman" w:hAnsi="Times New Roman" w:cs="Times New Roman"/>
          <w:b/>
          <w:bCs/>
          <w:color w:val="auto"/>
          <w:szCs w:val="24"/>
          <w:highlight w:val="none"/>
          <w:lang w:val="en-US" w:eastAsia="zh-CN"/>
        </w:rPr>
        <w:t>.</w:t>
      </w:r>
      <w:r>
        <w:rPr>
          <w:rFonts w:ascii="Times New Roman" w:hAnsi="Times New Roman" w:eastAsia="宋体" w:cs="Times New Roman"/>
          <w:b/>
          <w:bCs/>
          <w:color w:val="auto"/>
          <w:szCs w:val="24"/>
          <w:highlight w:val="none"/>
        </w:rPr>
        <w:t>水污染源</w:t>
      </w:r>
    </w:p>
    <w:p>
      <w:pPr>
        <w:ind w:firstLine="472"/>
        <w:rPr>
          <w:rFonts w:ascii="Times New Roman" w:hAnsi="Times New Roman" w:eastAsia="宋体" w:cs="Times New Roman"/>
          <w:color w:val="auto"/>
          <w:spacing w:val="-2"/>
          <w:kern w:val="0"/>
          <w:szCs w:val="24"/>
          <w:highlight w:val="none"/>
        </w:rPr>
      </w:pPr>
      <w:r>
        <w:rPr>
          <w:rFonts w:ascii="Times New Roman" w:hAnsi="Times New Roman" w:eastAsia="宋体" w:cs="Times New Roman"/>
          <w:color w:val="auto"/>
          <w:spacing w:val="-2"/>
          <w:kern w:val="0"/>
          <w:szCs w:val="24"/>
          <w:highlight w:val="none"/>
        </w:rPr>
        <w:t>（1）生产废水</w:t>
      </w:r>
    </w:p>
    <w:p>
      <w:pPr>
        <w:bidi w:val="0"/>
        <w:rPr>
          <w:rFonts w:ascii="Times New Roman" w:hAnsi="Times New Roman" w:eastAsia="宋体" w:cs="Times New Roman"/>
          <w:color w:val="auto"/>
          <w:spacing w:val="-2"/>
          <w:kern w:val="0"/>
          <w:szCs w:val="24"/>
          <w:highlight w:val="none"/>
        </w:rPr>
      </w:pPr>
      <w:r>
        <w:rPr>
          <w:rFonts w:hint="eastAsia" w:ascii="Times New Roman" w:hAnsi="Times New Roman" w:eastAsia="宋体" w:cs="Times New Roman"/>
          <w:bCs/>
          <w:color w:val="auto"/>
          <w:szCs w:val="24"/>
          <w:highlight w:val="none"/>
        </w:rPr>
        <w:t>原</w:t>
      </w:r>
      <w:r>
        <w:rPr>
          <w:rFonts w:hint="eastAsia" w:ascii="Times New Roman" w:hAnsi="Times New Roman" w:eastAsia="宋体" w:cs="Times New Roman"/>
          <w:color w:val="auto"/>
          <w:highlight w:val="none"/>
        </w:rPr>
        <w:t>宏保兴采石场</w:t>
      </w:r>
      <w:r>
        <w:rPr>
          <w:rFonts w:ascii="Times New Roman" w:hAnsi="Times New Roman" w:eastAsia="宋体" w:cs="Times New Roman"/>
          <w:color w:val="auto"/>
          <w:spacing w:val="-2"/>
          <w:kern w:val="0"/>
          <w:szCs w:val="24"/>
          <w:highlight w:val="none"/>
        </w:rPr>
        <w:t>生产过程中用水单元主要为凿岩钻孔用水。凿岩降尘用水按0.001m</w:t>
      </w:r>
      <w:r>
        <w:rPr>
          <w:rFonts w:ascii="Times New Roman" w:hAnsi="Times New Roman" w:eastAsia="宋体" w:cs="Times New Roman"/>
          <w:color w:val="auto"/>
          <w:spacing w:val="-2"/>
          <w:kern w:val="0"/>
          <w:szCs w:val="24"/>
          <w:highlight w:val="none"/>
          <w:vertAlign w:val="superscript"/>
        </w:rPr>
        <w:t>3</w:t>
      </w:r>
      <w:r>
        <w:rPr>
          <w:rFonts w:ascii="Times New Roman" w:hAnsi="Times New Roman" w:eastAsia="宋体" w:cs="Times New Roman"/>
          <w:color w:val="auto"/>
          <w:spacing w:val="-2"/>
          <w:kern w:val="0"/>
          <w:szCs w:val="24"/>
          <w:highlight w:val="none"/>
        </w:rPr>
        <w:t>/t矿石计，</w:t>
      </w:r>
      <w:r>
        <w:rPr>
          <w:rFonts w:hint="eastAsia" w:ascii="Times New Roman" w:hAnsi="Times New Roman" w:eastAsia="宋体" w:cs="Times New Roman"/>
          <w:color w:val="auto"/>
          <w:spacing w:val="-2"/>
          <w:kern w:val="0"/>
          <w:szCs w:val="24"/>
          <w:highlight w:val="none"/>
        </w:rPr>
        <w:t>项目</w:t>
      </w:r>
      <w:r>
        <w:rPr>
          <w:rFonts w:ascii="Times New Roman" w:hAnsi="Times New Roman" w:eastAsia="宋体" w:cs="Times New Roman"/>
          <w:color w:val="auto"/>
          <w:spacing w:val="-2"/>
          <w:kern w:val="0"/>
          <w:szCs w:val="24"/>
          <w:highlight w:val="none"/>
        </w:rPr>
        <w:t>开采矿石</w:t>
      </w:r>
      <w:r>
        <w:rPr>
          <w:rFonts w:hint="eastAsia" w:ascii="Times New Roman" w:hAnsi="Times New Roman" w:eastAsia="宋体" w:cs="Times New Roman"/>
          <w:color w:val="auto"/>
          <w:spacing w:val="-2"/>
          <w:kern w:val="0"/>
          <w:szCs w:val="24"/>
          <w:highlight w:val="none"/>
        </w:rPr>
        <w:t>5万t/a</w:t>
      </w:r>
      <w:r>
        <w:rPr>
          <w:rFonts w:ascii="Times New Roman" w:hAnsi="Times New Roman" w:eastAsia="宋体" w:cs="Times New Roman"/>
          <w:color w:val="auto"/>
          <w:spacing w:val="-2"/>
          <w:kern w:val="0"/>
          <w:szCs w:val="24"/>
          <w:highlight w:val="none"/>
        </w:rPr>
        <w:t>，则采场除尘用水量</w:t>
      </w:r>
      <w:r>
        <w:rPr>
          <w:rFonts w:hint="eastAsia" w:ascii="Times New Roman" w:hAnsi="Times New Roman" w:eastAsia="宋体" w:cs="Times New Roman"/>
          <w:color w:val="auto"/>
          <w:spacing w:val="-2"/>
          <w:kern w:val="0"/>
          <w:szCs w:val="24"/>
          <w:highlight w:val="none"/>
        </w:rPr>
        <w:t>5</w:t>
      </w:r>
      <w:r>
        <w:rPr>
          <w:rFonts w:ascii="Times New Roman" w:hAnsi="Times New Roman" w:eastAsia="宋体" w:cs="Times New Roman"/>
          <w:color w:val="auto"/>
          <w:spacing w:val="-2"/>
          <w:kern w:val="0"/>
          <w:szCs w:val="24"/>
          <w:highlight w:val="none"/>
        </w:rPr>
        <w:t>0m</w:t>
      </w:r>
      <w:r>
        <w:rPr>
          <w:rFonts w:ascii="Times New Roman" w:hAnsi="Times New Roman" w:eastAsia="宋体" w:cs="Times New Roman"/>
          <w:color w:val="auto"/>
          <w:spacing w:val="-2"/>
          <w:kern w:val="0"/>
          <w:szCs w:val="24"/>
          <w:highlight w:val="none"/>
          <w:vertAlign w:val="superscript"/>
        </w:rPr>
        <w:t>3</w:t>
      </w:r>
      <w:r>
        <w:rPr>
          <w:rFonts w:ascii="Times New Roman" w:hAnsi="Times New Roman" w:eastAsia="宋体" w:cs="Times New Roman"/>
          <w:color w:val="auto"/>
          <w:spacing w:val="-2"/>
          <w:kern w:val="0"/>
          <w:szCs w:val="24"/>
          <w:highlight w:val="none"/>
        </w:rPr>
        <w:t>/a，这部分水将全部蒸发或渗透入矿石</w:t>
      </w:r>
      <w:r>
        <w:rPr>
          <w:rFonts w:hint="eastAsia" w:ascii="Times New Roman" w:hAnsi="Times New Roman" w:eastAsia="宋体" w:cs="Times New Roman"/>
          <w:color w:val="auto"/>
          <w:spacing w:val="-2"/>
          <w:kern w:val="0"/>
          <w:szCs w:val="24"/>
          <w:highlight w:val="none"/>
        </w:rPr>
        <w:t>堆</w:t>
      </w:r>
      <w:r>
        <w:rPr>
          <w:rFonts w:ascii="Times New Roman" w:hAnsi="Times New Roman" w:eastAsia="宋体" w:cs="Times New Roman"/>
          <w:color w:val="auto"/>
          <w:spacing w:val="-2"/>
          <w:kern w:val="0"/>
          <w:szCs w:val="24"/>
          <w:highlight w:val="none"/>
        </w:rPr>
        <w:t>中。</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（2）生活污水</w:t>
      </w:r>
    </w:p>
    <w:p>
      <w:pPr>
        <w:bidi w:val="0"/>
        <w:rPr>
          <w:rFonts w:ascii="Times New Roman" w:hAnsi="Times New Roman" w:eastAsia="宋体" w:cs="Times New Roman"/>
          <w:color w:val="auto"/>
          <w:szCs w:val="24"/>
          <w:highlight w:val="none"/>
        </w:rPr>
      </w:pPr>
      <w:r>
        <w:rPr>
          <w:rFonts w:ascii="Times New Roman" w:hAnsi="Times New Roman" w:eastAsia="宋体" w:cs="Times New Roman"/>
          <w:bCs/>
          <w:color w:val="auto"/>
          <w:szCs w:val="24"/>
          <w:highlight w:val="none"/>
        </w:rPr>
        <w:t>项目现有职工</w:t>
      </w:r>
      <w:r>
        <w:rPr>
          <w:rFonts w:hint="eastAsia" w:ascii="Times New Roman" w:hAnsi="Times New Roman" w:eastAsia="宋体" w:cs="Times New Roman"/>
          <w:bCs/>
          <w:color w:val="auto"/>
          <w:szCs w:val="24"/>
          <w:highlight w:val="none"/>
        </w:rPr>
        <w:t>10</w:t>
      </w:r>
      <w:r>
        <w:rPr>
          <w:rFonts w:ascii="Times New Roman" w:hAnsi="Times New Roman" w:eastAsia="宋体" w:cs="Times New Roman"/>
          <w:bCs/>
          <w:color w:val="auto"/>
          <w:szCs w:val="24"/>
          <w:highlight w:val="none"/>
        </w:rPr>
        <w:t>人，</w:t>
      </w:r>
      <w:r>
        <w:rPr>
          <w:rFonts w:ascii="Times New Roman" w:hAnsi="Times New Roman" w:eastAsia="宋体" w:cs="Times New Roman"/>
          <w:color w:val="auto"/>
          <w:szCs w:val="24"/>
          <w:highlight w:val="none"/>
        </w:rPr>
        <w:t>全部在厂内食宿，项目年运行</w:t>
      </w:r>
      <w:r>
        <w:rPr>
          <w:rFonts w:hint="eastAsia" w:ascii="Times New Roman" w:hAnsi="Times New Roman" w:eastAsia="宋体" w:cs="Times New Roman"/>
          <w:color w:val="auto"/>
          <w:szCs w:val="24"/>
          <w:highlight w:val="none"/>
        </w:rPr>
        <w:t>25</w:t>
      </w:r>
      <w:r>
        <w:rPr>
          <w:rFonts w:ascii="Times New Roman" w:hAnsi="Times New Roman" w:eastAsia="宋体" w:cs="Times New Roman"/>
          <w:color w:val="auto"/>
          <w:szCs w:val="24"/>
          <w:highlight w:val="none"/>
        </w:rPr>
        <w:t>0天。根据《城镇生活用水定额》（DB45/T 679-2017）中的用水定额标准，城镇居民食宿</w:t>
      </w:r>
      <w:r>
        <w:rPr>
          <w:rFonts w:ascii="Times New Roman" w:hAnsi="Times New Roman" w:eastAsia="宋体" w:cs="Times New Roman"/>
          <w:bCs/>
          <w:color w:val="auto"/>
          <w:szCs w:val="24"/>
          <w:highlight w:val="none"/>
        </w:rPr>
        <w:t>用水定额为150 L/人·d，</w:t>
      </w:r>
      <w:r>
        <w:rPr>
          <w:rFonts w:ascii="Times New Roman" w:hAnsi="Times New Roman" w:eastAsia="宋体" w:cs="Times New Roman"/>
          <w:color w:val="auto"/>
          <w:szCs w:val="24"/>
          <w:highlight w:val="none"/>
        </w:rPr>
        <w:t>厨房用水量按25L/人·d计，则生活用水量</w:t>
      </w:r>
      <w:r>
        <w:rPr>
          <w:rFonts w:hint="eastAsia" w:ascii="Times New Roman" w:hAnsi="Times New Roman" w:eastAsia="宋体" w:cs="Times New Roman"/>
          <w:color w:val="auto"/>
          <w:szCs w:val="24"/>
          <w:highlight w:val="none"/>
        </w:rPr>
        <w:t>375</w:t>
      </w:r>
      <w:r>
        <w:rPr>
          <w:rFonts w:ascii="Times New Roman" w:hAnsi="Times New Roman" w:eastAsia="宋体" w:cs="Times New Roman"/>
          <w:bCs/>
          <w:color w:val="auto"/>
          <w:szCs w:val="20"/>
          <w:highlight w:val="none"/>
        </w:rPr>
        <w:t>m</w:t>
      </w:r>
      <w:r>
        <w:rPr>
          <w:rFonts w:ascii="Times New Roman" w:hAnsi="Times New Roman" w:eastAsia="宋体" w:cs="Times New Roman"/>
          <w:bCs/>
          <w:color w:val="auto"/>
          <w:szCs w:val="20"/>
          <w:highlight w:val="none"/>
          <w:vertAlign w:val="superscript"/>
        </w:rPr>
        <w:t>3</w:t>
      </w:r>
      <w:r>
        <w:rPr>
          <w:rFonts w:ascii="Times New Roman" w:hAnsi="Times New Roman" w:eastAsia="宋体" w:cs="Times New Roman"/>
          <w:bCs/>
          <w:color w:val="auto"/>
          <w:szCs w:val="20"/>
          <w:highlight w:val="none"/>
        </w:rPr>
        <w:t>/a，</w:t>
      </w:r>
      <w:r>
        <w:rPr>
          <w:rFonts w:ascii="Times New Roman" w:hAnsi="Times New Roman" w:eastAsia="宋体" w:cs="Times New Roman"/>
          <w:color w:val="auto"/>
          <w:szCs w:val="24"/>
          <w:highlight w:val="none"/>
        </w:rPr>
        <w:t>厨房用水量</w:t>
      </w:r>
      <w:r>
        <w:rPr>
          <w:rFonts w:hint="eastAsia" w:ascii="Times New Roman" w:hAnsi="Times New Roman" w:eastAsia="宋体" w:cs="Times New Roman"/>
          <w:color w:val="auto"/>
          <w:szCs w:val="24"/>
          <w:highlight w:val="none"/>
        </w:rPr>
        <w:t>6</w:t>
      </w:r>
      <w:r>
        <w:rPr>
          <w:rFonts w:ascii="Times New Roman" w:hAnsi="Times New Roman" w:eastAsia="宋体" w:cs="Times New Roman"/>
          <w:color w:val="auto"/>
          <w:szCs w:val="24"/>
          <w:highlight w:val="none"/>
        </w:rPr>
        <w:t>2</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5</w:t>
      </w:r>
      <w:r>
        <w:rPr>
          <w:rFonts w:ascii="Times New Roman" w:hAnsi="Times New Roman" w:eastAsia="宋体" w:cs="Times New Roman"/>
          <w:bCs/>
          <w:color w:val="auto"/>
          <w:szCs w:val="20"/>
          <w:highlight w:val="none"/>
        </w:rPr>
        <w:t>m</w:t>
      </w:r>
      <w:r>
        <w:rPr>
          <w:rFonts w:ascii="Times New Roman" w:hAnsi="Times New Roman" w:eastAsia="宋体" w:cs="Times New Roman"/>
          <w:bCs/>
          <w:color w:val="auto"/>
          <w:szCs w:val="20"/>
          <w:highlight w:val="none"/>
          <w:vertAlign w:val="superscript"/>
        </w:rPr>
        <w:t>3</w:t>
      </w:r>
      <w:r>
        <w:rPr>
          <w:rFonts w:ascii="Times New Roman" w:hAnsi="Times New Roman" w:eastAsia="宋体" w:cs="Times New Roman"/>
          <w:bCs/>
          <w:color w:val="auto"/>
          <w:szCs w:val="20"/>
          <w:highlight w:val="none"/>
        </w:rPr>
        <w:t>/a，</w:t>
      </w:r>
      <w:r>
        <w:rPr>
          <w:rFonts w:ascii="Times New Roman" w:hAnsi="Times New Roman" w:eastAsia="宋体" w:cs="Times New Roman"/>
          <w:color w:val="auto"/>
          <w:szCs w:val="24"/>
          <w:highlight w:val="none"/>
        </w:rPr>
        <w:t>总用水量</w:t>
      </w:r>
      <w:r>
        <w:rPr>
          <w:rFonts w:hint="eastAsia" w:ascii="Times New Roman" w:hAnsi="Times New Roman" w:eastAsia="宋体" w:cs="Times New Roman"/>
          <w:color w:val="auto"/>
          <w:szCs w:val="24"/>
          <w:highlight w:val="none"/>
        </w:rPr>
        <w:t>43</w:t>
      </w:r>
      <w:r>
        <w:rPr>
          <w:rFonts w:ascii="Times New Roman" w:hAnsi="Times New Roman" w:eastAsia="宋体" w:cs="Times New Roman"/>
          <w:color w:val="auto"/>
          <w:szCs w:val="24"/>
          <w:highlight w:val="none"/>
        </w:rPr>
        <w:t>7</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5</w:t>
      </w:r>
      <w:r>
        <w:rPr>
          <w:rFonts w:ascii="Times New Roman" w:hAnsi="Times New Roman" w:eastAsia="宋体" w:cs="Times New Roman"/>
          <w:bCs/>
          <w:color w:val="auto"/>
          <w:szCs w:val="20"/>
          <w:highlight w:val="none"/>
        </w:rPr>
        <w:t>m</w:t>
      </w:r>
      <w:r>
        <w:rPr>
          <w:rFonts w:ascii="Times New Roman" w:hAnsi="Times New Roman" w:eastAsia="宋体" w:cs="Times New Roman"/>
          <w:bCs/>
          <w:color w:val="auto"/>
          <w:szCs w:val="20"/>
          <w:highlight w:val="none"/>
          <w:vertAlign w:val="superscript"/>
        </w:rPr>
        <w:t>3</w:t>
      </w:r>
      <w:r>
        <w:rPr>
          <w:rFonts w:ascii="Times New Roman" w:hAnsi="Times New Roman" w:eastAsia="宋体" w:cs="Times New Roman"/>
          <w:bCs/>
          <w:color w:val="auto"/>
          <w:szCs w:val="20"/>
          <w:highlight w:val="none"/>
        </w:rPr>
        <w:t>/a，</w:t>
      </w:r>
      <w:r>
        <w:rPr>
          <w:rFonts w:ascii="Times New Roman" w:hAnsi="Times New Roman" w:eastAsia="宋体" w:cs="Times New Roman"/>
          <w:color w:val="auto"/>
          <w:szCs w:val="24"/>
          <w:highlight w:val="none"/>
        </w:rPr>
        <w:t>排放系数按80%计算，则生活污水排水量</w:t>
      </w:r>
      <w:r>
        <w:rPr>
          <w:rFonts w:hint="eastAsia" w:ascii="Times New Roman" w:hAnsi="Times New Roman" w:eastAsia="宋体" w:cs="Times New Roman"/>
          <w:color w:val="auto"/>
          <w:szCs w:val="24"/>
          <w:highlight w:val="none"/>
        </w:rPr>
        <w:t>30</w:t>
      </w:r>
      <w:r>
        <w:rPr>
          <w:rFonts w:ascii="Times New Roman" w:hAnsi="Times New Roman" w:eastAsia="宋体" w:cs="Times New Roman"/>
          <w:color w:val="auto"/>
          <w:szCs w:val="24"/>
          <w:highlight w:val="none"/>
        </w:rPr>
        <w:t>0</w:t>
      </w:r>
      <w:r>
        <w:rPr>
          <w:rFonts w:ascii="Times New Roman" w:hAnsi="Times New Roman" w:eastAsia="宋体" w:cs="Times New Roman"/>
          <w:bCs/>
          <w:color w:val="auto"/>
          <w:szCs w:val="20"/>
          <w:highlight w:val="none"/>
        </w:rPr>
        <w:t>m</w:t>
      </w:r>
      <w:r>
        <w:rPr>
          <w:rFonts w:ascii="Times New Roman" w:hAnsi="Times New Roman" w:eastAsia="宋体" w:cs="Times New Roman"/>
          <w:bCs/>
          <w:color w:val="auto"/>
          <w:szCs w:val="20"/>
          <w:highlight w:val="none"/>
          <w:vertAlign w:val="superscript"/>
        </w:rPr>
        <w:t>3</w:t>
      </w:r>
      <w:r>
        <w:rPr>
          <w:rFonts w:ascii="Times New Roman" w:hAnsi="Times New Roman" w:eastAsia="宋体" w:cs="Times New Roman"/>
          <w:bCs/>
          <w:color w:val="auto"/>
          <w:szCs w:val="20"/>
          <w:highlight w:val="none"/>
        </w:rPr>
        <w:t>/a，</w:t>
      </w:r>
      <w:r>
        <w:rPr>
          <w:rFonts w:ascii="Times New Roman" w:hAnsi="Times New Roman" w:eastAsia="宋体" w:cs="Times New Roman"/>
          <w:color w:val="auto"/>
          <w:szCs w:val="24"/>
          <w:highlight w:val="none"/>
        </w:rPr>
        <w:t>厨房废水排水量</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0</w:t>
      </w:r>
      <w:r>
        <w:rPr>
          <w:rFonts w:ascii="Times New Roman" w:hAnsi="Times New Roman" w:eastAsia="宋体" w:cs="Times New Roman"/>
          <w:bCs/>
          <w:color w:val="auto"/>
          <w:szCs w:val="20"/>
          <w:highlight w:val="none"/>
        </w:rPr>
        <w:t>m</w:t>
      </w:r>
      <w:r>
        <w:rPr>
          <w:rFonts w:ascii="Times New Roman" w:hAnsi="Times New Roman" w:eastAsia="宋体" w:cs="Times New Roman"/>
          <w:bCs/>
          <w:color w:val="auto"/>
          <w:szCs w:val="20"/>
          <w:highlight w:val="none"/>
          <w:vertAlign w:val="superscript"/>
        </w:rPr>
        <w:t>3</w:t>
      </w:r>
      <w:r>
        <w:rPr>
          <w:rFonts w:ascii="Times New Roman" w:hAnsi="Times New Roman" w:eastAsia="宋体" w:cs="Times New Roman"/>
          <w:bCs/>
          <w:color w:val="auto"/>
          <w:szCs w:val="20"/>
          <w:highlight w:val="none"/>
        </w:rPr>
        <w:t>/a，</w:t>
      </w:r>
      <w:r>
        <w:rPr>
          <w:rFonts w:ascii="Times New Roman" w:hAnsi="Times New Roman" w:eastAsia="宋体" w:cs="Times New Roman"/>
          <w:color w:val="auto"/>
          <w:szCs w:val="24"/>
          <w:highlight w:val="none"/>
        </w:rPr>
        <w:t>废水排放总量</w:t>
      </w:r>
      <w:r>
        <w:rPr>
          <w:rFonts w:hint="eastAsia" w:ascii="Times New Roman" w:hAnsi="Times New Roman" w:eastAsia="宋体" w:cs="Times New Roman"/>
          <w:color w:val="auto"/>
          <w:szCs w:val="24"/>
          <w:highlight w:val="none"/>
        </w:rPr>
        <w:t>35</w:t>
      </w:r>
      <w:r>
        <w:rPr>
          <w:rFonts w:ascii="Times New Roman" w:hAnsi="Times New Roman" w:eastAsia="宋体" w:cs="Times New Roman"/>
          <w:color w:val="auto"/>
          <w:szCs w:val="24"/>
          <w:highlight w:val="none"/>
        </w:rPr>
        <w:t>0m</w:t>
      </w:r>
      <w:r>
        <w:rPr>
          <w:rFonts w:ascii="Times New Roman" w:hAnsi="Times New Roman" w:eastAsia="宋体" w:cs="Times New Roman"/>
          <w:color w:val="auto"/>
          <w:szCs w:val="24"/>
          <w:highlight w:val="none"/>
          <w:vertAlign w:val="superscript"/>
        </w:rPr>
        <w:t>3</w:t>
      </w:r>
      <w:r>
        <w:rPr>
          <w:rFonts w:ascii="Times New Roman" w:hAnsi="Times New Roman" w:eastAsia="宋体" w:cs="Times New Roman"/>
          <w:color w:val="auto"/>
          <w:szCs w:val="24"/>
          <w:highlight w:val="none"/>
        </w:rPr>
        <w:t>/a。</w:t>
      </w:r>
      <w:r>
        <w:rPr>
          <w:rFonts w:ascii="Times New Roman" w:hAnsi="Times New Roman" w:eastAsia="宋体" w:cs="Times New Roman"/>
          <w:bCs/>
          <w:color w:val="auto"/>
          <w:szCs w:val="24"/>
          <w:highlight w:val="none"/>
        </w:rPr>
        <w:t>生活污水经化粪池处理后用于周边旱地施肥</w:t>
      </w:r>
      <w:r>
        <w:rPr>
          <w:rFonts w:ascii="Times New Roman" w:hAnsi="Times New Roman" w:eastAsia="宋体" w:cs="Times New Roman"/>
          <w:color w:val="auto"/>
          <w:szCs w:val="24"/>
          <w:highlight w:val="none"/>
        </w:rPr>
        <w:t>。运营期生活污水主要污染物排放情况见表2.</w:t>
      </w:r>
      <w:r>
        <w:rPr>
          <w:rFonts w:hint="eastAsia" w:ascii="Times New Roman" w:hAnsi="Times New Roman" w:eastAsia="宋体" w:cs="Times New Roman"/>
          <w:color w:val="auto"/>
          <w:szCs w:val="24"/>
          <w:highlight w:val="none"/>
        </w:rPr>
        <w:t>2</w:t>
      </w:r>
      <w:r>
        <w:rPr>
          <w:rFonts w:ascii="Times New Roman" w:hAnsi="Times New Roman" w:eastAsia="宋体" w:cs="Times New Roman"/>
          <w:color w:val="auto"/>
          <w:szCs w:val="24"/>
          <w:highlight w:val="none"/>
        </w:rPr>
        <w:t>-</w:t>
      </w:r>
      <w:r>
        <w:rPr>
          <w:rFonts w:hint="eastAsia" w:ascii="Times New Roman" w:hAnsi="Times New Roman" w:cs="Times New Roman"/>
          <w:color w:val="auto"/>
          <w:szCs w:val="24"/>
          <w:highlight w:val="none"/>
          <w:lang w:val="en-US" w:eastAsia="zh-CN"/>
        </w:rPr>
        <w:t>15</w:t>
      </w:r>
      <w:r>
        <w:rPr>
          <w:rFonts w:ascii="Times New Roman" w:hAnsi="Times New Roman" w:eastAsia="宋体" w:cs="Times New Roman"/>
          <w:color w:val="auto"/>
          <w:szCs w:val="24"/>
          <w:highlight w:val="none"/>
        </w:rPr>
        <w:t>所示。</w:t>
      </w:r>
    </w:p>
    <w:p>
      <w:pPr>
        <w:adjustRightInd w:val="0"/>
        <w:snapToGrid w:val="0"/>
        <w:spacing w:line="240" w:lineRule="auto"/>
        <w:ind w:firstLine="0" w:firstLineChars="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表2.</w:t>
      </w:r>
      <w:r>
        <w:rPr>
          <w:rFonts w:hint="eastAsia" w:ascii="Times New Roman" w:hAnsi="Times New Roman" w:eastAsia="宋体" w:cs="Times New Roman"/>
          <w:b/>
          <w:color w:val="auto"/>
          <w:szCs w:val="20"/>
          <w:highlight w:val="none"/>
        </w:rPr>
        <w:t>2</w:t>
      </w:r>
      <w:r>
        <w:rPr>
          <w:rFonts w:ascii="Times New Roman" w:hAnsi="Times New Roman" w:eastAsia="宋体" w:cs="Times New Roman"/>
          <w:b/>
          <w:color w:val="auto"/>
          <w:szCs w:val="20"/>
          <w:highlight w:val="none"/>
        </w:rPr>
        <w:t>-</w:t>
      </w:r>
      <w:r>
        <w:rPr>
          <w:rFonts w:hint="eastAsia" w:ascii="Times New Roman" w:hAnsi="Times New Roman" w:cs="Times New Roman"/>
          <w:b/>
          <w:color w:val="auto"/>
          <w:szCs w:val="20"/>
          <w:highlight w:val="none"/>
          <w:lang w:val="en-US" w:eastAsia="zh-CN"/>
        </w:rPr>
        <w:t>15</w:t>
      </w:r>
      <w:r>
        <w:rPr>
          <w:rFonts w:ascii="Times New Roman" w:hAnsi="Times New Roman" w:eastAsia="宋体" w:cs="Times New Roman"/>
          <w:b/>
          <w:color w:val="auto"/>
          <w:szCs w:val="20"/>
          <w:highlight w:val="none"/>
        </w:rPr>
        <w:t xml:space="preserve"> </w:t>
      </w:r>
      <w:r>
        <w:rPr>
          <w:rFonts w:hint="eastAsia" w:ascii="Times New Roman" w:hAnsi="Times New Roman" w:eastAsia="宋体" w:cs="Times New Roman"/>
          <w:b/>
          <w:color w:val="auto"/>
          <w:szCs w:val="20"/>
          <w:highlight w:val="none"/>
        </w:rPr>
        <w:t>原宏保兴采石场</w:t>
      </w:r>
      <w:r>
        <w:rPr>
          <w:rFonts w:ascii="Times New Roman" w:hAnsi="Times New Roman" w:eastAsia="宋体" w:cs="Times New Roman"/>
          <w:b/>
          <w:color w:val="auto"/>
          <w:szCs w:val="20"/>
          <w:highlight w:val="none"/>
        </w:rPr>
        <w:t>运营期生活污水及主要污染物产生及排放情况</w:t>
      </w:r>
    </w:p>
    <w:tbl>
      <w:tblPr>
        <w:tblStyle w:val="48"/>
        <w:tblW w:w="9093" w:type="dxa"/>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1545"/>
        <w:gridCol w:w="1899"/>
        <w:gridCol w:w="1108"/>
        <w:gridCol w:w="1109"/>
        <w:gridCol w:w="1107"/>
        <w:gridCol w:w="1171"/>
        <w:gridCol w:w="1154"/>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3444" w:type="dxa"/>
            <w:gridSpan w:val="2"/>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w:t>
            </w:r>
          </w:p>
        </w:tc>
        <w:tc>
          <w:tcPr>
            <w:tcW w:w="1108"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COD</w:t>
            </w:r>
            <w:r>
              <w:rPr>
                <w:rFonts w:ascii="Times New Roman" w:hAnsi="Times New Roman" w:eastAsia="宋体" w:cs="Times New Roman"/>
                <w:color w:val="auto"/>
                <w:highlight w:val="none"/>
                <w:vertAlign w:val="subscript"/>
              </w:rPr>
              <w:t>Cr</w:t>
            </w:r>
          </w:p>
        </w:tc>
        <w:tc>
          <w:tcPr>
            <w:tcW w:w="1109"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BOD</w:t>
            </w:r>
            <w:r>
              <w:rPr>
                <w:rFonts w:ascii="Times New Roman" w:hAnsi="Times New Roman" w:eastAsia="宋体" w:cs="Times New Roman"/>
                <w:color w:val="auto"/>
                <w:highlight w:val="none"/>
                <w:vertAlign w:val="subscript"/>
              </w:rPr>
              <w:t>5</w:t>
            </w:r>
          </w:p>
        </w:tc>
        <w:tc>
          <w:tcPr>
            <w:tcW w:w="1107"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SS</w:t>
            </w:r>
          </w:p>
        </w:tc>
        <w:tc>
          <w:tcPr>
            <w:tcW w:w="1171"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NH</w:t>
            </w:r>
            <w:r>
              <w:rPr>
                <w:rFonts w:ascii="Times New Roman" w:hAnsi="Times New Roman" w:eastAsia="宋体" w:cs="Times New Roman"/>
                <w:color w:val="auto"/>
                <w:highlight w:val="none"/>
                <w:vertAlign w:val="subscript"/>
              </w:rPr>
              <w:t>3</w:t>
            </w:r>
            <w:r>
              <w:rPr>
                <w:rFonts w:ascii="Times New Roman" w:hAnsi="Times New Roman" w:eastAsia="宋体" w:cs="Times New Roman"/>
                <w:color w:val="auto"/>
                <w:highlight w:val="none"/>
              </w:rPr>
              <w:t>-N</w:t>
            </w:r>
          </w:p>
        </w:tc>
        <w:tc>
          <w:tcPr>
            <w:tcW w:w="1154" w:type="dxa"/>
            <w:noWrap w:val="0"/>
            <w:vAlign w:val="center"/>
          </w:tcPr>
          <w:p>
            <w:pPr>
              <w:tabs>
                <w:tab w:val="left" w:pos="5940"/>
              </w:tabs>
              <w:spacing w:line="260" w:lineRule="exact"/>
              <w:ind w:firstLine="0" w:firstLineChars="0"/>
              <w:jc w:val="center"/>
              <w:rPr>
                <w:rFonts w:ascii="Times New Roman" w:hAnsi="Times New Roman" w:eastAsia="宋体" w:cs="Times New Roman"/>
                <w:b/>
                <w:color w:val="auto"/>
                <w:highlight w:val="none"/>
              </w:rPr>
            </w:pPr>
            <w:r>
              <w:rPr>
                <w:rFonts w:ascii="Times New Roman" w:hAnsi="Times New Roman" w:eastAsia="宋体" w:cs="Times New Roman"/>
                <w:b/>
                <w:color w:val="auto"/>
                <w:sz w:val="21"/>
                <w:highlight w:val="none"/>
              </w:rPr>
              <w:t>动植物油</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545" w:type="dxa"/>
            <w:vMerge w:val="restart"/>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szCs w:val="24"/>
                <w:highlight w:val="none"/>
              </w:rPr>
              <w:t>生活污水</w:t>
            </w:r>
            <w:r>
              <w:rPr>
                <w:rFonts w:hint="eastAsia" w:ascii="Times New Roman" w:hAnsi="Times New Roman" w:eastAsia="宋体" w:cs="Times New Roman"/>
                <w:b w:val="0"/>
                <w:bCs/>
                <w:color w:val="auto"/>
                <w:szCs w:val="24"/>
                <w:highlight w:val="none"/>
              </w:rPr>
              <w:t>30</w:t>
            </w:r>
            <w:r>
              <w:rPr>
                <w:rFonts w:ascii="Times New Roman" w:hAnsi="Times New Roman" w:eastAsia="宋体" w:cs="Times New Roman"/>
                <w:b w:val="0"/>
                <w:bCs/>
                <w:color w:val="auto"/>
                <w:highlight w:val="none"/>
              </w:rPr>
              <w:t>0m</w:t>
            </w:r>
            <w:r>
              <w:rPr>
                <w:rFonts w:ascii="Times New Roman" w:hAnsi="Times New Roman" w:eastAsia="宋体" w:cs="Times New Roman"/>
                <w:b w:val="0"/>
                <w:bCs/>
                <w:color w:val="auto"/>
                <w:highlight w:val="none"/>
                <w:vertAlign w:val="superscript"/>
              </w:rPr>
              <w:t>3</w:t>
            </w:r>
            <w:r>
              <w:rPr>
                <w:rFonts w:ascii="Times New Roman" w:hAnsi="Times New Roman" w:eastAsia="宋体" w:cs="Times New Roman"/>
                <w:b w:val="0"/>
                <w:bCs/>
                <w:color w:val="auto"/>
                <w:highlight w:val="none"/>
              </w:rPr>
              <w:t>/a</w:t>
            </w:r>
          </w:p>
        </w:tc>
        <w:tc>
          <w:tcPr>
            <w:tcW w:w="189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产生浓度(mg/L)</w:t>
            </w:r>
          </w:p>
        </w:tc>
        <w:tc>
          <w:tcPr>
            <w:tcW w:w="110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300</w:t>
            </w:r>
          </w:p>
        </w:tc>
        <w:tc>
          <w:tcPr>
            <w:tcW w:w="110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200</w:t>
            </w:r>
          </w:p>
        </w:tc>
        <w:tc>
          <w:tcPr>
            <w:tcW w:w="1107"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200</w:t>
            </w:r>
          </w:p>
        </w:tc>
        <w:tc>
          <w:tcPr>
            <w:tcW w:w="117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30</w:t>
            </w:r>
          </w:p>
        </w:tc>
        <w:tc>
          <w:tcPr>
            <w:tcW w:w="115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545" w:type="dxa"/>
            <w:vMerge w:val="continue"/>
            <w:noWrap w:val="0"/>
            <w:vAlign w:val="center"/>
          </w:tcPr>
          <w:p>
            <w:pPr>
              <w:pStyle w:val="86"/>
              <w:rPr>
                <w:rFonts w:ascii="Times New Roman" w:hAnsi="Times New Roman" w:eastAsia="宋体" w:cs="Times New Roman"/>
                <w:b w:val="0"/>
                <w:bCs/>
                <w:color w:val="auto"/>
                <w:highlight w:val="none"/>
              </w:rPr>
            </w:pPr>
          </w:p>
        </w:tc>
        <w:tc>
          <w:tcPr>
            <w:tcW w:w="189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产生量(t/a)</w:t>
            </w:r>
          </w:p>
        </w:tc>
        <w:tc>
          <w:tcPr>
            <w:tcW w:w="110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09</w:t>
            </w:r>
          </w:p>
        </w:tc>
        <w:tc>
          <w:tcPr>
            <w:tcW w:w="110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06</w:t>
            </w:r>
          </w:p>
        </w:tc>
        <w:tc>
          <w:tcPr>
            <w:tcW w:w="1107"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06</w:t>
            </w:r>
          </w:p>
        </w:tc>
        <w:tc>
          <w:tcPr>
            <w:tcW w:w="117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w:t>
            </w:r>
            <w:r>
              <w:rPr>
                <w:rFonts w:hint="eastAsia" w:ascii="Times New Roman" w:hAnsi="Times New Roman" w:eastAsia="宋体" w:cs="Times New Roman"/>
                <w:b w:val="0"/>
                <w:bCs/>
                <w:color w:val="auto"/>
                <w:highlight w:val="none"/>
              </w:rPr>
              <w:t>09</w:t>
            </w:r>
          </w:p>
        </w:tc>
        <w:tc>
          <w:tcPr>
            <w:tcW w:w="115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545" w:type="dxa"/>
            <w:vMerge w:val="restart"/>
            <w:noWrap w:val="0"/>
            <w:vAlign w:val="center"/>
          </w:tcPr>
          <w:p>
            <w:pPr>
              <w:pStyle w:val="86"/>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厨房废水5</w:t>
            </w:r>
            <w:r>
              <w:rPr>
                <w:rFonts w:ascii="Times New Roman" w:hAnsi="Times New Roman" w:eastAsia="宋体" w:cs="Times New Roman"/>
                <w:b w:val="0"/>
                <w:bCs/>
                <w:color w:val="auto"/>
                <w:highlight w:val="none"/>
              </w:rPr>
              <w:t>0m</w:t>
            </w:r>
            <w:r>
              <w:rPr>
                <w:rFonts w:ascii="Times New Roman" w:hAnsi="Times New Roman" w:eastAsia="宋体" w:cs="Times New Roman"/>
                <w:b w:val="0"/>
                <w:bCs/>
                <w:color w:val="auto"/>
                <w:highlight w:val="none"/>
                <w:vertAlign w:val="superscript"/>
              </w:rPr>
              <w:t>3</w:t>
            </w:r>
            <w:r>
              <w:rPr>
                <w:rFonts w:ascii="Times New Roman" w:hAnsi="Times New Roman" w:eastAsia="宋体" w:cs="Times New Roman"/>
                <w:b w:val="0"/>
                <w:bCs/>
                <w:color w:val="auto"/>
                <w:highlight w:val="none"/>
              </w:rPr>
              <w:t>/a</w:t>
            </w:r>
          </w:p>
        </w:tc>
        <w:tc>
          <w:tcPr>
            <w:tcW w:w="189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产生浓度(mg/L)</w:t>
            </w:r>
          </w:p>
        </w:tc>
        <w:tc>
          <w:tcPr>
            <w:tcW w:w="110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800</w:t>
            </w:r>
          </w:p>
        </w:tc>
        <w:tc>
          <w:tcPr>
            <w:tcW w:w="110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500</w:t>
            </w:r>
          </w:p>
        </w:tc>
        <w:tc>
          <w:tcPr>
            <w:tcW w:w="1107"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400</w:t>
            </w:r>
          </w:p>
        </w:tc>
        <w:tc>
          <w:tcPr>
            <w:tcW w:w="117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10</w:t>
            </w:r>
          </w:p>
        </w:tc>
        <w:tc>
          <w:tcPr>
            <w:tcW w:w="115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300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545" w:type="dxa"/>
            <w:vMerge w:val="continue"/>
            <w:noWrap w:val="0"/>
            <w:vAlign w:val="center"/>
          </w:tcPr>
          <w:p>
            <w:pPr>
              <w:pStyle w:val="86"/>
              <w:rPr>
                <w:rFonts w:ascii="Times New Roman" w:hAnsi="Times New Roman" w:eastAsia="宋体" w:cs="Times New Roman"/>
                <w:b w:val="0"/>
                <w:bCs/>
                <w:color w:val="auto"/>
                <w:highlight w:val="none"/>
              </w:rPr>
            </w:pPr>
          </w:p>
        </w:tc>
        <w:tc>
          <w:tcPr>
            <w:tcW w:w="189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产生量(t/a)</w:t>
            </w:r>
          </w:p>
        </w:tc>
        <w:tc>
          <w:tcPr>
            <w:tcW w:w="1108" w:type="dxa"/>
            <w:noWrap w:val="0"/>
            <w:vAlign w:val="center"/>
          </w:tcPr>
          <w:p>
            <w:pPr>
              <w:pStyle w:val="86"/>
              <w:rPr>
                <w:rFonts w:hint="eastAsia"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w:t>
            </w:r>
            <w:r>
              <w:rPr>
                <w:rFonts w:hint="eastAsia" w:ascii="Times New Roman" w:hAnsi="Times New Roman" w:eastAsia="宋体" w:cs="Times New Roman"/>
                <w:b w:val="0"/>
                <w:bCs/>
                <w:color w:val="auto"/>
                <w:highlight w:val="none"/>
              </w:rPr>
              <w:t>4</w:t>
            </w:r>
          </w:p>
        </w:tc>
        <w:tc>
          <w:tcPr>
            <w:tcW w:w="110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w:t>
            </w:r>
            <w:r>
              <w:rPr>
                <w:rFonts w:hint="eastAsia" w:ascii="Times New Roman" w:hAnsi="Times New Roman" w:eastAsia="宋体" w:cs="Times New Roman"/>
                <w:b w:val="0"/>
                <w:bCs/>
                <w:color w:val="auto"/>
                <w:highlight w:val="none"/>
              </w:rPr>
              <w:t>25</w:t>
            </w:r>
          </w:p>
        </w:tc>
        <w:tc>
          <w:tcPr>
            <w:tcW w:w="1107"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w:t>
            </w:r>
            <w:r>
              <w:rPr>
                <w:rFonts w:hint="eastAsia" w:ascii="Times New Roman" w:hAnsi="Times New Roman" w:eastAsia="宋体" w:cs="Times New Roman"/>
                <w:b w:val="0"/>
                <w:bCs/>
                <w:color w:val="auto"/>
                <w:highlight w:val="none"/>
              </w:rPr>
              <w:t>2</w:t>
            </w:r>
          </w:p>
        </w:tc>
        <w:tc>
          <w:tcPr>
            <w:tcW w:w="117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0.00</w:t>
            </w:r>
            <w:r>
              <w:rPr>
                <w:rFonts w:hint="eastAsia" w:ascii="Times New Roman" w:hAnsi="Times New Roman" w:eastAsia="宋体" w:cs="Times New Roman"/>
                <w:b w:val="0"/>
                <w:bCs/>
                <w:color w:val="auto"/>
                <w:highlight w:val="none"/>
              </w:rPr>
              <w:t>05</w:t>
            </w:r>
          </w:p>
        </w:tc>
        <w:tc>
          <w:tcPr>
            <w:tcW w:w="115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w:t>
            </w:r>
            <w:r>
              <w:rPr>
                <w:rFonts w:hint="eastAsia" w:ascii="Times New Roman" w:hAnsi="Times New Roman" w:eastAsia="宋体" w:cs="Times New Roman"/>
                <w:b w:val="0"/>
                <w:bCs/>
                <w:color w:val="auto"/>
                <w:highlight w:val="none"/>
              </w:rPr>
              <w:t>15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3444" w:type="dxa"/>
            <w:gridSpan w:val="2"/>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产生总量（t/a）</w:t>
            </w:r>
          </w:p>
        </w:tc>
        <w:tc>
          <w:tcPr>
            <w:tcW w:w="110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13</w:t>
            </w:r>
          </w:p>
        </w:tc>
        <w:tc>
          <w:tcPr>
            <w:tcW w:w="110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085</w:t>
            </w:r>
          </w:p>
        </w:tc>
        <w:tc>
          <w:tcPr>
            <w:tcW w:w="1107"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08</w:t>
            </w:r>
          </w:p>
        </w:tc>
        <w:tc>
          <w:tcPr>
            <w:tcW w:w="117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w:t>
            </w:r>
            <w:r>
              <w:rPr>
                <w:rFonts w:hint="eastAsia" w:ascii="Times New Roman" w:hAnsi="Times New Roman" w:eastAsia="宋体" w:cs="Times New Roman"/>
                <w:b w:val="0"/>
                <w:bCs/>
                <w:color w:val="auto"/>
                <w:highlight w:val="none"/>
              </w:rPr>
              <w:t>095</w:t>
            </w:r>
          </w:p>
        </w:tc>
        <w:tc>
          <w:tcPr>
            <w:tcW w:w="115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w:t>
            </w:r>
            <w:r>
              <w:rPr>
                <w:rFonts w:hint="eastAsia" w:ascii="Times New Roman" w:hAnsi="Times New Roman" w:eastAsia="宋体" w:cs="Times New Roman"/>
                <w:b w:val="0"/>
                <w:bCs/>
                <w:color w:val="auto"/>
                <w:highlight w:val="none"/>
              </w:rPr>
              <w:t>15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3444" w:type="dxa"/>
            <w:gridSpan w:val="2"/>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化粪池处理效率（%）</w:t>
            </w:r>
          </w:p>
        </w:tc>
        <w:tc>
          <w:tcPr>
            <w:tcW w:w="110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15</w:t>
            </w:r>
          </w:p>
        </w:tc>
        <w:tc>
          <w:tcPr>
            <w:tcW w:w="110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10</w:t>
            </w:r>
          </w:p>
        </w:tc>
        <w:tc>
          <w:tcPr>
            <w:tcW w:w="1107"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30</w:t>
            </w:r>
          </w:p>
        </w:tc>
        <w:tc>
          <w:tcPr>
            <w:tcW w:w="117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p>
        </w:tc>
        <w:tc>
          <w:tcPr>
            <w:tcW w:w="115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545" w:type="dxa"/>
            <w:vMerge w:val="restart"/>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排水量</w:t>
            </w:r>
            <w:r>
              <w:rPr>
                <w:rFonts w:hint="eastAsia" w:ascii="Times New Roman" w:hAnsi="Times New Roman" w:eastAsia="宋体" w:cs="Times New Roman"/>
                <w:b w:val="0"/>
                <w:bCs/>
                <w:color w:val="auto"/>
                <w:highlight w:val="none"/>
              </w:rPr>
              <w:t>35</w:t>
            </w:r>
            <w:r>
              <w:rPr>
                <w:rFonts w:ascii="Times New Roman" w:hAnsi="Times New Roman" w:eastAsia="宋体" w:cs="Times New Roman"/>
                <w:b w:val="0"/>
                <w:bCs/>
                <w:color w:val="auto"/>
                <w:highlight w:val="none"/>
              </w:rPr>
              <w:t>0m</w:t>
            </w:r>
            <w:r>
              <w:rPr>
                <w:rFonts w:ascii="Times New Roman" w:hAnsi="Times New Roman" w:eastAsia="宋体" w:cs="Times New Roman"/>
                <w:b w:val="0"/>
                <w:bCs/>
                <w:color w:val="auto"/>
                <w:highlight w:val="none"/>
                <w:vertAlign w:val="superscript"/>
              </w:rPr>
              <w:t>3</w:t>
            </w:r>
            <w:r>
              <w:rPr>
                <w:rFonts w:ascii="Times New Roman" w:hAnsi="Times New Roman" w:eastAsia="宋体" w:cs="Times New Roman"/>
                <w:b w:val="0"/>
                <w:bCs/>
                <w:color w:val="auto"/>
                <w:highlight w:val="none"/>
              </w:rPr>
              <w:t>/a</w:t>
            </w:r>
          </w:p>
        </w:tc>
        <w:tc>
          <w:tcPr>
            <w:tcW w:w="189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排放浓度(mg/L)</w:t>
            </w:r>
          </w:p>
        </w:tc>
        <w:tc>
          <w:tcPr>
            <w:tcW w:w="110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315.7</w:t>
            </w:r>
          </w:p>
        </w:tc>
        <w:tc>
          <w:tcPr>
            <w:tcW w:w="110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218.6</w:t>
            </w:r>
          </w:p>
        </w:tc>
        <w:tc>
          <w:tcPr>
            <w:tcW w:w="1107"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1</w:t>
            </w:r>
            <w:r>
              <w:rPr>
                <w:rFonts w:hint="eastAsia" w:ascii="Times New Roman" w:hAnsi="Times New Roman" w:eastAsia="宋体" w:cs="Times New Roman"/>
                <w:b w:val="0"/>
                <w:bCs/>
                <w:color w:val="auto"/>
                <w:highlight w:val="none"/>
              </w:rPr>
              <w:t>60</w:t>
            </w:r>
          </w:p>
        </w:tc>
        <w:tc>
          <w:tcPr>
            <w:tcW w:w="117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27</w:t>
            </w:r>
          </w:p>
        </w:tc>
        <w:tc>
          <w:tcPr>
            <w:tcW w:w="115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42.9</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545" w:type="dxa"/>
            <w:vMerge w:val="continue"/>
            <w:noWrap w:val="0"/>
            <w:vAlign w:val="center"/>
          </w:tcPr>
          <w:p>
            <w:pPr>
              <w:pStyle w:val="86"/>
              <w:rPr>
                <w:rFonts w:ascii="Times New Roman" w:hAnsi="Times New Roman" w:eastAsia="宋体" w:cs="Times New Roman"/>
                <w:b w:val="0"/>
                <w:bCs/>
                <w:color w:val="auto"/>
                <w:highlight w:val="none"/>
              </w:rPr>
            </w:pPr>
          </w:p>
        </w:tc>
        <w:tc>
          <w:tcPr>
            <w:tcW w:w="189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排放量(t/a)</w:t>
            </w:r>
          </w:p>
        </w:tc>
        <w:tc>
          <w:tcPr>
            <w:tcW w:w="110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111</w:t>
            </w:r>
          </w:p>
        </w:tc>
        <w:tc>
          <w:tcPr>
            <w:tcW w:w="1109"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077</w:t>
            </w:r>
          </w:p>
        </w:tc>
        <w:tc>
          <w:tcPr>
            <w:tcW w:w="1107"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056</w:t>
            </w:r>
          </w:p>
        </w:tc>
        <w:tc>
          <w:tcPr>
            <w:tcW w:w="117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w:t>
            </w:r>
            <w:r>
              <w:rPr>
                <w:rFonts w:hint="eastAsia" w:ascii="Times New Roman" w:hAnsi="Times New Roman" w:eastAsia="宋体" w:cs="Times New Roman"/>
                <w:b w:val="0"/>
                <w:bCs/>
                <w:color w:val="auto"/>
                <w:highlight w:val="none"/>
              </w:rPr>
              <w:t>095</w:t>
            </w:r>
          </w:p>
        </w:tc>
        <w:tc>
          <w:tcPr>
            <w:tcW w:w="1154"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w:t>
            </w:r>
            <w:r>
              <w:rPr>
                <w:rFonts w:hint="eastAsia" w:ascii="Times New Roman" w:hAnsi="Times New Roman" w:eastAsia="宋体" w:cs="Times New Roman"/>
                <w:b w:val="0"/>
                <w:bCs/>
                <w:color w:val="auto"/>
                <w:highlight w:val="none"/>
              </w:rPr>
              <w:t>15</w:t>
            </w:r>
          </w:p>
        </w:tc>
      </w:tr>
    </w:tbl>
    <w:p>
      <w:pPr>
        <w:bidi w:val="0"/>
        <w:rPr>
          <w:color w:val="auto"/>
          <w:highlight w:val="none"/>
          <w:u w:val="single"/>
        </w:rPr>
      </w:pPr>
      <w:r>
        <w:rPr>
          <w:color w:val="auto"/>
          <w:highlight w:val="none"/>
          <w:u w:val="single"/>
        </w:rPr>
        <w:t>（3）初期雨水</w:t>
      </w:r>
    </w:p>
    <w:p>
      <w:pPr>
        <w:bidi w:val="0"/>
        <w:rPr>
          <w:color w:val="auto"/>
          <w:highlight w:val="none"/>
          <w:u w:val="single"/>
        </w:rPr>
      </w:pPr>
      <w:r>
        <w:rPr>
          <w:rFonts w:hint="eastAsia"/>
          <w:color w:val="auto"/>
          <w:highlight w:val="none"/>
          <w:u w:val="single"/>
        </w:rPr>
        <w:t>原宏保兴采石场</w:t>
      </w:r>
      <w:r>
        <w:rPr>
          <w:color w:val="auto"/>
          <w:highlight w:val="none"/>
          <w:u w:val="single"/>
        </w:rPr>
        <w:t>运营过程中水污染源主要为采区和加工区初期雨水，主要污染物为SS，初始浓度约为500mg/L。</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bCs/>
          <w:color w:val="auto"/>
          <w:szCs w:val="24"/>
          <w:highlight w:val="none"/>
          <w:u w:val="single"/>
        </w:rPr>
        <w:t>原</w:t>
      </w:r>
      <w:r>
        <w:rPr>
          <w:rFonts w:hint="eastAsia" w:ascii="Times New Roman" w:hAnsi="Times New Roman" w:eastAsia="宋体" w:cs="Times New Roman"/>
          <w:color w:val="auto"/>
          <w:highlight w:val="none"/>
          <w:u w:val="single"/>
        </w:rPr>
        <w:t>宏保兴采石场</w:t>
      </w:r>
      <w:r>
        <w:rPr>
          <w:rFonts w:ascii="Times New Roman" w:hAnsi="Times New Roman" w:eastAsia="宋体" w:cs="Times New Roman"/>
          <w:color w:val="auto"/>
          <w:kern w:val="0"/>
          <w:szCs w:val="24"/>
          <w:highlight w:val="none"/>
          <w:u w:val="single"/>
        </w:rPr>
        <w:t>采区和加工区</w:t>
      </w:r>
      <w:r>
        <w:rPr>
          <w:rFonts w:ascii="Times New Roman" w:hAnsi="Times New Roman" w:eastAsia="宋体" w:cs="Times New Roman"/>
          <w:color w:val="auto"/>
          <w:highlight w:val="none"/>
          <w:u w:val="single"/>
        </w:rPr>
        <w:t>总面积约</w:t>
      </w:r>
      <w:r>
        <w:rPr>
          <w:rFonts w:hint="eastAsia" w:ascii="Times New Roman" w:hAnsi="Times New Roman" w:cs="Times New Roman"/>
          <w:color w:val="auto"/>
          <w:highlight w:val="none"/>
          <w:u w:val="single"/>
          <w:lang w:val="en-US" w:eastAsia="zh-CN"/>
        </w:rPr>
        <w:t>160</w:t>
      </w:r>
      <w:r>
        <w:rPr>
          <w:rFonts w:ascii="Times New Roman" w:hAnsi="Times New Roman" w:eastAsia="宋体" w:cs="Times New Roman"/>
          <w:color w:val="auto"/>
          <w:highlight w:val="none"/>
          <w:u w:val="single"/>
        </w:rPr>
        <w:t>00m</w:t>
      </w:r>
      <w:r>
        <w:rPr>
          <w:rFonts w:ascii="Times New Roman" w:hAnsi="Times New Roman" w:eastAsia="宋体" w:cs="Times New Roman"/>
          <w:color w:val="auto"/>
          <w:highlight w:val="none"/>
          <w:u w:val="single"/>
          <w:vertAlign w:val="superscript"/>
        </w:rPr>
        <w:t>2</w:t>
      </w:r>
      <w:r>
        <w:rPr>
          <w:rFonts w:ascii="Times New Roman" w:hAnsi="Times New Roman" w:eastAsia="宋体" w:cs="Times New Roman"/>
          <w:color w:val="auto"/>
          <w:highlight w:val="none"/>
          <w:u w:val="single"/>
        </w:rPr>
        <w:t>，</w:t>
      </w:r>
      <w:r>
        <w:rPr>
          <w:rFonts w:ascii="Times New Roman" w:hAnsi="Times New Roman" w:eastAsia="宋体" w:cs="Times New Roman"/>
          <w:color w:val="auto"/>
          <w:kern w:val="0"/>
          <w:szCs w:val="24"/>
          <w:highlight w:val="none"/>
          <w:u w:val="single"/>
        </w:rPr>
        <w:t>收水时间30min，根据《室外排水设计规范》（GB</w:t>
      </w:r>
      <w:r>
        <w:rPr>
          <w:rFonts w:hint="eastAsia" w:ascii="Times New Roman" w:hAnsi="Times New Roman" w:eastAsia="宋体" w:cs="Times New Roman"/>
          <w:color w:val="auto"/>
          <w:kern w:val="0"/>
          <w:szCs w:val="24"/>
          <w:highlight w:val="none"/>
          <w:u w:val="single"/>
          <w:lang w:val="en-US" w:eastAsia="zh-CN"/>
        </w:rPr>
        <w:t xml:space="preserve"> </w:t>
      </w:r>
      <w:r>
        <w:rPr>
          <w:rFonts w:ascii="Times New Roman" w:hAnsi="Times New Roman" w:eastAsia="宋体" w:cs="Times New Roman"/>
          <w:color w:val="auto"/>
          <w:kern w:val="0"/>
          <w:szCs w:val="24"/>
          <w:highlight w:val="none"/>
          <w:u w:val="single"/>
        </w:rPr>
        <w:t>50014-2006）（2011 年版）</w:t>
      </w:r>
      <w:r>
        <w:rPr>
          <w:rFonts w:hint="eastAsia" w:ascii="Times New Roman" w:hAnsi="Times New Roman" w:cs="Times New Roman"/>
          <w:color w:val="auto"/>
          <w:kern w:val="0"/>
          <w:szCs w:val="24"/>
          <w:highlight w:val="none"/>
          <w:u w:val="single"/>
          <w:lang w:val="en-US" w:eastAsia="zh-CN"/>
        </w:rPr>
        <w:t>公式</w:t>
      </w:r>
      <w:r>
        <w:rPr>
          <w:rFonts w:hint="eastAsia" w:cs="Times New Roman"/>
          <w:color w:val="auto"/>
          <w:kern w:val="0"/>
          <w:szCs w:val="24"/>
          <w:highlight w:val="none"/>
          <w:u w:val="single"/>
          <w:lang w:val="en-US" w:eastAsia="zh-CN"/>
        </w:rPr>
        <w:t>计算（见本报告第2.2.9.1节）</w:t>
      </w:r>
      <w:r>
        <w:rPr>
          <w:rFonts w:ascii="Times New Roman" w:hAnsi="Times New Roman" w:eastAsia="宋体" w:cs="Times New Roman"/>
          <w:color w:val="auto"/>
          <w:kern w:val="0"/>
          <w:szCs w:val="24"/>
          <w:highlight w:val="none"/>
          <w:u w:val="single"/>
        </w:rPr>
        <w:t>，初期雨水量为</w:t>
      </w:r>
      <w:r>
        <w:rPr>
          <w:rFonts w:hint="eastAsia" w:ascii="Times New Roman" w:hAnsi="Times New Roman" w:cs="Times New Roman"/>
          <w:color w:val="auto"/>
          <w:kern w:val="0"/>
          <w:szCs w:val="24"/>
          <w:highlight w:val="none"/>
          <w:u w:val="single"/>
          <w:lang w:val="en-US" w:eastAsia="zh-CN"/>
        </w:rPr>
        <w:t>194.4</w:t>
      </w:r>
      <w:r>
        <w:rPr>
          <w:rFonts w:ascii="Times New Roman" w:hAnsi="Times New Roman" w:eastAsia="宋体" w:cs="Times New Roman"/>
          <w:color w:val="auto"/>
          <w:kern w:val="0"/>
          <w:szCs w:val="24"/>
          <w:highlight w:val="none"/>
          <w:u w:val="single"/>
        </w:rPr>
        <w:t>m</w:t>
      </w:r>
      <w:r>
        <w:rPr>
          <w:rFonts w:ascii="Times New Roman" w:hAnsi="Times New Roman" w:eastAsia="宋体" w:cs="Times New Roman"/>
          <w:color w:val="auto"/>
          <w:kern w:val="0"/>
          <w:szCs w:val="24"/>
          <w:highlight w:val="none"/>
          <w:u w:val="single"/>
          <w:vertAlign w:val="superscript"/>
        </w:rPr>
        <w:t>3</w:t>
      </w:r>
      <w:r>
        <w:rPr>
          <w:rFonts w:ascii="Times New Roman" w:hAnsi="Times New Roman" w:eastAsia="宋体" w:cs="Times New Roman"/>
          <w:color w:val="auto"/>
          <w:kern w:val="0"/>
          <w:szCs w:val="24"/>
          <w:highlight w:val="none"/>
          <w:u w:val="single"/>
        </w:rPr>
        <w:t>/次。</w:t>
      </w:r>
      <w:r>
        <w:rPr>
          <w:rFonts w:hint="eastAsia" w:ascii="Times New Roman" w:hAnsi="Times New Roman" w:eastAsia="宋体" w:cs="Times New Roman"/>
          <w:bCs/>
          <w:color w:val="auto"/>
          <w:szCs w:val="24"/>
          <w:highlight w:val="none"/>
          <w:u w:val="single"/>
        </w:rPr>
        <w:t>原</w:t>
      </w:r>
      <w:r>
        <w:rPr>
          <w:rFonts w:hint="eastAsia" w:ascii="Times New Roman" w:hAnsi="Times New Roman" w:eastAsia="宋体" w:cs="Times New Roman"/>
          <w:color w:val="auto"/>
          <w:highlight w:val="none"/>
          <w:u w:val="single"/>
        </w:rPr>
        <w:t>宏保兴采石场</w:t>
      </w:r>
      <w:r>
        <w:rPr>
          <w:rFonts w:ascii="Times New Roman" w:hAnsi="Times New Roman" w:eastAsia="宋体" w:cs="Times New Roman"/>
          <w:color w:val="auto"/>
          <w:highlight w:val="none"/>
          <w:u w:val="single"/>
        </w:rPr>
        <w:t>未设置初期雨水池，初期雨水直接排入周边环境中</w:t>
      </w:r>
      <w:r>
        <w:rPr>
          <w:rFonts w:ascii="Times New Roman" w:hAnsi="Times New Roman" w:eastAsia="宋体" w:cs="Times New Roman"/>
          <w:color w:val="auto"/>
          <w:highlight w:val="none"/>
        </w:rPr>
        <w:t>。</w:t>
      </w:r>
    </w:p>
    <w:p>
      <w:pPr>
        <w:ind w:firstLine="482"/>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3</w:t>
      </w:r>
      <w:r>
        <w:rPr>
          <w:rFonts w:hint="eastAsia" w:ascii="Times New Roman" w:hAnsi="Times New Roman" w:cs="Times New Roman"/>
          <w:b/>
          <w:bCs/>
          <w:color w:val="auto"/>
          <w:highlight w:val="none"/>
          <w:lang w:val="en-US" w:eastAsia="zh-CN"/>
        </w:rPr>
        <w:t>.</w:t>
      </w:r>
      <w:r>
        <w:rPr>
          <w:rFonts w:ascii="Times New Roman" w:hAnsi="Times New Roman" w:eastAsia="宋体" w:cs="Times New Roman"/>
          <w:b/>
          <w:bCs/>
          <w:color w:val="auto"/>
          <w:highlight w:val="none"/>
        </w:rPr>
        <w:t>噪声污染源</w:t>
      </w:r>
    </w:p>
    <w:p>
      <w:pPr>
        <w:tabs>
          <w:tab w:val="left" w:pos="-213"/>
        </w:tabs>
        <w:ind w:firstLine="480"/>
        <w:rPr>
          <w:rFonts w:ascii="Times New Roman" w:hAnsi="Times New Roman" w:eastAsia="宋体" w:cs="Times New Roman"/>
          <w:color w:val="auto"/>
          <w:szCs w:val="20"/>
          <w:highlight w:val="none"/>
        </w:rPr>
      </w:pPr>
      <w:r>
        <w:rPr>
          <w:rFonts w:hint="eastAsia" w:ascii="Times New Roman" w:hAnsi="Times New Roman" w:eastAsia="宋体" w:cs="Times New Roman"/>
          <w:bCs/>
          <w:color w:val="auto"/>
          <w:szCs w:val="24"/>
          <w:highlight w:val="none"/>
        </w:rPr>
        <w:t>原</w:t>
      </w:r>
      <w:r>
        <w:rPr>
          <w:rFonts w:hint="eastAsia" w:ascii="Times New Roman" w:hAnsi="Times New Roman" w:eastAsia="宋体" w:cs="Times New Roman"/>
          <w:color w:val="auto"/>
          <w:highlight w:val="none"/>
        </w:rPr>
        <w:t>宏保兴采石场</w:t>
      </w:r>
      <w:r>
        <w:rPr>
          <w:rFonts w:hint="eastAsia" w:ascii="Times New Roman" w:hAnsi="Times New Roman" w:eastAsia="宋体" w:cs="Times New Roman"/>
          <w:color w:val="auto"/>
          <w:szCs w:val="20"/>
          <w:highlight w:val="none"/>
        </w:rPr>
        <w:t>日常</w:t>
      </w:r>
      <w:r>
        <w:rPr>
          <w:rFonts w:ascii="Times New Roman" w:hAnsi="Times New Roman" w:eastAsia="宋体" w:cs="Times New Roman"/>
          <w:color w:val="auto"/>
          <w:szCs w:val="20"/>
          <w:highlight w:val="none"/>
        </w:rPr>
        <w:t>生产过程中</w:t>
      </w:r>
      <w:r>
        <w:rPr>
          <w:rFonts w:hint="eastAsia" w:ascii="Times New Roman" w:hAnsi="Times New Roman" w:eastAsia="宋体" w:cs="Times New Roman"/>
          <w:color w:val="auto"/>
          <w:szCs w:val="20"/>
          <w:highlight w:val="none"/>
        </w:rPr>
        <w:t>凿岩</w:t>
      </w:r>
      <w:r>
        <w:rPr>
          <w:rFonts w:ascii="Times New Roman" w:hAnsi="Times New Roman" w:eastAsia="宋体" w:cs="Times New Roman"/>
          <w:color w:val="auto"/>
          <w:szCs w:val="20"/>
          <w:highlight w:val="none"/>
        </w:rPr>
        <w:t>钻孔、爆破、采装、破碎等工序都将产生不同程度的噪声。根据项目矿山采用生产工艺流程及所选设备，产生高噪声的设备主要有凿岩机、挖掘机、空压机、破碎机，其中以爆破时产生的噪声强度最大，爆破噪声是瞬时的，只能造成短时影响。各作业工序产生的噪声见表2.</w:t>
      </w:r>
      <w:r>
        <w:rPr>
          <w:rFonts w:hint="eastAsia" w:ascii="Times New Roman" w:hAnsi="Times New Roman" w:eastAsia="宋体" w:cs="Times New Roman"/>
          <w:color w:val="auto"/>
          <w:szCs w:val="20"/>
          <w:highlight w:val="none"/>
        </w:rPr>
        <w:t>2</w:t>
      </w:r>
      <w:r>
        <w:rPr>
          <w:rFonts w:ascii="Times New Roman" w:hAnsi="Times New Roman" w:eastAsia="宋体" w:cs="Times New Roman"/>
          <w:color w:val="auto"/>
          <w:szCs w:val="20"/>
          <w:highlight w:val="none"/>
        </w:rPr>
        <w:t>-</w:t>
      </w:r>
      <w:r>
        <w:rPr>
          <w:rFonts w:hint="eastAsia" w:ascii="Times New Roman" w:hAnsi="Times New Roman" w:cs="Times New Roman"/>
          <w:color w:val="auto"/>
          <w:szCs w:val="20"/>
          <w:highlight w:val="none"/>
          <w:lang w:val="en-US" w:eastAsia="zh-CN"/>
        </w:rPr>
        <w:t>16</w:t>
      </w:r>
      <w:r>
        <w:rPr>
          <w:rFonts w:ascii="Times New Roman" w:hAnsi="Times New Roman" w:eastAsia="宋体" w:cs="Times New Roman"/>
          <w:color w:val="auto"/>
          <w:szCs w:val="20"/>
          <w:highlight w:val="none"/>
        </w:rPr>
        <w:t>所示。</w:t>
      </w:r>
    </w:p>
    <w:p>
      <w:pPr>
        <w:adjustRightInd w:val="0"/>
        <w:snapToGrid w:val="0"/>
        <w:spacing w:line="240" w:lineRule="auto"/>
        <w:ind w:firstLine="0" w:firstLineChars="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表2.</w:t>
      </w:r>
      <w:r>
        <w:rPr>
          <w:rFonts w:hint="eastAsia" w:ascii="Times New Roman" w:hAnsi="Times New Roman" w:eastAsia="宋体" w:cs="Times New Roman"/>
          <w:b/>
          <w:color w:val="auto"/>
          <w:szCs w:val="20"/>
          <w:highlight w:val="none"/>
        </w:rPr>
        <w:t>2</w:t>
      </w:r>
      <w:r>
        <w:rPr>
          <w:rFonts w:ascii="Times New Roman" w:hAnsi="Times New Roman" w:eastAsia="宋体" w:cs="Times New Roman"/>
          <w:b/>
          <w:color w:val="auto"/>
          <w:szCs w:val="20"/>
          <w:highlight w:val="none"/>
        </w:rPr>
        <w:t>-</w:t>
      </w:r>
      <w:r>
        <w:rPr>
          <w:rFonts w:hint="eastAsia" w:ascii="Times New Roman" w:hAnsi="Times New Roman" w:cs="Times New Roman"/>
          <w:b/>
          <w:color w:val="auto"/>
          <w:szCs w:val="20"/>
          <w:highlight w:val="none"/>
          <w:lang w:val="en-US" w:eastAsia="zh-CN"/>
        </w:rPr>
        <w:t>16</w:t>
      </w:r>
      <w:r>
        <w:rPr>
          <w:rFonts w:ascii="Times New Roman" w:hAnsi="Times New Roman" w:eastAsia="宋体" w:cs="Times New Roman"/>
          <w:b/>
          <w:color w:val="auto"/>
          <w:szCs w:val="20"/>
          <w:highlight w:val="none"/>
        </w:rPr>
        <w:t xml:space="preserve"> 项目主要噪声源强及防治措施一栏表（单位：dB(A)）</w:t>
      </w:r>
    </w:p>
    <w:tbl>
      <w:tblPr>
        <w:tblStyle w:val="48"/>
        <w:tblW w:w="9071"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1173"/>
        <w:gridCol w:w="753"/>
        <w:gridCol w:w="1057"/>
        <w:gridCol w:w="1236"/>
        <w:gridCol w:w="1023"/>
        <w:gridCol w:w="2412"/>
        <w:gridCol w:w="1417"/>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设备</w:t>
            </w:r>
          </w:p>
        </w:tc>
        <w:tc>
          <w:tcPr>
            <w:tcW w:w="753" w:type="dxa"/>
            <w:noWrap w:val="0"/>
            <w:vAlign w:val="center"/>
          </w:tcPr>
          <w:p>
            <w:pPr>
              <w:widowControl/>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数量</w:t>
            </w:r>
          </w:p>
        </w:tc>
        <w:tc>
          <w:tcPr>
            <w:tcW w:w="1057" w:type="dxa"/>
            <w:noWrap w:val="0"/>
            <w:vAlign w:val="center"/>
          </w:tcPr>
          <w:p>
            <w:pPr>
              <w:widowControl/>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声压级</w:t>
            </w:r>
          </w:p>
        </w:tc>
        <w:tc>
          <w:tcPr>
            <w:tcW w:w="1236" w:type="dxa"/>
            <w:noWrap w:val="0"/>
            <w:vAlign w:val="center"/>
          </w:tcPr>
          <w:p>
            <w:pPr>
              <w:widowControl/>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排放特征</w:t>
            </w:r>
          </w:p>
        </w:tc>
        <w:tc>
          <w:tcPr>
            <w:tcW w:w="1023" w:type="dxa"/>
            <w:noWrap w:val="0"/>
            <w:vAlign w:val="center"/>
          </w:tcPr>
          <w:p>
            <w:pPr>
              <w:widowControl/>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位置</w:t>
            </w:r>
          </w:p>
        </w:tc>
        <w:tc>
          <w:tcPr>
            <w:tcW w:w="2412" w:type="dxa"/>
            <w:noWrap w:val="0"/>
            <w:vAlign w:val="center"/>
          </w:tcPr>
          <w:p>
            <w:pPr>
              <w:widowControl/>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bCs/>
                <w:color w:val="auto"/>
                <w:sz w:val="21"/>
                <w:highlight w:val="none"/>
              </w:rPr>
              <w:t>降噪措施</w:t>
            </w:r>
          </w:p>
        </w:tc>
        <w:tc>
          <w:tcPr>
            <w:tcW w:w="1417" w:type="dxa"/>
            <w:noWrap w:val="0"/>
            <w:vAlign w:val="center"/>
          </w:tcPr>
          <w:p>
            <w:pPr>
              <w:widowControl/>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bCs/>
                <w:color w:val="auto"/>
                <w:sz w:val="21"/>
                <w:highlight w:val="none"/>
              </w:rPr>
              <w:t>降噪后源强</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潜孔钻机</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w:t>
            </w:r>
          </w:p>
        </w:tc>
        <w:tc>
          <w:tcPr>
            <w:tcW w:w="105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95~100</w:t>
            </w:r>
          </w:p>
        </w:tc>
        <w:tc>
          <w:tcPr>
            <w:tcW w:w="1236" w:type="dxa"/>
            <w:noWrap w:val="0"/>
            <w:vAlign w:val="center"/>
          </w:tcPr>
          <w:p>
            <w:pPr>
              <w:spacing w:line="240" w:lineRule="auto"/>
              <w:ind w:firstLine="0" w:firstLineChars="0"/>
              <w:jc w:val="center"/>
              <w:rPr>
                <w:rFonts w:ascii="Times New Roman" w:hAnsi="Times New Roman" w:eastAsia="宋体" w:cs="Times New Roman"/>
                <w:bCs/>
                <w:color w:val="auto"/>
                <w:kern w:val="0"/>
                <w:sz w:val="21"/>
                <w:highlight w:val="none"/>
              </w:rPr>
            </w:pPr>
            <w:r>
              <w:rPr>
                <w:rFonts w:ascii="Times New Roman" w:hAnsi="Times New Roman" w:eastAsia="宋体" w:cs="Times New Roman"/>
                <w:color w:val="auto"/>
                <w:sz w:val="21"/>
                <w:highlight w:val="none"/>
              </w:rPr>
              <w:t>间断</w:t>
            </w:r>
          </w:p>
        </w:tc>
        <w:tc>
          <w:tcPr>
            <w:tcW w:w="1023" w:type="dxa"/>
            <w:vMerge w:val="restart"/>
            <w:noWrap w:val="0"/>
            <w:vAlign w:val="center"/>
          </w:tcPr>
          <w:p>
            <w:pPr>
              <w:spacing w:line="240" w:lineRule="auto"/>
              <w:ind w:firstLine="0" w:firstLineChars="0"/>
              <w:jc w:val="center"/>
              <w:rPr>
                <w:rFonts w:ascii="Times New Roman" w:hAnsi="Times New Roman" w:eastAsia="宋体" w:cs="Times New Roman"/>
                <w:bCs/>
                <w:color w:val="auto"/>
                <w:kern w:val="0"/>
                <w:sz w:val="21"/>
                <w:highlight w:val="none"/>
              </w:rPr>
            </w:pPr>
            <w:r>
              <w:rPr>
                <w:rFonts w:ascii="Times New Roman" w:hAnsi="Times New Roman" w:eastAsia="宋体" w:cs="Times New Roman"/>
                <w:bCs/>
                <w:color w:val="auto"/>
                <w:kern w:val="0"/>
                <w:sz w:val="21"/>
                <w:highlight w:val="none"/>
              </w:rPr>
              <w:t>开采区</w:t>
            </w:r>
          </w:p>
        </w:tc>
        <w:tc>
          <w:tcPr>
            <w:tcW w:w="2412"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kern w:val="0"/>
                <w:sz w:val="21"/>
                <w:highlight w:val="none"/>
              </w:rPr>
              <w:t>选择低噪音设备</w:t>
            </w:r>
          </w:p>
        </w:tc>
        <w:tc>
          <w:tcPr>
            <w:tcW w:w="141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90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挖掘机</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2</w:t>
            </w:r>
          </w:p>
        </w:tc>
        <w:tc>
          <w:tcPr>
            <w:tcW w:w="105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80～90</w:t>
            </w:r>
          </w:p>
        </w:tc>
        <w:tc>
          <w:tcPr>
            <w:tcW w:w="1236"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间断</w:t>
            </w:r>
          </w:p>
        </w:tc>
        <w:tc>
          <w:tcPr>
            <w:tcW w:w="1023" w:type="dxa"/>
            <w:vMerge w:val="continue"/>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p>
        </w:tc>
        <w:tc>
          <w:tcPr>
            <w:tcW w:w="2412" w:type="dxa"/>
            <w:vMerge w:val="continue"/>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p>
        </w:tc>
        <w:tc>
          <w:tcPr>
            <w:tcW w:w="141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空压机</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w:t>
            </w:r>
          </w:p>
        </w:tc>
        <w:tc>
          <w:tcPr>
            <w:tcW w:w="105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90~95</w:t>
            </w:r>
          </w:p>
        </w:tc>
        <w:tc>
          <w:tcPr>
            <w:tcW w:w="1236"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间断</w:t>
            </w:r>
          </w:p>
        </w:tc>
        <w:tc>
          <w:tcPr>
            <w:tcW w:w="1023" w:type="dxa"/>
            <w:vMerge w:val="continue"/>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p>
        </w:tc>
        <w:tc>
          <w:tcPr>
            <w:tcW w:w="2412" w:type="dxa"/>
            <w:vMerge w:val="continue"/>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p>
        </w:tc>
        <w:tc>
          <w:tcPr>
            <w:tcW w:w="1417" w:type="dxa"/>
            <w:noWrap w:val="0"/>
            <w:vAlign w:val="center"/>
          </w:tcPr>
          <w:p>
            <w:pPr>
              <w:keepNext/>
              <w:keepLines/>
              <w:spacing w:line="240" w:lineRule="auto"/>
              <w:ind w:left="420" w:hanging="420" w:hangingChars="20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w:t>
            </w:r>
            <w:r>
              <w:rPr>
                <w:rFonts w:hint="eastAsia" w:ascii="Times New Roman" w:hAnsi="Times New Roman" w:eastAsia="宋体" w:cs="Times New Roman"/>
                <w:color w:val="auto"/>
                <w:sz w:val="21"/>
                <w:highlight w:val="none"/>
              </w:rPr>
              <w:t>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爆破</w:t>
            </w:r>
          </w:p>
        </w:tc>
        <w:tc>
          <w:tcPr>
            <w:tcW w:w="753"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05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115</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间断</w:t>
            </w:r>
          </w:p>
        </w:tc>
        <w:tc>
          <w:tcPr>
            <w:tcW w:w="1023" w:type="dxa"/>
            <w:vMerge w:val="continue"/>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p>
        </w:tc>
        <w:tc>
          <w:tcPr>
            <w:tcW w:w="2412"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中深孔爆破</w:t>
            </w: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110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破碎机</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3</w:t>
            </w:r>
          </w:p>
        </w:tc>
        <w:tc>
          <w:tcPr>
            <w:tcW w:w="105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90</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持续</w:t>
            </w:r>
          </w:p>
        </w:tc>
        <w:tc>
          <w:tcPr>
            <w:tcW w:w="1023" w:type="dxa"/>
            <w:vMerge w:val="restart"/>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破碎生产线</w:t>
            </w:r>
          </w:p>
        </w:tc>
        <w:tc>
          <w:tcPr>
            <w:tcW w:w="2412" w:type="dxa"/>
            <w:vMerge w:val="restart"/>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kern w:val="0"/>
                <w:sz w:val="21"/>
                <w:highlight w:val="none"/>
              </w:rPr>
              <w:t>基础减震、隔声</w:t>
            </w:r>
            <w:r>
              <w:rPr>
                <w:rFonts w:hint="eastAsia" w:ascii="Times New Roman" w:hAnsi="Times New Roman" w:eastAsia="宋体" w:cs="Times New Roman"/>
                <w:bCs/>
                <w:color w:val="auto"/>
                <w:kern w:val="0"/>
                <w:sz w:val="21"/>
                <w:highlight w:val="none"/>
              </w:rPr>
              <w:t>、</w:t>
            </w:r>
            <w:r>
              <w:rPr>
                <w:rFonts w:ascii="Times New Roman" w:hAnsi="Times New Roman" w:eastAsia="宋体" w:cs="Times New Roman"/>
                <w:bCs/>
                <w:color w:val="auto"/>
                <w:kern w:val="0"/>
                <w:sz w:val="21"/>
                <w:highlight w:val="none"/>
              </w:rPr>
              <w:t>选择低噪音设备</w:t>
            </w: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80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振动筛</w:t>
            </w:r>
          </w:p>
        </w:tc>
        <w:tc>
          <w:tcPr>
            <w:tcW w:w="75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w:t>
            </w:r>
          </w:p>
        </w:tc>
        <w:tc>
          <w:tcPr>
            <w:tcW w:w="105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70~80</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持续</w:t>
            </w:r>
          </w:p>
        </w:tc>
        <w:tc>
          <w:tcPr>
            <w:tcW w:w="1023" w:type="dxa"/>
            <w:vMerge w:val="continue"/>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p>
        </w:tc>
        <w:tc>
          <w:tcPr>
            <w:tcW w:w="2412" w:type="dxa"/>
            <w:vMerge w:val="continue"/>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70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水泵</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w:t>
            </w:r>
          </w:p>
        </w:tc>
        <w:tc>
          <w:tcPr>
            <w:tcW w:w="105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80~90</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间断</w:t>
            </w:r>
          </w:p>
        </w:tc>
        <w:tc>
          <w:tcPr>
            <w:tcW w:w="102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水泵房</w:t>
            </w:r>
          </w:p>
        </w:tc>
        <w:tc>
          <w:tcPr>
            <w:tcW w:w="2412"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kern w:val="0"/>
                <w:sz w:val="21"/>
                <w:highlight w:val="none"/>
              </w:rPr>
              <w:t>基础减震、墙体隔音等</w:t>
            </w: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80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bCs/>
                <w:color w:val="auto"/>
                <w:kern w:val="0"/>
                <w:sz w:val="21"/>
                <w:highlight w:val="none"/>
              </w:rPr>
              <w:t>自卸汽车</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3</w:t>
            </w:r>
          </w:p>
        </w:tc>
        <w:tc>
          <w:tcPr>
            <w:tcW w:w="105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70~80</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间断</w:t>
            </w:r>
          </w:p>
        </w:tc>
        <w:tc>
          <w:tcPr>
            <w:tcW w:w="102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矿区内</w:t>
            </w:r>
          </w:p>
        </w:tc>
        <w:tc>
          <w:tcPr>
            <w:tcW w:w="2412"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严禁超载，减速慢行</w:t>
            </w: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70</w:t>
            </w:r>
          </w:p>
        </w:tc>
      </w:tr>
    </w:tbl>
    <w:p>
      <w:pPr>
        <w:ind w:firstLine="482"/>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4</w:t>
      </w:r>
      <w:r>
        <w:rPr>
          <w:rFonts w:hint="eastAsia" w:ascii="Times New Roman" w:hAnsi="Times New Roman" w:cs="Times New Roman"/>
          <w:b/>
          <w:bCs/>
          <w:color w:val="auto"/>
          <w:highlight w:val="none"/>
          <w:lang w:val="en-US" w:eastAsia="zh-CN"/>
        </w:rPr>
        <w:t>.</w:t>
      </w:r>
      <w:r>
        <w:rPr>
          <w:rFonts w:ascii="Times New Roman" w:hAnsi="Times New Roman" w:eastAsia="宋体" w:cs="Times New Roman"/>
          <w:b/>
          <w:bCs/>
          <w:color w:val="auto"/>
          <w:highlight w:val="none"/>
        </w:rPr>
        <w:t>固体废物污染源</w:t>
      </w:r>
    </w:p>
    <w:p>
      <w:pPr>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项目运营期产生的固体废物主要是采矿时剥离的表土、</w:t>
      </w:r>
      <w:r>
        <w:rPr>
          <w:rFonts w:hint="eastAsia" w:ascii="Times New Roman" w:hAnsi="Times New Roman" w:eastAsia="宋体" w:cs="Times New Roman"/>
          <w:color w:val="auto"/>
          <w:szCs w:val="20"/>
          <w:highlight w:val="none"/>
        </w:rPr>
        <w:t>废土石渣</w:t>
      </w:r>
      <w:r>
        <w:rPr>
          <w:rFonts w:ascii="Times New Roman" w:hAnsi="Times New Roman" w:eastAsia="宋体" w:cs="Times New Roman"/>
          <w:color w:val="auto"/>
          <w:szCs w:val="20"/>
          <w:highlight w:val="none"/>
        </w:rPr>
        <w:t>、机修固体废物和职工的生活垃圾。</w:t>
      </w:r>
    </w:p>
    <w:p>
      <w:pPr>
        <w:ind w:firstLine="480" w:firstLineChars="0"/>
        <w:rPr>
          <w:rFonts w:hint="eastAsia"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（1）表土和</w:t>
      </w:r>
      <w:r>
        <w:rPr>
          <w:rFonts w:hint="eastAsia" w:ascii="Times New Roman" w:hAnsi="Times New Roman" w:eastAsia="宋体" w:cs="Times New Roman"/>
          <w:color w:val="auto"/>
          <w:szCs w:val="20"/>
          <w:highlight w:val="none"/>
        </w:rPr>
        <w:t>废土石渣</w:t>
      </w:r>
    </w:p>
    <w:p>
      <w:pPr>
        <w:ind w:firstLine="480" w:firstLineChars="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根据调查，该矿区</w:t>
      </w:r>
      <w:r>
        <w:rPr>
          <w:rFonts w:hint="eastAsia" w:ascii="Times New Roman" w:hAnsi="Times New Roman" w:eastAsia="宋体" w:cs="Times New Roman"/>
          <w:color w:val="auto"/>
          <w:szCs w:val="24"/>
          <w:highlight w:val="none"/>
        </w:rPr>
        <w:t>硅质岩</w:t>
      </w:r>
      <w:r>
        <w:rPr>
          <w:rFonts w:ascii="Times New Roman" w:hAnsi="Times New Roman" w:eastAsia="宋体" w:cs="Times New Roman"/>
          <w:color w:val="auto"/>
          <w:szCs w:val="24"/>
          <w:highlight w:val="none"/>
        </w:rPr>
        <w:t>矿体基本裸露地表，仅局部被少量薄层表土覆盖，围岩亦为同类</w:t>
      </w:r>
      <w:r>
        <w:rPr>
          <w:rFonts w:hint="eastAsia" w:ascii="Times New Roman" w:hAnsi="Times New Roman" w:eastAsia="宋体" w:cs="Times New Roman"/>
          <w:color w:val="auto"/>
          <w:szCs w:val="24"/>
          <w:highlight w:val="none"/>
        </w:rPr>
        <w:t>硅质岩</w:t>
      </w:r>
      <w:r>
        <w:rPr>
          <w:rFonts w:ascii="Times New Roman" w:hAnsi="Times New Roman" w:eastAsia="宋体" w:cs="Times New Roman"/>
          <w:color w:val="auto"/>
          <w:szCs w:val="24"/>
          <w:highlight w:val="none"/>
        </w:rPr>
        <w:t>，但部分岩体表层风化较强烈，露天开采过程中表土剥离将产生表土和</w:t>
      </w:r>
      <w:r>
        <w:rPr>
          <w:rFonts w:hint="eastAsia" w:ascii="Times New Roman" w:hAnsi="Times New Roman" w:eastAsia="宋体" w:cs="Times New Roman"/>
          <w:color w:val="auto"/>
          <w:szCs w:val="24"/>
          <w:highlight w:val="none"/>
        </w:rPr>
        <w:t>废土石渣</w:t>
      </w:r>
      <w:r>
        <w:rPr>
          <w:rFonts w:ascii="Times New Roman" w:hAnsi="Times New Roman" w:eastAsia="宋体" w:cs="Times New Roman"/>
          <w:color w:val="auto"/>
          <w:szCs w:val="24"/>
          <w:highlight w:val="none"/>
        </w:rPr>
        <w:t>，矿山估算剥采比为0.0</w:t>
      </w:r>
      <w:r>
        <w:rPr>
          <w:rFonts w:hint="eastAsia" w:ascii="Times New Roman" w:hAnsi="Times New Roman" w:eastAsia="宋体" w:cs="Times New Roman"/>
          <w:color w:val="auto"/>
          <w:szCs w:val="24"/>
          <w:highlight w:val="none"/>
        </w:rPr>
        <w:t>1t</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t</w:t>
      </w:r>
      <w:r>
        <w:rPr>
          <w:rFonts w:ascii="Times New Roman" w:hAnsi="Times New Roman" w:eastAsia="宋体" w:cs="Times New Roman"/>
          <w:color w:val="auto"/>
          <w:szCs w:val="24"/>
          <w:highlight w:val="none"/>
        </w:rPr>
        <w:t>，项目年开采矿石</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万t，则产生的表土和</w:t>
      </w:r>
      <w:r>
        <w:rPr>
          <w:rFonts w:hint="eastAsia" w:ascii="Times New Roman" w:hAnsi="Times New Roman" w:eastAsia="宋体" w:cs="Times New Roman"/>
          <w:color w:val="auto"/>
          <w:szCs w:val="24"/>
          <w:highlight w:val="none"/>
        </w:rPr>
        <w:t>废土石渣</w:t>
      </w:r>
      <w:r>
        <w:rPr>
          <w:rFonts w:ascii="Times New Roman" w:hAnsi="Times New Roman" w:eastAsia="宋体" w:cs="Times New Roman"/>
          <w:color w:val="auto"/>
          <w:szCs w:val="24"/>
          <w:highlight w:val="none"/>
        </w:rPr>
        <w:t>总量为</w:t>
      </w:r>
      <w:r>
        <w:rPr>
          <w:rFonts w:hint="eastAsia" w:ascii="Times New Roman" w:hAnsi="Times New Roman" w:eastAsia="宋体" w:cs="Times New Roman"/>
          <w:color w:val="auto"/>
          <w:szCs w:val="24"/>
          <w:highlight w:val="none"/>
        </w:rPr>
        <w:t>50</w:t>
      </w:r>
      <w:r>
        <w:rPr>
          <w:rFonts w:ascii="Times New Roman" w:hAnsi="Times New Roman" w:eastAsia="宋体" w:cs="Times New Roman"/>
          <w:color w:val="auto"/>
          <w:szCs w:val="24"/>
          <w:highlight w:val="none"/>
        </w:rPr>
        <w:t>0t/a。其中表土占有量较少，约</w:t>
      </w:r>
      <w:r>
        <w:rPr>
          <w:rFonts w:hint="eastAsia" w:ascii="Times New Roman" w:hAnsi="Times New Roman" w:eastAsia="宋体" w:cs="Times New Roman"/>
          <w:color w:val="auto"/>
          <w:szCs w:val="24"/>
          <w:highlight w:val="none"/>
        </w:rPr>
        <w:t>为20%，即100</w:t>
      </w:r>
      <w:r>
        <w:rPr>
          <w:rFonts w:ascii="Times New Roman" w:hAnsi="Times New Roman" w:eastAsia="宋体" w:cs="Times New Roman"/>
          <w:color w:val="auto"/>
          <w:szCs w:val="24"/>
          <w:highlight w:val="none"/>
        </w:rPr>
        <w:t>t/a</w:t>
      </w:r>
      <w:r>
        <w:rPr>
          <w:rFonts w:hint="eastAsia" w:ascii="Times New Roman" w:hAnsi="Times New Roman" w:eastAsia="宋体" w:cs="Times New Roman"/>
          <w:color w:val="auto"/>
          <w:szCs w:val="24"/>
          <w:highlight w:val="none"/>
        </w:rPr>
        <w:t>，废土石渣占80%，约400</w:t>
      </w:r>
      <w:r>
        <w:rPr>
          <w:rFonts w:ascii="Times New Roman" w:hAnsi="Times New Roman" w:eastAsia="宋体" w:cs="Times New Roman"/>
          <w:color w:val="auto"/>
          <w:szCs w:val="24"/>
          <w:highlight w:val="none"/>
        </w:rPr>
        <w:t>t/a。表土和</w:t>
      </w:r>
      <w:r>
        <w:rPr>
          <w:rFonts w:hint="eastAsia" w:ascii="Times New Roman" w:hAnsi="Times New Roman" w:eastAsia="宋体" w:cs="Times New Roman"/>
          <w:color w:val="auto"/>
          <w:szCs w:val="24"/>
          <w:highlight w:val="none"/>
        </w:rPr>
        <w:t>废土石渣</w:t>
      </w:r>
      <w:r>
        <w:rPr>
          <w:rFonts w:ascii="Times New Roman" w:hAnsi="Times New Roman" w:eastAsia="宋体" w:cs="Times New Roman"/>
          <w:color w:val="auto"/>
          <w:szCs w:val="24"/>
          <w:highlight w:val="none"/>
        </w:rPr>
        <w:t>未分类存放，全部用于矿区道路平整。</w:t>
      </w:r>
    </w:p>
    <w:p>
      <w:pPr>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（2）机修维修固体废物</w:t>
      </w:r>
    </w:p>
    <w:p>
      <w:pPr>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项目矿山机械设备维修时产生废零件0.5t/a，废机油0.02t/a，废含油抹布0.005t/a。根据《国家危险废物名录》（2016年版，2016年8月1日起施行），废机油属于名录中“HW08废矿物油与含矿物油废物/非特定行业/900-214-08/车辆、机械维修和拆解过程中产生的废发动机油、制动器油、自动变速器油、齿轮油等废润滑油”所列</w:t>
      </w:r>
      <w:r>
        <w:rPr>
          <w:rFonts w:hint="eastAsia" w:cs="Times New Roman"/>
          <w:color w:val="auto"/>
          <w:szCs w:val="20"/>
          <w:highlight w:val="none"/>
          <w:lang w:val="en-US" w:eastAsia="zh-CN"/>
        </w:rPr>
        <w:t>危险废物</w:t>
      </w:r>
      <w:r>
        <w:rPr>
          <w:rFonts w:hint="eastAsia" w:cs="Times New Roman"/>
          <w:color w:val="auto"/>
          <w:szCs w:val="20"/>
          <w:highlight w:val="none"/>
          <w:lang w:eastAsia="zh-CN"/>
        </w:rPr>
        <w:t>，</w:t>
      </w:r>
      <w:r>
        <w:rPr>
          <w:rFonts w:ascii="Times New Roman" w:hAnsi="Times New Roman" w:eastAsia="宋体" w:cs="Times New Roman"/>
          <w:color w:val="auto"/>
          <w:szCs w:val="20"/>
          <w:highlight w:val="none"/>
        </w:rPr>
        <w:t>应按危险废物管理</w:t>
      </w:r>
      <w:r>
        <w:rPr>
          <w:rFonts w:hint="eastAsia" w:cs="Times New Roman"/>
          <w:color w:val="auto"/>
          <w:szCs w:val="20"/>
          <w:highlight w:val="none"/>
          <w:lang w:eastAsia="zh-CN"/>
        </w:rPr>
        <w:t>。</w:t>
      </w:r>
      <w:r>
        <w:rPr>
          <w:rFonts w:ascii="Times New Roman" w:hAnsi="Times New Roman" w:eastAsia="宋体" w:cs="Times New Roman"/>
          <w:color w:val="auto"/>
          <w:szCs w:val="20"/>
          <w:highlight w:val="none"/>
        </w:rPr>
        <w:t>废含油抹布属于名录中“HW49其它废物/非特定行业/900-041-49/含有或直接沾染危险废物的废弃包装物、容器、清洗杂物”所列废弃清洗杂物，</w:t>
      </w:r>
      <w:r>
        <w:rPr>
          <w:rFonts w:hint="eastAsia" w:cs="Times New Roman"/>
          <w:color w:val="auto"/>
          <w:szCs w:val="20"/>
          <w:highlight w:val="none"/>
          <w:lang w:val="en-US" w:eastAsia="zh-CN"/>
        </w:rPr>
        <w:t>其列入危险废物豁免清单，可混入生活垃圾</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废零件属于一般性固体废物，收集后外卖给废品回收公司；废机油和废含油抹布收集后存放于机械维修间。</w:t>
      </w:r>
    </w:p>
    <w:p>
      <w:pPr>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（3）生活垃圾</w:t>
      </w:r>
    </w:p>
    <w:p>
      <w:pPr>
        <w:ind w:firstLine="480"/>
        <w:rPr>
          <w:rFonts w:ascii="Times New Roman" w:hAnsi="Times New Roman" w:eastAsia="宋体" w:cs="Times New Roman"/>
          <w:bCs/>
          <w:color w:val="auto"/>
          <w:kern w:val="0"/>
          <w:szCs w:val="20"/>
          <w:highlight w:val="none"/>
        </w:rPr>
      </w:pPr>
      <w:r>
        <w:rPr>
          <w:rFonts w:ascii="Times New Roman" w:hAnsi="Times New Roman" w:eastAsia="宋体" w:cs="Times New Roman"/>
          <w:bCs/>
          <w:color w:val="auto"/>
          <w:kern w:val="0"/>
          <w:szCs w:val="20"/>
          <w:highlight w:val="none"/>
        </w:rPr>
        <w:t>项目职工人数</w:t>
      </w:r>
      <w:r>
        <w:rPr>
          <w:rFonts w:hint="eastAsia" w:ascii="Times New Roman" w:hAnsi="Times New Roman" w:eastAsia="宋体" w:cs="Times New Roman"/>
          <w:bCs/>
          <w:color w:val="auto"/>
          <w:kern w:val="0"/>
          <w:szCs w:val="20"/>
          <w:highlight w:val="none"/>
        </w:rPr>
        <w:t>10</w:t>
      </w:r>
      <w:r>
        <w:rPr>
          <w:rFonts w:ascii="Times New Roman" w:hAnsi="Times New Roman" w:eastAsia="宋体" w:cs="Times New Roman"/>
          <w:bCs/>
          <w:color w:val="auto"/>
          <w:kern w:val="0"/>
          <w:szCs w:val="20"/>
          <w:highlight w:val="none"/>
        </w:rPr>
        <w:t>人，均在厂内食宿，生活垃圾产生量按1.0kg/人·d计算，则生活垃圾产生量为</w:t>
      </w:r>
      <w:r>
        <w:rPr>
          <w:rFonts w:hint="eastAsia" w:ascii="Times New Roman" w:hAnsi="Times New Roman" w:eastAsia="宋体" w:cs="Times New Roman"/>
          <w:bCs/>
          <w:color w:val="auto"/>
          <w:kern w:val="0"/>
          <w:szCs w:val="20"/>
          <w:highlight w:val="none"/>
        </w:rPr>
        <w:t>10</w:t>
      </w:r>
      <w:r>
        <w:rPr>
          <w:rFonts w:ascii="Times New Roman" w:hAnsi="Times New Roman" w:eastAsia="宋体" w:cs="Times New Roman"/>
          <w:bCs/>
          <w:color w:val="auto"/>
          <w:kern w:val="0"/>
          <w:szCs w:val="20"/>
          <w:highlight w:val="none"/>
        </w:rPr>
        <w:t>kg/d（</w:t>
      </w:r>
      <w:r>
        <w:rPr>
          <w:rFonts w:hint="eastAsia" w:ascii="Times New Roman" w:hAnsi="Times New Roman" w:eastAsia="宋体" w:cs="Times New Roman"/>
          <w:bCs/>
          <w:color w:val="auto"/>
          <w:kern w:val="0"/>
          <w:szCs w:val="20"/>
          <w:highlight w:val="none"/>
        </w:rPr>
        <w:t>2.</w:t>
      </w:r>
      <w:r>
        <w:rPr>
          <w:rFonts w:ascii="Times New Roman" w:hAnsi="Times New Roman" w:eastAsia="宋体" w:cs="Times New Roman"/>
          <w:bCs/>
          <w:color w:val="auto"/>
          <w:kern w:val="0"/>
          <w:szCs w:val="20"/>
          <w:highlight w:val="none"/>
        </w:rPr>
        <w:t>5t/a）。生活垃圾</w:t>
      </w:r>
      <w:r>
        <w:rPr>
          <w:rFonts w:ascii="Times New Roman" w:hAnsi="Times New Roman" w:eastAsia="宋体" w:cs="Times New Roman"/>
          <w:color w:val="auto"/>
          <w:szCs w:val="24"/>
          <w:highlight w:val="none"/>
        </w:rPr>
        <w:t>收集后由环卫部门处理</w:t>
      </w:r>
      <w:r>
        <w:rPr>
          <w:rFonts w:ascii="Times New Roman" w:hAnsi="Times New Roman" w:eastAsia="宋体" w:cs="Times New Roman"/>
          <w:bCs/>
          <w:color w:val="auto"/>
          <w:kern w:val="0"/>
          <w:szCs w:val="20"/>
          <w:highlight w:val="none"/>
        </w:rPr>
        <w:t>。</w:t>
      </w:r>
    </w:p>
    <w:p>
      <w:pPr>
        <w:ind w:firstLine="460" w:firstLineChars="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项目</w:t>
      </w:r>
      <w:r>
        <w:rPr>
          <w:rFonts w:hint="eastAsia" w:ascii="Times New Roman" w:hAnsi="Times New Roman" w:eastAsia="宋体" w:cs="Times New Roman"/>
          <w:color w:val="auto"/>
          <w:szCs w:val="20"/>
          <w:highlight w:val="none"/>
        </w:rPr>
        <w:t>固体废物</w:t>
      </w:r>
      <w:r>
        <w:rPr>
          <w:rFonts w:ascii="Times New Roman" w:hAnsi="Times New Roman" w:eastAsia="宋体" w:cs="Times New Roman"/>
          <w:color w:val="auto"/>
          <w:szCs w:val="20"/>
          <w:highlight w:val="none"/>
        </w:rPr>
        <w:t>产生情况统计见表2.</w:t>
      </w:r>
      <w:r>
        <w:rPr>
          <w:rFonts w:hint="eastAsia" w:ascii="Times New Roman" w:hAnsi="Times New Roman" w:eastAsia="宋体" w:cs="Times New Roman"/>
          <w:color w:val="auto"/>
          <w:szCs w:val="20"/>
          <w:highlight w:val="none"/>
        </w:rPr>
        <w:t>2</w:t>
      </w:r>
      <w:r>
        <w:rPr>
          <w:rFonts w:ascii="Times New Roman" w:hAnsi="Times New Roman" w:eastAsia="宋体" w:cs="Times New Roman"/>
          <w:color w:val="auto"/>
          <w:szCs w:val="20"/>
          <w:highlight w:val="none"/>
        </w:rPr>
        <w:t>-</w:t>
      </w:r>
      <w:r>
        <w:rPr>
          <w:rFonts w:hint="eastAsia" w:ascii="Times New Roman" w:hAnsi="Times New Roman" w:cs="Times New Roman"/>
          <w:color w:val="auto"/>
          <w:szCs w:val="20"/>
          <w:highlight w:val="none"/>
          <w:lang w:val="en-US" w:eastAsia="zh-CN"/>
        </w:rPr>
        <w:t>17</w:t>
      </w:r>
      <w:r>
        <w:rPr>
          <w:rFonts w:ascii="Times New Roman" w:hAnsi="Times New Roman" w:eastAsia="宋体" w:cs="Times New Roman"/>
          <w:color w:val="auto"/>
          <w:szCs w:val="20"/>
          <w:highlight w:val="none"/>
        </w:rPr>
        <w:t>。</w:t>
      </w:r>
    </w:p>
    <w:p>
      <w:pPr>
        <w:spacing w:line="240" w:lineRule="auto"/>
        <w:ind w:firstLine="0" w:firstLineChars="0"/>
        <w:jc w:val="center"/>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4"/>
          <w:highlight w:val="none"/>
        </w:rPr>
        <w:t>表2.</w:t>
      </w:r>
      <w:r>
        <w:rPr>
          <w:rFonts w:hint="eastAsia" w:ascii="Times New Roman" w:hAnsi="Times New Roman" w:eastAsia="宋体" w:cs="Times New Roman"/>
          <w:b/>
          <w:color w:val="auto"/>
          <w:szCs w:val="24"/>
          <w:highlight w:val="none"/>
        </w:rPr>
        <w:t>2</w:t>
      </w:r>
      <w:r>
        <w:rPr>
          <w:rFonts w:ascii="Times New Roman" w:hAnsi="Times New Roman" w:eastAsia="宋体" w:cs="Times New Roman"/>
          <w:b/>
          <w:color w:val="auto"/>
          <w:szCs w:val="24"/>
          <w:highlight w:val="none"/>
        </w:rPr>
        <w:t>-</w:t>
      </w:r>
      <w:r>
        <w:rPr>
          <w:rFonts w:hint="eastAsia" w:ascii="Times New Roman" w:hAnsi="Times New Roman" w:cs="Times New Roman"/>
          <w:b/>
          <w:color w:val="auto"/>
          <w:szCs w:val="24"/>
          <w:highlight w:val="none"/>
          <w:lang w:val="en-US" w:eastAsia="zh-CN"/>
        </w:rPr>
        <w:t>17</w:t>
      </w:r>
      <w:r>
        <w:rPr>
          <w:rFonts w:ascii="Times New Roman" w:hAnsi="Times New Roman" w:eastAsia="宋体" w:cs="Times New Roman"/>
          <w:b/>
          <w:color w:val="auto"/>
          <w:szCs w:val="24"/>
          <w:highlight w:val="none"/>
        </w:rPr>
        <w:t xml:space="preserve"> 项目固体废物产生情况表</w:t>
      </w:r>
    </w:p>
    <w:tbl>
      <w:tblPr>
        <w:tblStyle w:val="48"/>
        <w:tblW w:w="9146" w:type="dxa"/>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561"/>
        <w:gridCol w:w="1042"/>
        <w:gridCol w:w="1042"/>
        <w:gridCol w:w="1323"/>
        <w:gridCol w:w="708"/>
        <w:gridCol w:w="1269"/>
        <w:gridCol w:w="1996"/>
        <w:gridCol w:w="1205"/>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trPr>
        <w:tc>
          <w:tcPr>
            <w:tcW w:w="561" w:type="dxa"/>
            <w:noWrap w:val="0"/>
            <w:tcMar>
              <w:top w:w="0" w:type="dxa"/>
              <w:left w:w="57" w:type="dxa"/>
              <w:bottom w:w="0" w:type="dxa"/>
              <w:right w:w="57" w:type="dxa"/>
            </w:tcMar>
            <w:vAlign w:val="center"/>
          </w:tcPr>
          <w:p>
            <w:pPr>
              <w:tabs>
                <w:tab w:val="center" w:pos="4153"/>
                <w:tab w:val="right" w:pos="8306"/>
              </w:tabs>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序号</w:t>
            </w:r>
          </w:p>
        </w:tc>
        <w:tc>
          <w:tcPr>
            <w:tcW w:w="1042" w:type="dxa"/>
            <w:noWrap w:val="0"/>
            <w:tcMar>
              <w:top w:w="0" w:type="dxa"/>
              <w:left w:w="57" w:type="dxa"/>
              <w:bottom w:w="0" w:type="dxa"/>
              <w:right w:w="57" w:type="dxa"/>
            </w:tcMar>
            <w:vAlign w:val="center"/>
          </w:tcPr>
          <w:p>
            <w:pPr>
              <w:tabs>
                <w:tab w:val="center" w:pos="4153"/>
                <w:tab w:val="right" w:pos="8306"/>
              </w:tabs>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hint="eastAsia" w:ascii="Times New Roman" w:hAnsi="Times New Roman" w:eastAsia="宋体" w:cs="Times New Roman"/>
                <w:b/>
                <w:color w:val="auto"/>
                <w:kern w:val="0"/>
                <w:sz w:val="21"/>
                <w:highlight w:val="none"/>
              </w:rPr>
              <w:t>固废属性</w:t>
            </w:r>
          </w:p>
        </w:tc>
        <w:tc>
          <w:tcPr>
            <w:tcW w:w="1042" w:type="dxa"/>
            <w:noWrap w:val="0"/>
            <w:tcMar>
              <w:top w:w="0" w:type="dxa"/>
              <w:left w:w="57" w:type="dxa"/>
              <w:bottom w:w="0" w:type="dxa"/>
              <w:right w:w="57" w:type="dxa"/>
            </w:tcMar>
            <w:vAlign w:val="center"/>
          </w:tcPr>
          <w:p>
            <w:pPr>
              <w:tabs>
                <w:tab w:val="center" w:pos="4153"/>
                <w:tab w:val="right" w:pos="8306"/>
              </w:tabs>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名称</w:t>
            </w:r>
          </w:p>
        </w:tc>
        <w:tc>
          <w:tcPr>
            <w:tcW w:w="1323" w:type="dxa"/>
            <w:noWrap w:val="0"/>
            <w:tcMar>
              <w:top w:w="0" w:type="dxa"/>
              <w:left w:w="57" w:type="dxa"/>
              <w:bottom w:w="0" w:type="dxa"/>
              <w:right w:w="57" w:type="dxa"/>
            </w:tcMar>
            <w:vAlign w:val="center"/>
          </w:tcPr>
          <w:p>
            <w:pPr>
              <w:tabs>
                <w:tab w:val="center" w:pos="4153"/>
                <w:tab w:val="right" w:pos="8306"/>
              </w:tabs>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产生环节</w:t>
            </w:r>
          </w:p>
        </w:tc>
        <w:tc>
          <w:tcPr>
            <w:tcW w:w="708" w:type="dxa"/>
            <w:noWrap w:val="0"/>
            <w:tcMar>
              <w:top w:w="0" w:type="dxa"/>
              <w:left w:w="57" w:type="dxa"/>
              <w:bottom w:w="0" w:type="dxa"/>
              <w:right w:w="57" w:type="dxa"/>
            </w:tcMar>
            <w:vAlign w:val="center"/>
          </w:tcPr>
          <w:p>
            <w:pPr>
              <w:tabs>
                <w:tab w:val="center" w:pos="4153"/>
                <w:tab w:val="right" w:pos="8306"/>
              </w:tabs>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形态</w:t>
            </w:r>
          </w:p>
        </w:tc>
        <w:tc>
          <w:tcPr>
            <w:tcW w:w="1269" w:type="dxa"/>
            <w:noWrap w:val="0"/>
            <w:tcMar>
              <w:top w:w="0" w:type="dxa"/>
              <w:left w:w="57" w:type="dxa"/>
              <w:bottom w:w="0" w:type="dxa"/>
              <w:right w:w="57" w:type="dxa"/>
            </w:tcMar>
            <w:vAlign w:val="center"/>
          </w:tcPr>
          <w:p>
            <w:pPr>
              <w:tabs>
                <w:tab w:val="center" w:pos="4153"/>
                <w:tab w:val="right" w:pos="8306"/>
              </w:tabs>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主要成份</w:t>
            </w:r>
          </w:p>
        </w:tc>
        <w:tc>
          <w:tcPr>
            <w:tcW w:w="1996" w:type="dxa"/>
            <w:noWrap w:val="0"/>
            <w:tcMar>
              <w:top w:w="0" w:type="dxa"/>
              <w:left w:w="57" w:type="dxa"/>
              <w:bottom w:w="0" w:type="dxa"/>
              <w:right w:w="57" w:type="dxa"/>
            </w:tcMar>
            <w:vAlign w:val="center"/>
          </w:tcPr>
          <w:p>
            <w:pPr>
              <w:tabs>
                <w:tab w:val="center" w:pos="4153"/>
                <w:tab w:val="right" w:pos="8306"/>
              </w:tabs>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处理措施</w:t>
            </w:r>
          </w:p>
        </w:tc>
        <w:tc>
          <w:tcPr>
            <w:tcW w:w="1205" w:type="dxa"/>
            <w:noWrap w:val="0"/>
            <w:tcMar>
              <w:top w:w="0" w:type="dxa"/>
              <w:left w:w="57" w:type="dxa"/>
              <w:bottom w:w="0" w:type="dxa"/>
              <w:right w:w="57" w:type="dxa"/>
            </w:tcMar>
            <w:vAlign w:val="center"/>
          </w:tcPr>
          <w:p>
            <w:pPr>
              <w:tabs>
                <w:tab w:val="center" w:pos="4153"/>
                <w:tab w:val="right" w:pos="8306"/>
              </w:tabs>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产生量（t/a）</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trPr>
        <w:tc>
          <w:tcPr>
            <w:tcW w:w="561"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042" w:type="dxa"/>
            <w:vMerge w:val="restart"/>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一般</w:t>
            </w:r>
            <w:r>
              <w:rPr>
                <w:rFonts w:hint="eastAsia" w:ascii="Times New Roman" w:hAnsi="Times New Roman" w:eastAsia="宋体" w:cs="Times New Roman"/>
                <w:color w:val="auto"/>
                <w:sz w:val="21"/>
                <w:highlight w:val="none"/>
              </w:rPr>
              <w:t>工业</w:t>
            </w:r>
            <w:r>
              <w:rPr>
                <w:rFonts w:ascii="Times New Roman" w:hAnsi="Times New Roman" w:eastAsia="宋体" w:cs="Times New Roman"/>
                <w:color w:val="auto"/>
                <w:sz w:val="21"/>
                <w:highlight w:val="none"/>
              </w:rPr>
              <w:t>固体废物</w:t>
            </w:r>
          </w:p>
        </w:tc>
        <w:tc>
          <w:tcPr>
            <w:tcW w:w="1042"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表土</w:t>
            </w:r>
          </w:p>
        </w:tc>
        <w:tc>
          <w:tcPr>
            <w:tcW w:w="1323" w:type="dxa"/>
            <w:noWrap w:val="0"/>
            <w:tcMar>
              <w:top w:w="0" w:type="dxa"/>
              <w:left w:w="57" w:type="dxa"/>
              <w:bottom w:w="0" w:type="dxa"/>
              <w:right w:w="57"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表土剥离</w:t>
            </w:r>
          </w:p>
        </w:tc>
        <w:tc>
          <w:tcPr>
            <w:tcW w:w="708"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固态</w:t>
            </w:r>
          </w:p>
        </w:tc>
        <w:tc>
          <w:tcPr>
            <w:tcW w:w="1269"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泥土、砂石</w:t>
            </w:r>
          </w:p>
        </w:tc>
        <w:tc>
          <w:tcPr>
            <w:tcW w:w="1996" w:type="dxa"/>
            <w:vMerge w:val="restart"/>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left"/>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全部用于矿区道路平整</w:t>
            </w:r>
          </w:p>
        </w:tc>
        <w:tc>
          <w:tcPr>
            <w:tcW w:w="1205"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trPr>
        <w:tc>
          <w:tcPr>
            <w:tcW w:w="561"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1042" w:type="dxa"/>
            <w:vMerge w:val="continue"/>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042"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废土石渣</w:t>
            </w:r>
          </w:p>
        </w:tc>
        <w:tc>
          <w:tcPr>
            <w:tcW w:w="1323" w:type="dxa"/>
            <w:noWrap w:val="0"/>
            <w:tcMar>
              <w:top w:w="0" w:type="dxa"/>
              <w:left w:w="57" w:type="dxa"/>
              <w:bottom w:w="0" w:type="dxa"/>
              <w:right w:w="57"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表土剥离</w:t>
            </w:r>
          </w:p>
        </w:tc>
        <w:tc>
          <w:tcPr>
            <w:tcW w:w="708"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固态</w:t>
            </w:r>
          </w:p>
        </w:tc>
        <w:tc>
          <w:tcPr>
            <w:tcW w:w="1269"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泥土、砂石</w:t>
            </w:r>
          </w:p>
        </w:tc>
        <w:tc>
          <w:tcPr>
            <w:tcW w:w="1996" w:type="dxa"/>
            <w:vMerge w:val="continue"/>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1205"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trPr>
        <w:tc>
          <w:tcPr>
            <w:tcW w:w="561"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1042" w:type="dxa"/>
            <w:vMerge w:val="continue"/>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042"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废零件</w:t>
            </w:r>
          </w:p>
        </w:tc>
        <w:tc>
          <w:tcPr>
            <w:tcW w:w="1323" w:type="dxa"/>
            <w:noWrap w:val="0"/>
            <w:tcMar>
              <w:top w:w="0" w:type="dxa"/>
              <w:left w:w="57" w:type="dxa"/>
              <w:bottom w:w="0" w:type="dxa"/>
              <w:right w:w="57"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机械维修</w:t>
            </w:r>
          </w:p>
        </w:tc>
        <w:tc>
          <w:tcPr>
            <w:tcW w:w="708"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固态</w:t>
            </w:r>
          </w:p>
        </w:tc>
        <w:tc>
          <w:tcPr>
            <w:tcW w:w="1269"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废金属</w:t>
            </w:r>
          </w:p>
        </w:tc>
        <w:tc>
          <w:tcPr>
            <w:tcW w:w="1996"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统一收集外卖</w:t>
            </w:r>
          </w:p>
        </w:tc>
        <w:tc>
          <w:tcPr>
            <w:tcW w:w="1205"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trPr>
        <w:tc>
          <w:tcPr>
            <w:tcW w:w="561"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042" w:type="dxa"/>
            <w:vMerge w:val="restart"/>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危险废物</w:t>
            </w:r>
          </w:p>
        </w:tc>
        <w:tc>
          <w:tcPr>
            <w:tcW w:w="1042"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废含油</w:t>
            </w:r>
          </w:p>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抹布</w:t>
            </w:r>
          </w:p>
        </w:tc>
        <w:tc>
          <w:tcPr>
            <w:tcW w:w="1323" w:type="dxa"/>
            <w:noWrap w:val="0"/>
            <w:tcMar>
              <w:top w:w="0" w:type="dxa"/>
              <w:left w:w="57" w:type="dxa"/>
              <w:bottom w:w="0" w:type="dxa"/>
              <w:right w:w="57"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机械维修</w:t>
            </w:r>
          </w:p>
        </w:tc>
        <w:tc>
          <w:tcPr>
            <w:tcW w:w="708"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固态</w:t>
            </w:r>
          </w:p>
        </w:tc>
        <w:tc>
          <w:tcPr>
            <w:tcW w:w="1269"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抹布</w:t>
            </w:r>
          </w:p>
        </w:tc>
        <w:tc>
          <w:tcPr>
            <w:tcW w:w="1996" w:type="dxa"/>
            <w:vMerge w:val="restart"/>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left"/>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收集后存放于机械维修间</w:t>
            </w:r>
          </w:p>
        </w:tc>
        <w:tc>
          <w:tcPr>
            <w:tcW w:w="1205"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trPr>
        <w:tc>
          <w:tcPr>
            <w:tcW w:w="561"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w:t>
            </w:r>
          </w:p>
        </w:tc>
        <w:tc>
          <w:tcPr>
            <w:tcW w:w="1042" w:type="dxa"/>
            <w:vMerge w:val="continue"/>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042"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废机油</w:t>
            </w:r>
          </w:p>
        </w:tc>
        <w:tc>
          <w:tcPr>
            <w:tcW w:w="1323" w:type="dxa"/>
            <w:noWrap w:val="0"/>
            <w:tcMar>
              <w:top w:w="0" w:type="dxa"/>
              <w:left w:w="57" w:type="dxa"/>
              <w:bottom w:w="0" w:type="dxa"/>
              <w:right w:w="57"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机械维修</w:t>
            </w:r>
          </w:p>
        </w:tc>
        <w:tc>
          <w:tcPr>
            <w:tcW w:w="708"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液态</w:t>
            </w:r>
          </w:p>
        </w:tc>
        <w:tc>
          <w:tcPr>
            <w:tcW w:w="1269"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石油类</w:t>
            </w:r>
          </w:p>
        </w:tc>
        <w:tc>
          <w:tcPr>
            <w:tcW w:w="1996" w:type="dxa"/>
            <w:vMerge w:val="continue"/>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1205"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trPr>
        <w:tc>
          <w:tcPr>
            <w:tcW w:w="561"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w:t>
            </w:r>
          </w:p>
        </w:tc>
        <w:tc>
          <w:tcPr>
            <w:tcW w:w="2084" w:type="dxa"/>
            <w:gridSpan w:val="2"/>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生活垃圾</w:t>
            </w:r>
          </w:p>
        </w:tc>
        <w:tc>
          <w:tcPr>
            <w:tcW w:w="1323" w:type="dxa"/>
            <w:noWrap w:val="0"/>
            <w:tcMar>
              <w:top w:w="0" w:type="dxa"/>
              <w:left w:w="57" w:type="dxa"/>
              <w:bottom w:w="0" w:type="dxa"/>
              <w:right w:w="57"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日常</w:t>
            </w:r>
          </w:p>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生活办公</w:t>
            </w:r>
          </w:p>
        </w:tc>
        <w:tc>
          <w:tcPr>
            <w:tcW w:w="708"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固态</w:t>
            </w:r>
          </w:p>
        </w:tc>
        <w:tc>
          <w:tcPr>
            <w:tcW w:w="1269"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纸张/废弃物</w:t>
            </w:r>
          </w:p>
        </w:tc>
        <w:tc>
          <w:tcPr>
            <w:tcW w:w="1996" w:type="dxa"/>
            <w:noWrap w:val="0"/>
            <w:tcMar>
              <w:top w:w="0" w:type="dxa"/>
              <w:left w:w="57" w:type="dxa"/>
              <w:bottom w:w="0" w:type="dxa"/>
              <w:right w:w="57" w:type="dxa"/>
            </w:tcMar>
            <w:vAlign w:val="center"/>
          </w:tcPr>
          <w:p>
            <w:pPr>
              <w:autoSpaceDE w:val="0"/>
              <w:autoSpaceDN w:val="0"/>
              <w:adjustRightInd w:val="0"/>
              <w:snapToGrid w:val="0"/>
              <w:spacing w:line="240" w:lineRule="auto"/>
              <w:ind w:firstLine="0" w:firstLineChars="0"/>
              <w:jc w:val="left"/>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收集后由环卫部门处理</w:t>
            </w:r>
          </w:p>
        </w:tc>
        <w:tc>
          <w:tcPr>
            <w:tcW w:w="1205"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r>
              <w:rPr>
                <w:rFonts w:ascii="Times New Roman" w:hAnsi="Times New Roman" w:eastAsia="宋体" w:cs="Times New Roman"/>
                <w:color w:val="auto"/>
                <w:sz w:val="21"/>
                <w:highlight w:val="none"/>
              </w:rPr>
              <w:t>5</w:t>
            </w:r>
          </w:p>
        </w:tc>
      </w:tr>
    </w:tbl>
    <w:p>
      <w:pPr>
        <w:ind w:firstLine="482"/>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5</w:t>
      </w:r>
      <w:r>
        <w:rPr>
          <w:rFonts w:hint="eastAsia" w:ascii="Times New Roman" w:hAnsi="Times New Roman" w:cs="Times New Roman"/>
          <w:b/>
          <w:bCs/>
          <w:color w:val="auto"/>
          <w:highlight w:val="none"/>
          <w:lang w:val="en-US" w:eastAsia="zh-CN"/>
        </w:rPr>
        <w:t>.</w:t>
      </w:r>
      <w:r>
        <w:rPr>
          <w:rFonts w:ascii="Times New Roman" w:hAnsi="Times New Roman" w:eastAsia="宋体" w:cs="Times New Roman"/>
          <w:b/>
          <w:bCs/>
          <w:color w:val="auto"/>
          <w:highlight w:val="none"/>
        </w:rPr>
        <w:t>污染物产排情况汇总</w:t>
      </w:r>
    </w:p>
    <w:p>
      <w:pPr>
        <w:ind w:firstLine="480"/>
        <w:rPr>
          <w:rFonts w:ascii="Times New Roman" w:hAnsi="Times New Roman" w:eastAsia="宋体" w:cs="Times New Roman"/>
          <w:color w:val="auto"/>
          <w:spacing w:val="-2"/>
          <w:kern w:val="0"/>
          <w:szCs w:val="24"/>
          <w:highlight w:val="none"/>
        </w:rPr>
      </w:pPr>
      <w:r>
        <w:rPr>
          <w:rFonts w:hint="eastAsia" w:ascii="Times New Roman" w:hAnsi="Times New Roman" w:eastAsia="宋体" w:cs="Times New Roman"/>
          <w:bCs/>
          <w:color w:val="auto"/>
          <w:szCs w:val="24"/>
          <w:highlight w:val="none"/>
        </w:rPr>
        <w:t>原</w:t>
      </w:r>
      <w:r>
        <w:rPr>
          <w:rFonts w:hint="eastAsia" w:ascii="Times New Roman" w:hAnsi="Times New Roman" w:eastAsia="宋体" w:cs="Times New Roman"/>
          <w:color w:val="auto"/>
          <w:highlight w:val="none"/>
        </w:rPr>
        <w:t>宏保兴采石场</w:t>
      </w:r>
      <w:r>
        <w:rPr>
          <w:rFonts w:ascii="Times New Roman" w:hAnsi="Times New Roman" w:eastAsia="宋体" w:cs="Times New Roman"/>
          <w:color w:val="auto"/>
          <w:spacing w:val="-2"/>
          <w:kern w:val="0"/>
          <w:szCs w:val="24"/>
          <w:highlight w:val="none"/>
        </w:rPr>
        <w:t>污染物排放情况详见表2.</w:t>
      </w:r>
      <w:r>
        <w:rPr>
          <w:rFonts w:hint="eastAsia" w:ascii="Times New Roman" w:hAnsi="Times New Roman" w:eastAsia="宋体" w:cs="Times New Roman"/>
          <w:color w:val="auto"/>
          <w:spacing w:val="-2"/>
          <w:kern w:val="0"/>
          <w:szCs w:val="24"/>
          <w:highlight w:val="none"/>
        </w:rPr>
        <w:t>2</w:t>
      </w:r>
      <w:r>
        <w:rPr>
          <w:rFonts w:ascii="Times New Roman" w:hAnsi="Times New Roman" w:eastAsia="宋体" w:cs="Times New Roman"/>
          <w:color w:val="auto"/>
          <w:spacing w:val="-2"/>
          <w:kern w:val="0"/>
          <w:szCs w:val="24"/>
          <w:highlight w:val="none"/>
        </w:rPr>
        <w:t>-</w:t>
      </w:r>
      <w:r>
        <w:rPr>
          <w:rFonts w:hint="eastAsia" w:ascii="Times New Roman" w:hAnsi="Times New Roman" w:cs="Times New Roman"/>
          <w:color w:val="auto"/>
          <w:spacing w:val="-2"/>
          <w:kern w:val="0"/>
          <w:szCs w:val="24"/>
          <w:highlight w:val="none"/>
          <w:lang w:val="en-US" w:eastAsia="zh-CN"/>
        </w:rPr>
        <w:t>18</w:t>
      </w:r>
      <w:r>
        <w:rPr>
          <w:rFonts w:ascii="Times New Roman" w:hAnsi="Times New Roman" w:eastAsia="宋体" w:cs="Times New Roman"/>
          <w:color w:val="auto"/>
          <w:spacing w:val="-2"/>
          <w:kern w:val="0"/>
          <w:szCs w:val="24"/>
          <w:highlight w:val="none"/>
        </w:rPr>
        <w:t>。</w:t>
      </w:r>
    </w:p>
    <w:p>
      <w:pPr>
        <w:pStyle w:val="87"/>
        <w:rPr>
          <w:rFonts w:ascii="Times New Roman" w:hAnsi="Times New Roman" w:eastAsia="宋体" w:cs="Times New Roman"/>
          <w:color w:val="auto"/>
          <w:highlight w:val="none"/>
        </w:rPr>
      </w:pPr>
      <w:r>
        <w:rPr>
          <w:rFonts w:ascii="Times New Roman" w:hAnsi="Times New Roman" w:eastAsia="宋体" w:cs="Times New Roman"/>
          <w:color w:val="auto"/>
          <w:highlight w:val="none"/>
        </w:rPr>
        <w:t>表2.</w:t>
      </w:r>
      <w:r>
        <w:rPr>
          <w:rFonts w:hint="eastAsia" w:ascii="Times New Roman" w:hAnsi="Times New Roman" w:eastAsia="宋体" w:cs="Times New Roman"/>
          <w:color w:val="auto"/>
          <w:highlight w:val="none"/>
        </w:rPr>
        <w:t>2</w:t>
      </w:r>
      <w:r>
        <w:rPr>
          <w:rFonts w:ascii="Times New Roman" w:hAnsi="Times New Roman" w:eastAsia="宋体" w:cs="Times New Roman"/>
          <w:color w:val="auto"/>
          <w:highlight w:val="none"/>
        </w:rPr>
        <w:t>-</w:t>
      </w:r>
      <w:r>
        <w:rPr>
          <w:rFonts w:hint="eastAsia" w:ascii="Times New Roman" w:hAnsi="Times New Roman" w:cs="Times New Roman"/>
          <w:color w:val="auto"/>
          <w:highlight w:val="none"/>
          <w:lang w:val="en-US" w:eastAsia="zh-CN"/>
        </w:rPr>
        <w:t>18</w:t>
      </w:r>
      <w:r>
        <w:rPr>
          <w:rFonts w:ascii="Times New Roman" w:hAnsi="Times New Roman" w:eastAsia="宋体" w:cs="Times New Roman"/>
          <w:color w:val="auto"/>
          <w:highlight w:val="none"/>
        </w:rPr>
        <w:t xml:space="preserve"> </w:t>
      </w:r>
      <w:r>
        <w:rPr>
          <w:rFonts w:hint="eastAsia" w:ascii="Times New Roman" w:hAnsi="Times New Roman" w:eastAsia="宋体" w:cs="Times New Roman"/>
          <w:bCs/>
          <w:color w:val="auto"/>
          <w:szCs w:val="24"/>
          <w:highlight w:val="none"/>
        </w:rPr>
        <w:t>原</w:t>
      </w:r>
      <w:r>
        <w:rPr>
          <w:rFonts w:hint="eastAsia" w:ascii="Times New Roman" w:hAnsi="Times New Roman" w:eastAsia="宋体" w:cs="Times New Roman"/>
          <w:color w:val="auto"/>
          <w:highlight w:val="none"/>
        </w:rPr>
        <w:t>宏保兴采石场</w:t>
      </w:r>
      <w:r>
        <w:rPr>
          <w:rFonts w:ascii="Times New Roman" w:hAnsi="Times New Roman" w:eastAsia="宋体" w:cs="Times New Roman"/>
          <w:color w:val="auto"/>
          <w:highlight w:val="none"/>
        </w:rPr>
        <w:t>主要污染物产排情况汇总一览表</w:t>
      </w:r>
    </w:p>
    <w:tbl>
      <w:tblPr>
        <w:tblStyle w:val="48"/>
        <w:tblW w:w="9093"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720"/>
        <w:gridCol w:w="1602"/>
        <w:gridCol w:w="1343"/>
        <w:gridCol w:w="1630"/>
        <w:gridCol w:w="1581"/>
        <w:gridCol w:w="2217"/>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类别</w:t>
            </w: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污染源</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污染物</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产生量（t/a）</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削减量（t/a）</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排放量（t/a）</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废气</w:t>
            </w: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表土剥离</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少量</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少量</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凿岩钻孔</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0.2</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r>
              <w:rPr>
                <w:rFonts w:hint="eastAsia" w:ascii="Times New Roman" w:hAnsi="Times New Roman" w:eastAsia="宋体" w:cs="Times New Roman"/>
                <w:color w:val="auto"/>
                <w:kern w:val="0"/>
                <w:sz w:val="21"/>
                <w:highlight w:val="none"/>
                <w:lang w:bidi="ar"/>
              </w:rPr>
              <w:t>18</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爆破</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0.444</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0.444</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0.115</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0.115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4</w:t>
            </w:r>
            <w:r>
              <w:rPr>
                <w:rFonts w:hint="eastAsia" w:ascii="Times New Roman" w:hAnsi="Times New Roman" w:eastAsia="宋体" w:cs="Times New Roman"/>
                <w:color w:val="auto"/>
                <w:kern w:val="0"/>
                <w:sz w:val="21"/>
                <w:highlight w:val="none"/>
              </w:rPr>
              <w:t>.0</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4.</w:t>
            </w:r>
            <w:r>
              <w:rPr>
                <w:rFonts w:hint="eastAsia" w:ascii="Times New Roman" w:hAnsi="Times New Roman" w:eastAsia="宋体" w:cs="Times New Roman"/>
                <w:color w:val="auto"/>
                <w:kern w:val="0"/>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采装</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5</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筛选破碎</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w:t>
            </w:r>
            <w:r>
              <w:rPr>
                <w:rFonts w:hint="eastAsia" w:ascii="Times New Roman" w:hAnsi="Times New Roman" w:eastAsia="宋体" w:cs="Times New Roman"/>
                <w:color w:val="auto"/>
                <w:kern w:val="0"/>
                <w:sz w:val="21"/>
                <w:highlight w:val="none"/>
              </w:rPr>
              <w:t>2</w:t>
            </w:r>
            <w:r>
              <w:rPr>
                <w:rFonts w:ascii="Times New Roman" w:hAnsi="Times New Roman" w:eastAsia="宋体" w:cs="Times New Roman"/>
                <w:color w:val="auto"/>
                <w:kern w:val="0"/>
                <w:sz w:val="21"/>
                <w:highlight w:val="none"/>
              </w:rPr>
              <w:t>.5</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12.</w:t>
            </w:r>
            <w:r>
              <w:rPr>
                <w:rFonts w:ascii="Times New Roman" w:hAnsi="Times New Roman" w:eastAsia="宋体" w:cs="Times New Roman"/>
                <w:color w:val="auto"/>
                <w:kern w:val="0"/>
                <w:sz w:val="21"/>
                <w:highlight w:val="none"/>
              </w:rPr>
              <w:t>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二级破碎筛分</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25</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25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5</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⑤</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1</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⑥</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⑦</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⑧</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临时排</w:t>
            </w:r>
            <w:r>
              <w:rPr>
                <w:rFonts w:ascii="Times New Roman" w:hAnsi="Times New Roman" w:eastAsia="宋体" w:cs="Times New Roman"/>
                <w:color w:val="auto"/>
                <w:sz w:val="21"/>
                <w:highlight w:val="none"/>
              </w:rPr>
              <w:t>土场</w:t>
            </w:r>
            <w:r>
              <w:rPr>
                <w:rFonts w:hint="eastAsia" w:ascii="Times New Roman" w:hAnsi="Times New Roman" w:eastAsia="宋体"/>
                <w:color w:val="auto"/>
                <w:sz w:val="21"/>
                <w:highlight w:val="none"/>
              </w:rPr>
              <w:t>②</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落料</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0.0</w:t>
            </w:r>
            <w:r>
              <w:rPr>
                <w:rFonts w:hint="eastAsia" w:ascii="Times New Roman" w:hAnsi="Times New Roman" w:eastAsia="宋体" w:cs="Times New Roman"/>
                <w:color w:val="auto"/>
                <w:kern w:val="0"/>
                <w:sz w:val="21"/>
                <w:highlight w:val="none"/>
              </w:rPr>
              <w:t>35</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0.0</w:t>
            </w:r>
            <w:r>
              <w:rPr>
                <w:rFonts w:hint="eastAsia" w:ascii="Times New Roman" w:hAnsi="Times New Roman" w:eastAsia="宋体" w:cs="Times New Roman"/>
                <w:color w:val="auto"/>
                <w:kern w:val="0"/>
                <w:sz w:val="21"/>
                <w:highlight w:val="none"/>
              </w:rPr>
              <w:t>35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装卸</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0.0</w:t>
            </w:r>
            <w:r>
              <w:rPr>
                <w:rFonts w:hint="eastAsia" w:ascii="Times New Roman" w:hAnsi="Times New Roman" w:eastAsia="宋体" w:cs="Times New Roman"/>
                <w:color w:val="auto"/>
                <w:kern w:val="0"/>
                <w:sz w:val="21"/>
                <w:highlight w:val="none"/>
              </w:rPr>
              <w:t>28</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0.0</w:t>
            </w:r>
            <w:r>
              <w:rPr>
                <w:rFonts w:hint="eastAsia" w:ascii="Times New Roman" w:hAnsi="Times New Roman" w:eastAsia="宋体" w:cs="Times New Roman"/>
                <w:color w:val="auto"/>
                <w:kern w:val="0"/>
                <w:sz w:val="21"/>
                <w:highlight w:val="none"/>
              </w:rPr>
              <w:t>28</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道路扬尘</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0.1</w:t>
            </w:r>
            <w:r>
              <w:rPr>
                <w:rFonts w:hint="eastAsia" w:ascii="Times New Roman" w:hAnsi="Times New Roman" w:eastAsia="宋体" w:cs="Times New Roman"/>
                <w:color w:val="auto"/>
                <w:kern w:val="0"/>
                <w:sz w:val="21"/>
                <w:highlight w:val="none"/>
              </w:rPr>
              <w:t>47</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0.1</w:t>
            </w:r>
            <w:r>
              <w:rPr>
                <w:rFonts w:hint="eastAsia" w:ascii="Times New Roman" w:hAnsi="Times New Roman" w:eastAsia="宋体" w:cs="Times New Roman"/>
                <w:color w:val="auto"/>
                <w:kern w:val="0"/>
                <w:sz w:val="21"/>
                <w:highlight w:val="none"/>
              </w:rPr>
              <w:t>47</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汽车尾气</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pacing w:val="2"/>
                <w:sz w:val="21"/>
                <w:highlight w:val="none"/>
              </w:rPr>
            </w:pPr>
            <w:r>
              <w:rPr>
                <w:rFonts w:ascii="Times New Roman" w:hAnsi="Times New Roman" w:eastAsia="宋体" w:cs="Times New Roman"/>
                <w:color w:val="auto"/>
                <w:spacing w:val="2"/>
                <w:sz w:val="21"/>
                <w:highlight w:val="none"/>
              </w:rPr>
              <w:t>CO</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0.064</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0.064</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pacing w:val="2"/>
                <w:sz w:val="21"/>
                <w:highlight w:val="none"/>
              </w:rPr>
            </w:pPr>
            <w:r>
              <w:rPr>
                <w:rFonts w:ascii="Times New Roman" w:hAnsi="Times New Roman" w:eastAsia="宋体" w:cs="Times New Roman"/>
                <w:color w:val="auto"/>
                <w:spacing w:val="2"/>
                <w:sz w:val="21"/>
                <w:highlight w:val="none"/>
              </w:rPr>
              <w:t>HC</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0.02</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pacing w:val="2"/>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0.197</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0.197</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厨房</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油烟</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0.00</w:t>
            </w:r>
            <w:r>
              <w:rPr>
                <w:rFonts w:hint="eastAsia" w:ascii="Times New Roman" w:hAnsi="Times New Roman" w:eastAsia="宋体" w:cs="Times New Roman"/>
                <w:bCs/>
                <w:color w:val="auto"/>
                <w:sz w:val="21"/>
                <w:highlight w:val="none"/>
              </w:rPr>
              <w:t>22</w:t>
            </w:r>
            <w:r>
              <w:rPr>
                <w:rFonts w:ascii="Times New Roman" w:hAnsi="Times New Roman" w:eastAsia="宋体" w:cs="Times New Roman"/>
                <w:bCs/>
                <w:color w:val="auto"/>
                <w:sz w:val="21"/>
                <w:highlight w:val="none"/>
              </w:rPr>
              <w:t>5</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0.00</w:t>
            </w:r>
            <w:r>
              <w:rPr>
                <w:rFonts w:hint="eastAsia" w:ascii="Times New Roman" w:hAnsi="Times New Roman" w:eastAsia="宋体" w:cs="Times New Roman"/>
                <w:bCs/>
                <w:color w:val="auto"/>
                <w:sz w:val="21"/>
                <w:highlight w:val="none"/>
              </w:rPr>
              <w:t>22</w:t>
            </w:r>
            <w:r>
              <w:rPr>
                <w:rFonts w:ascii="Times New Roman" w:hAnsi="Times New Roman" w:eastAsia="宋体" w:cs="Times New Roman"/>
                <w:bCs/>
                <w:color w:val="auto"/>
                <w:sz w:val="21"/>
                <w:highlight w:val="none"/>
              </w:rPr>
              <w:t>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0.000</w:t>
            </w:r>
            <w:r>
              <w:rPr>
                <w:rFonts w:hint="eastAsia" w:ascii="Times New Roman" w:hAnsi="Times New Roman" w:eastAsia="宋体" w:cs="Times New Roman"/>
                <w:bCs/>
                <w:color w:val="auto"/>
                <w:sz w:val="21"/>
                <w:highlight w:val="none"/>
              </w:rPr>
              <w:t>07</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0.0001</w:t>
            </w:r>
            <w:r>
              <w:rPr>
                <w:rFonts w:hint="eastAsia" w:ascii="Times New Roman" w:hAnsi="Times New Roman" w:eastAsia="宋体" w:cs="Times New Roman"/>
                <w:bCs/>
                <w:color w:val="auto"/>
                <w:sz w:val="21"/>
                <w:highlight w:val="none"/>
              </w:rPr>
              <w:t>26</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SO</w:t>
            </w:r>
            <w:r>
              <w:rPr>
                <w:rFonts w:ascii="Times New Roman" w:hAnsi="Times New Roman" w:eastAsia="宋体" w:cs="Times New Roman"/>
                <w:color w:val="auto"/>
                <w:sz w:val="21"/>
                <w:highlight w:val="none"/>
                <w:vertAlign w:val="subscript"/>
              </w:rPr>
              <w:t>2</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color w:val="auto"/>
                <w:sz w:val="21"/>
                <w:highlight w:val="none"/>
              </w:rPr>
              <w:t>0.000</w:t>
            </w:r>
            <w:r>
              <w:rPr>
                <w:rFonts w:hint="eastAsia" w:ascii="Times New Roman" w:hAnsi="Times New Roman" w:eastAsia="宋体" w:cs="Times New Roman"/>
                <w:color w:val="auto"/>
                <w:sz w:val="21"/>
                <w:highlight w:val="none"/>
              </w:rPr>
              <w:t>09</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color w:val="auto"/>
                <w:sz w:val="21"/>
                <w:highlight w:val="none"/>
              </w:rPr>
              <w:t>0.0001</w:t>
            </w:r>
            <w:r>
              <w:rPr>
                <w:rFonts w:hint="eastAsia" w:ascii="Times New Roman" w:hAnsi="Times New Roman" w:eastAsia="宋体" w:cs="Times New Roman"/>
                <w:color w:val="auto"/>
                <w:sz w:val="21"/>
                <w:highlight w:val="none"/>
              </w:rPr>
              <w:t>62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color w:val="auto"/>
                <w:sz w:val="21"/>
                <w:highlight w:val="none"/>
              </w:rPr>
              <w:t>0.00</w:t>
            </w:r>
            <w:r>
              <w:rPr>
                <w:rFonts w:hint="eastAsia" w:ascii="Times New Roman" w:hAnsi="Times New Roman" w:eastAsia="宋体" w:cs="Times New Roman"/>
                <w:color w:val="auto"/>
                <w:sz w:val="21"/>
                <w:highlight w:val="none"/>
              </w:rPr>
              <w:t>088</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color w:val="auto"/>
                <w:kern w:val="0"/>
                <w:sz w:val="21"/>
                <w:highlight w:val="none"/>
                <w:lang w:bidi="ar"/>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color w:val="auto"/>
                <w:sz w:val="21"/>
                <w:highlight w:val="none"/>
              </w:rPr>
              <w:t>0.001</w:t>
            </w:r>
            <w:r>
              <w:rPr>
                <w:rFonts w:hint="eastAsia" w:ascii="Times New Roman" w:hAnsi="Times New Roman" w:eastAsia="宋体" w:cs="Times New Roman"/>
                <w:color w:val="auto"/>
                <w:sz w:val="21"/>
                <w:highlight w:val="none"/>
              </w:rPr>
              <w:t>584</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w:t>
            </w:r>
          </w:p>
        </w:tc>
        <w:tc>
          <w:tcPr>
            <w:tcW w:w="1602"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凿岩钻孔</w:t>
            </w:r>
          </w:p>
        </w:tc>
        <w:tc>
          <w:tcPr>
            <w:tcW w:w="1343"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pacing w:val="-2"/>
                <w:kern w:val="0"/>
                <w:sz w:val="21"/>
                <w:highlight w:val="none"/>
              </w:rPr>
            </w:pPr>
            <w:r>
              <w:rPr>
                <w:rFonts w:hint="eastAsia" w:ascii="Times New Roman" w:hAnsi="Times New Roman" w:eastAsia="宋体" w:cs="Times New Roman"/>
                <w:color w:val="auto"/>
                <w:spacing w:val="-2"/>
                <w:kern w:val="0"/>
                <w:sz w:val="21"/>
                <w:highlight w:val="none"/>
              </w:rPr>
              <w:t>5</w:t>
            </w:r>
            <w:r>
              <w:rPr>
                <w:rFonts w:ascii="Times New Roman" w:hAnsi="Times New Roman" w:eastAsia="宋体" w:cs="Times New Roman"/>
                <w:color w:val="auto"/>
                <w:spacing w:val="-2"/>
                <w:kern w:val="0"/>
                <w:sz w:val="21"/>
                <w:highlight w:val="none"/>
              </w:rPr>
              <w:t>0</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5</w:t>
            </w:r>
            <w:r>
              <w:rPr>
                <w:rFonts w:ascii="Times New Roman" w:hAnsi="Times New Roman" w:eastAsia="宋体" w:cs="Times New Roman"/>
                <w:color w:val="auto"/>
                <w:kern w:val="0"/>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w:t>
            </w:r>
          </w:p>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污水</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35</w:t>
            </w:r>
            <w:r>
              <w:rPr>
                <w:rFonts w:ascii="Times New Roman" w:hAnsi="Times New Roman" w:eastAsia="宋体" w:cs="Times New Roman"/>
                <w:color w:val="auto"/>
                <w:sz w:val="21"/>
                <w:highlight w:val="none"/>
              </w:rPr>
              <w:t>0</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35</w:t>
            </w:r>
            <w:r>
              <w:rPr>
                <w:rFonts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COD</w:t>
            </w:r>
            <w:r>
              <w:rPr>
                <w:rFonts w:ascii="Times New Roman" w:hAnsi="Times New Roman" w:eastAsia="宋体" w:cs="Times New Roman"/>
                <w:color w:val="auto"/>
                <w:sz w:val="21"/>
                <w:highlight w:val="none"/>
                <w:vertAlign w:val="subscript"/>
              </w:rPr>
              <w:t>Cr</w:t>
            </w:r>
          </w:p>
        </w:tc>
        <w:tc>
          <w:tcPr>
            <w:tcW w:w="1630" w:type="dxa"/>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13</w:t>
            </w:r>
          </w:p>
        </w:tc>
        <w:tc>
          <w:tcPr>
            <w:tcW w:w="158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29</w:t>
            </w:r>
          </w:p>
        </w:tc>
        <w:tc>
          <w:tcPr>
            <w:tcW w:w="2217" w:type="dxa"/>
            <w:noWrap w:val="0"/>
            <w:vAlign w:val="center"/>
          </w:tcPr>
          <w:p>
            <w:pPr>
              <w:tabs>
                <w:tab w:val="left" w:pos="5940"/>
              </w:tabs>
              <w:spacing w:line="26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111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BOD</w:t>
            </w:r>
            <w:r>
              <w:rPr>
                <w:rFonts w:ascii="Times New Roman" w:hAnsi="Times New Roman" w:eastAsia="宋体" w:cs="Times New Roman"/>
                <w:color w:val="auto"/>
                <w:sz w:val="21"/>
                <w:highlight w:val="none"/>
                <w:vertAlign w:val="subscript"/>
              </w:rPr>
              <w:t>5</w:t>
            </w:r>
          </w:p>
        </w:tc>
        <w:tc>
          <w:tcPr>
            <w:tcW w:w="1630" w:type="dxa"/>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085</w:t>
            </w:r>
          </w:p>
        </w:tc>
        <w:tc>
          <w:tcPr>
            <w:tcW w:w="158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08</w:t>
            </w:r>
          </w:p>
        </w:tc>
        <w:tc>
          <w:tcPr>
            <w:tcW w:w="2217" w:type="dxa"/>
            <w:noWrap w:val="0"/>
            <w:vAlign w:val="center"/>
          </w:tcPr>
          <w:p>
            <w:pPr>
              <w:tabs>
                <w:tab w:val="left" w:pos="5940"/>
              </w:tabs>
              <w:spacing w:line="26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077</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SS</w:t>
            </w:r>
          </w:p>
        </w:tc>
        <w:tc>
          <w:tcPr>
            <w:tcW w:w="1630" w:type="dxa"/>
            <w:noWrap w:val="0"/>
            <w:vAlign w:val="center"/>
          </w:tcPr>
          <w:p>
            <w:pPr>
              <w:tabs>
                <w:tab w:val="left" w:pos="5940"/>
              </w:tabs>
              <w:spacing w:line="240" w:lineRule="exact"/>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08</w:t>
            </w:r>
          </w:p>
        </w:tc>
        <w:tc>
          <w:tcPr>
            <w:tcW w:w="158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24</w:t>
            </w:r>
          </w:p>
        </w:tc>
        <w:tc>
          <w:tcPr>
            <w:tcW w:w="2217" w:type="dxa"/>
            <w:noWrap w:val="0"/>
            <w:vAlign w:val="center"/>
          </w:tcPr>
          <w:p>
            <w:pPr>
              <w:tabs>
                <w:tab w:val="left" w:pos="5940"/>
              </w:tabs>
              <w:spacing w:line="26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056</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NH</w:t>
            </w:r>
            <w:r>
              <w:rPr>
                <w:rFonts w:ascii="Times New Roman" w:hAnsi="Times New Roman" w:eastAsia="宋体" w:cs="Times New Roman"/>
                <w:color w:val="auto"/>
                <w:sz w:val="21"/>
                <w:highlight w:val="none"/>
                <w:vertAlign w:val="subscript"/>
              </w:rPr>
              <w:t>3</w:t>
            </w:r>
            <w:r>
              <w:rPr>
                <w:rFonts w:ascii="Times New Roman" w:hAnsi="Times New Roman" w:eastAsia="宋体" w:cs="Times New Roman"/>
                <w:color w:val="auto"/>
                <w:sz w:val="21"/>
                <w:highlight w:val="none"/>
              </w:rPr>
              <w:t>-N</w:t>
            </w:r>
          </w:p>
        </w:tc>
        <w:tc>
          <w:tcPr>
            <w:tcW w:w="1630" w:type="dxa"/>
            <w:noWrap w:val="0"/>
            <w:vAlign w:val="center"/>
          </w:tcPr>
          <w:p>
            <w:pPr>
              <w:tabs>
                <w:tab w:val="left" w:pos="5940"/>
              </w:tabs>
              <w:spacing w:line="240" w:lineRule="exact"/>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095</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noWrap w:val="0"/>
            <w:vAlign w:val="center"/>
          </w:tcPr>
          <w:p>
            <w:pPr>
              <w:tabs>
                <w:tab w:val="left" w:pos="5940"/>
              </w:tabs>
              <w:spacing w:line="240" w:lineRule="exact"/>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095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动植物油</w:t>
            </w:r>
          </w:p>
        </w:tc>
        <w:tc>
          <w:tcPr>
            <w:tcW w:w="1630" w:type="dxa"/>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15</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2217" w:type="dxa"/>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15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初期雨水</w:t>
            </w:r>
          </w:p>
        </w:tc>
        <w:tc>
          <w:tcPr>
            <w:tcW w:w="1343"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1630" w:type="dxa"/>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cs="Times New Roman"/>
                <w:color w:val="auto"/>
                <w:sz w:val="21"/>
                <w:szCs w:val="18"/>
                <w:highlight w:val="none"/>
                <w:u w:val="single"/>
                <w:lang w:val="en-US" w:eastAsia="zh-CN"/>
              </w:rPr>
              <w:t>194.4</w:t>
            </w:r>
            <w:r>
              <w:rPr>
                <w:rFonts w:ascii="Times New Roman" w:hAnsi="Times New Roman" w:eastAsia="宋体" w:cs="Times New Roman"/>
                <w:color w:val="auto"/>
                <w:sz w:val="21"/>
                <w:szCs w:val="18"/>
                <w:highlight w:val="none"/>
                <w:u w:val="single"/>
              </w:rPr>
              <w:t>m</w:t>
            </w:r>
            <w:r>
              <w:rPr>
                <w:rFonts w:ascii="Times New Roman" w:hAnsi="Times New Roman" w:eastAsia="宋体" w:cs="Times New Roman"/>
                <w:color w:val="auto"/>
                <w:sz w:val="21"/>
                <w:szCs w:val="18"/>
                <w:highlight w:val="none"/>
                <w:u w:val="single"/>
                <w:vertAlign w:val="superscript"/>
              </w:rPr>
              <w:t>3</w:t>
            </w:r>
            <w:r>
              <w:rPr>
                <w:rFonts w:ascii="Times New Roman" w:hAnsi="Times New Roman" w:eastAsia="宋体" w:cs="Times New Roman"/>
                <w:color w:val="auto"/>
                <w:sz w:val="21"/>
                <w:szCs w:val="18"/>
                <w:highlight w:val="none"/>
                <w:u w:val="single"/>
              </w:rPr>
              <w:t>/次</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21"/>
                <w:szCs w:val="18"/>
                <w:highlight w:val="none"/>
              </w:rPr>
              <w:t>0</w:t>
            </w:r>
          </w:p>
        </w:tc>
        <w:tc>
          <w:tcPr>
            <w:tcW w:w="2217" w:type="dxa"/>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hint="eastAsia" w:ascii="Times New Roman" w:hAnsi="Times New Roman" w:cs="Times New Roman"/>
                <w:color w:val="auto"/>
                <w:sz w:val="21"/>
                <w:szCs w:val="18"/>
                <w:highlight w:val="none"/>
                <w:u w:val="single"/>
                <w:lang w:val="en-US" w:eastAsia="zh-CN"/>
              </w:rPr>
              <w:t>194.4</w:t>
            </w:r>
            <w:r>
              <w:rPr>
                <w:rFonts w:ascii="Times New Roman" w:hAnsi="Times New Roman" w:eastAsia="宋体" w:cs="Times New Roman"/>
                <w:color w:val="auto"/>
                <w:sz w:val="21"/>
                <w:szCs w:val="18"/>
                <w:highlight w:val="none"/>
                <w:u w:val="single"/>
              </w:rPr>
              <w:t>m</w:t>
            </w:r>
            <w:r>
              <w:rPr>
                <w:rFonts w:ascii="Times New Roman" w:hAnsi="Times New Roman" w:eastAsia="宋体" w:cs="Times New Roman"/>
                <w:color w:val="auto"/>
                <w:sz w:val="21"/>
                <w:szCs w:val="18"/>
                <w:highlight w:val="none"/>
                <w:u w:val="single"/>
                <w:vertAlign w:val="superscript"/>
              </w:rPr>
              <w:t>3</w:t>
            </w:r>
            <w:r>
              <w:rPr>
                <w:rFonts w:ascii="Times New Roman" w:hAnsi="Times New Roman" w:eastAsia="宋体" w:cs="Times New Roman"/>
                <w:color w:val="auto"/>
                <w:sz w:val="21"/>
                <w:szCs w:val="18"/>
                <w:highlight w:val="none"/>
                <w:u w:val="single"/>
              </w:rPr>
              <w:t>/次</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噪声</w:t>
            </w:r>
          </w:p>
        </w:tc>
        <w:tc>
          <w:tcPr>
            <w:tcW w:w="1602"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设备</w:t>
            </w:r>
            <w:r>
              <w:rPr>
                <w:rFonts w:hint="eastAsia" w:ascii="Times New Roman" w:hAnsi="Times New Roman" w:eastAsia="宋体" w:cs="Times New Roman"/>
                <w:color w:val="auto"/>
                <w:sz w:val="21"/>
                <w:highlight w:val="none"/>
              </w:rPr>
              <w:t>、爆破</w:t>
            </w:r>
          </w:p>
        </w:tc>
        <w:tc>
          <w:tcPr>
            <w:tcW w:w="1343" w:type="dxa"/>
            <w:noWrap w:val="0"/>
            <w:vAlign w:val="center"/>
          </w:tcPr>
          <w:p>
            <w:pPr>
              <w:widowControl/>
              <w:spacing w:line="240" w:lineRule="atLeas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Leq（A）</w:t>
            </w:r>
          </w:p>
        </w:tc>
        <w:tc>
          <w:tcPr>
            <w:tcW w:w="1630" w:type="dxa"/>
            <w:noWrap w:val="0"/>
            <w:vAlign w:val="center"/>
          </w:tcPr>
          <w:p>
            <w:pPr>
              <w:widowControl/>
              <w:spacing w:line="240" w:lineRule="atLeas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70~11</w:t>
            </w:r>
            <w:r>
              <w:rPr>
                <w:rFonts w:hint="eastAsia" w:ascii="Times New Roman" w:hAnsi="Times New Roman" w:eastAsia="宋体" w:cs="Times New Roman"/>
                <w:color w:val="auto"/>
                <w:sz w:val="21"/>
                <w:highlight w:val="none"/>
              </w:rPr>
              <w:t>5</w:t>
            </w:r>
            <w:r>
              <w:rPr>
                <w:rFonts w:ascii="Times New Roman" w:hAnsi="Times New Roman" w:eastAsia="宋体" w:cs="Times New Roman"/>
                <w:color w:val="auto"/>
                <w:sz w:val="21"/>
                <w:highlight w:val="none"/>
              </w:rPr>
              <w:t>dB（A）</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消声、减振等</w:t>
            </w:r>
          </w:p>
        </w:tc>
        <w:tc>
          <w:tcPr>
            <w:tcW w:w="2217" w:type="dxa"/>
            <w:noWrap w:val="0"/>
            <w:vAlign w:val="center"/>
          </w:tcPr>
          <w:p>
            <w:pPr>
              <w:widowControl/>
              <w:spacing w:line="240" w:lineRule="atLeas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厂界45-57dB（A）</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固体废物</w:t>
            </w: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采矿区</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表土</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100</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采矿区</w:t>
            </w:r>
          </w:p>
        </w:tc>
        <w:tc>
          <w:tcPr>
            <w:tcW w:w="1343"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废土石渣</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400</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机修房</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废零件</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c>
          <w:tcPr>
            <w:tcW w:w="158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废含油抹布</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0.005</w:t>
            </w:r>
          </w:p>
        </w:tc>
        <w:tc>
          <w:tcPr>
            <w:tcW w:w="158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废机油</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0.02</w:t>
            </w:r>
          </w:p>
        </w:tc>
        <w:tc>
          <w:tcPr>
            <w:tcW w:w="158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办公区</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生活垃圾</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w:t>
            </w:r>
          </w:p>
        </w:tc>
        <w:tc>
          <w:tcPr>
            <w:tcW w:w="158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w:t>
            </w:r>
          </w:p>
        </w:tc>
      </w:tr>
    </w:tbl>
    <w:p>
      <w:pPr>
        <w:pStyle w:val="6"/>
        <w:bidi w:val="0"/>
        <w:rPr>
          <w:rFonts w:hint="eastAsia"/>
          <w:color w:val="auto"/>
          <w:highlight w:val="none"/>
        </w:rPr>
      </w:pPr>
      <w:r>
        <w:rPr>
          <w:rFonts w:hint="eastAsia"/>
          <w:color w:val="auto"/>
          <w:highlight w:val="none"/>
        </w:rPr>
        <w:t>2.2.</w:t>
      </w:r>
      <w:r>
        <w:rPr>
          <w:rFonts w:hint="eastAsia"/>
          <w:color w:val="auto"/>
          <w:highlight w:val="none"/>
          <w:lang w:val="en-US" w:eastAsia="zh-CN"/>
        </w:rPr>
        <w:t>9.</w:t>
      </w:r>
      <w:r>
        <w:rPr>
          <w:rFonts w:hint="eastAsia"/>
          <w:color w:val="auto"/>
          <w:highlight w:val="none"/>
        </w:rPr>
        <w:t>3 整合前污染物排放汇总</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整合前2处矿山污染物排放情况汇总见下表2.2-</w:t>
      </w:r>
      <w:r>
        <w:rPr>
          <w:rFonts w:hint="eastAsia"/>
          <w:color w:val="auto"/>
          <w:highlight w:val="none"/>
          <w:lang w:val="en-US" w:eastAsia="zh-CN"/>
        </w:rPr>
        <w:t>19</w:t>
      </w:r>
      <w:r>
        <w:rPr>
          <w:rFonts w:hint="eastAsia" w:ascii="Times New Roman" w:hAnsi="Times New Roman" w:eastAsia="宋体"/>
          <w:color w:val="auto"/>
          <w:highlight w:val="none"/>
        </w:rPr>
        <w:t>。</w:t>
      </w:r>
    </w:p>
    <w:p>
      <w:pPr>
        <w:pStyle w:val="87"/>
        <w:rPr>
          <w:rFonts w:ascii="Times New Roman" w:hAnsi="Times New Roman" w:eastAsia="宋体" w:cs="Times New Roman"/>
          <w:color w:val="auto"/>
          <w:highlight w:val="none"/>
        </w:rPr>
      </w:pPr>
      <w:r>
        <w:rPr>
          <w:rFonts w:ascii="Times New Roman" w:hAnsi="Times New Roman" w:eastAsia="宋体" w:cs="Times New Roman"/>
          <w:color w:val="auto"/>
          <w:highlight w:val="none"/>
        </w:rPr>
        <w:t>表2.</w:t>
      </w:r>
      <w:r>
        <w:rPr>
          <w:rFonts w:hint="eastAsia" w:ascii="Times New Roman" w:hAnsi="Times New Roman" w:eastAsia="宋体" w:cs="Times New Roman"/>
          <w:color w:val="auto"/>
          <w:highlight w:val="none"/>
        </w:rPr>
        <w:t>2</w:t>
      </w:r>
      <w:r>
        <w:rPr>
          <w:rFonts w:ascii="Times New Roman" w:hAnsi="Times New Roman" w:eastAsia="宋体" w:cs="Times New Roman"/>
          <w:color w:val="auto"/>
          <w:highlight w:val="none"/>
        </w:rPr>
        <w:t>-</w:t>
      </w:r>
      <w:r>
        <w:rPr>
          <w:rFonts w:hint="eastAsia" w:cs="Times New Roman"/>
          <w:color w:val="auto"/>
          <w:highlight w:val="none"/>
          <w:lang w:val="en-US" w:eastAsia="zh-CN"/>
        </w:rPr>
        <w:t>19</w:t>
      </w:r>
      <w:r>
        <w:rPr>
          <w:rFonts w:ascii="Times New Roman" w:hAnsi="Times New Roman" w:eastAsia="宋体" w:cs="Times New Roman"/>
          <w:color w:val="auto"/>
          <w:highlight w:val="none"/>
        </w:rPr>
        <w:t xml:space="preserve"> 现有工程主要污染物产排情况汇总一览表</w:t>
      </w:r>
    </w:p>
    <w:tbl>
      <w:tblPr>
        <w:tblStyle w:val="48"/>
        <w:tblW w:w="9093"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720"/>
        <w:gridCol w:w="1602"/>
        <w:gridCol w:w="1343"/>
        <w:gridCol w:w="1630"/>
        <w:gridCol w:w="1581"/>
        <w:gridCol w:w="2217"/>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类别</w:t>
            </w: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污染源</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污染物</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产生量（t/a）</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削减量（t/a）</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排放量（t/a）</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废气</w:t>
            </w: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表土剥离</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少量</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少量</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凿岩钻孔</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0.4</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0.36</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0.04</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爆破</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0.888</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0.888</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0.23</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采装</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筛选破碎</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二级破碎筛分</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50</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55</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堆料场①</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1</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堆料场②</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s="Times New Roman"/>
                <w:color w:val="auto"/>
                <w:sz w:val="21"/>
                <w:highlight w:val="none"/>
              </w:rPr>
              <w:t>③</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④</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⑤</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1</w:t>
            </w:r>
          </w:p>
        </w:tc>
        <w:tc>
          <w:tcPr>
            <w:tcW w:w="158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⑥</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c>
          <w:tcPr>
            <w:tcW w:w="158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⑦</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c>
          <w:tcPr>
            <w:tcW w:w="158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⑧</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c>
          <w:tcPr>
            <w:tcW w:w="158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临时排土场</w:t>
            </w:r>
            <w:r>
              <w:rPr>
                <w:rFonts w:hint="eastAsia" w:ascii="Times New Roman" w:hAnsi="Times New Roman" w:eastAsia="宋体"/>
                <w:color w:val="auto"/>
                <w:sz w:val="21"/>
                <w:highlight w:val="none"/>
              </w:rPr>
              <w:t>①</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临时排土场</w:t>
            </w:r>
            <w:r>
              <w:rPr>
                <w:rFonts w:hint="eastAsia" w:ascii="Times New Roman" w:hAnsi="Times New Roman" w:eastAsia="宋体"/>
                <w:color w:val="auto"/>
                <w:sz w:val="21"/>
                <w:highlight w:val="none"/>
              </w:rPr>
              <w:t>②</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c>
          <w:tcPr>
            <w:tcW w:w="158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221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落料</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0.07</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0.07</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装卸</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0.056</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0.056</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道路扬尘</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0.294</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0.294</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汽车尾气</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pacing w:val="2"/>
                <w:sz w:val="21"/>
                <w:highlight w:val="none"/>
              </w:rPr>
            </w:pPr>
            <w:r>
              <w:rPr>
                <w:rFonts w:ascii="Times New Roman" w:hAnsi="Times New Roman" w:eastAsia="宋体" w:cs="Times New Roman"/>
                <w:color w:val="auto"/>
                <w:spacing w:val="2"/>
                <w:sz w:val="21"/>
                <w:highlight w:val="none"/>
              </w:rPr>
              <w:t>CO</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0.128</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0.128</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pacing w:val="2"/>
                <w:sz w:val="21"/>
                <w:highlight w:val="none"/>
              </w:rPr>
            </w:pPr>
            <w:r>
              <w:rPr>
                <w:rFonts w:ascii="Times New Roman" w:hAnsi="Times New Roman" w:eastAsia="宋体" w:cs="Times New Roman"/>
                <w:color w:val="auto"/>
                <w:spacing w:val="2"/>
                <w:sz w:val="21"/>
                <w:highlight w:val="none"/>
              </w:rPr>
              <w:t>HC</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0.04</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0.04</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pacing w:val="2"/>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0.394</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0.394</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厨房</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油烟</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0.0063</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0.0063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0.000196</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0.000196</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SO</w:t>
            </w:r>
            <w:r>
              <w:rPr>
                <w:rFonts w:ascii="Times New Roman" w:hAnsi="Times New Roman" w:eastAsia="宋体" w:cs="Times New Roman"/>
                <w:color w:val="auto"/>
                <w:sz w:val="21"/>
                <w:highlight w:val="none"/>
                <w:vertAlign w:val="subscript"/>
              </w:rPr>
              <w:t>2</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0.000252</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0.000252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0.002464</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0.002464</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w:t>
            </w:r>
          </w:p>
        </w:tc>
        <w:tc>
          <w:tcPr>
            <w:tcW w:w="1602"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凿岩钻孔</w:t>
            </w:r>
          </w:p>
        </w:tc>
        <w:tc>
          <w:tcPr>
            <w:tcW w:w="1343"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100</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100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洗砂废水</w:t>
            </w:r>
          </w:p>
        </w:tc>
        <w:tc>
          <w:tcPr>
            <w:tcW w:w="1343"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15000</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15000</w:t>
            </w:r>
          </w:p>
        </w:tc>
        <w:tc>
          <w:tcPr>
            <w:tcW w:w="2217" w:type="dxa"/>
            <w:noWrap w:val="0"/>
            <w:vAlign w:val="bottom"/>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w:t>
            </w:r>
          </w:p>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污水</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980</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980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COD</w:t>
            </w:r>
            <w:r>
              <w:rPr>
                <w:rFonts w:ascii="Times New Roman" w:hAnsi="Times New Roman" w:eastAsia="宋体" w:cs="Times New Roman"/>
                <w:color w:val="auto"/>
                <w:sz w:val="21"/>
                <w:highlight w:val="none"/>
                <w:vertAlign w:val="subscript"/>
              </w:rPr>
              <w:t>Cr</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0.364</w:t>
            </w:r>
          </w:p>
        </w:tc>
        <w:tc>
          <w:tcPr>
            <w:tcW w:w="1581" w:type="dxa"/>
            <w:noWrap w:val="0"/>
            <w:vAlign w:val="bottom"/>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0.064</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0.31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BOD</w:t>
            </w:r>
            <w:r>
              <w:rPr>
                <w:rFonts w:ascii="Times New Roman" w:hAnsi="Times New Roman" w:eastAsia="宋体" w:cs="Times New Roman"/>
                <w:color w:val="auto"/>
                <w:sz w:val="21"/>
                <w:highlight w:val="none"/>
                <w:vertAlign w:val="subscript"/>
              </w:rPr>
              <w:t>5</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0.233</w:t>
            </w:r>
          </w:p>
        </w:tc>
        <w:tc>
          <w:tcPr>
            <w:tcW w:w="1581" w:type="dxa"/>
            <w:noWrap w:val="0"/>
            <w:vAlign w:val="bottom"/>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0.023</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0.21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SS</w:t>
            </w:r>
          </w:p>
        </w:tc>
        <w:tc>
          <w:tcPr>
            <w:tcW w:w="1630" w:type="dxa"/>
            <w:noWrap w:val="0"/>
            <w:vAlign w:val="bottom"/>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0.22</w:t>
            </w:r>
          </w:p>
        </w:tc>
        <w:tc>
          <w:tcPr>
            <w:tcW w:w="1581" w:type="dxa"/>
            <w:noWrap w:val="0"/>
            <w:vAlign w:val="bottom"/>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0.066</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0.154</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NH</w:t>
            </w:r>
            <w:r>
              <w:rPr>
                <w:rFonts w:ascii="Times New Roman" w:hAnsi="Times New Roman" w:eastAsia="宋体" w:cs="Times New Roman"/>
                <w:color w:val="auto"/>
                <w:sz w:val="21"/>
                <w:highlight w:val="none"/>
                <w:vertAlign w:val="subscript"/>
              </w:rPr>
              <w:t>3</w:t>
            </w:r>
            <w:r>
              <w:rPr>
                <w:rFonts w:ascii="Times New Roman" w:hAnsi="Times New Roman" w:eastAsia="宋体" w:cs="Times New Roman"/>
                <w:color w:val="auto"/>
                <w:sz w:val="21"/>
                <w:highlight w:val="none"/>
              </w:rPr>
              <w:t>-N</w:t>
            </w:r>
          </w:p>
        </w:tc>
        <w:tc>
          <w:tcPr>
            <w:tcW w:w="1630" w:type="dxa"/>
            <w:noWrap w:val="0"/>
            <w:vAlign w:val="bottom"/>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0.0265</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c>
          <w:tcPr>
            <w:tcW w:w="2217" w:type="dxa"/>
            <w:noWrap w:val="0"/>
            <w:vAlign w:val="bottom"/>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0.0265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动植物油</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0.042</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0.042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初期雨水</w:t>
            </w:r>
          </w:p>
        </w:tc>
        <w:tc>
          <w:tcPr>
            <w:tcW w:w="1343"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1630"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cs="Times New Roman"/>
                <w:color w:val="auto"/>
                <w:sz w:val="21"/>
                <w:szCs w:val="18"/>
                <w:highlight w:val="none"/>
                <w:u w:val="single"/>
                <w:lang w:val="en-US" w:eastAsia="zh-CN"/>
              </w:rPr>
              <w:t>380.3</w:t>
            </w:r>
            <w:r>
              <w:rPr>
                <w:rFonts w:ascii="Times New Roman" w:hAnsi="Times New Roman" w:eastAsia="宋体" w:cs="Times New Roman"/>
                <w:color w:val="auto"/>
                <w:sz w:val="21"/>
                <w:szCs w:val="18"/>
                <w:highlight w:val="none"/>
                <w:u w:val="single"/>
              </w:rPr>
              <w:t>m</w:t>
            </w:r>
            <w:r>
              <w:rPr>
                <w:rFonts w:ascii="Times New Roman" w:hAnsi="Times New Roman" w:eastAsia="宋体" w:cs="Times New Roman"/>
                <w:color w:val="auto"/>
                <w:sz w:val="21"/>
                <w:szCs w:val="18"/>
                <w:highlight w:val="none"/>
                <w:u w:val="single"/>
                <w:vertAlign w:val="superscript"/>
              </w:rPr>
              <w:t>3</w:t>
            </w:r>
            <w:r>
              <w:rPr>
                <w:rFonts w:ascii="Times New Roman" w:hAnsi="Times New Roman" w:eastAsia="宋体" w:cs="Times New Roman"/>
                <w:color w:val="auto"/>
                <w:sz w:val="21"/>
                <w:szCs w:val="18"/>
                <w:highlight w:val="none"/>
                <w:u w:val="single"/>
              </w:rPr>
              <w:t>/次</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21"/>
                <w:szCs w:val="18"/>
                <w:highlight w:val="none"/>
              </w:rPr>
              <w:t>0</w:t>
            </w:r>
          </w:p>
        </w:tc>
        <w:tc>
          <w:tcPr>
            <w:tcW w:w="2217"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cs="Times New Roman"/>
                <w:color w:val="auto"/>
                <w:sz w:val="21"/>
                <w:szCs w:val="18"/>
                <w:highlight w:val="none"/>
                <w:u w:val="single"/>
                <w:lang w:val="en-US" w:eastAsia="zh-CN"/>
              </w:rPr>
              <w:t>380.3</w:t>
            </w:r>
            <w:r>
              <w:rPr>
                <w:rFonts w:ascii="Times New Roman" w:hAnsi="Times New Roman" w:eastAsia="宋体" w:cs="Times New Roman"/>
                <w:color w:val="auto"/>
                <w:sz w:val="21"/>
                <w:szCs w:val="18"/>
                <w:highlight w:val="none"/>
                <w:u w:val="single"/>
              </w:rPr>
              <w:t>m</w:t>
            </w:r>
            <w:r>
              <w:rPr>
                <w:rFonts w:ascii="Times New Roman" w:hAnsi="Times New Roman" w:eastAsia="宋体" w:cs="Times New Roman"/>
                <w:color w:val="auto"/>
                <w:sz w:val="21"/>
                <w:szCs w:val="18"/>
                <w:highlight w:val="none"/>
                <w:u w:val="single"/>
                <w:vertAlign w:val="superscript"/>
              </w:rPr>
              <w:t>3</w:t>
            </w:r>
            <w:r>
              <w:rPr>
                <w:rFonts w:ascii="Times New Roman" w:hAnsi="Times New Roman" w:eastAsia="宋体" w:cs="Times New Roman"/>
                <w:color w:val="auto"/>
                <w:sz w:val="21"/>
                <w:szCs w:val="18"/>
                <w:highlight w:val="none"/>
                <w:u w:val="single"/>
              </w:rPr>
              <w:t>/次</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噪声</w:t>
            </w:r>
          </w:p>
        </w:tc>
        <w:tc>
          <w:tcPr>
            <w:tcW w:w="1602"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设备</w:t>
            </w:r>
            <w:r>
              <w:rPr>
                <w:rFonts w:hint="eastAsia" w:ascii="Times New Roman" w:hAnsi="Times New Roman" w:eastAsia="宋体" w:cs="Times New Roman"/>
                <w:color w:val="auto"/>
                <w:sz w:val="21"/>
                <w:highlight w:val="none"/>
              </w:rPr>
              <w:t>、爆破</w:t>
            </w:r>
          </w:p>
        </w:tc>
        <w:tc>
          <w:tcPr>
            <w:tcW w:w="1343"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Leq（A）</w:t>
            </w:r>
          </w:p>
        </w:tc>
        <w:tc>
          <w:tcPr>
            <w:tcW w:w="163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70~11</w:t>
            </w:r>
            <w:r>
              <w:rPr>
                <w:rFonts w:hint="eastAsia" w:ascii="Times New Roman" w:hAnsi="Times New Roman" w:eastAsia="宋体" w:cs="Times New Roman"/>
                <w:color w:val="auto"/>
                <w:sz w:val="21"/>
                <w:highlight w:val="none"/>
              </w:rPr>
              <w:t>5</w:t>
            </w:r>
            <w:r>
              <w:rPr>
                <w:rFonts w:ascii="Times New Roman" w:hAnsi="Times New Roman" w:eastAsia="宋体" w:cs="Times New Roman"/>
                <w:color w:val="auto"/>
                <w:sz w:val="21"/>
                <w:highlight w:val="none"/>
              </w:rPr>
              <w:t>dB（A）</w:t>
            </w:r>
          </w:p>
        </w:tc>
        <w:tc>
          <w:tcPr>
            <w:tcW w:w="158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消声、减振等</w:t>
            </w:r>
          </w:p>
        </w:tc>
        <w:tc>
          <w:tcPr>
            <w:tcW w:w="221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厂界45-57dB（A）</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固体废物</w:t>
            </w: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采矿区</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表土</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200</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200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采矿区</w:t>
            </w:r>
          </w:p>
        </w:tc>
        <w:tc>
          <w:tcPr>
            <w:tcW w:w="1343"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废土石渣</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800</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800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洗砂区</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洗砂泥饼</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470</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470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机修房</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废零件</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c>
          <w:tcPr>
            <w:tcW w:w="2217"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废含油抹布</w:t>
            </w:r>
          </w:p>
        </w:tc>
        <w:tc>
          <w:tcPr>
            <w:tcW w:w="16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0.01</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c>
          <w:tcPr>
            <w:tcW w:w="221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废机油</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0.04</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c>
          <w:tcPr>
            <w:tcW w:w="2217" w:type="dxa"/>
            <w:noWrap w:val="0"/>
            <w:vAlign w:val="bottom"/>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0.04</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7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办公区</w:t>
            </w:r>
          </w:p>
        </w:tc>
        <w:tc>
          <w:tcPr>
            <w:tcW w:w="134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生活垃圾</w:t>
            </w:r>
          </w:p>
        </w:tc>
        <w:tc>
          <w:tcPr>
            <w:tcW w:w="1630"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7</w:t>
            </w:r>
          </w:p>
        </w:tc>
        <w:tc>
          <w:tcPr>
            <w:tcW w:w="1581"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c>
          <w:tcPr>
            <w:tcW w:w="2217" w:type="dxa"/>
            <w:noWrap w:val="0"/>
            <w:vAlign w:val="bottom"/>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7</w:t>
            </w:r>
          </w:p>
        </w:tc>
      </w:tr>
    </w:tbl>
    <w:p>
      <w:pPr>
        <w:pStyle w:val="5"/>
        <w:rPr>
          <w:rFonts w:ascii="Times New Roman" w:hAnsi="Times New Roman" w:eastAsia="宋体"/>
          <w:color w:val="auto"/>
          <w:highlight w:val="none"/>
        </w:rPr>
      </w:pPr>
      <w:r>
        <w:rPr>
          <w:rFonts w:ascii="Times New Roman" w:hAnsi="Times New Roman" w:eastAsia="宋体"/>
          <w:color w:val="auto"/>
          <w:highlight w:val="none"/>
        </w:rPr>
        <w:t>2.</w:t>
      </w:r>
      <w:r>
        <w:rPr>
          <w:rFonts w:hint="eastAsia" w:ascii="Times New Roman" w:hAnsi="Times New Roman" w:eastAsia="宋体"/>
          <w:color w:val="auto"/>
          <w:highlight w:val="none"/>
        </w:rPr>
        <w:t>2.</w:t>
      </w:r>
      <w:r>
        <w:rPr>
          <w:rFonts w:hint="eastAsia"/>
          <w:color w:val="auto"/>
          <w:highlight w:val="none"/>
          <w:lang w:val="en-US" w:eastAsia="zh-CN"/>
        </w:rPr>
        <w:t>10</w:t>
      </w:r>
      <w:r>
        <w:rPr>
          <w:rFonts w:ascii="Times New Roman" w:hAnsi="Times New Roman" w:eastAsia="宋体"/>
          <w:color w:val="auto"/>
          <w:highlight w:val="none"/>
        </w:rPr>
        <w:t xml:space="preserve"> 现有工程存在的环境问题及拟采取</w:t>
      </w:r>
      <w:r>
        <w:rPr>
          <w:rFonts w:hint="eastAsia"/>
          <w:color w:val="auto"/>
          <w:highlight w:val="none"/>
          <w:lang w:eastAsia="zh-CN"/>
        </w:rPr>
        <w:t>“</w:t>
      </w:r>
      <w:r>
        <w:rPr>
          <w:rFonts w:hint="eastAsia"/>
          <w:color w:val="auto"/>
          <w:highlight w:val="none"/>
          <w:lang w:val="en-US" w:eastAsia="zh-CN"/>
        </w:rPr>
        <w:t>以新带老</w:t>
      </w:r>
      <w:r>
        <w:rPr>
          <w:rFonts w:hint="eastAsia"/>
          <w:color w:val="auto"/>
          <w:highlight w:val="none"/>
          <w:lang w:eastAsia="zh-CN"/>
        </w:rPr>
        <w:t>”</w:t>
      </w:r>
      <w:r>
        <w:rPr>
          <w:rFonts w:ascii="Times New Roman" w:hAnsi="Times New Roman" w:eastAsia="宋体"/>
          <w:color w:val="auto"/>
          <w:highlight w:val="none"/>
        </w:rPr>
        <w:t>整改措施</w:t>
      </w:r>
    </w:p>
    <w:p>
      <w:pPr>
        <w:ind w:firstLine="480"/>
        <w:rPr>
          <w:rFonts w:ascii="Times New Roman" w:hAnsi="Times New Roman" w:eastAsia="宋体" w:cs="Times New Roman"/>
          <w:color w:val="auto"/>
          <w:highlight w:val="none"/>
          <w:u w:val="single"/>
        </w:rPr>
      </w:pPr>
      <w:r>
        <w:rPr>
          <w:rFonts w:hint="eastAsia" w:cs="Times New Roman"/>
          <w:color w:val="auto"/>
          <w:highlight w:val="none"/>
          <w:u w:val="single"/>
          <w:lang w:val="en-US" w:eastAsia="zh-CN"/>
        </w:rPr>
        <w:t>项目整合前，</w:t>
      </w:r>
      <w:r>
        <w:rPr>
          <w:rFonts w:ascii="Times New Roman" w:hAnsi="Times New Roman" w:eastAsia="宋体" w:cs="Times New Roman"/>
          <w:color w:val="auto"/>
          <w:highlight w:val="none"/>
          <w:u w:val="single"/>
        </w:rPr>
        <w:t>现有工程</w:t>
      </w:r>
      <w:r>
        <w:rPr>
          <w:rFonts w:hint="eastAsia" w:cs="Times New Roman"/>
          <w:color w:val="auto"/>
          <w:highlight w:val="none"/>
          <w:u w:val="single"/>
          <w:lang w:val="en-US" w:eastAsia="zh-CN"/>
        </w:rPr>
        <w:t>2处矿山均为独立开采的采石场，</w:t>
      </w:r>
      <w:r>
        <w:rPr>
          <w:rFonts w:ascii="Times New Roman" w:hAnsi="Times New Roman" w:eastAsia="宋体" w:cs="Times New Roman"/>
          <w:color w:val="auto"/>
          <w:highlight w:val="none"/>
          <w:u w:val="single"/>
        </w:rPr>
        <w:t>存在的环境问题</w:t>
      </w:r>
      <w:r>
        <w:rPr>
          <w:rFonts w:hint="eastAsia" w:cs="Times New Roman"/>
          <w:color w:val="auto"/>
          <w:highlight w:val="none"/>
          <w:u w:val="single"/>
          <w:lang w:val="en-US" w:eastAsia="zh-CN"/>
        </w:rPr>
        <w:t>主要为采场及破碎加工生产线粉尘对周边大气环境的影响、露天采场及破碎加工场初期雨水对地表水的影响、开采过程固体废物影响、露天开采对生态环境的影响等。项目整合后，设置1个首采平台，2处矿山原有破碎筛分生产线设备均予以拆除更新，并对露天开采过程中产生的废气、废水、固体废物及生态环境等采取相应的整改措施。具体</w:t>
      </w:r>
      <w:r>
        <w:rPr>
          <w:rFonts w:ascii="Times New Roman" w:hAnsi="Times New Roman" w:eastAsia="宋体" w:cs="Times New Roman"/>
          <w:color w:val="auto"/>
          <w:highlight w:val="none"/>
          <w:u w:val="single"/>
        </w:rPr>
        <w:t>见下表2.</w:t>
      </w:r>
      <w:r>
        <w:rPr>
          <w:rFonts w:hint="eastAsia" w:ascii="Times New Roman" w:hAnsi="Times New Roman" w:eastAsia="宋体" w:cs="Times New Roman"/>
          <w:color w:val="auto"/>
          <w:highlight w:val="none"/>
          <w:u w:val="single"/>
        </w:rPr>
        <w:t>2-2</w:t>
      </w:r>
      <w:r>
        <w:rPr>
          <w:rFonts w:hint="eastAsia" w:cs="Times New Roman"/>
          <w:color w:val="auto"/>
          <w:highlight w:val="none"/>
          <w:u w:val="single"/>
          <w:lang w:val="en-US" w:eastAsia="zh-CN"/>
        </w:rPr>
        <w:t>0</w:t>
      </w:r>
      <w:r>
        <w:rPr>
          <w:rFonts w:ascii="Times New Roman" w:hAnsi="Times New Roman" w:eastAsia="宋体" w:cs="Times New Roman"/>
          <w:color w:val="auto"/>
          <w:highlight w:val="none"/>
          <w:u w:val="single"/>
        </w:rPr>
        <w:t>。</w:t>
      </w:r>
    </w:p>
    <w:p>
      <w:pPr>
        <w:widowControl/>
        <w:spacing w:line="240" w:lineRule="auto"/>
        <w:ind w:firstLine="0" w:firstLineChars="0"/>
        <w:jc w:val="center"/>
        <w:rPr>
          <w:rFonts w:ascii="Times New Roman" w:hAnsi="Times New Roman" w:eastAsia="宋体" w:cs="Times New Roman"/>
          <w:b/>
          <w:bCs/>
          <w:color w:val="auto"/>
          <w:szCs w:val="24"/>
          <w:highlight w:val="none"/>
          <w:u w:val="single"/>
        </w:rPr>
      </w:pPr>
      <w:r>
        <w:rPr>
          <w:rFonts w:ascii="Times New Roman" w:hAnsi="Times New Roman" w:eastAsia="宋体" w:cs="Times New Roman"/>
          <w:b/>
          <w:bCs/>
          <w:color w:val="auto"/>
          <w:szCs w:val="24"/>
          <w:highlight w:val="none"/>
          <w:u w:val="single"/>
        </w:rPr>
        <w:t>表2.</w:t>
      </w:r>
      <w:r>
        <w:rPr>
          <w:rFonts w:hint="eastAsia" w:ascii="Times New Roman" w:hAnsi="Times New Roman" w:eastAsia="宋体" w:cs="Times New Roman"/>
          <w:b/>
          <w:bCs/>
          <w:color w:val="auto"/>
          <w:szCs w:val="24"/>
          <w:highlight w:val="none"/>
          <w:u w:val="single"/>
        </w:rPr>
        <w:t>2-2</w:t>
      </w:r>
      <w:r>
        <w:rPr>
          <w:rFonts w:hint="eastAsia" w:cs="Times New Roman"/>
          <w:b/>
          <w:bCs/>
          <w:color w:val="auto"/>
          <w:szCs w:val="24"/>
          <w:highlight w:val="none"/>
          <w:u w:val="single"/>
          <w:lang w:val="en-US" w:eastAsia="zh-CN"/>
        </w:rPr>
        <w:t>0</w:t>
      </w:r>
      <w:r>
        <w:rPr>
          <w:rFonts w:ascii="Times New Roman" w:hAnsi="Times New Roman" w:eastAsia="宋体" w:cs="Times New Roman"/>
          <w:b/>
          <w:bCs/>
          <w:color w:val="auto"/>
          <w:szCs w:val="24"/>
          <w:highlight w:val="none"/>
          <w:u w:val="single"/>
        </w:rPr>
        <w:t xml:space="preserve"> </w:t>
      </w:r>
      <w:r>
        <w:rPr>
          <w:rFonts w:ascii="Times New Roman" w:hAnsi="Times New Roman" w:eastAsia="宋体" w:cs="Times New Roman"/>
          <w:b/>
          <w:color w:val="auto"/>
          <w:highlight w:val="none"/>
          <w:u w:val="single"/>
        </w:rPr>
        <w:t>现有工程存在的环境问题和拟采取整改措施一览表</w:t>
      </w:r>
    </w:p>
    <w:tbl>
      <w:tblPr>
        <w:tblStyle w:val="48"/>
        <w:tblW w:w="9093"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720"/>
        <w:gridCol w:w="3347"/>
        <w:gridCol w:w="5026"/>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tblHeader/>
          <w:jc w:val="center"/>
        </w:trPr>
        <w:tc>
          <w:tcPr>
            <w:tcW w:w="720" w:type="dxa"/>
            <w:noWrap w:val="0"/>
            <w:tcMar>
              <w:top w:w="0" w:type="dxa"/>
              <w:left w:w="57" w:type="dxa"/>
              <w:bottom w:w="0" w:type="dxa"/>
              <w:right w:w="57" w:type="dxa"/>
            </w:tcMar>
            <w:vAlign w:val="center"/>
          </w:tcPr>
          <w:p>
            <w:pPr>
              <w:widowControl/>
              <w:spacing w:line="240" w:lineRule="auto"/>
              <w:ind w:firstLine="0" w:firstLineChars="0"/>
              <w:jc w:val="center"/>
              <w:rPr>
                <w:rFonts w:ascii="Times New Roman" w:hAnsi="Times New Roman" w:eastAsia="宋体" w:cs="Times New Roman"/>
                <w:b/>
                <w:bCs/>
                <w:color w:val="auto"/>
                <w:sz w:val="21"/>
                <w:highlight w:val="none"/>
                <w:u w:val="single"/>
                <w:lang w:val="zh-CN"/>
              </w:rPr>
            </w:pPr>
            <w:r>
              <w:rPr>
                <w:rFonts w:ascii="Times New Roman" w:hAnsi="Times New Roman" w:eastAsia="宋体" w:cs="Times New Roman"/>
                <w:b/>
                <w:bCs/>
                <w:color w:val="auto"/>
                <w:sz w:val="21"/>
                <w:highlight w:val="none"/>
                <w:u w:val="single"/>
                <w:lang w:val="zh-CN"/>
              </w:rPr>
              <w:t>项目</w:t>
            </w:r>
          </w:p>
        </w:tc>
        <w:tc>
          <w:tcPr>
            <w:tcW w:w="3347" w:type="dxa"/>
            <w:noWrap w:val="0"/>
            <w:tcMar>
              <w:top w:w="0" w:type="dxa"/>
              <w:left w:w="57" w:type="dxa"/>
              <w:bottom w:w="0" w:type="dxa"/>
              <w:right w:w="57" w:type="dxa"/>
            </w:tcMar>
            <w:vAlign w:val="center"/>
          </w:tcPr>
          <w:p>
            <w:pPr>
              <w:widowControl/>
              <w:spacing w:line="240" w:lineRule="auto"/>
              <w:ind w:firstLine="0" w:firstLineChars="0"/>
              <w:jc w:val="center"/>
              <w:rPr>
                <w:rFonts w:ascii="Times New Roman" w:hAnsi="Times New Roman" w:eastAsia="宋体" w:cs="Times New Roman"/>
                <w:b/>
                <w:bCs/>
                <w:color w:val="auto"/>
                <w:sz w:val="21"/>
                <w:highlight w:val="none"/>
                <w:u w:val="single"/>
                <w:lang w:val="zh-CN"/>
              </w:rPr>
            </w:pPr>
            <w:r>
              <w:rPr>
                <w:rFonts w:hint="eastAsia" w:cs="Times New Roman"/>
                <w:b/>
                <w:bCs/>
                <w:color w:val="auto"/>
                <w:sz w:val="21"/>
                <w:highlight w:val="none"/>
                <w:u w:val="single"/>
                <w:lang w:val="en-US" w:eastAsia="zh-CN"/>
              </w:rPr>
              <w:t>现有工程存在的</w:t>
            </w:r>
            <w:r>
              <w:rPr>
                <w:rFonts w:ascii="Times New Roman" w:hAnsi="Times New Roman" w:eastAsia="宋体" w:cs="Times New Roman"/>
                <w:b/>
                <w:bCs/>
                <w:color w:val="auto"/>
                <w:sz w:val="21"/>
                <w:highlight w:val="none"/>
                <w:u w:val="single"/>
                <w:lang w:val="zh-CN"/>
              </w:rPr>
              <w:t>环境问题</w:t>
            </w:r>
          </w:p>
        </w:tc>
        <w:tc>
          <w:tcPr>
            <w:tcW w:w="5026" w:type="dxa"/>
            <w:noWrap w:val="0"/>
            <w:tcMar>
              <w:top w:w="0" w:type="dxa"/>
              <w:left w:w="57" w:type="dxa"/>
              <w:bottom w:w="0" w:type="dxa"/>
              <w:right w:w="57" w:type="dxa"/>
            </w:tcMar>
            <w:vAlign w:val="center"/>
          </w:tcPr>
          <w:p>
            <w:pPr>
              <w:widowControl/>
              <w:spacing w:line="240" w:lineRule="auto"/>
              <w:ind w:firstLine="0" w:firstLineChars="0"/>
              <w:jc w:val="center"/>
              <w:rPr>
                <w:rFonts w:ascii="Times New Roman" w:hAnsi="Times New Roman" w:eastAsia="宋体" w:cs="Times New Roman"/>
                <w:b/>
                <w:bCs/>
                <w:color w:val="auto"/>
                <w:sz w:val="21"/>
                <w:highlight w:val="none"/>
                <w:u w:val="single"/>
                <w:lang w:val="zh-CN"/>
              </w:rPr>
            </w:pPr>
            <w:r>
              <w:rPr>
                <w:rFonts w:hint="eastAsia" w:ascii="Times New Roman" w:hAnsi="Times New Roman" w:eastAsia="宋体" w:cs="Times New Roman"/>
                <w:b/>
                <w:color w:val="auto"/>
                <w:sz w:val="21"/>
                <w:highlight w:val="none"/>
                <w:u w:val="single"/>
                <w:lang w:val="en-US" w:eastAsia="zh-CN"/>
              </w:rPr>
              <w:t>整合</w:t>
            </w:r>
            <w:r>
              <w:rPr>
                <w:rFonts w:ascii="Times New Roman" w:hAnsi="Times New Roman" w:eastAsia="宋体" w:cs="Times New Roman"/>
                <w:b/>
                <w:color w:val="auto"/>
                <w:sz w:val="21"/>
                <w:highlight w:val="none"/>
                <w:u w:val="single"/>
              </w:rPr>
              <w:t>后拟采取整改措施</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906" w:hRule="atLeast"/>
          <w:tblHeader/>
          <w:jc w:val="center"/>
        </w:trPr>
        <w:tc>
          <w:tcPr>
            <w:tcW w:w="720" w:type="dxa"/>
            <w:vMerge w:val="restart"/>
            <w:noWrap w:val="0"/>
            <w:tcMar>
              <w:top w:w="0" w:type="dxa"/>
              <w:left w:w="57" w:type="dxa"/>
              <w:bottom w:w="0" w:type="dxa"/>
              <w:right w:w="57" w:type="dxa"/>
            </w:tcMar>
            <w:vAlign w:val="center"/>
          </w:tcPr>
          <w:p>
            <w:pPr>
              <w:widowControl/>
              <w:spacing w:line="240" w:lineRule="auto"/>
              <w:ind w:firstLine="0" w:firstLineChars="0"/>
              <w:jc w:val="center"/>
              <w:rPr>
                <w:rFonts w:ascii="Times New Roman" w:hAnsi="Times New Roman" w:eastAsia="宋体" w:cs="Times New Roman"/>
                <w:bCs/>
                <w:color w:val="auto"/>
                <w:sz w:val="21"/>
                <w:highlight w:val="none"/>
                <w:u w:val="single"/>
                <w:lang w:val="zh-CN"/>
              </w:rPr>
            </w:pPr>
            <w:r>
              <w:rPr>
                <w:rFonts w:ascii="Times New Roman" w:hAnsi="Times New Roman" w:eastAsia="宋体" w:cs="Times New Roman"/>
                <w:bCs/>
                <w:color w:val="auto"/>
                <w:sz w:val="21"/>
                <w:highlight w:val="none"/>
                <w:u w:val="single"/>
                <w:lang w:val="zh-CN"/>
              </w:rPr>
              <w:t>废气</w:t>
            </w:r>
          </w:p>
        </w:tc>
        <w:tc>
          <w:tcPr>
            <w:tcW w:w="3347" w:type="dxa"/>
            <w:noWrap w:val="0"/>
            <w:tcMar>
              <w:top w:w="0" w:type="dxa"/>
              <w:left w:w="57" w:type="dxa"/>
              <w:bottom w:w="0" w:type="dxa"/>
              <w:right w:w="57" w:type="dxa"/>
            </w:tcMar>
            <w:vAlign w:val="center"/>
          </w:tcPr>
          <w:p>
            <w:pPr>
              <w:widowControl/>
              <w:spacing w:line="240" w:lineRule="auto"/>
              <w:ind w:firstLine="0" w:firstLineChars="0"/>
              <w:rPr>
                <w:rFonts w:hint="default" w:ascii="Times New Roman" w:hAnsi="Times New Roman" w:eastAsia="宋体" w:cs="Times New Roman"/>
                <w:bCs/>
                <w:color w:val="auto"/>
                <w:sz w:val="21"/>
                <w:highlight w:val="none"/>
                <w:u w:val="single"/>
                <w:lang w:val="en-US" w:eastAsia="zh-CN"/>
              </w:rPr>
            </w:pPr>
            <w:r>
              <w:rPr>
                <w:rFonts w:hint="eastAsia" w:ascii="Times New Roman" w:hAnsi="Times New Roman" w:eastAsia="宋体" w:cs="Times New Roman"/>
                <w:bCs/>
                <w:color w:val="auto"/>
                <w:sz w:val="21"/>
                <w:highlight w:val="none"/>
                <w:u w:val="single"/>
              </w:rPr>
              <w:t>矿石</w:t>
            </w:r>
            <w:r>
              <w:rPr>
                <w:rFonts w:ascii="Times New Roman" w:hAnsi="Times New Roman" w:eastAsia="宋体" w:cs="Times New Roman"/>
                <w:bCs/>
                <w:color w:val="auto"/>
                <w:sz w:val="21"/>
                <w:highlight w:val="none"/>
                <w:u w:val="single"/>
              </w:rPr>
              <w:t>生产线爆破、采装、装卸过程未采取降尘措施</w:t>
            </w:r>
            <w:r>
              <w:rPr>
                <w:rFonts w:hint="eastAsia" w:cs="Times New Roman"/>
                <w:bCs/>
                <w:color w:val="auto"/>
                <w:sz w:val="21"/>
                <w:highlight w:val="none"/>
                <w:u w:val="single"/>
                <w:lang w:eastAsia="zh-CN"/>
              </w:rPr>
              <w:t>，</w:t>
            </w:r>
            <w:r>
              <w:rPr>
                <w:rFonts w:hint="eastAsia" w:cs="Times New Roman"/>
                <w:bCs/>
                <w:color w:val="auto"/>
                <w:sz w:val="21"/>
                <w:highlight w:val="none"/>
                <w:u w:val="single"/>
                <w:lang w:val="en-US" w:eastAsia="zh-CN"/>
              </w:rPr>
              <w:t>粉尘排放量较大</w:t>
            </w:r>
          </w:p>
        </w:tc>
        <w:tc>
          <w:tcPr>
            <w:tcW w:w="5026" w:type="dxa"/>
            <w:noWrap w:val="0"/>
            <w:tcMar>
              <w:top w:w="0" w:type="dxa"/>
              <w:left w:w="57" w:type="dxa"/>
              <w:bottom w:w="0" w:type="dxa"/>
              <w:right w:w="57" w:type="dxa"/>
            </w:tcMar>
            <w:vAlign w:val="center"/>
          </w:tcPr>
          <w:p>
            <w:pPr>
              <w:widowControl/>
              <w:spacing w:line="240" w:lineRule="auto"/>
              <w:ind w:firstLine="0" w:firstLineChars="0"/>
              <w:rPr>
                <w:rFonts w:hint="eastAsia" w:ascii="Times New Roman" w:hAnsi="Times New Roman" w:eastAsia="宋体" w:cs="Times New Roman"/>
                <w:bCs/>
                <w:color w:val="auto"/>
                <w:sz w:val="21"/>
                <w:highlight w:val="none"/>
                <w:u w:val="single"/>
                <w:lang w:eastAsia="zh-CN"/>
              </w:rPr>
            </w:pPr>
            <w:r>
              <w:rPr>
                <w:rFonts w:ascii="Times New Roman" w:hAnsi="Times New Roman" w:eastAsia="宋体" w:cs="Times New Roman"/>
                <w:bCs/>
                <w:color w:val="auto"/>
                <w:sz w:val="21"/>
                <w:highlight w:val="none"/>
                <w:u w:val="single"/>
              </w:rPr>
              <w:t>采用湿式作业，增加</w:t>
            </w:r>
            <w:r>
              <w:rPr>
                <w:rFonts w:hint="eastAsia" w:ascii="Times New Roman" w:hAnsi="Times New Roman" w:eastAsia="宋体" w:cs="Times New Roman"/>
                <w:bCs/>
                <w:color w:val="auto"/>
                <w:sz w:val="21"/>
                <w:highlight w:val="none"/>
                <w:u w:val="single"/>
              </w:rPr>
              <w:t>4</w:t>
            </w:r>
            <w:r>
              <w:rPr>
                <w:rFonts w:ascii="Times New Roman" w:hAnsi="Times New Roman" w:eastAsia="宋体" w:cs="Times New Roman"/>
                <w:bCs/>
                <w:color w:val="auto"/>
                <w:sz w:val="21"/>
                <w:highlight w:val="none"/>
                <w:u w:val="single"/>
              </w:rPr>
              <w:t>台</w:t>
            </w:r>
            <w:r>
              <w:rPr>
                <w:rFonts w:hint="eastAsia" w:ascii="Times New Roman" w:hAnsi="Times New Roman" w:eastAsia="宋体" w:cs="Times New Roman"/>
                <w:bCs/>
                <w:color w:val="auto"/>
                <w:sz w:val="21"/>
                <w:highlight w:val="none"/>
                <w:u w:val="single"/>
              </w:rPr>
              <w:t>雾炮机</w:t>
            </w:r>
            <w:r>
              <w:rPr>
                <w:rFonts w:ascii="Times New Roman" w:hAnsi="Times New Roman" w:eastAsia="宋体" w:cs="Times New Roman"/>
                <w:bCs/>
                <w:color w:val="auto"/>
                <w:sz w:val="21"/>
                <w:highlight w:val="none"/>
                <w:u w:val="single"/>
              </w:rPr>
              <w:t>，爆破后喷水降尘，采装、装卸过程增加洒水降尘设施</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tblHeader/>
          <w:jc w:val="center"/>
        </w:trPr>
        <w:tc>
          <w:tcPr>
            <w:tcW w:w="720" w:type="dxa"/>
            <w:vMerge w:val="continue"/>
            <w:noWrap w:val="0"/>
            <w:tcMar>
              <w:top w:w="0" w:type="dxa"/>
              <w:left w:w="57" w:type="dxa"/>
              <w:bottom w:w="0" w:type="dxa"/>
              <w:right w:w="57" w:type="dxa"/>
            </w:tcMar>
            <w:vAlign w:val="center"/>
          </w:tcPr>
          <w:p>
            <w:pPr>
              <w:widowControl/>
              <w:spacing w:line="240" w:lineRule="auto"/>
              <w:ind w:firstLine="0" w:firstLineChars="0"/>
              <w:jc w:val="center"/>
              <w:rPr>
                <w:rFonts w:ascii="Times New Roman" w:hAnsi="Times New Roman" w:eastAsia="宋体" w:cs="Times New Roman"/>
                <w:bCs/>
                <w:color w:val="auto"/>
                <w:sz w:val="21"/>
                <w:highlight w:val="none"/>
                <w:u w:val="single"/>
                <w:lang w:val="zh-CN"/>
              </w:rPr>
            </w:pPr>
          </w:p>
        </w:tc>
        <w:tc>
          <w:tcPr>
            <w:tcW w:w="3347" w:type="dxa"/>
            <w:noWrap w:val="0"/>
            <w:tcMar>
              <w:top w:w="0" w:type="dxa"/>
              <w:left w:w="57" w:type="dxa"/>
              <w:bottom w:w="0" w:type="dxa"/>
              <w:right w:w="57" w:type="dxa"/>
            </w:tcMar>
            <w:vAlign w:val="center"/>
          </w:tcPr>
          <w:p>
            <w:pPr>
              <w:widowControl/>
              <w:spacing w:line="240" w:lineRule="auto"/>
              <w:ind w:firstLine="0" w:firstLineChars="0"/>
              <w:rPr>
                <w:rFonts w:hint="eastAsia" w:ascii="Times New Roman" w:hAnsi="Times New Roman" w:eastAsia="宋体" w:cs="Times New Roman"/>
                <w:bCs/>
                <w:color w:val="auto"/>
                <w:sz w:val="21"/>
                <w:highlight w:val="none"/>
                <w:u w:val="single"/>
                <w:lang w:eastAsia="zh-CN"/>
              </w:rPr>
            </w:pPr>
            <w:r>
              <w:rPr>
                <w:rFonts w:ascii="Times New Roman" w:hAnsi="Times New Roman" w:eastAsia="宋体" w:cs="Times New Roman"/>
                <w:color w:val="auto"/>
                <w:sz w:val="21"/>
                <w:highlight w:val="none"/>
                <w:u w:val="single"/>
              </w:rPr>
              <w:t>破碎筛分</w:t>
            </w:r>
            <w:r>
              <w:rPr>
                <w:rFonts w:hint="eastAsia" w:cs="Times New Roman"/>
                <w:color w:val="auto"/>
                <w:sz w:val="21"/>
                <w:highlight w:val="none"/>
                <w:u w:val="single"/>
                <w:lang w:val="en-US" w:eastAsia="zh-CN"/>
              </w:rPr>
              <w:t>及矿石输送</w:t>
            </w:r>
            <w:r>
              <w:rPr>
                <w:rFonts w:ascii="Times New Roman" w:hAnsi="Times New Roman" w:eastAsia="宋体" w:cs="Times New Roman"/>
                <w:color w:val="auto"/>
                <w:sz w:val="21"/>
                <w:highlight w:val="none"/>
                <w:u w:val="single"/>
              </w:rPr>
              <w:t>过程</w:t>
            </w:r>
            <w:r>
              <w:rPr>
                <w:rFonts w:hint="eastAsia" w:cs="Times New Roman"/>
                <w:color w:val="auto"/>
                <w:sz w:val="21"/>
                <w:highlight w:val="none"/>
                <w:u w:val="single"/>
                <w:lang w:val="en-US" w:eastAsia="zh-CN"/>
              </w:rPr>
              <w:t>未采取相应除尘措施，粉尘</w:t>
            </w:r>
            <w:r>
              <w:rPr>
                <w:rFonts w:ascii="Times New Roman" w:hAnsi="Times New Roman" w:eastAsia="宋体" w:cs="Times New Roman"/>
                <w:color w:val="auto"/>
                <w:sz w:val="21"/>
                <w:highlight w:val="none"/>
                <w:u w:val="single"/>
              </w:rPr>
              <w:t>排放量较大</w:t>
            </w:r>
          </w:p>
        </w:tc>
        <w:tc>
          <w:tcPr>
            <w:tcW w:w="5026" w:type="dxa"/>
            <w:noWrap w:val="0"/>
            <w:tcMar>
              <w:top w:w="0" w:type="dxa"/>
              <w:left w:w="57" w:type="dxa"/>
              <w:bottom w:w="0" w:type="dxa"/>
              <w:right w:w="57" w:type="dxa"/>
            </w:tcMar>
            <w:vAlign w:val="center"/>
          </w:tcPr>
          <w:p>
            <w:pPr>
              <w:widowControl/>
              <w:spacing w:line="240" w:lineRule="auto"/>
              <w:ind w:firstLine="0" w:firstLineChars="0"/>
              <w:rPr>
                <w:rFonts w:hint="eastAsia" w:ascii="Times New Roman" w:hAnsi="Times New Roman" w:eastAsia="宋体" w:cs="Times New Roman"/>
                <w:bCs/>
                <w:color w:val="auto"/>
                <w:sz w:val="21"/>
                <w:highlight w:val="none"/>
                <w:u w:val="single"/>
                <w:lang w:eastAsia="zh-CN"/>
              </w:rPr>
            </w:pPr>
            <w:r>
              <w:rPr>
                <w:rFonts w:hint="eastAsia" w:ascii="Times New Roman" w:hAnsi="Times New Roman" w:eastAsia="宋体" w:cs="Times New Roman"/>
                <w:bCs/>
                <w:color w:val="auto"/>
                <w:sz w:val="21"/>
                <w:highlight w:val="none"/>
                <w:u w:val="single"/>
              </w:rPr>
              <w:t>筛选</w:t>
            </w:r>
            <w:r>
              <w:rPr>
                <w:rFonts w:ascii="Times New Roman" w:hAnsi="Times New Roman" w:eastAsia="宋体" w:cs="Times New Roman"/>
                <w:bCs/>
                <w:color w:val="auto"/>
                <w:sz w:val="21"/>
                <w:highlight w:val="none"/>
                <w:u w:val="single"/>
              </w:rPr>
              <w:t>破碎、</w:t>
            </w:r>
            <w:r>
              <w:rPr>
                <w:rFonts w:hint="eastAsia" w:ascii="Times New Roman" w:hAnsi="Times New Roman" w:eastAsia="宋体" w:cs="Times New Roman"/>
                <w:bCs/>
                <w:color w:val="auto"/>
                <w:sz w:val="21"/>
                <w:highlight w:val="none"/>
                <w:u w:val="single"/>
              </w:rPr>
              <w:t>二级破碎筛分</w:t>
            </w:r>
            <w:r>
              <w:rPr>
                <w:rFonts w:ascii="Times New Roman" w:hAnsi="Times New Roman" w:eastAsia="宋体" w:cs="Times New Roman"/>
                <w:bCs/>
                <w:color w:val="auto"/>
                <w:sz w:val="21"/>
                <w:highlight w:val="none"/>
                <w:u w:val="single"/>
              </w:rPr>
              <w:t>、</w:t>
            </w:r>
            <w:r>
              <w:rPr>
                <w:rFonts w:hint="eastAsia" w:ascii="Times New Roman" w:hAnsi="Times New Roman" w:eastAsia="宋体" w:cs="Times New Roman"/>
                <w:bCs/>
                <w:color w:val="auto"/>
                <w:sz w:val="21"/>
                <w:highlight w:val="none"/>
                <w:u w:val="single"/>
              </w:rPr>
              <w:t>三级破碎筛分</w:t>
            </w:r>
            <w:r>
              <w:rPr>
                <w:rFonts w:ascii="Times New Roman" w:hAnsi="Times New Roman" w:eastAsia="宋体" w:cs="Times New Roman"/>
                <w:bCs/>
                <w:color w:val="auto"/>
                <w:sz w:val="21"/>
                <w:highlight w:val="none"/>
                <w:u w:val="single"/>
              </w:rPr>
              <w:t>工序分别</w:t>
            </w:r>
            <w:r>
              <w:rPr>
                <w:rFonts w:hint="eastAsia" w:ascii="Times New Roman" w:hAnsi="Times New Roman" w:eastAsia="宋体" w:cs="Times New Roman"/>
                <w:bCs/>
                <w:color w:val="auto"/>
                <w:sz w:val="21"/>
                <w:highlight w:val="none"/>
                <w:u w:val="single"/>
              </w:rPr>
              <w:t>设置</w:t>
            </w:r>
            <w:r>
              <w:rPr>
                <w:rFonts w:hint="eastAsia" w:ascii="Times New Roman" w:hAnsi="Times New Roman" w:eastAsia="宋体" w:cs="Times New Roman"/>
                <w:color w:val="auto"/>
                <w:sz w:val="21"/>
                <w:highlight w:val="none"/>
                <w:u w:val="single"/>
                <w:lang w:val="en-US" w:eastAsia="zh-CN"/>
              </w:rPr>
              <w:t>喷淋</w:t>
            </w:r>
            <w:r>
              <w:rPr>
                <w:rFonts w:hint="eastAsia" w:ascii="Times New Roman" w:hAnsi="Times New Roman" w:eastAsia="宋体" w:cs="Times New Roman"/>
                <w:color w:val="auto"/>
                <w:sz w:val="21"/>
                <w:highlight w:val="none"/>
                <w:u w:val="single"/>
              </w:rPr>
              <w:t>+</w:t>
            </w:r>
            <w:r>
              <w:rPr>
                <w:rFonts w:hint="eastAsia" w:ascii="Times New Roman" w:hAnsi="Times New Roman" w:eastAsia="宋体" w:cs="Times New Roman"/>
                <w:bCs/>
                <w:color w:val="auto"/>
                <w:sz w:val="21"/>
                <w:highlight w:val="none"/>
                <w:u w:val="single"/>
              </w:rPr>
              <w:t>封闭+负压收集+袋式除尘器处理设施，</w:t>
            </w:r>
            <w:r>
              <w:rPr>
                <w:rFonts w:ascii="Times New Roman" w:hAnsi="Times New Roman" w:eastAsia="宋体" w:cs="Times New Roman"/>
                <w:bCs/>
                <w:color w:val="auto"/>
                <w:sz w:val="21"/>
                <w:highlight w:val="none"/>
                <w:u w:val="single"/>
              </w:rPr>
              <w:t>颗粒物</w:t>
            </w:r>
            <w:r>
              <w:rPr>
                <w:rFonts w:hint="eastAsia" w:ascii="Times New Roman" w:hAnsi="Times New Roman" w:eastAsia="宋体" w:cs="Times New Roman"/>
                <w:bCs/>
                <w:color w:val="auto"/>
                <w:sz w:val="21"/>
                <w:highlight w:val="none"/>
                <w:u w:val="single"/>
              </w:rPr>
              <w:t>收集后</w:t>
            </w:r>
            <w:r>
              <w:rPr>
                <w:rFonts w:ascii="Times New Roman" w:hAnsi="Times New Roman" w:eastAsia="宋体" w:cs="Times New Roman"/>
                <w:bCs/>
                <w:color w:val="auto"/>
                <w:sz w:val="21"/>
                <w:highlight w:val="none"/>
                <w:u w:val="single"/>
              </w:rPr>
              <w:t>分别经袋式除尘器处理后由15m排气筒排放</w:t>
            </w:r>
            <w:r>
              <w:rPr>
                <w:rFonts w:hint="eastAsia" w:ascii="Times New Roman" w:hAnsi="Times New Roman" w:eastAsia="宋体" w:cs="Times New Roman"/>
                <w:bCs/>
                <w:color w:val="auto"/>
                <w:sz w:val="21"/>
                <w:highlight w:val="none"/>
                <w:u w:val="single"/>
              </w:rPr>
              <w:t>；</w:t>
            </w:r>
            <w:r>
              <w:rPr>
                <w:rFonts w:hint="eastAsia" w:ascii="Times New Roman" w:hAnsi="Times New Roman" w:eastAsia="宋体" w:cs="Times New Roman"/>
                <w:color w:val="auto"/>
                <w:sz w:val="22"/>
                <w:szCs w:val="22"/>
                <w:highlight w:val="none"/>
                <w:u w:val="single"/>
              </w:rPr>
              <w:t>输送过程密闭处理并在输送带两端设置喷淋和帘布</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tblHeader/>
          <w:jc w:val="center"/>
        </w:trPr>
        <w:tc>
          <w:tcPr>
            <w:tcW w:w="720" w:type="dxa"/>
            <w:vMerge w:val="continue"/>
            <w:noWrap w:val="0"/>
            <w:tcMar>
              <w:top w:w="0" w:type="dxa"/>
              <w:left w:w="57" w:type="dxa"/>
              <w:bottom w:w="0" w:type="dxa"/>
              <w:right w:w="57" w:type="dxa"/>
            </w:tcMar>
            <w:vAlign w:val="center"/>
          </w:tcPr>
          <w:p>
            <w:pPr>
              <w:widowControl/>
              <w:spacing w:line="240" w:lineRule="auto"/>
              <w:ind w:firstLine="0" w:firstLineChars="0"/>
              <w:jc w:val="center"/>
              <w:rPr>
                <w:rFonts w:ascii="Times New Roman" w:hAnsi="Times New Roman" w:eastAsia="宋体" w:cs="Times New Roman"/>
                <w:bCs/>
                <w:color w:val="auto"/>
                <w:sz w:val="21"/>
                <w:highlight w:val="none"/>
                <w:u w:val="single"/>
                <w:lang w:val="zh-CN"/>
              </w:rPr>
            </w:pPr>
          </w:p>
        </w:tc>
        <w:tc>
          <w:tcPr>
            <w:tcW w:w="3347" w:type="dxa"/>
            <w:noWrap w:val="0"/>
            <w:tcMar>
              <w:top w:w="0" w:type="dxa"/>
              <w:left w:w="57" w:type="dxa"/>
              <w:bottom w:w="0" w:type="dxa"/>
              <w:right w:w="57" w:type="dxa"/>
            </w:tcMar>
            <w:vAlign w:val="center"/>
          </w:tcPr>
          <w:p>
            <w:pPr>
              <w:widowControl/>
              <w:spacing w:line="240" w:lineRule="auto"/>
              <w:ind w:firstLine="0" w:firstLineChars="0"/>
              <w:jc w:val="left"/>
              <w:rPr>
                <w:rFonts w:hint="eastAsia" w:ascii="Times New Roman" w:hAnsi="Times New Roman" w:eastAsia="宋体" w:cs="Times New Roman"/>
                <w:color w:val="auto"/>
                <w:sz w:val="21"/>
                <w:highlight w:val="none"/>
                <w:u w:val="single"/>
                <w:lang w:eastAsia="zh-CN"/>
              </w:rPr>
            </w:pPr>
            <w:r>
              <w:rPr>
                <w:rFonts w:hint="eastAsia" w:ascii="Times New Roman" w:hAnsi="Times New Roman" w:eastAsia="宋体" w:cs="Times New Roman"/>
                <w:bCs/>
                <w:color w:val="auto"/>
                <w:sz w:val="21"/>
                <w:highlight w:val="none"/>
                <w:u w:val="single"/>
              </w:rPr>
              <w:t>落料上堆未采取降尘措施</w:t>
            </w:r>
            <w:r>
              <w:rPr>
                <w:rFonts w:hint="eastAsia" w:cs="Times New Roman"/>
                <w:bCs/>
                <w:color w:val="auto"/>
                <w:sz w:val="21"/>
                <w:highlight w:val="none"/>
                <w:u w:val="single"/>
                <w:lang w:eastAsia="zh-CN"/>
              </w:rPr>
              <w:t>，</w:t>
            </w:r>
            <w:r>
              <w:rPr>
                <w:rFonts w:ascii="Times New Roman" w:hAnsi="Times New Roman" w:eastAsia="宋体" w:cs="Times New Roman"/>
                <w:color w:val="auto"/>
                <w:sz w:val="21"/>
                <w:highlight w:val="none"/>
                <w:u w:val="single"/>
              </w:rPr>
              <w:t>堆料场</w:t>
            </w:r>
            <w:r>
              <w:rPr>
                <w:rFonts w:hint="eastAsia" w:ascii="Times New Roman" w:hAnsi="Times New Roman" w:eastAsia="宋体" w:cs="Times New Roman"/>
                <w:color w:val="auto"/>
                <w:sz w:val="21"/>
                <w:highlight w:val="none"/>
                <w:u w:val="single"/>
              </w:rPr>
              <w:t>仅用防尘网遮盖，</w:t>
            </w:r>
            <w:r>
              <w:rPr>
                <w:rFonts w:ascii="Times New Roman" w:hAnsi="Times New Roman" w:eastAsia="宋体" w:cs="Times New Roman"/>
                <w:color w:val="auto"/>
                <w:sz w:val="21"/>
                <w:highlight w:val="none"/>
                <w:u w:val="single"/>
              </w:rPr>
              <w:t>未采取</w:t>
            </w:r>
            <w:r>
              <w:rPr>
                <w:rFonts w:hint="eastAsia" w:ascii="Times New Roman" w:hAnsi="Times New Roman" w:eastAsia="宋体" w:cs="Times New Roman"/>
                <w:color w:val="auto"/>
                <w:sz w:val="21"/>
                <w:highlight w:val="none"/>
                <w:u w:val="single"/>
              </w:rPr>
              <w:t>洒水</w:t>
            </w:r>
            <w:r>
              <w:rPr>
                <w:rFonts w:ascii="Times New Roman" w:hAnsi="Times New Roman" w:eastAsia="宋体" w:cs="Times New Roman"/>
                <w:color w:val="auto"/>
                <w:sz w:val="21"/>
                <w:highlight w:val="none"/>
                <w:u w:val="single"/>
              </w:rPr>
              <w:t>降尘措施</w:t>
            </w:r>
            <w:r>
              <w:rPr>
                <w:rFonts w:hint="eastAsia" w:ascii="Times New Roman" w:hAnsi="Times New Roman" w:eastAsia="宋体" w:cs="Times New Roman"/>
                <w:color w:val="auto"/>
                <w:sz w:val="21"/>
                <w:highlight w:val="none"/>
                <w:u w:val="single"/>
              </w:rPr>
              <w:t>，临时排土场未采取防尘措施</w:t>
            </w:r>
            <w:r>
              <w:rPr>
                <w:rFonts w:hint="eastAsia" w:cs="Times New Roman"/>
                <w:color w:val="auto"/>
                <w:sz w:val="21"/>
                <w:highlight w:val="none"/>
                <w:u w:val="single"/>
                <w:lang w:eastAsia="zh-CN"/>
              </w:rPr>
              <w:t>，</w:t>
            </w:r>
            <w:r>
              <w:rPr>
                <w:rFonts w:hint="eastAsia" w:cs="Times New Roman"/>
                <w:bCs/>
                <w:color w:val="auto"/>
                <w:sz w:val="21"/>
                <w:highlight w:val="none"/>
                <w:u w:val="single"/>
                <w:lang w:val="en-US" w:eastAsia="zh-CN"/>
              </w:rPr>
              <w:t>无组织粉尘排放量较大</w:t>
            </w:r>
          </w:p>
        </w:tc>
        <w:tc>
          <w:tcPr>
            <w:tcW w:w="5026" w:type="dxa"/>
            <w:noWrap w:val="0"/>
            <w:tcMar>
              <w:top w:w="0" w:type="dxa"/>
              <w:left w:w="57" w:type="dxa"/>
              <w:bottom w:w="0" w:type="dxa"/>
              <w:right w:w="57" w:type="dxa"/>
            </w:tcMar>
            <w:vAlign w:val="center"/>
          </w:tcPr>
          <w:p>
            <w:pPr>
              <w:widowControl/>
              <w:spacing w:line="240" w:lineRule="auto"/>
              <w:ind w:firstLine="0" w:firstLineChars="0"/>
              <w:rPr>
                <w:rFonts w:hint="eastAsia" w:ascii="Times New Roman" w:hAnsi="Times New Roman" w:eastAsia="宋体" w:cs="Times New Roman"/>
                <w:bCs/>
                <w:color w:val="auto"/>
                <w:sz w:val="21"/>
                <w:highlight w:val="none"/>
                <w:u w:val="single"/>
                <w:lang w:eastAsia="zh-CN"/>
              </w:rPr>
            </w:pPr>
            <w:r>
              <w:rPr>
                <w:rFonts w:hint="eastAsia" w:ascii="Times New Roman" w:hAnsi="Times New Roman" w:eastAsia="宋体" w:cs="Times New Roman"/>
                <w:bCs/>
                <w:color w:val="auto"/>
                <w:sz w:val="21"/>
                <w:highlight w:val="none"/>
                <w:u w:val="single"/>
              </w:rPr>
              <w:t>落料上堆增加可伸缩斜槽，</w:t>
            </w:r>
            <w:r>
              <w:rPr>
                <w:rFonts w:hint="eastAsia" w:ascii="Times New Roman" w:hAnsi="Times New Roman" w:eastAsia="宋体" w:cs="Times New Roman"/>
                <w:color w:val="auto"/>
                <w:sz w:val="21"/>
                <w:highlight w:val="none"/>
                <w:u w:val="single"/>
              </w:rPr>
              <w:t>堆料场地面进行硬化处理，临时排土场设置</w:t>
            </w:r>
            <w:r>
              <w:rPr>
                <w:rFonts w:ascii="Times New Roman" w:hAnsi="Times New Roman" w:eastAsia="宋体" w:cs="Times New Roman"/>
                <w:color w:val="auto"/>
                <w:sz w:val="21"/>
                <w:highlight w:val="none"/>
                <w:u w:val="single"/>
              </w:rPr>
              <w:t>围挡</w:t>
            </w:r>
            <w:r>
              <w:rPr>
                <w:rFonts w:hint="eastAsia" w:ascii="Times New Roman" w:hAnsi="Times New Roman" w:eastAsia="宋体" w:cs="Times New Roman"/>
                <w:color w:val="auto"/>
                <w:sz w:val="21"/>
                <w:highlight w:val="none"/>
                <w:u w:val="single"/>
              </w:rPr>
              <w:t>和导流沟，并覆盖防尘网，</w:t>
            </w:r>
            <w:r>
              <w:rPr>
                <w:rFonts w:ascii="Times New Roman" w:hAnsi="Times New Roman" w:eastAsia="宋体" w:cs="Times New Roman"/>
                <w:color w:val="auto"/>
                <w:sz w:val="21"/>
                <w:highlight w:val="none"/>
                <w:u w:val="single"/>
              </w:rPr>
              <w:t>定时洒水降尘，降低无组织颗粒物量</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1203" w:hRule="atLeast"/>
          <w:tblHeader/>
          <w:jc w:val="center"/>
        </w:trPr>
        <w:tc>
          <w:tcPr>
            <w:tcW w:w="720" w:type="dxa"/>
            <w:vMerge w:val="continue"/>
            <w:noWrap w:val="0"/>
            <w:tcMar>
              <w:top w:w="0" w:type="dxa"/>
              <w:left w:w="57" w:type="dxa"/>
              <w:bottom w:w="0" w:type="dxa"/>
              <w:right w:w="57" w:type="dxa"/>
            </w:tcMar>
            <w:vAlign w:val="center"/>
          </w:tcPr>
          <w:p>
            <w:pPr>
              <w:widowControl/>
              <w:spacing w:line="240" w:lineRule="auto"/>
              <w:ind w:firstLine="0" w:firstLineChars="0"/>
              <w:jc w:val="center"/>
              <w:rPr>
                <w:rFonts w:ascii="Times New Roman" w:hAnsi="Times New Roman" w:eastAsia="宋体" w:cs="Times New Roman"/>
                <w:bCs/>
                <w:color w:val="auto"/>
                <w:sz w:val="21"/>
                <w:highlight w:val="none"/>
                <w:u w:val="single"/>
                <w:lang w:val="zh-CN"/>
              </w:rPr>
            </w:pPr>
          </w:p>
        </w:tc>
        <w:tc>
          <w:tcPr>
            <w:tcW w:w="3347" w:type="dxa"/>
            <w:noWrap w:val="0"/>
            <w:tcMar>
              <w:top w:w="0" w:type="dxa"/>
              <w:left w:w="57" w:type="dxa"/>
              <w:bottom w:w="0" w:type="dxa"/>
              <w:right w:w="57" w:type="dxa"/>
            </w:tcMar>
            <w:vAlign w:val="center"/>
          </w:tcPr>
          <w:p>
            <w:pPr>
              <w:widowControl/>
              <w:spacing w:line="240" w:lineRule="auto"/>
              <w:ind w:firstLine="0" w:firstLineChars="0"/>
              <w:jc w:val="left"/>
              <w:rPr>
                <w:rFonts w:ascii="Times New Roman" w:hAnsi="Times New Roman" w:eastAsia="宋体" w:cs="Times New Roman"/>
                <w:bCs/>
                <w:color w:val="auto"/>
                <w:sz w:val="21"/>
                <w:highlight w:val="none"/>
                <w:u w:val="single"/>
              </w:rPr>
            </w:pPr>
            <w:r>
              <w:rPr>
                <w:rFonts w:hint="eastAsia" w:cs="Times New Roman"/>
                <w:bCs/>
                <w:color w:val="auto"/>
                <w:sz w:val="21"/>
                <w:highlight w:val="none"/>
                <w:u w:val="single"/>
                <w:lang w:val="en-US" w:eastAsia="zh-CN"/>
              </w:rPr>
              <w:t>矿山</w:t>
            </w:r>
            <w:r>
              <w:rPr>
                <w:rFonts w:ascii="Times New Roman" w:hAnsi="Times New Roman" w:eastAsia="宋体" w:cs="Times New Roman"/>
                <w:bCs/>
                <w:color w:val="auto"/>
                <w:sz w:val="21"/>
                <w:highlight w:val="none"/>
                <w:u w:val="single"/>
              </w:rPr>
              <w:t>场内运输道路未采取降尘措施</w:t>
            </w:r>
            <w:r>
              <w:rPr>
                <w:rFonts w:hint="eastAsia" w:cs="Times New Roman"/>
                <w:bCs/>
                <w:color w:val="auto"/>
                <w:sz w:val="21"/>
                <w:highlight w:val="none"/>
                <w:u w:val="single"/>
                <w:lang w:eastAsia="zh-CN"/>
              </w:rPr>
              <w:t>，</w:t>
            </w:r>
            <w:r>
              <w:rPr>
                <w:rFonts w:hint="eastAsia" w:ascii="Times New Roman" w:hAnsi="Times New Roman" w:eastAsia="宋体" w:cs="Times New Roman"/>
                <w:bCs/>
                <w:color w:val="auto"/>
                <w:sz w:val="21"/>
                <w:highlight w:val="none"/>
                <w:u w:val="single"/>
              </w:rPr>
              <w:t>进出矿山未设置车辆清洗池</w:t>
            </w:r>
            <w:r>
              <w:rPr>
                <w:rFonts w:hint="eastAsia" w:cs="Times New Roman"/>
                <w:bCs/>
                <w:color w:val="auto"/>
                <w:sz w:val="21"/>
                <w:highlight w:val="none"/>
                <w:u w:val="single"/>
                <w:lang w:eastAsia="zh-CN"/>
              </w:rPr>
              <w:t>，</w:t>
            </w:r>
            <w:r>
              <w:rPr>
                <w:rFonts w:hint="eastAsia" w:cs="Times New Roman"/>
                <w:bCs/>
                <w:color w:val="auto"/>
                <w:sz w:val="21"/>
                <w:highlight w:val="none"/>
                <w:u w:val="single"/>
                <w:lang w:val="en-US" w:eastAsia="zh-CN"/>
              </w:rPr>
              <w:t>运输过程粉尘排放量较大</w:t>
            </w:r>
          </w:p>
        </w:tc>
        <w:tc>
          <w:tcPr>
            <w:tcW w:w="5026" w:type="dxa"/>
            <w:noWrap w:val="0"/>
            <w:tcMar>
              <w:top w:w="0" w:type="dxa"/>
              <w:left w:w="57" w:type="dxa"/>
              <w:bottom w:w="0" w:type="dxa"/>
              <w:right w:w="57" w:type="dxa"/>
            </w:tcMar>
            <w:vAlign w:val="center"/>
          </w:tcPr>
          <w:p>
            <w:pPr>
              <w:widowControl/>
              <w:spacing w:line="240" w:lineRule="auto"/>
              <w:ind w:firstLine="0" w:firstLineChars="0"/>
              <w:jc w:val="left"/>
              <w:rPr>
                <w:rFonts w:ascii="Times New Roman" w:hAnsi="Times New Roman" w:eastAsia="宋体" w:cs="Times New Roman"/>
                <w:bCs/>
                <w:color w:val="auto"/>
                <w:sz w:val="21"/>
                <w:highlight w:val="none"/>
                <w:u w:val="single"/>
              </w:rPr>
            </w:pPr>
            <w:r>
              <w:rPr>
                <w:rFonts w:hint="eastAsia" w:cs="Times New Roman"/>
                <w:bCs/>
                <w:color w:val="auto"/>
                <w:sz w:val="21"/>
                <w:highlight w:val="none"/>
                <w:u w:val="single"/>
                <w:lang w:val="en-US" w:eastAsia="zh-CN"/>
              </w:rPr>
              <w:t>矿山</w:t>
            </w:r>
            <w:r>
              <w:rPr>
                <w:rFonts w:ascii="Times New Roman" w:hAnsi="Times New Roman" w:eastAsia="宋体" w:cs="Times New Roman"/>
                <w:bCs/>
                <w:color w:val="auto"/>
                <w:sz w:val="21"/>
                <w:highlight w:val="none"/>
                <w:u w:val="single"/>
              </w:rPr>
              <w:t>增加</w:t>
            </w:r>
            <w:r>
              <w:rPr>
                <w:rFonts w:hint="eastAsia" w:ascii="Times New Roman" w:hAnsi="Times New Roman" w:eastAsia="宋体" w:cs="Times New Roman"/>
                <w:bCs/>
                <w:color w:val="auto"/>
                <w:sz w:val="21"/>
                <w:highlight w:val="none"/>
                <w:u w:val="single"/>
              </w:rPr>
              <w:t>2</w:t>
            </w:r>
            <w:r>
              <w:rPr>
                <w:rFonts w:ascii="Times New Roman" w:hAnsi="Times New Roman" w:eastAsia="宋体" w:cs="Times New Roman"/>
                <w:bCs/>
                <w:color w:val="auto"/>
                <w:sz w:val="21"/>
                <w:highlight w:val="none"/>
                <w:u w:val="single"/>
              </w:rPr>
              <w:t>台洒水车，定期洒水除尘</w:t>
            </w:r>
            <w:r>
              <w:rPr>
                <w:rFonts w:hint="eastAsia" w:ascii="Times New Roman" w:hAnsi="Times New Roman" w:eastAsia="宋体" w:cs="Times New Roman"/>
                <w:bCs/>
                <w:color w:val="auto"/>
                <w:sz w:val="21"/>
                <w:highlight w:val="none"/>
                <w:u w:val="single"/>
              </w:rPr>
              <w:t>；破碎筛分区、堆料场和运输道路地面硬化处理，进出厂车辆设置车辆清洗池</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tblHeader/>
          <w:jc w:val="center"/>
        </w:trPr>
        <w:tc>
          <w:tcPr>
            <w:tcW w:w="720" w:type="dxa"/>
            <w:vMerge w:val="continue"/>
            <w:noWrap w:val="0"/>
            <w:tcMar>
              <w:top w:w="0" w:type="dxa"/>
              <w:left w:w="57" w:type="dxa"/>
              <w:bottom w:w="0" w:type="dxa"/>
              <w:right w:w="57" w:type="dxa"/>
            </w:tcMar>
            <w:vAlign w:val="center"/>
          </w:tcPr>
          <w:p>
            <w:pPr>
              <w:widowControl/>
              <w:spacing w:line="240" w:lineRule="auto"/>
              <w:ind w:firstLine="0" w:firstLineChars="0"/>
              <w:jc w:val="center"/>
              <w:rPr>
                <w:rFonts w:ascii="Times New Roman" w:hAnsi="Times New Roman" w:eastAsia="宋体" w:cs="Times New Roman"/>
                <w:color w:val="auto"/>
                <w:sz w:val="21"/>
                <w:highlight w:val="none"/>
                <w:u w:val="single"/>
              </w:rPr>
            </w:pPr>
          </w:p>
        </w:tc>
        <w:tc>
          <w:tcPr>
            <w:tcW w:w="3347" w:type="dxa"/>
            <w:noWrap w:val="0"/>
            <w:tcMar>
              <w:top w:w="0" w:type="dxa"/>
              <w:left w:w="57" w:type="dxa"/>
              <w:bottom w:w="0" w:type="dxa"/>
              <w:right w:w="57" w:type="dxa"/>
            </w:tcMar>
            <w:vAlign w:val="center"/>
          </w:tcPr>
          <w:p>
            <w:pPr>
              <w:widowControl/>
              <w:spacing w:line="240" w:lineRule="auto"/>
              <w:ind w:firstLine="0" w:firstLineChars="0"/>
              <w:jc w:val="center"/>
              <w:rPr>
                <w:rFonts w:hint="eastAsia" w:ascii="Times New Roman" w:hAnsi="Times New Roman" w:eastAsia="宋体" w:cs="Times New Roman"/>
                <w:color w:val="auto"/>
                <w:sz w:val="21"/>
                <w:highlight w:val="none"/>
                <w:u w:val="single"/>
                <w:lang w:eastAsia="zh-CN"/>
              </w:rPr>
            </w:pPr>
            <w:r>
              <w:rPr>
                <w:rFonts w:ascii="Times New Roman" w:hAnsi="Times New Roman" w:eastAsia="宋体" w:cs="Times New Roman"/>
                <w:color w:val="auto"/>
                <w:sz w:val="21"/>
                <w:highlight w:val="none"/>
                <w:u w:val="single"/>
              </w:rPr>
              <w:t>油烟未处理直接排放</w:t>
            </w:r>
          </w:p>
        </w:tc>
        <w:tc>
          <w:tcPr>
            <w:tcW w:w="5026" w:type="dxa"/>
            <w:noWrap w:val="0"/>
            <w:tcMar>
              <w:top w:w="0" w:type="dxa"/>
              <w:left w:w="57" w:type="dxa"/>
              <w:bottom w:w="0" w:type="dxa"/>
              <w:right w:w="57" w:type="dxa"/>
            </w:tcMar>
            <w:vAlign w:val="center"/>
          </w:tcPr>
          <w:p>
            <w:pPr>
              <w:widowControl/>
              <w:spacing w:line="240" w:lineRule="auto"/>
              <w:ind w:firstLine="0" w:firstLineChars="0"/>
              <w:jc w:val="center"/>
              <w:rPr>
                <w:rFonts w:hint="eastAsia" w:ascii="Times New Roman" w:hAnsi="Times New Roman" w:eastAsia="宋体" w:cs="Times New Roman"/>
                <w:color w:val="auto"/>
                <w:sz w:val="21"/>
                <w:highlight w:val="none"/>
                <w:u w:val="single"/>
                <w:lang w:eastAsia="zh-CN"/>
              </w:rPr>
            </w:pPr>
            <w:r>
              <w:rPr>
                <w:rFonts w:ascii="Times New Roman" w:hAnsi="Times New Roman" w:eastAsia="宋体" w:cs="Times New Roman"/>
                <w:color w:val="auto"/>
                <w:sz w:val="21"/>
                <w:highlight w:val="none"/>
                <w:u w:val="single"/>
              </w:rPr>
              <w:t>油烟经油烟净化器处理后排放</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tblHeader/>
          <w:jc w:val="center"/>
        </w:trPr>
        <w:tc>
          <w:tcPr>
            <w:tcW w:w="720" w:type="dxa"/>
            <w:vMerge w:val="restart"/>
            <w:noWrap w:val="0"/>
            <w:tcMar>
              <w:top w:w="0" w:type="dxa"/>
              <w:left w:w="57" w:type="dxa"/>
              <w:bottom w:w="0" w:type="dxa"/>
              <w:right w:w="57" w:type="dxa"/>
            </w:tcMar>
            <w:vAlign w:val="center"/>
          </w:tcPr>
          <w:p>
            <w:pPr>
              <w:widowControl/>
              <w:spacing w:line="240" w:lineRule="auto"/>
              <w:ind w:firstLine="0" w:firstLineChars="0"/>
              <w:jc w:val="center"/>
              <w:rPr>
                <w:rFonts w:ascii="Times New Roman" w:hAnsi="Times New Roman" w:eastAsia="宋体" w:cs="Times New Roman"/>
                <w:bCs/>
                <w:color w:val="auto"/>
                <w:sz w:val="21"/>
                <w:highlight w:val="none"/>
                <w:u w:val="single"/>
                <w:lang w:val="zh-CN"/>
              </w:rPr>
            </w:pPr>
            <w:r>
              <w:rPr>
                <w:rFonts w:ascii="Times New Roman" w:hAnsi="Times New Roman" w:eastAsia="宋体" w:cs="Times New Roman"/>
                <w:bCs/>
                <w:color w:val="auto"/>
                <w:sz w:val="21"/>
                <w:highlight w:val="none"/>
                <w:u w:val="single"/>
                <w:lang w:val="zh-CN"/>
              </w:rPr>
              <w:t>废水</w:t>
            </w:r>
          </w:p>
        </w:tc>
        <w:tc>
          <w:tcPr>
            <w:tcW w:w="3347" w:type="dxa"/>
            <w:noWrap w:val="0"/>
            <w:tcMar>
              <w:top w:w="0" w:type="dxa"/>
              <w:left w:w="57" w:type="dxa"/>
              <w:bottom w:w="0" w:type="dxa"/>
              <w:right w:w="57" w:type="dxa"/>
            </w:tcMar>
            <w:vAlign w:val="center"/>
          </w:tcPr>
          <w:p>
            <w:pPr>
              <w:widowControl/>
              <w:spacing w:line="240" w:lineRule="auto"/>
              <w:ind w:firstLine="0" w:firstLineChars="0"/>
              <w:jc w:val="center"/>
              <w:rPr>
                <w:rFonts w:hint="eastAsia" w:ascii="Times New Roman" w:hAnsi="Times New Roman" w:eastAsia="宋体" w:cs="Times New Roman"/>
                <w:bCs/>
                <w:color w:val="auto"/>
                <w:sz w:val="21"/>
                <w:highlight w:val="none"/>
                <w:u w:val="single"/>
                <w:lang w:eastAsia="zh-CN"/>
              </w:rPr>
            </w:pPr>
            <w:r>
              <w:rPr>
                <w:rFonts w:ascii="Times New Roman" w:hAnsi="Times New Roman" w:eastAsia="宋体" w:cs="Times New Roman"/>
                <w:bCs/>
                <w:color w:val="auto"/>
                <w:sz w:val="21"/>
                <w:highlight w:val="none"/>
                <w:u w:val="single"/>
              </w:rPr>
              <w:t>初期雨水未经收集直接排入外环境</w:t>
            </w:r>
          </w:p>
        </w:tc>
        <w:tc>
          <w:tcPr>
            <w:tcW w:w="5026" w:type="dxa"/>
            <w:noWrap w:val="0"/>
            <w:tcMar>
              <w:top w:w="0" w:type="dxa"/>
              <w:left w:w="57" w:type="dxa"/>
              <w:bottom w:w="0" w:type="dxa"/>
              <w:right w:w="57" w:type="dxa"/>
            </w:tcMar>
            <w:vAlign w:val="center"/>
          </w:tcPr>
          <w:p>
            <w:pPr>
              <w:widowControl/>
              <w:spacing w:line="240" w:lineRule="auto"/>
              <w:ind w:firstLine="0" w:firstLineChars="0"/>
              <w:jc w:val="left"/>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初期雨水经沉砂池收集，沉淀后回用于矿山洒水降尘。</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tblHeader/>
          <w:jc w:val="center"/>
        </w:trPr>
        <w:tc>
          <w:tcPr>
            <w:tcW w:w="720" w:type="dxa"/>
            <w:vMerge w:val="continue"/>
            <w:noWrap w:val="0"/>
            <w:tcMar>
              <w:top w:w="0" w:type="dxa"/>
              <w:left w:w="57" w:type="dxa"/>
              <w:bottom w:w="0" w:type="dxa"/>
              <w:right w:w="57" w:type="dxa"/>
            </w:tcMar>
            <w:vAlign w:val="center"/>
          </w:tcPr>
          <w:p>
            <w:pPr>
              <w:widowControl/>
              <w:spacing w:line="240" w:lineRule="auto"/>
              <w:ind w:firstLine="0" w:firstLineChars="0"/>
              <w:jc w:val="center"/>
              <w:rPr>
                <w:rFonts w:ascii="Times New Roman" w:hAnsi="Times New Roman" w:eastAsia="宋体" w:cs="Times New Roman"/>
                <w:bCs/>
                <w:color w:val="auto"/>
                <w:sz w:val="21"/>
                <w:highlight w:val="none"/>
                <w:u w:val="single"/>
                <w:lang w:val="zh-CN"/>
              </w:rPr>
            </w:pPr>
          </w:p>
        </w:tc>
        <w:tc>
          <w:tcPr>
            <w:tcW w:w="3347" w:type="dxa"/>
            <w:noWrap w:val="0"/>
            <w:tcMar>
              <w:top w:w="0" w:type="dxa"/>
              <w:left w:w="57" w:type="dxa"/>
              <w:bottom w:w="0" w:type="dxa"/>
              <w:right w:w="57" w:type="dxa"/>
            </w:tcMar>
            <w:vAlign w:val="center"/>
          </w:tcPr>
          <w:p>
            <w:pPr>
              <w:widowControl/>
              <w:spacing w:line="240" w:lineRule="auto"/>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厨房废水未经隔油处理</w:t>
            </w:r>
          </w:p>
        </w:tc>
        <w:tc>
          <w:tcPr>
            <w:tcW w:w="5026" w:type="dxa"/>
            <w:noWrap w:val="0"/>
            <w:tcMar>
              <w:top w:w="0" w:type="dxa"/>
              <w:left w:w="57" w:type="dxa"/>
              <w:bottom w:w="0" w:type="dxa"/>
              <w:right w:w="57" w:type="dxa"/>
            </w:tcMar>
            <w:vAlign w:val="center"/>
          </w:tcPr>
          <w:p>
            <w:pPr>
              <w:widowControl/>
              <w:spacing w:line="240" w:lineRule="auto"/>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厨房废水增加隔油处理设施</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tblHeader/>
          <w:jc w:val="center"/>
        </w:trPr>
        <w:tc>
          <w:tcPr>
            <w:tcW w:w="720" w:type="dxa"/>
            <w:vMerge w:val="continue"/>
            <w:noWrap w:val="0"/>
            <w:tcMar>
              <w:top w:w="0" w:type="dxa"/>
              <w:left w:w="57" w:type="dxa"/>
              <w:bottom w:w="0" w:type="dxa"/>
              <w:right w:w="57" w:type="dxa"/>
            </w:tcMar>
            <w:vAlign w:val="center"/>
          </w:tcPr>
          <w:p>
            <w:pPr>
              <w:widowControl/>
              <w:spacing w:line="240" w:lineRule="auto"/>
              <w:ind w:firstLine="0" w:firstLineChars="0"/>
              <w:jc w:val="center"/>
              <w:rPr>
                <w:rFonts w:ascii="Times New Roman" w:hAnsi="Times New Roman" w:eastAsia="宋体" w:cs="Times New Roman"/>
                <w:bCs/>
                <w:color w:val="auto"/>
                <w:sz w:val="21"/>
                <w:highlight w:val="none"/>
                <w:u w:val="single"/>
                <w:lang w:val="zh-CN"/>
              </w:rPr>
            </w:pPr>
          </w:p>
        </w:tc>
        <w:tc>
          <w:tcPr>
            <w:tcW w:w="3347" w:type="dxa"/>
            <w:noWrap w:val="0"/>
            <w:tcMar>
              <w:top w:w="0" w:type="dxa"/>
              <w:left w:w="57" w:type="dxa"/>
              <w:bottom w:w="0" w:type="dxa"/>
              <w:right w:w="57" w:type="dxa"/>
            </w:tcMar>
            <w:vAlign w:val="center"/>
          </w:tcPr>
          <w:p>
            <w:pPr>
              <w:widowControl/>
              <w:spacing w:line="240" w:lineRule="auto"/>
              <w:ind w:firstLine="0" w:firstLineChars="0"/>
              <w:jc w:val="left"/>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洗砂废水</w:t>
            </w:r>
            <w:r>
              <w:rPr>
                <w:rFonts w:hint="eastAsia" w:ascii="Times New Roman" w:hAnsi="Times New Roman" w:eastAsia="宋体" w:cs="Times New Roman"/>
                <w:bCs/>
                <w:color w:val="auto"/>
                <w:sz w:val="21"/>
                <w:highlight w:val="none"/>
                <w:u w:val="single"/>
              </w:rPr>
              <w:t>沉砂池未设置厂棚，雨水冲刷后</w:t>
            </w:r>
            <w:r>
              <w:rPr>
                <w:rFonts w:ascii="Times New Roman" w:hAnsi="Times New Roman" w:eastAsia="宋体" w:cs="Times New Roman"/>
                <w:bCs/>
                <w:color w:val="auto"/>
                <w:sz w:val="21"/>
                <w:highlight w:val="none"/>
                <w:u w:val="single"/>
              </w:rPr>
              <w:t>直接排入附近</w:t>
            </w:r>
            <w:r>
              <w:rPr>
                <w:rFonts w:hint="eastAsia" w:ascii="Times New Roman" w:hAnsi="Times New Roman" w:eastAsia="宋体" w:cs="Times New Roman"/>
                <w:bCs/>
                <w:color w:val="auto"/>
                <w:sz w:val="21"/>
                <w:highlight w:val="none"/>
                <w:u w:val="single"/>
              </w:rPr>
              <w:t>无名小沟</w:t>
            </w:r>
          </w:p>
        </w:tc>
        <w:tc>
          <w:tcPr>
            <w:tcW w:w="5026" w:type="dxa"/>
            <w:noWrap w:val="0"/>
            <w:tcMar>
              <w:top w:w="0" w:type="dxa"/>
              <w:left w:w="57" w:type="dxa"/>
              <w:bottom w:w="0" w:type="dxa"/>
              <w:right w:w="57" w:type="dxa"/>
            </w:tcMar>
            <w:vAlign w:val="center"/>
          </w:tcPr>
          <w:p>
            <w:pPr>
              <w:widowControl/>
              <w:spacing w:line="240" w:lineRule="auto"/>
              <w:ind w:firstLine="0" w:firstLineChars="0"/>
              <w:jc w:val="left"/>
              <w:rPr>
                <w:rFonts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highlight w:val="none"/>
                <w:u w:val="single"/>
              </w:rPr>
              <w:t>洗砂区设置厂棚，洗砂废水经三级沉淀后循环利用，不外排</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tblHeader/>
          <w:jc w:val="center"/>
        </w:trPr>
        <w:tc>
          <w:tcPr>
            <w:tcW w:w="720" w:type="dxa"/>
            <w:vMerge w:val="restart"/>
            <w:noWrap w:val="0"/>
            <w:tcMar>
              <w:top w:w="0" w:type="dxa"/>
              <w:left w:w="57" w:type="dxa"/>
              <w:bottom w:w="0" w:type="dxa"/>
              <w:right w:w="57" w:type="dxa"/>
            </w:tcMar>
            <w:vAlign w:val="center"/>
          </w:tcPr>
          <w:p>
            <w:pPr>
              <w:widowControl/>
              <w:spacing w:line="240" w:lineRule="auto"/>
              <w:ind w:firstLine="0" w:firstLineChars="0"/>
              <w:jc w:val="center"/>
              <w:rPr>
                <w:rFonts w:ascii="Times New Roman" w:hAnsi="Times New Roman" w:eastAsia="宋体" w:cs="Times New Roman"/>
                <w:bCs/>
                <w:color w:val="auto"/>
                <w:sz w:val="21"/>
                <w:highlight w:val="none"/>
                <w:u w:val="single"/>
                <w:lang w:val="zh-CN"/>
              </w:rPr>
            </w:pPr>
            <w:r>
              <w:rPr>
                <w:rFonts w:ascii="Times New Roman" w:hAnsi="Times New Roman" w:eastAsia="宋体" w:cs="Times New Roman"/>
                <w:bCs/>
                <w:color w:val="auto"/>
                <w:sz w:val="21"/>
                <w:highlight w:val="none"/>
                <w:u w:val="single"/>
              </w:rPr>
              <w:t>固体废物</w:t>
            </w:r>
          </w:p>
        </w:tc>
        <w:tc>
          <w:tcPr>
            <w:tcW w:w="3347" w:type="dxa"/>
            <w:noWrap w:val="0"/>
            <w:tcMar>
              <w:top w:w="0" w:type="dxa"/>
              <w:left w:w="57" w:type="dxa"/>
              <w:bottom w:w="0" w:type="dxa"/>
              <w:right w:w="57" w:type="dxa"/>
            </w:tcMar>
            <w:vAlign w:val="center"/>
          </w:tcPr>
          <w:p>
            <w:pPr>
              <w:widowControl/>
              <w:spacing w:line="240" w:lineRule="auto"/>
              <w:ind w:firstLine="0" w:firstLineChars="0"/>
              <w:jc w:val="left"/>
              <w:rPr>
                <w:rFonts w:hint="default" w:ascii="Times New Roman" w:hAnsi="Times New Roman" w:eastAsia="宋体" w:cs="Times New Roman"/>
                <w:bCs/>
                <w:color w:val="auto"/>
                <w:sz w:val="21"/>
                <w:highlight w:val="none"/>
                <w:u w:val="single"/>
                <w:lang w:val="en-US" w:eastAsia="zh-CN"/>
              </w:rPr>
            </w:pPr>
            <w:r>
              <w:rPr>
                <w:rFonts w:ascii="Times New Roman" w:hAnsi="Times New Roman" w:eastAsia="宋体" w:cs="Times New Roman"/>
                <w:bCs/>
                <w:color w:val="auto"/>
                <w:sz w:val="21"/>
                <w:highlight w:val="none"/>
                <w:u w:val="single"/>
              </w:rPr>
              <w:t>表土和</w:t>
            </w:r>
            <w:r>
              <w:rPr>
                <w:rFonts w:hint="eastAsia" w:ascii="Times New Roman" w:hAnsi="Times New Roman" w:eastAsia="宋体" w:cs="Times New Roman"/>
                <w:bCs/>
                <w:color w:val="auto"/>
                <w:sz w:val="21"/>
                <w:highlight w:val="none"/>
                <w:u w:val="single"/>
              </w:rPr>
              <w:t>废土石渣</w:t>
            </w:r>
            <w:r>
              <w:rPr>
                <w:rFonts w:hint="eastAsia" w:ascii="Times New Roman" w:hAnsi="Times New Roman" w:eastAsia="宋体" w:cs="Times New Roman"/>
                <w:bCs/>
                <w:color w:val="auto"/>
                <w:sz w:val="21"/>
                <w:highlight w:val="none"/>
                <w:u w:val="single"/>
                <w:lang w:val="en-US" w:eastAsia="zh-CN"/>
              </w:rPr>
              <w:t>未分开堆放，且</w:t>
            </w:r>
            <w:r>
              <w:rPr>
                <w:rFonts w:ascii="Times New Roman" w:hAnsi="Times New Roman" w:eastAsia="宋体" w:cs="Times New Roman"/>
                <w:bCs/>
                <w:color w:val="auto"/>
                <w:sz w:val="21"/>
                <w:highlight w:val="none"/>
                <w:u w:val="single"/>
              </w:rPr>
              <w:t>全部用于矿区道路平整</w:t>
            </w:r>
            <w:r>
              <w:rPr>
                <w:rFonts w:hint="eastAsia" w:cs="Times New Roman"/>
                <w:bCs/>
                <w:color w:val="auto"/>
                <w:sz w:val="21"/>
                <w:highlight w:val="none"/>
                <w:u w:val="single"/>
                <w:lang w:eastAsia="zh-CN"/>
              </w:rPr>
              <w:t>，</w:t>
            </w:r>
            <w:r>
              <w:rPr>
                <w:rFonts w:hint="eastAsia" w:cs="Times New Roman"/>
                <w:bCs/>
                <w:color w:val="auto"/>
                <w:sz w:val="21"/>
                <w:highlight w:val="none"/>
                <w:u w:val="single"/>
                <w:lang w:val="en-US" w:eastAsia="zh-CN"/>
              </w:rPr>
              <w:t>表土未作为后续土地复垦表土备用</w:t>
            </w:r>
          </w:p>
        </w:tc>
        <w:tc>
          <w:tcPr>
            <w:tcW w:w="5026" w:type="dxa"/>
            <w:noWrap w:val="0"/>
            <w:tcMar>
              <w:top w:w="0" w:type="dxa"/>
              <w:left w:w="57" w:type="dxa"/>
              <w:bottom w:w="0" w:type="dxa"/>
              <w:right w:w="57" w:type="dxa"/>
            </w:tcMar>
            <w:vAlign w:val="center"/>
          </w:tcPr>
          <w:p>
            <w:pPr>
              <w:widowControl/>
              <w:spacing w:line="240" w:lineRule="auto"/>
              <w:ind w:firstLine="0" w:firstLineChars="0"/>
              <w:jc w:val="left"/>
              <w:rPr>
                <w:rFonts w:hint="eastAsia" w:ascii="Times New Roman" w:hAnsi="Times New Roman" w:eastAsia="宋体" w:cs="Times New Roman"/>
                <w:bCs/>
                <w:color w:val="auto"/>
                <w:sz w:val="21"/>
                <w:highlight w:val="none"/>
                <w:u w:val="single"/>
                <w:lang w:eastAsia="zh-CN"/>
              </w:rPr>
            </w:pPr>
            <w:r>
              <w:rPr>
                <w:rFonts w:ascii="Times New Roman" w:hAnsi="Times New Roman" w:eastAsia="宋体" w:cs="Times New Roman"/>
                <w:bCs/>
                <w:color w:val="auto"/>
                <w:sz w:val="21"/>
                <w:highlight w:val="none"/>
                <w:u w:val="single"/>
              </w:rPr>
              <w:t>表土</w:t>
            </w:r>
            <w:r>
              <w:rPr>
                <w:rFonts w:hint="eastAsia" w:ascii="Times New Roman" w:hAnsi="Times New Roman" w:eastAsia="宋体" w:cs="Times New Roman"/>
                <w:bCs/>
                <w:color w:val="auto"/>
                <w:sz w:val="21"/>
                <w:highlight w:val="none"/>
                <w:u w:val="single"/>
                <w:lang w:val="en-US" w:eastAsia="zh-CN"/>
              </w:rPr>
              <w:t>和废土石渣分类</w:t>
            </w:r>
            <w:r>
              <w:rPr>
                <w:rFonts w:ascii="Times New Roman" w:hAnsi="Times New Roman" w:eastAsia="宋体" w:cs="Times New Roman"/>
                <w:bCs/>
                <w:color w:val="auto"/>
                <w:sz w:val="21"/>
                <w:highlight w:val="none"/>
                <w:u w:val="single"/>
              </w:rPr>
              <w:t>堆存于</w:t>
            </w:r>
            <w:r>
              <w:rPr>
                <w:rFonts w:hint="eastAsia" w:ascii="Times New Roman" w:hAnsi="Times New Roman" w:eastAsia="宋体" w:cs="Times New Roman"/>
                <w:bCs/>
                <w:color w:val="auto"/>
                <w:sz w:val="21"/>
                <w:highlight w:val="none"/>
                <w:u w:val="single"/>
              </w:rPr>
              <w:t>临时排土场</w:t>
            </w:r>
            <w:r>
              <w:rPr>
                <w:rFonts w:ascii="Times New Roman" w:hAnsi="Times New Roman" w:eastAsia="宋体" w:cs="Times New Roman"/>
                <w:bCs/>
                <w:color w:val="auto"/>
                <w:sz w:val="21"/>
                <w:highlight w:val="none"/>
                <w:u w:val="single"/>
              </w:rPr>
              <w:t>，</w:t>
            </w:r>
            <w:r>
              <w:rPr>
                <w:rFonts w:hint="eastAsia" w:ascii="Times New Roman" w:hAnsi="Times New Roman" w:eastAsia="宋体" w:cs="Times New Roman"/>
                <w:bCs/>
                <w:color w:val="auto"/>
                <w:sz w:val="21"/>
                <w:highlight w:val="none"/>
                <w:u w:val="single"/>
                <w:lang w:val="en-US" w:eastAsia="zh-CN"/>
              </w:rPr>
              <w:t>表土</w:t>
            </w:r>
            <w:r>
              <w:rPr>
                <w:rFonts w:ascii="Times New Roman" w:hAnsi="Times New Roman" w:eastAsia="宋体" w:cs="Times New Roman"/>
                <w:bCs/>
                <w:color w:val="auto"/>
                <w:sz w:val="21"/>
                <w:highlight w:val="none"/>
                <w:u w:val="single"/>
              </w:rPr>
              <w:t>用于矿山复垦，</w:t>
            </w:r>
            <w:r>
              <w:rPr>
                <w:rFonts w:hint="eastAsia" w:ascii="Times New Roman" w:hAnsi="Times New Roman" w:eastAsia="宋体" w:cs="Times New Roman"/>
                <w:bCs/>
                <w:color w:val="auto"/>
                <w:sz w:val="21"/>
                <w:highlight w:val="none"/>
                <w:u w:val="single"/>
              </w:rPr>
              <w:t>废土石渣</w:t>
            </w:r>
            <w:r>
              <w:rPr>
                <w:rFonts w:hint="eastAsia" w:ascii="Times New Roman" w:hAnsi="Times New Roman" w:eastAsia="宋体" w:cs="Times New Roman"/>
                <w:color w:val="auto"/>
                <w:kern w:val="0"/>
                <w:sz w:val="21"/>
                <w:highlight w:val="none"/>
                <w:u w:val="single"/>
              </w:rPr>
              <w:t>经外卖</w:t>
            </w:r>
            <w:r>
              <w:rPr>
                <w:rFonts w:ascii="Times New Roman" w:hAnsi="Times New Roman" w:eastAsia="宋体" w:cs="Times New Roman"/>
                <w:color w:val="auto"/>
                <w:kern w:val="0"/>
                <w:sz w:val="21"/>
                <w:highlight w:val="none"/>
                <w:u w:val="single"/>
              </w:rPr>
              <w:t>用于</w:t>
            </w:r>
            <w:r>
              <w:rPr>
                <w:rFonts w:hint="eastAsia" w:ascii="Times New Roman" w:hAnsi="Times New Roman" w:eastAsia="宋体" w:cs="Times New Roman"/>
                <w:color w:val="auto"/>
                <w:kern w:val="0"/>
                <w:sz w:val="21"/>
                <w:highlight w:val="none"/>
                <w:u w:val="single"/>
              </w:rPr>
              <w:t>周边</w:t>
            </w:r>
            <w:r>
              <w:rPr>
                <w:rFonts w:ascii="Times New Roman" w:hAnsi="Times New Roman" w:eastAsia="宋体" w:cs="Times New Roman"/>
                <w:color w:val="auto"/>
                <w:kern w:val="0"/>
                <w:sz w:val="21"/>
                <w:highlight w:val="none"/>
                <w:u w:val="single"/>
              </w:rPr>
              <w:t>道路</w:t>
            </w:r>
            <w:r>
              <w:rPr>
                <w:rFonts w:hint="eastAsia" w:ascii="Times New Roman" w:hAnsi="Times New Roman" w:eastAsia="宋体" w:cs="Times New Roman"/>
                <w:color w:val="auto"/>
                <w:kern w:val="0"/>
                <w:sz w:val="21"/>
                <w:highlight w:val="none"/>
                <w:u w:val="single"/>
              </w:rPr>
              <w:t>建设</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906" w:hRule="atLeast"/>
          <w:tblHeader/>
          <w:jc w:val="center"/>
        </w:trPr>
        <w:tc>
          <w:tcPr>
            <w:tcW w:w="720" w:type="dxa"/>
            <w:vMerge w:val="continue"/>
            <w:noWrap w:val="0"/>
            <w:tcMar>
              <w:top w:w="0" w:type="dxa"/>
              <w:left w:w="57" w:type="dxa"/>
              <w:bottom w:w="0" w:type="dxa"/>
              <w:right w:w="57" w:type="dxa"/>
            </w:tcMar>
            <w:vAlign w:val="center"/>
          </w:tcPr>
          <w:p>
            <w:pPr>
              <w:widowControl/>
              <w:spacing w:line="240" w:lineRule="auto"/>
              <w:ind w:firstLine="0" w:firstLineChars="0"/>
              <w:jc w:val="center"/>
              <w:rPr>
                <w:rFonts w:ascii="Times New Roman" w:hAnsi="Times New Roman" w:eastAsia="宋体" w:cs="Times New Roman"/>
                <w:bCs/>
                <w:color w:val="auto"/>
                <w:sz w:val="21"/>
                <w:highlight w:val="none"/>
                <w:u w:val="single"/>
              </w:rPr>
            </w:pPr>
          </w:p>
        </w:tc>
        <w:tc>
          <w:tcPr>
            <w:tcW w:w="3347" w:type="dxa"/>
            <w:noWrap w:val="0"/>
            <w:tcMar>
              <w:top w:w="0" w:type="dxa"/>
              <w:left w:w="57" w:type="dxa"/>
              <w:bottom w:w="0" w:type="dxa"/>
              <w:right w:w="57" w:type="dxa"/>
            </w:tcMar>
            <w:vAlign w:val="center"/>
          </w:tcPr>
          <w:p>
            <w:pPr>
              <w:widowControl/>
              <w:spacing w:line="240" w:lineRule="auto"/>
              <w:ind w:firstLine="0" w:firstLineChars="0"/>
              <w:jc w:val="left"/>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机械维修过程废机油和废含油抹布</w:t>
            </w:r>
            <w:r>
              <w:rPr>
                <w:rFonts w:hint="eastAsia" w:ascii="Times New Roman" w:hAnsi="Times New Roman" w:eastAsia="宋体" w:cs="Times New Roman"/>
                <w:bCs/>
                <w:color w:val="auto"/>
                <w:sz w:val="21"/>
                <w:highlight w:val="none"/>
                <w:u w:val="single"/>
              </w:rPr>
              <w:t>存放于机修间，</w:t>
            </w:r>
            <w:r>
              <w:rPr>
                <w:rFonts w:ascii="Times New Roman" w:hAnsi="Times New Roman" w:eastAsia="宋体" w:cs="Times New Roman"/>
                <w:bCs/>
                <w:color w:val="auto"/>
                <w:sz w:val="21"/>
                <w:highlight w:val="none"/>
                <w:u w:val="single"/>
              </w:rPr>
              <w:t>未合理处置</w:t>
            </w:r>
          </w:p>
        </w:tc>
        <w:tc>
          <w:tcPr>
            <w:tcW w:w="5026" w:type="dxa"/>
            <w:noWrap w:val="0"/>
            <w:tcMar>
              <w:top w:w="0" w:type="dxa"/>
              <w:left w:w="57" w:type="dxa"/>
              <w:bottom w:w="0" w:type="dxa"/>
              <w:right w:w="57" w:type="dxa"/>
            </w:tcMar>
            <w:vAlign w:val="center"/>
          </w:tcPr>
          <w:p>
            <w:pPr>
              <w:widowControl/>
              <w:spacing w:line="240" w:lineRule="auto"/>
              <w:ind w:firstLine="0" w:firstLineChars="0"/>
              <w:jc w:val="left"/>
              <w:rPr>
                <w:rFonts w:hint="default" w:ascii="Times New Roman" w:hAnsi="Times New Roman" w:eastAsia="宋体" w:cs="Times New Roman"/>
                <w:bCs/>
                <w:color w:val="auto"/>
                <w:sz w:val="21"/>
                <w:highlight w:val="none"/>
                <w:u w:val="single"/>
                <w:lang w:val="en-US" w:eastAsia="zh-CN"/>
              </w:rPr>
            </w:pPr>
            <w:r>
              <w:rPr>
                <w:rFonts w:ascii="Times New Roman" w:hAnsi="Times New Roman" w:eastAsia="宋体" w:cs="Times New Roman"/>
                <w:bCs/>
                <w:color w:val="auto"/>
                <w:sz w:val="21"/>
                <w:highlight w:val="none"/>
                <w:u w:val="single"/>
              </w:rPr>
              <w:t>废机油暂存于危险废物暂存间，委托有资质单位处置</w:t>
            </w:r>
            <w:r>
              <w:rPr>
                <w:rFonts w:hint="eastAsia" w:cs="Times New Roman"/>
                <w:bCs/>
                <w:color w:val="auto"/>
                <w:sz w:val="21"/>
                <w:highlight w:val="none"/>
                <w:u w:val="single"/>
                <w:lang w:eastAsia="zh-CN"/>
              </w:rPr>
              <w:t>，</w:t>
            </w:r>
            <w:r>
              <w:rPr>
                <w:rFonts w:ascii="Times New Roman" w:hAnsi="Times New Roman" w:eastAsia="宋体" w:cs="Times New Roman"/>
                <w:bCs/>
                <w:color w:val="auto"/>
                <w:sz w:val="21"/>
                <w:highlight w:val="none"/>
                <w:u w:val="single"/>
              </w:rPr>
              <w:t>废含油抹布</w:t>
            </w:r>
            <w:r>
              <w:rPr>
                <w:rFonts w:hint="eastAsia" w:cs="Times New Roman"/>
                <w:bCs/>
                <w:color w:val="auto"/>
                <w:sz w:val="21"/>
                <w:highlight w:val="none"/>
                <w:u w:val="single"/>
                <w:lang w:val="en-US" w:eastAsia="zh-CN"/>
              </w:rPr>
              <w:t>混入生活垃圾，委托环卫部门处理。</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tblHeader/>
          <w:jc w:val="center"/>
        </w:trPr>
        <w:tc>
          <w:tcPr>
            <w:tcW w:w="720" w:type="dxa"/>
            <w:vMerge w:val="restart"/>
            <w:noWrap w:val="0"/>
            <w:tcMar>
              <w:top w:w="0" w:type="dxa"/>
              <w:left w:w="57" w:type="dxa"/>
              <w:bottom w:w="0" w:type="dxa"/>
              <w:right w:w="57" w:type="dxa"/>
            </w:tcMar>
            <w:vAlign w:val="center"/>
          </w:tcPr>
          <w:p>
            <w:pPr>
              <w:widowControl/>
              <w:spacing w:line="240" w:lineRule="auto"/>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生态环境</w:t>
            </w:r>
          </w:p>
        </w:tc>
        <w:tc>
          <w:tcPr>
            <w:tcW w:w="3347" w:type="dxa"/>
            <w:noWrap w:val="0"/>
            <w:tcMar>
              <w:top w:w="0" w:type="dxa"/>
              <w:left w:w="57" w:type="dxa"/>
              <w:bottom w:w="0" w:type="dxa"/>
              <w:right w:w="57" w:type="dxa"/>
            </w:tcMar>
            <w:vAlign w:val="center"/>
          </w:tcPr>
          <w:p>
            <w:pPr>
              <w:widowControl/>
              <w:spacing w:line="240" w:lineRule="auto"/>
              <w:ind w:firstLine="0" w:firstLineChars="0"/>
              <w:jc w:val="left"/>
              <w:rPr>
                <w:rFonts w:ascii="Times New Roman" w:hAnsi="Times New Roman" w:eastAsia="宋体" w:cs="Times New Roman"/>
                <w:bCs/>
                <w:color w:val="auto"/>
                <w:sz w:val="21"/>
                <w:highlight w:val="none"/>
                <w:u w:val="single"/>
              </w:rPr>
            </w:pPr>
            <w:r>
              <w:rPr>
                <w:rFonts w:hint="eastAsia" w:cs="Times New Roman"/>
                <w:bCs/>
                <w:color w:val="auto"/>
                <w:sz w:val="21"/>
                <w:highlight w:val="none"/>
                <w:u w:val="single"/>
                <w:lang w:val="en-US" w:eastAsia="zh-CN"/>
              </w:rPr>
              <w:t>2个矿山边界、</w:t>
            </w:r>
            <w:r>
              <w:rPr>
                <w:rFonts w:ascii="Times New Roman" w:hAnsi="Times New Roman" w:eastAsia="宋体" w:cs="Times New Roman"/>
                <w:bCs/>
                <w:color w:val="auto"/>
                <w:sz w:val="21"/>
                <w:highlight w:val="none"/>
                <w:u w:val="single"/>
              </w:rPr>
              <w:t>矿区内</w:t>
            </w:r>
            <w:r>
              <w:rPr>
                <w:rFonts w:hint="eastAsia" w:cs="Times New Roman"/>
                <w:bCs/>
                <w:color w:val="auto"/>
                <w:sz w:val="21"/>
                <w:highlight w:val="none"/>
                <w:u w:val="single"/>
                <w:lang w:val="en-US" w:eastAsia="zh-CN"/>
              </w:rPr>
              <w:t>上山道路周边</w:t>
            </w:r>
            <w:r>
              <w:rPr>
                <w:rFonts w:ascii="Times New Roman" w:hAnsi="Times New Roman" w:eastAsia="宋体" w:cs="Times New Roman"/>
                <w:bCs/>
                <w:color w:val="auto"/>
                <w:sz w:val="21"/>
                <w:highlight w:val="none"/>
                <w:u w:val="single"/>
              </w:rPr>
              <w:t>未设置截排水沟和初期雨水沉砂池，</w:t>
            </w:r>
            <w:r>
              <w:rPr>
                <w:rFonts w:hint="eastAsia" w:cs="Times New Roman"/>
                <w:bCs/>
                <w:color w:val="auto"/>
                <w:sz w:val="21"/>
                <w:highlight w:val="none"/>
                <w:u w:val="single"/>
                <w:lang w:val="en-US" w:eastAsia="zh-CN"/>
              </w:rPr>
              <w:t>地表径流直接冲刷开采区，导致开采区水土流失严重，泥沙直接进入矿区周边溪沟</w:t>
            </w:r>
          </w:p>
        </w:tc>
        <w:tc>
          <w:tcPr>
            <w:tcW w:w="5026" w:type="dxa"/>
            <w:noWrap w:val="0"/>
            <w:tcMar>
              <w:top w:w="0" w:type="dxa"/>
              <w:left w:w="57" w:type="dxa"/>
              <w:bottom w:w="0" w:type="dxa"/>
              <w:right w:w="57" w:type="dxa"/>
            </w:tcMar>
            <w:vAlign w:val="center"/>
          </w:tcPr>
          <w:p>
            <w:pPr>
              <w:widowControl/>
              <w:spacing w:line="240" w:lineRule="auto"/>
              <w:ind w:firstLine="0" w:firstLineChars="0"/>
              <w:rPr>
                <w:rFonts w:hint="eastAsia" w:ascii="Times New Roman" w:hAnsi="Times New Roman" w:eastAsia="宋体" w:cs="Times New Roman"/>
                <w:bCs/>
                <w:color w:val="auto"/>
                <w:sz w:val="21"/>
                <w:highlight w:val="none"/>
                <w:u w:val="single"/>
                <w:lang w:eastAsia="zh-CN"/>
              </w:rPr>
            </w:pPr>
            <w:r>
              <w:rPr>
                <w:rFonts w:hint="eastAsia" w:cs="Times New Roman"/>
                <w:bCs/>
                <w:color w:val="auto"/>
                <w:sz w:val="21"/>
                <w:highlight w:val="none"/>
                <w:u w:val="single"/>
                <w:lang w:val="en-US" w:eastAsia="zh-CN"/>
              </w:rPr>
              <w:t>2个矿山周边及上山道路</w:t>
            </w:r>
            <w:r>
              <w:rPr>
                <w:rFonts w:ascii="Times New Roman" w:hAnsi="Times New Roman" w:eastAsia="宋体" w:cs="Times New Roman"/>
                <w:bCs/>
                <w:color w:val="auto"/>
                <w:sz w:val="21"/>
                <w:highlight w:val="none"/>
                <w:u w:val="single"/>
              </w:rPr>
              <w:t>建设截排水沟，</w:t>
            </w:r>
            <w:r>
              <w:rPr>
                <w:rFonts w:hint="eastAsia" w:cs="Times New Roman"/>
                <w:bCs/>
                <w:color w:val="auto"/>
                <w:sz w:val="21"/>
                <w:highlight w:val="none"/>
                <w:u w:val="single"/>
                <w:lang w:val="en-US" w:eastAsia="zh-CN"/>
              </w:rPr>
              <w:t>截排水沟底部</w:t>
            </w:r>
            <w:r>
              <w:rPr>
                <w:rFonts w:ascii="Times New Roman" w:hAnsi="Times New Roman" w:eastAsia="宋体" w:cs="Times New Roman"/>
                <w:bCs/>
                <w:color w:val="auto"/>
                <w:sz w:val="21"/>
                <w:highlight w:val="none"/>
                <w:u w:val="single"/>
              </w:rPr>
              <w:t>新增2座初期雨水沉砂池，初期雨水经截排水沟流入沉砂池，沉淀后回用于矿区洒水降尘，沉砂池泥渣定期清理，</w:t>
            </w:r>
            <w:r>
              <w:rPr>
                <w:rFonts w:hint="eastAsia" w:ascii="Times New Roman" w:hAnsi="Times New Roman" w:eastAsia="宋体" w:cs="Times New Roman"/>
                <w:bCs/>
                <w:color w:val="auto"/>
                <w:sz w:val="21"/>
                <w:highlight w:val="none"/>
                <w:u w:val="single"/>
              </w:rPr>
              <w:t>用于矿区道路平整</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1515" w:hRule="atLeast"/>
          <w:tblHeader/>
          <w:jc w:val="center"/>
        </w:trPr>
        <w:tc>
          <w:tcPr>
            <w:tcW w:w="720" w:type="dxa"/>
            <w:vMerge w:val="continue"/>
            <w:noWrap w:val="0"/>
            <w:tcMar>
              <w:top w:w="0" w:type="dxa"/>
              <w:left w:w="57" w:type="dxa"/>
              <w:bottom w:w="0" w:type="dxa"/>
              <w:right w:w="57" w:type="dxa"/>
            </w:tcMar>
            <w:vAlign w:val="center"/>
          </w:tcPr>
          <w:p>
            <w:pPr>
              <w:widowControl/>
              <w:spacing w:line="240" w:lineRule="auto"/>
              <w:ind w:firstLine="0" w:firstLineChars="0"/>
              <w:jc w:val="center"/>
              <w:rPr>
                <w:rFonts w:ascii="Times New Roman" w:hAnsi="Times New Roman" w:eastAsia="宋体" w:cs="Times New Roman"/>
                <w:bCs/>
                <w:color w:val="auto"/>
                <w:sz w:val="21"/>
                <w:highlight w:val="none"/>
                <w:u w:val="single"/>
              </w:rPr>
            </w:pPr>
          </w:p>
        </w:tc>
        <w:tc>
          <w:tcPr>
            <w:tcW w:w="3347" w:type="dxa"/>
            <w:noWrap w:val="0"/>
            <w:tcMar>
              <w:top w:w="0" w:type="dxa"/>
              <w:left w:w="57" w:type="dxa"/>
              <w:bottom w:w="0" w:type="dxa"/>
              <w:right w:w="57" w:type="dxa"/>
            </w:tcMar>
            <w:vAlign w:val="center"/>
          </w:tcPr>
          <w:p>
            <w:pPr>
              <w:widowControl/>
              <w:spacing w:line="240" w:lineRule="auto"/>
              <w:ind w:firstLine="0" w:firstLineChars="0"/>
              <w:rPr>
                <w:rFonts w:hint="default" w:ascii="Times New Roman" w:hAnsi="Times New Roman" w:eastAsia="宋体" w:cs="Times New Roman"/>
                <w:bCs/>
                <w:color w:val="auto"/>
                <w:sz w:val="21"/>
                <w:highlight w:val="none"/>
                <w:u w:val="single"/>
                <w:lang w:val="en-US" w:eastAsia="zh-CN"/>
              </w:rPr>
            </w:pPr>
            <w:r>
              <w:rPr>
                <w:rFonts w:hint="eastAsia" w:cs="Times New Roman"/>
                <w:bCs/>
                <w:color w:val="auto"/>
                <w:sz w:val="21"/>
                <w:highlight w:val="none"/>
                <w:u w:val="single"/>
                <w:lang w:val="en-US" w:eastAsia="zh-CN"/>
              </w:rPr>
              <w:t>2个矿山</w:t>
            </w:r>
            <w:r>
              <w:rPr>
                <w:rFonts w:hint="eastAsia" w:ascii="Times New Roman" w:hAnsi="Times New Roman" w:eastAsia="宋体" w:cs="Times New Roman"/>
                <w:bCs/>
                <w:color w:val="auto"/>
                <w:sz w:val="21"/>
                <w:highlight w:val="none"/>
                <w:u w:val="single"/>
              </w:rPr>
              <w:t>石粉堆料场未设置厂棚，临时排土场</w:t>
            </w:r>
            <w:r>
              <w:rPr>
                <w:rFonts w:ascii="Times New Roman" w:hAnsi="Times New Roman" w:eastAsia="宋体" w:cs="Times New Roman"/>
                <w:bCs/>
                <w:color w:val="auto"/>
                <w:sz w:val="21"/>
                <w:highlight w:val="none"/>
                <w:u w:val="single"/>
              </w:rPr>
              <w:t>未设置挡土墙、排水沟</w:t>
            </w:r>
            <w:r>
              <w:rPr>
                <w:rFonts w:hint="eastAsia" w:cs="Times New Roman"/>
                <w:bCs/>
                <w:color w:val="auto"/>
                <w:sz w:val="21"/>
                <w:highlight w:val="none"/>
                <w:u w:val="single"/>
                <w:lang w:eastAsia="zh-CN"/>
              </w:rPr>
              <w:t>，</w:t>
            </w:r>
            <w:r>
              <w:rPr>
                <w:rFonts w:hint="eastAsia" w:ascii="Times New Roman" w:hAnsi="Times New Roman" w:eastAsia="宋体" w:cs="Times New Roman"/>
                <w:color w:val="auto"/>
                <w:kern w:val="0"/>
                <w:sz w:val="21"/>
                <w:highlight w:val="none"/>
                <w:u w:val="single"/>
              </w:rPr>
              <w:t>破碎筛分区、堆料场和运输道路地面未进行硬化处理</w:t>
            </w:r>
            <w:r>
              <w:rPr>
                <w:rFonts w:hint="eastAsia" w:cs="Times New Roman"/>
                <w:color w:val="auto"/>
                <w:kern w:val="0"/>
                <w:sz w:val="21"/>
                <w:highlight w:val="none"/>
                <w:u w:val="single"/>
                <w:lang w:eastAsia="zh-CN"/>
              </w:rPr>
              <w:t>，</w:t>
            </w:r>
            <w:r>
              <w:rPr>
                <w:rFonts w:hint="eastAsia" w:cs="Times New Roman"/>
                <w:bCs/>
                <w:color w:val="auto"/>
                <w:sz w:val="21"/>
                <w:highlight w:val="none"/>
                <w:u w:val="single"/>
                <w:lang w:val="en-US" w:eastAsia="zh-CN"/>
              </w:rPr>
              <w:t>容易造成水土流失</w:t>
            </w:r>
          </w:p>
        </w:tc>
        <w:tc>
          <w:tcPr>
            <w:tcW w:w="5026" w:type="dxa"/>
            <w:noWrap w:val="0"/>
            <w:tcMar>
              <w:top w:w="0" w:type="dxa"/>
              <w:left w:w="57" w:type="dxa"/>
              <w:bottom w:w="0" w:type="dxa"/>
              <w:right w:w="57" w:type="dxa"/>
            </w:tcMar>
            <w:vAlign w:val="center"/>
          </w:tcPr>
          <w:p>
            <w:pPr>
              <w:widowControl/>
              <w:spacing w:line="240" w:lineRule="auto"/>
              <w:ind w:firstLine="0" w:firstLineChars="0"/>
              <w:jc w:val="left"/>
              <w:rPr>
                <w:rFonts w:hint="eastAsia" w:ascii="Times New Roman" w:hAnsi="Times New Roman" w:eastAsia="宋体" w:cs="Times New Roman"/>
                <w:bCs/>
                <w:color w:val="auto"/>
                <w:sz w:val="21"/>
                <w:highlight w:val="none"/>
                <w:u w:val="single"/>
                <w:lang w:eastAsia="zh-CN"/>
              </w:rPr>
            </w:pPr>
            <w:r>
              <w:rPr>
                <w:rFonts w:hint="eastAsia" w:cs="Times New Roman"/>
                <w:bCs/>
                <w:color w:val="auto"/>
                <w:sz w:val="21"/>
                <w:highlight w:val="none"/>
                <w:u w:val="single"/>
                <w:lang w:val="en-US" w:eastAsia="zh-CN"/>
              </w:rPr>
              <w:t>2个矿山</w:t>
            </w:r>
            <w:r>
              <w:rPr>
                <w:rFonts w:hint="eastAsia" w:ascii="Times New Roman" w:hAnsi="Times New Roman" w:eastAsia="宋体" w:cs="Times New Roman"/>
                <w:bCs/>
                <w:color w:val="auto"/>
                <w:sz w:val="21"/>
                <w:highlight w:val="none"/>
                <w:u w:val="single"/>
              </w:rPr>
              <w:t>石粉堆料场设置厂棚，临时排土场</w:t>
            </w:r>
            <w:r>
              <w:rPr>
                <w:rFonts w:ascii="Times New Roman" w:hAnsi="Times New Roman" w:eastAsia="宋体" w:cs="Times New Roman"/>
                <w:bCs/>
                <w:color w:val="auto"/>
                <w:sz w:val="21"/>
                <w:highlight w:val="none"/>
                <w:u w:val="single"/>
              </w:rPr>
              <w:t>设置挡土墙，周边设置排水沟</w:t>
            </w:r>
            <w:r>
              <w:rPr>
                <w:rFonts w:hint="eastAsia" w:cs="Times New Roman"/>
                <w:bCs/>
                <w:color w:val="auto"/>
                <w:sz w:val="21"/>
                <w:highlight w:val="none"/>
                <w:u w:val="single"/>
                <w:lang w:eastAsia="zh-CN"/>
              </w:rPr>
              <w:t>，</w:t>
            </w:r>
            <w:r>
              <w:rPr>
                <w:rFonts w:hint="eastAsia" w:ascii="Times New Roman" w:hAnsi="Times New Roman" w:eastAsia="宋体" w:cs="Times New Roman"/>
                <w:color w:val="auto"/>
                <w:kern w:val="0"/>
                <w:sz w:val="21"/>
                <w:highlight w:val="none"/>
                <w:u w:val="single"/>
              </w:rPr>
              <w:t>破碎筛分区、堆料场和运输道路地面均采取硬化处理，防止水土流失</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tblHeader/>
          <w:jc w:val="center"/>
        </w:trPr>
        <w:tc>
          <w:tcPr>
            <w:tcW w:w="720" w:type="dxa"/>
            <w:vMerge w:val="continue"/>
            <w:noWrap w:val="0"/>
            <w:tcMar>
              <w:top w:w="0" w:type="dxa"/>
              <w:left w:w="57" w:type="dxa"/>
              <w:bottom w:w="0" w:type="dxa"/>
              <w:right w:w="57" w:type="dxa"/>
            </w:tcMar>
            <w:vAlign w:val="center"/>
          </w:tcPr>
          <w:p>
            <w:pPr>
              <w:widowControl/>
              <w:spacing w:line="240" w:lineRule="auto"/>
              <w:ind w:firstLine="0" w:firstLineChars="0"/>
              <w:jc w:val="center"/>
              <w:rPr>
                <w:rFonts w:ascii="Times New Roman" w:hAnsi="Times New Roman" w:eastAsia="宋体" w:cs="Times New Roman"/>
                <w:bCs/>
                <w:color w:val="auto"/>
                <w:sz w:val="21"/>
                <w:highlight w:val="none"/>
                <w:u w:val="single"/>
              </w:rPr>
            </w:pPr>
          </w:p>
        </w:tc>
        <w:tc>
          <w:tcPr>
            <w:tcW w:w="3347" w:type="dxa"/>
            <w:noWrap w:val="0"/>
            <w:tcMar>
              <w:top w:w="0" w:type="dxa"/>
              <w:left w:w="57" w:type="dxa"/>
              <w:bottom w:w="0" w:type="dxa"/>
              <w:right w:w="57" w:type="dxa"/>
            </w:tcMar>
            <w:vAlign w:val="center"/>
          </w:tcPr>
          <w:p>
            <w:pPr>
              <w:widowControl/>
              <w:spacing w:line="240" w:lineRule="auto"/>
              <w:ind w:firstLine="0" w:firstLineChars="0"/>
              <w:jc w:val="left"/>
              <w:rPr>
                <w:rFonts w:hint="eastAsia" w:ascii="Times New Roman" w:hAnsi="Times New Roman" w:eastAsia="宋体" w:cs="Times New Roman"/>
                <w:color w:val="auto"/>
                <w:kern w:val="0"/>
                <w:sz w:val="21"/>
                <w:highlight w:val="none"/>
                <w:u w:val="single"/>
                <w:lang w:eastAsia="zh-CN"/>
              </w:rPr>
            </w:pPr>
            <w:r>
              <w:rPr>
                <w:rFonts w:hint="eastAsia" w:cs="Times New Roman"/>
                <w:bCs/>
                <w:color w:val="auto"/>
                <w:sz w:val="21"/>
                <w:highlight w:val="none"/>
                <w:u w:val="single"/>
                <w:lang w:val="en-US" w:eastAsia="zh-CN"/>
              </w:rPr>
              <w:t>原海江采石场</w:t>
            </w:r>
            <w:r>
              <w:rPr>
                <w:rFonts w:hint="eastAsia" w:ascii="Times New Roman" w:hAnsi="Times New Roman" w:eastAsia="宋体" w:cs="Times New Roman"/>
                <w:bCs/>
                <w:color w:val="auto"/>
                <w:sz w:val="21"/>
                <w:highlight w:val="none"/>
                <w:u w:val="single"/>
              </w:rPr>
              <w:t>洗砂泥饼未合理设置堆场，雨水冲刷</w:t>
            </w:r>
            <w:r>
              <w:rPr>
                <w:rFonts w:ascii="Times New Roman" w:hAnsi="Times New Roman" w:eastAsia="宋体" w:cs="Times New Roman"/>
                <w:bCs/>
                <w:color w:val="auto"/>
                <w:sz w:val="21"/>
                <w:highlight w:val="none"/>
                <w:u w:val="single"/>
              </w:rPr>
              <w:t>直接排入附近</w:t>
            </w:r>
            <w:r>
              <w:rPr>
                <w:rFonts w:hint="eastAsia" w:ascii="Times New Roman" w:hAnsi="Times New Roman" w:eastAsia="宋体" w:cs="Times New Roman"/>
                <w:bCs/>
                <w:color w:val="auto"/>
                <w:sz w:val="21"/>
                <w:highlight w:val="none"/>
                <w:u w:val="single"/>
              </w:rPr>
              <w:t>无名小沟，造成河道淤积</w:t>
            </w:r>
          </w:p>
        </w:tc>
        <w:tc>
          <w:tcPr>
            <w:tcW w:w="5026" w:type="dxa"/>
            <w:noWrap w:val="0"/>
            <w:tcMar>
              <w:top w:w="0" w:type="dxa"/>
              <w:left w:w="57" w:type="dxa"/>
              <w:bottom w:w="0" w:type="dxa"/>
              <w:right w:w="57" w:type="dxa"/>
            </w:tcMar>
            <w:vAlign w:val="center"/>
          </w:tcPr>
          <w:p>
            <w:pPr>
              <w:widowControl/>
              <w:spacing w:line="240" w:lineRule="auto"/>
              <w:ind w:firstLine="0" w:firstLineChars="0"/>
              <w:jc w:val="left"/>
              <w:rPr>
                <w:rFonts w:hint="eastAsia" w:ascii="Times New Roman" w:hAnsi="Times New Roman" w:eastAsia="宋体" w:cs="Times New Roman"/>
                <w:color w:val="auto"/>
                <w:kern w:val="0"/>
                <w:sz w:val="21"/>
                <w:highlight w:val="none"/>
                <w:u w:val="single"/>
                <w:lang w:eastAsia="zh-CN"/>
              </w:rPr>
            </w:pPr>
            <w:r>
              <w:rPr>
                <w:rFonts w:hint="eastAsia" w:cs="Times New Roman"/>
                <w:bCs/>
                <w:color w:val="auto"/>
                <w:sz w:val="21"/>
                <w:highlight w:val="none"/>
                <w:u w:val="single"/>
                <w:lang w:val="en-US" w:eastAsia="zh-CN"/>
              </w:rPr>
              <w:t>原洗砂区拆除并将</w:t>
            </w:r>
            <w:r>
              <w:rPr>
                <w:rFonts w:hint="eastAsia" w:ascii="Times New Roman" w:hAnsi="Times New Roman" w:eastAsia="宋体" w:cs="Times New Roman"/>
                <w:bCs/>
                <w:color w:val="auto"/>
                <w:sz w:val="21"/>
                <w:highlight w:val="none"/>
                <w:u w:val="single"/>
              </w:rPr>
              <w:t>洗砂区</w:t>
            </w:r>
            <w:r>
              <w:rPr>
                <w:rFonts w:hint="eastAsia" w:cs="Times New Roman"/>
                <w:bCs/>
                <w:color w:val="auto"/>
                <w:sz w:val="21"/>
                <w:highlight w:val="none"/>
                <w:u w:val="single"/>
                <w:lang w:val="en-US" w:eastAsia="zh-CN"/>
              </w:rPr>
              <w:t>建设至矿区红线范围内，洗砂区</w:t>
            </w:r>
            <w:r>
              <w:rPr>
                <w:rFonts w:hint="eastAsia" w:ascii="Times New Roman" w:hAnsi="Times New Roman" w:eastAsia="宋体" w:cs="Times New Roman"/>
                <w:bCs/>
                <w:color w:val="auto"/>
                <w:sz w:val="21"/>
                <w:highlight w:val="none"/>
                <w:u w:val="single"/>
              </w:rPr>
              <w:t>设置厂棚，泥饼设置堆场、挡土墙，洗砂区下游无名小沟设置三级拦砂坝，定期清理河道</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1939" w:hRule="atLeast"/>
          <w:tblHeader/>
          <w:jc w:val="center"/>
        </w:trPr>
        <w:tc>
          <w:tcPr>
            <w:tcW w:w="720" w:type="dxa"/>
            <w:vMerge w:val="continue"/>
            <w:noWrap w:val="0"/>
            <w:tcMar>
              <w:top w:w="0" w:type="dxa"/>
              <w:left w:w="57" w:type="dxa"/>
              <w:bottom w:w="0" w:type="dxa"/>
              <w:right w:w="57" w:type="dxa"/>
            </w:tcMar>
            <w:vAlign w:val="center"/>
          </w:tcPr>
          <w:p>
            <w:pPr>
              <w:widowControl/>
              <w:spacing w:line="240" w:lineRule="auto"/>
              <w:ind w:firstLine="0" w:firstLineChars="0"/>
              <w:jc w:val="center"/>
              <w:rPr>
                <w:rFonts w:ascii="Times New Roman" w:hAnsi="Times New Roman" w:eastAsia="宋体" w:cs="Times New Roman"/>
                <w:bCs/>
                <w:color w:val="auto"/>
                <w:sz w:val="21"/>
                <w:highlight w:val="none"/>
                <w:u w:val="single"/>
              </w:rPr>
            </w:pPr>
          </w:p>
        </w:tc>
        <w:tc>
          <w:tcPr>
            <w:tcW w:w="3347" w:type="dxa"/>
            <w:noWrap w:val="0"/>
            <w:tcMar>
              <w:top w:w="0" w:type="dxa"/>
              <w:left w:w="57" w:type="dxa"/>
              <w:bottom w:w="0" w:type="dxa"/>
              <w:right w:w="57" w:type="dxa"/>
            </w:tcMar>
            <w:vAlign w:val="center"/>
          </w:tcPr>
          <w:p>
            <w:pPr>
              <w:widowControl/>
              <w:spacing w:line="240" w:lineRule="auto"/>
              <w:ind w:firstLine="0" w:firstLineChars="0"/>
              <w:rPr>
                <w:rFonts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szCs w:val="21"/>
                <w:highlight w:val="none"/>
                <w:u w:val="single"/>
              </w:rPr>
              <w:t>原海江采石场破碎加工区无名小沟导流管可能无法满足极端天气时的泄洪需求，洪水可能直接冲刷堆料场和碎石加工区，</w:t>
            </w:r>
            <w:r>
              <w:rPr>
                <w:rFonts w:hint="eastAsia" w:ascii="Times New Roman" w:hAnsi="Times New Roman" w:eastAsia="宋体" w:cs="Times New Roman"/>
                <w:color w:val="auto"/>
                <w:spacing w:val="-2"/>
                <w:kern w:val="0"/>
                <w:sz w:val="21"/>
                <w:szCs w:val="21"/>
                <w:highlight w:val="none"/>
                <w:u w:val="single"/>
              </w:rPr>
              <w:t>造成河道淤积</w:t>
            </w:r>
          </w:p>
        </w:tc>
        <w:tc>
          <w:tcPr>
            <w:tcW w:w="5026" w:type="dxa"/>
            <w:noWrap w:val="0"/>
            <w:tcMar>
              <w:top w:w="0" w:type="dxa"/>
              <w:left w:w="57" w:type="dxa"/>
              <w:bottom w:w="0" w:type="dxa"/>
              <w:right w:w="57" w:type="dxa"/>
            </w:tcMar>
            <w:vAlign w:val="center"/>
          </w:tcPr>
          <w:p>
            <w:pPr>
              <w:widowControl/>
              <w:spacing w:line="240" w:lineRule="auto"/>
              <w:ind w:firstLine="0" w:firstLineChars="0"/>
              <w:jc w:val="left"/>
              <w:rPr>
                <w:rFonts w:ascii="Times New Roman" w:hAnsi="Times New Roman" w:eastAsia="宋体" w:cs="Times New Roman"/>
                <w:bCs/>
                <w:color w:val="auto"/>
                <w:sz w:val="21"/>
                <w:highlight w:val="none"/>
                <w:u w:val="single"/>
              </w:rPr>
            </w:pPr>
            <w:r>
              <w:rPr>
                <w:rFonts w:hint="eastAsia" w:ascii="Times New Roman" w:hAnsi="Times New Roman" w:eastAsia="宋体" w:cs="Times New Roman"/>
                <w:bCs/>
                <w:color w:val="auto"/>
                <w:sz w:val="21"/>
                <w:szCs w:val="21"/>
                <w:highlight w:val="none"/>
                <w:u w:val="single"/>
              </w:rPr>
              <w:t>破碎加工区</w:t>
            </w:r>
            <w:r>
              <w:rPr>
                <w:rFonts w:hint="eastAsia" w:ascii="Times New Roman" w:hAnsi="Times New Roman" w:eastAsia="宋体" w:cs="Times New Roman"/>
                <w:bCs/>
                <w:color w:val="auto"/>
                <w:sz w:val="21"/>
                <w:highlight w:val="none"/>
                <w:u w:val="single"/>
              </w:rPr>
              <w:t>导流管上部沿着</w:t>
            </w:r>
            <w:r>
              <w:rPr>
                <w:rFonts w:hint="eastAsia" w:ascii="Times New Roman" w:hAnsi="Times New Roman" w:eastAsia="宋体" w:cs="Times New Roman"/>
                <w:bCs/>
                <w:color w:val="auto"/>
                <w:sz w:val="21"/>
                <w:highlight w:val="none"/>
                <w:u w:val="single"/>
                <w:lang w:eastAsia="zh-CN"/>
              </w:rPr>
              <w:t>导流管</w:t>
            </w:r>
            <w:r>
              <w:rPr>
                <w:rFonts w:hint="eastAsia" w:ascii="Times New Roman" w:hAnsi="Times New Roman" w:eastAsia="宋体" w:cs="Times New Roman"/>
                <w:bCs/>
                <w:color w:val="auto"/>
                <w:sz w:val="21"/>
                <w:highlight w:val="none"/>
                <w:u w:val="single"/>
              </w:rPr>
              <w:t>建设长150m</w:t>
            </w:r>
            <w:r>
              <w:rPr>
                <w:rFonts w:hint="eastAsia" w:ascii="Times New Roman" w:hAnsi="Times New Roman" w:eastAsia="宋体" w:cs="Arial"/>
                <w:bCs/>
                <w:color w:val="auto"/>
                <w:sz w:val="21"/>
                <w:highlight w:val="none"/>
                <w:u w:val="single"/>
              </w:rPr>
              <w:t>、</w:t>
            </w:r>
            <w:r>
              <w:rPr>
                <w:rFonts w:hint="eastAsia" w:ascii="Times New Roman" w:hAnsi="Times New Roman" w:eastAsia="宋体" w:cs="Times New Roman"/>
                <w:bCs/>
                <w:color w:val="auto"/>
                <w:sz w:val="21"/>
                <w:highlight w:val="none"/>
                <w:u w:val="single"/>
              </w:rPr>
              <w:t>宽1m</w:t>
            </w:r>
            <w:r>
              <w:rPr>
                <w:rFonts w:hint="eastAsia" w:ascii="Times New Roman" w:hAnsi="Times New Roman" w:eastAsia="宋体" w:cs="Arial"/>
                <w:bCs/>
                <w:color w:val="auto"/>
                <w:sz w:val="21"/>
                <w:highlight w:val="none"/>
                <w:u w:val="single"/>
              </w:rPr>
              <w:t>、高</w:t>
            </w:r>
            <w:r>
              <w:rPr>
                <w:rFonts w:hint="eastAsia" w:ascii="Times New Roman" w:hAnsi="Times New Roman" w:eastAsia="宋体" w:cs="Times New Roman"/>
                <w:bCs/>
                <w:color w:val="auto"/>
                <w:sz w:val="21"/>
                <w:highlight w:val="none"/>
                <w:u w:val="single"/>
              </w:rPr>
              <w:t>1m的泄洪通道，上覆盖板，确保</w:t>
            </w:r>
            <w:r>
              <w:rPr>
                <w:rFonts w:ascii="Times New Roman" w:hAnsi="Times New Roman" w:eastAsia="宋体" w:cs="Times New Roman"/>
                <w:bCs/>
                <w:color w:val="auto"/>
                <w:sz w:val="21"/>
                <w:highlight w:val="none"/>
                <w:u w:val="single"/>
              </w:rPr>
              <w:t>行洪安全</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tblHeader/>
          <w:jc w:val="center"/>
        </w:trPr>
        <w:tc>
          <w:tcPr>
            <w:tcW w:w="720" w:type="dxa"/>
            <w:noWrap w:val="0"/>
            <w:tcMar>
              <w:top w:w="0" w:type="dxa"/>
              <w:left w:w="57" w:type="dxa"/>
              <w:bottom w:w="0" w:type="dxa"/>
              <w:right w:w="57" w:type="dxa"/>
            </w:tcMar>
            <w:vAlign w:val="center"/>
          </w:tcPr>
          <w:p>
            <w:pPr>
              <w:widowControl/>
              <w:spacing w:line="240" w:lineRule="auto"/>
              <w:ind w:firstLine="0" w:firstLineChars="0"/>
              <w:jc w:val="center"/>
              <w:rPr>
                <w:rFonts w:ascii="Times New Roman" w:hAnsi="Times New Roman" w:eastAsia="宋体" w:cs="Times New Roman"/>
                <w:bCs/>
                <w:color w:val="auto"/>
                <w:sz w:val="21"/>
                <w:highlight w:val="none"/>
                <w:u w:val="single"/>
              </w:rPr>
            </w:pPr>
            <w:r>
              <w:rPr>
                <w:rFonts w:ascii="Times New Roman" w:hAnsi="Times New Roman" w:eastAsia="宋体" w:cs="Times New Roman"/>
                <w:bCs/>
                <w:color w:val="auto"/>
                <w:sz w:val="21"/>
                <w:highlight w:val="none"/>
                <w:u w:val="single"/>
              </w:rPr>
              <w:t>环境风险</w:t>
            </w:r>
          </w:p>
        </w:tc>
        <w:tc>
          <w:tcPr>
            <w:tcW w:w="3347" w:type="dxa"/>
            <w:noWrap w:val="0"/>
            <w:tcMar>
              <w:top w:w="0" w:type="dxa"/>
              <w:left w:w="57" w:type="dxa"/>
              <w:bottom w:w="0" w:type="dxa"/>
              <w:right w:w="57" w:type="dxa"/>
            </w:tcMar>
            <w:vAlign w:val="center"/>
          </w:tcPr>
          <w:p>
            <w:pPr>
              <w:widowControl/>
              <w:spacing w:line="240" w:lineRule="auto"/>
              <w:ind w:firstLine="0" w:firstLineChars="0"/>
              <w:rPr>
                <w:rFonts w:hint="eastAsia" w:ascii="Times New Roman" w:hAnsi="Times New Roman" w:eastAsia="宋体" w:cs="Times New Roman"/>
                <w:bCs/>
                <w:color w:val="auto"/>
                <w:sz w:val="21"/>
                <w:highlight w:val="none"/>
                <w:u w:val="single"/>
                <w:lang w:eastAsia="zh-CN"/>
              </w:rPr>
            </w:pPr>
            <w:r>
              <w:rPr>
                <w:rFonts w:hint="eastAsia" w:cs="Times New Roman"/>
                <w:bCs/>
                <w:color w:val="auto"/>
                <w:sz w:val="21"/>
                <w:highlight w:val="none"/>
                <w:u w:val="single"/>
                <w:lang w:val="en-US" w:eastAsia="zh-CN"/>
              </w:rPr>
              <w:t>原宏保兴采石场</w:t>
            </w:r>
            <w:r>
              <w:rPr>
                <w:rFonts w:ascii="Times New Roman" w:hAnsi="Times New Roman" w:eastAsia="宋体" w:cs="Times New Roman"/>
                <w:bCs/>
                <w:color w:val="auto"/>
                <w:sz w:val="21"/>
                <w:highlight w:val="none"/>
                <w:u w:val="single"/>
              </w:rPr>
              <w:t>柴油储罐区未建设围堰，储罐区地表未做防渗处理</w:t>
            </w:r>
          </w:p>
        </w:tc>
        <w:tc>
          <w:tcPr>
            <w:tcW w:w="5026" w:type="dxa"/>
            <w:noWrap w:val="0"/>
            <w:tcMar>
              <w:top w:w="0" w:type="dxa"/>
              <w:left w:w="57" w:type="dxa"/>
              <w:bottom w:w="0" w:type="dxa"/>
              <w:right w:w="57" w:type="dxa"/>
            </w:tcMar>
            <w:vAlign w:val="center"/>
          </w:tcPr>
          <w:p>
            <w:pPr>
              <w:widowControl/>
              <w:spacing w:line="240" w:lineRule="auto"/>
              <w:ind w:firstLine="0" w:firstLineChars="0"/>
              <w:jc w:val="left"/>
              <w:rPr>
                <w:rFonts w:hint="eastAsia" w:ascii="Times New Roman" w:hAnsi="Times New Roman" w:eastAsia="宋体" w:cs="Times New Roman"/>
                <w:bCs/>
                <w:color w:val="auto"/>
                <w:sz w:val="21"/>
                <w:highlight w:val="none"/>
                <w:u w:val="single"/>
                <w:lang w:eastAsia="zh-CN"/>
              </w:rPr>
            </w:pPr>
            <w:r>
              <w:rPr>
                <w:rFonts w:hint="eastAsia" w:cs="Times New Roman"/>
                <w:bCs/>
                <w:color w:val="auto"/>
                <w:sz w:val="21"/>
                <w:highlight w:val="none"/>
                <w:u w:val="single"/>
                <w:lang w:val="en-US" w:eastAsia="zh-CN"/>
              </w:rPr>
              <w:t>整合后</w:t>
            </w:r>
            <w:r>
              <w:rPr>
                <w:rFonts w:ascii="Times New Roman" w:hAnsi="Times New Roman" w:eastAsia="宋体" w:cs="Times New Roman"/>
                <w:bCs/>
                <w:color w:val="auto"/>
                <w:sz w:val="21"/>
                <w:highlight w:val="none"/>
                <w:u w:val="single"/>
              </w:rPr>
              <w:t>柴油储罐区</w:t>
            </w:r>
            <w:r>
              <w:rPr>
                <w:rFonts w:hint="eastAsia" w:cs="Times New Roman"/>
                <w:bCs/>
                <w:color w:val="auto"/>
                <w:sz w:val="21"/>
                <w:highlight w:val="none"/>
                <w:u w:val="single"/>
                <w:lang w:val="en-US" w:eastAsia="zh-CN"/>
              </w:rPr>
              <w:t>均</w:t>
            </w:r>
            <w:r>
              <w:rPr>
                <w:rFonts w:ascii="Times New Roman" w:hAnsi="Times New Roman" w:eastAsia="宋体" w:cs="Times New Roman"/>
                <w:bCs/>
                <w:color w:val="auto"/>
                <w:sz w:val="21"/>
                <w:highlight w:val="none"/>
                <w:u w:val="single"/>
              </w:rPr>
              <w:t>增加围堰，储罐区地表做防渗处理</w:t>
            </w:r>
          </w:p>
        </w:tc>
      </w:tr>
    </w:tbl>
    <w:p>
      <w:pPr>
        <w:ind w:firstLine="480"/>
        <w:rPr>
          <w:rFonts w:ascii="Times New Roman" w:hAnsi="Times New Roman" w:eastAsia="宋体" w:cs="Times New Roman"/>
          <w:color w:val="auto"/>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4"/>
        <w:rPr>
          <w:rFonts w:ascii="Times New Roman" w:hAnsi="Times New Roman" w:eastAsia="宋体"/>
          <w:color w:val="auto"/>
          <w:highlight w:val="none"/>
        </w:rPr>
      </w:pPr>
      <w:bookmarkStart w:id="76" w:name="_Toc11618"/>
      <w:r>
        <w:rPr>
          <w:rFonts w:ascii="Times New Roman" w:hAnsi="Times New Roman" w:eastAsia="宋体"/>
          <w:color w:val="auto"/>
          <w:highlight w:val="none"/>
        </w:rPr>
        <w:t>2.</w:t>
      </w:r>
      <w:r>
        <w:rPr>
          <w:rFonts w:hint="eastAsia" w:ascii="Times New Roman" w:hAnsi="Times New Roman" w:eastAsia="宋体"/>
          <w:color w:val="auto"/>
          <w:highlight w:val="none"/>
        </w:rPr>
        <w:t>3</w:t>
      </w:r>
      <w:r>
        <w:rPr>
          <w:rFonts w:ascii="Times New Roman" w:hAnsi="Times New Roman" w:eastAsia="宋体"/>
          <w:color w:val="auto"/>
          <w:highlight w:val="none"/>
        </w:rPr>
        <w:t xml:space="preserve"> </w:t>
      </w:r>
      <w:r>
        <w:rPr>
          <w:rFonts w:hint="eastAsia" w:ascii="Times New Roman" w:hAnsi="Times New Roman" w:eastAsia="宋体"/>
          <w:color w:val="auto"/>
          <w:highlight w:val="none"/>
        </w:rPr>
        <w:t>整合后</w:t>
      </w:r>
      <w:r>
        <w:rPr>
          <w:rFonts w:ascii="Times New Roman" w:hAnsi="Times New Roman" w:eastAsia="宋体"/>
          <w:color w:val="auto"/>
          <w:highlight w:val="none"/>
        </w:rPr>
        <w:t>项目概况</w:t>
      </w:r>
      <w:bookmarkEnd w:id="76"/>
    </w:p>
    <w:p>
      <w:pPr>
        <w:pStyle w:val="5"/>
        <w:rPr>
          <w:rFonts w:ascii="Times New Roman" w:hAnsi="Times New Roman" w:eastAsia="宋体"/>
          <w:color w:val="auto"/>
          <w:highlight w:val="none"/>
        </w:rPr>
      </w:pPr>
      <w:r>
        <w:rPr>
          <w:rFonts w:ascii="Times New Roman" w:hAnsi="Times New Roman" w:eastAsia="宋体"/>
          <w:color w:val="auto"/>
          <w:highlight w:val="none"/>
        </w:rPr>
        <w:t>2.</w:t>
      </w:r>
      <w:r>
        <w:rPr>
          <w:rFonts w:hint="eastAsia" w:ascii="Times New Roman" w:hAnsi="Times New Roman" w:eastAsia="宋体"/>
          <w:color w:val="auto"/>
          <w:highlight w:val="none"/>
        </w:rPr>
        <w:t>3</w:t>
      </w:r>
      <w:r>
        <w:rPr>
          <w:rFonts w:ascii="Times New Roman" w:hAnsi="Times New Roman" w:eastAsia="宋体"/>
          <w:color w:val="auto"/>
          <w:highlight w:val="none"/>
        </w:rPr>
        <w:t>.1 基本情况</w:t>
      </w:r>
    </w:p>
    <w:p>
      <w:pPr>
        <w:ind w:firstLine="480"/>
        <w:rPr>
          <w:rFonts w:hint="eastAsia" w:ascii="Times New Roman" w:hAnsi="Times New Roman" w:eastAsia="宋体" w:cs="Times New Roman"/>
          <w:color w:val="auto"/>
          <w:highlight w:val="none"/>
        </w:rPr>
      </w:pPr>
      <w:r>
        <w:rPr>
          <w:rFonts w:ascii="Times New Roman" w:hAnsi="Times New Roman" w:eastAsia="宋体" w:cs="Times New Roman"/>
          <w:color w:val="auto"/>
          <w:highlight w:val="none"/>
        </w:rPr>
        <w:t>（1）项目名称：</w:t>
      </w:r>
      <w:r>
        <w:rPr>
          <w:rFonts w:hint="eastAsia" w:ascii="Times New Roman" w:hAnsi="Times New Roman" w:eastAsia="宋体" w:cs="Times New Roman"/>
          <w:color w:val="auto"/>
          <w:highlight w:val="none"/>
        </w:rPr>
        <w:t>三江侗族自治县宏源采石场硅质岩矿年开采加工50万吨砂石料项目</w:t>
      </w:r>
    </w:p>
    <w:p>
      <w:pPr>
        <w:ind w:firstLine="480"/>
        <w:rPr>
          <w:rFonts w:hint="eastAsia" w:ascii="Times New Roman" w:hAnsi="Times New Roman" w:eastAsia="宋体" w:cs="Times New Roman"/>
          <w:color w:val="auto"/>
          <w:highlight w:val="none"/>
        </w:rPr>
      </w:pPr>
      <w:r>
        <w:rPr>
          <w:rFonts w:ascii="Times New Roman" w:hAnsi="Times New Roman" w:eastAsia="宋体" w:cs="Times New Roman"/>
          <w:color w:val="auto"/>
          <w:highlight w:val="none"/>
        </w:rPr>
        <w:t>（2）建设单位：</w:t>
      </w:r>
      <w:r>
        <w:rPr>
          <w:rFonts w:hint="eastAsia" w:ascii="Times New Roman" w:hAnsi="Times New Roman" w:eastAsia="宋体" w:cs="Times New Roman"/>
          <w:color w:val="auto"/>
          <w:highlight w:val="none"/>
        </w:rPr>
        <w:t>三江县鑫贝矿业有限公司</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（3）建设性质：</w:t>
      </w:r>
      <w:r>
        <w:rPr>
          <w:rFonts w:hint="eastAsia" w:ascii="Times New Roman" w:hAnsi="Times New Roman" w:eastAsia="宋体" w:cs="Times New Roman"/>
          <w:color w:val="auto"/>
          <w:highlight w:val="none"/>
        </w:rPr>
        <w:t>改</w:t>
      </w:r>
      <w:r>
        <w:rPr>
          <w:rFonts w:ascii="Times New Roman" w:hAnsi="Times New Roman" w:eastAsia="宋体" w:cs="Times New Roman"/>
          <w:color w:val="auto"/>
          <w:highlight w:val="none"/>
        </w:rPr>
        <w:t>建</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（4）建设地点：</w:t>
      </w:r>
      <w:r>
        <w:rPr>
          <w:rFonts w:ascii="Times New Roman" w:hAnsi="Times New Roman" w:eastAsia="宋体" w:cs="Times New Roman"/>
          <w:color w:val="auto"/>
          <w:kern w:val="0"/>
          <w:highlight w:val="none"/>
        </w:rPr>
        <w:t>三江县</w:t>
      </w:r>
      <w:r>
        <w:rPr>
          <w:rFonts w:hint="eastAsia" w:ascii="Times New Roman" w:hAnsi="Times New Roman" w:eastAsia="宋体" w:cs="Times New Roman"/>
          <w:color w:val="auto"/>
          <w:kern w:val="0"/>
          <w:highlight w:val="none"/>
          <w:lang w:val="en-US" w:eastAsia="zh-CN"/>
        </w:rPr>
        <w:t>斗江镇东坪村东恒屯</w:t>
      </w:r>
      <w:r>
        <w:rPr>
          <w:rFonts w:ascii="Times New Roman" w:hAnsi="Times New Roman" w:eastAsia="宋体" w:cs="Times New Roman"/>
          <w:color w:val="auto"/>
          <w:highlight w:val="none"/>
        </w:rPr>
        <w:t>，</w:t>
      </w:r>
      <w:r>
        <w:rPr>
          <w:rFonts w:ascii="Times New Roman" w:hAnsi="Times New Roman" w:eastAsia="宋体" w:cs="Times New Roman"/>
          <w:color w:val="auto"/>
          <w:szCs w:val="24"/>
          <w:highlight w:val="none"/>
        </w:rPr>
        <w:t>矿区中心地理坐标：</w:t>
      </w:r>
      <w:r>
        <w:rPr>
          <w:rFonts w:hint="eastAsia" w:ascii="Times New Roman" w:hAnsi="Times New Roman" w:eastAsia="宋体" w:cs="Times New Roman"/>
          <w:color w:val="auto"/>
          <w:szCs w:val="24"/>
          <w:highlight w:val="none"/>
        </w:rPr>
        <w:t>109.704875</w:t>
      </w:r>
      <w:r>
        <w:rPr>
          <w:rFonts w:ascii="Times New Roman" w:hAnsi="Times New Roman" w:eastAsia="宋体" w:cs="Times New Roman"/>
          <w:color w:val="auto"/>
          <w:szCs w:val="24"/>
          <w:highlight w:val="none"/>
        </w:rPr>
        <w:t>°E，</w:t>
      </w:r>
      <w:r>
        <w:rPr>
          <w:rFonts w:hint="eastAsia" w:ascii="Times New Roman" w:hAnsi="Times New Roman" w:eastAsia="宋体" w:cs="Times New Roman"/>
          <w:color w:val="auto"/>
          <w:szCs w:val="24"/>
          <w:highlight w:val="none"/>
        </w:rPr>
        <w:t>25.757735</w:t>
      </w:r>
      <w:r>
        <w:rPr>
          <w:rFonts w:ascii="Times New Roman" w:hAnsi="Times New Roman" w:eastAsia="宋体" w:cs="Times New Roman"/>
          <w:color w:val="auto"/>
          <w:szCs w:val="24"/>
          <w:highlight w:val="none"/>
        </w:rPr>
        <w:t>°N。</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（5）项目总投资：项目总投资</w:t>
      </w:r>
      <w:r>
        <w:rPr>
          <w:rFonts w:hint="eastAsia" w:ascii="Times New Roman" w:hAnsi="Times New Roman" w:eastAsia="宋体" w:cs="Times New Roman"/>
          <w:color w:val="auto"/>
          <w:highlight w:val="none"/>
        </w:rPr>
        <w:t>59</w:t>
      </w:r>
      <w:r>
        <w:rPr>
          <w:rFonts w:ascii="Times New Roman" w:hAnsi="Times New Roman" w:eastAsia="宋体" w:cs="Times New Roman"/>
          <w:color w:val="auto"/>
          <w:highlight w:val="none"/>
        </w:rPr>
        <w:t>0万元，</w:t>
      </w:r>
      <w:r>
        <w:rPr>
          <w:rFonts w:hint="eastAsia" w:ascii="Times New Roman" w:hAnsi="Times New Roman" w:eastAsia="宋体" w:cs="Times New Roman"/>
          <w:color w:val="auto"/>
          <w:highlight w:val="none"/>
        </w:rPr>
        <w:t>其中环保投资248万元</w:t>
      </w:r>
      <w:r>
        <w:rPr>
          <w:rFonts w:ascii="Times New Roman" w:hAnsi="Times New Roman" w:eastAsia="宋体" w:cs="Times New Roman"/>
          <w:color w:val="auto"/>
          <w:highlight w:val="none"/>
        </w:rPr>
        <w:t>。</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（6）建设规模及内容：</w:t>
      </w:r>
      <w:r>
        <w:rPr>
          <w:rFonts w:hint="eastAsia" w:ascii="Times New Roman" w:hAnsi="Times New Roman" w:eastAsia="宋体" w:cs="Times New Roman"/>
          <w:color w:val="auto"/>
          <w:highlight w:val="none"/>
        </w:rPr>
        <w:t>本</w:t>
      </w:r>
      <w:r>
        <w:rPr>
          <w:rFonts w:hint="eastAsia" w:ascii="Times New Roman" w:hAnsi="Times New Roman" w:eastAsia="宋体"/>
          <w:color w:val="auto"/>
          <w:szCs w:val="24"/>
          <w:highlight w:val="none"/>
        </w:rPr>
        <w:t>项目矿山由原海江采石场和原宏保兴采石场整合而成，矿区面积0.1598km</w:t>
      </w:r>
      <w:r>
        <w:rPr>
          <w:rFonts w:hint="eastAsia" w:ascii="Times New Roman" w:hAnsi="Times New Roman" w:eastAsia="宋体"/>
          <w:color w:val="auto"/>
          <w:szCs w:val="24"/>
          <w:highlight w:val="none"/>
          <w:vertAlign w:val="superscript"/>
        </w:rPr>
        <w:t>2</w:t>
      </w:r>
      <w:r>
        <w:rPr>
          <w:rFonts w:hint="eastAsia" w:ascii="Times New Roman" w:hAnsi="Times New Roman" w:eastAsia="宋体"/>
          <w:color w:val="auto"/>
          <w:szCs w:val="24"/>
          <w:highlight w:val="none"/>
        </w:rPr>
        <w:t>，开采深度+447</w:t>
      </w:r>
      <w:r>
        <w:rPr>
          <w:rFonts w:ascii="Times New Roman" w:hAnsi="Times New Roman" w:eastAsia="宋体" w:cs="Times New Roman"/>
          <w:color w:val="auto"/>
          <w:szCs w:val="24"/>
          <w:highlight w:val="none"/>
        </w:rPr>
        <w:t>~</w:t>
      </w:r>
      <w:r>
        <w:rPr>
          <w:rFonts w:hint="eastAsia" w:ascii="Times New Roman" w:hAnsi="Times New Roman" w:eastAsia="宋体"/>
          <w:color w:val="auto"/>
          <w:szCs w:val="24"/>
          <w:highlight w:val="none"/>
        </w:rPr>
        <w:t>+227m，</w:t>
      </w:r>
      <w:r>
        <w:rPr>
          <w:rFonts w:hint="eastAsia" w:ascii="Times New Roman" w:hAnsi="Times New Roman" w:eastAsia="宋体"/>
          <w:color w:val="auto"/>
          <w:szCs w:val="24"/>
          <w:highlight w:val="none"/>
          <w:u w:val="single"/>
        </w:rPr>
        <w:t>以露天开采方式进行开采，利用原海江采石场和原宏保兴采石场</w:t>
      </w:r>
      <w:r>
        <w:rPr>
          <w:rFonts w:hint="eastAsia"/>
          <w:color w:val="auto"/>
          <w:szCs w:val="24"/>
          <w:highlight w:val="none"/>
          <w:u w:val="single"/>
          <w:lang w:val="en-US" w:eastAsia="zh-CN"/>
        </w:rPr>
        <w:t>场地</w:t>
      </w:r>
      <w:r>
        <w:rPr>
          <w:rFonts w:hint="eastAsia" w:ascii="Times New Roman" w:hAnsi="Times New Roman" w:eastAsia="宋体"/>
          <w:color w:val="auto"/>
          <w:szCs w:val="24"/>
          <w:highlight w:val="none"/>
          <w:u w:val="single"/>
        </w:rPr>
        <w:t>分别铺设2条</w:t>
      </w:r>
      <w:r>
        <w:rPr>
          <w:rFonts w:hint="eastAsia"/>
          <w:color w:val="auto"/>
          <w:szCs w:val="24"/>
          <w:highlight w:val="none"/>
          <w:u w:val="single"/>
          <w:lang w:val="en-US" w:eastAsia="zh-CN"/>
        </w:rPr>
        <w:t>破碎筛分</w:t>
      </w:r>
      <w:r>
        <w:rPr>
          <w:rFonts w:hint="eastAsia" w:ascii="Times New Roman" w:hAnsi="Times New Roman" w:eastAsia="宋体"/>
          <w:color w:val="auto"/>
          <w:szCs w:val="24"/>
          <w:highlight w:val="none"/>
          <w:u w:val="single"/>
        </w:rPr>
        <w:t>加工生产线，包括开采、破碎、筛分、输送、除尘、仓储、运输等生产及辅助设备，建成后年开采加工建筑用砂石料50万吨。</w:t>
      </w:r>
    </w:p>
    <w:p>
      <w:pPr>
        <w:ind w:firstLine="480"/>
        <w:rPr>
          <w:rFonts w:ascii="Times New Roman" w:hAnsi="Times New Roman" w:eastAsia="宋体" w:cs="Times New Roman"/>
          <w:color w:val="auto"/>
          <w:highlight w:val="none"/>
        </w:rPr>
      </w:pPr>
      <w:bookmarkStart w:id="77" w:name="_Toc433448737"/>
      <w:bookmarkStart w:id="78" w:name="_Toc481070240"/>
      <w:bookmarkStart w:id="79" w:name="_Toc449188925"/>
      <w:bookmarkStart w:id="80" w:name="_Toc441485898"/>
      <w:r>
        <w:rPr>
          <w:rFonts w:ascii="Times New Roman" w:hAnsi="Times New Roman" w:eastAsia="宋体" w:cs="Times New Roman"/>
          <w:color w:val="auto"/>
          <w:highlight w:val="none"/>
        </w:rPr>
        <w:t>（7）项目进度：项目拟开工时间为2019年</w:t>
      </w:r>
      <w:r>
        <w:rPr>
          <w:rFonts w:hint="eastAsia" w:ascii="Times New Roman" w:hAnsi="Times New Roman" w:eastAsia="宋体" w:cs="Times New Roman"/>
          <w:color w:val="auto"/>
          <w:highlight w:val="none"/>
        </w:rPr>
        <w:t>10</w:t>
      </w:r>
      <w:r>
        <w:rPr>
          <w:rFonts w:ascii="Times New Roman" w:hAnsi="Times New Roman" w:eastAsia="宋体" w:cs="Times New Roman"/>
          <w:color w:val="auto"/>
          <w:highlight w:val="none"/>
        </w:rPr>
        <w:t>月，</w:t>
      </w:r>
      <w:r>
        <w:rPr>
          <w:rFonts w:hint="eastAsia" w:ascii="Times New Roman" w:hAnsi="Times New Roman" w:eastAsia="宋体" w:cs="Times New Roman"/>
          <w:color w:val="auto"/>
          <w:highlight w:val="none"/>
        </w:rPr>
        <w:t>必须在</w:t>
      </w:r>
      <w:r>
        <w:rPr>
          <w:rFonts w:ascii="Times New Roman" w:hAnsi="Times New Roman" w:eastAsia="宋体" w:cs="Times New Roman"/>
          <w:color w:val="auto"/>
          <w:highlight w:val="none"/>
        </w:rPr>
        <w:t>取得环评批复后方可开工建设。项目拟</w:t>
      </w:r>
      <w:r>
        <w:rPr>
          <w:rFonts w:hint="eastAsia" w:ascii="Times New Roman" w:hAnsi="Times New Roman" w:eastAsia="宋体" w:cs="Times New Roman"/>
          <w:color w:val="auto"/>
          <w:highlight w:val="none"/>
        </w:rPr>
        <w:t>建成投产</w:t>
      </w:r>
      <w:r>
        <w:rPr>
          <w:rFonts w:ascii="Times New Roman" w:hAnsi="Times New Roman" w:eastAsia="宋体" w:cs="Times New Roman"/>
          <w:color w:val="auto"/>
          <w:highlight w:val="none"/>
        </w:rPr>
        <w:t>时间为20</w:t>
      </w:r>
      <w:r>
        <w:rPr>
          <w:rFonts w:hint="eastAsia" w:ascii="Times New Roman" w:hAnsi="Times New Roman" w:eastAsia="宋体" w:cs="Times New Roman"/>
          <w:color w:val="auto"/>
          <w:highlight w:val="none"/>
        </w:rPr>
        <w:t>19</w:t>
      </w:r>
      <w:r>
        <w:rPr>
          <w:rFonts w:ascii="Times New Roman" w:hAnsi="Times New Roman" w:eastAsia="宋体" w:cs="Times New Roman"/>
          <w:color w:val="auto"/>
          <w:highlight w:val="none"/>
        </w:rPr>
        <w:t>年</w:t>
      </w:r>
      <w:r>
        <w:rPr>
          <w:rFonts w:hint="eastAsia" w:ascii="Times New Roman" w:hAnsi="Times New Roman" w:eastAsia="宋体" w:cs="Times New Roman"/>
          <w:color w:val="auto"/>
          <w:highlight w:val="none"/>
        </w:rPr>
        <w:t>12</w:t>
      </w:r>
      <w:r>
        <w:rPr>
          <w:rFonts w:ascii="Times New Roman" w:hAnsi="Times New Roman" w:eastAsia="宋体" w:cs="Times New Roman"/>
          <w:color w:val="auto"/>
          <w:highlight w:val="none"/>
        </w:rPr>
        <w:t>月。</w:t>
      </w:r>
    </w:p>
    <w:bookmarkEnd w:id="77"/>
    <w:bookmarkEnd w:id="78"/>
    <w:bookmarkEnd w:id="79"/>
    <w:bookmarkEnd w:id="80"/>
    <w:p>
      <w:pPr>
        <w:ind w:firstLine="480"/>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三江侗族自治县宏源采石场硅质岩矿于2019年5月27日获得三江侗族自治县自然资源和规划局下发采矿许可证，</w:t>
      </w:r>
      <w:r>
        <w:rPr>
          <w:rFonts w:ascii="Times New Roman" w:hAnsi="Times New Roman" w:eastAsia="宋体" w:cs="Times New Roman"/>
          <w:color w:val="auto"/>
          <w:highlight w:val="none"/>
        </w:rPr>
        <w:t>矿山开采方式</w:t>
      </w:r>
      <w:r>
        <w:rPr>
          <w:rFonts w:hint="eastAsia" w:ascii="Times New Roman" w:hAnsi="Times New Roman" w:eastAsia="宋体" w:cs="Times New Roman"/>
          <w:color w:val="auto"/>
          <w:highlight w:val="none"/>
        </w:rPr>
        <w:t>为</w:t>
      </w:r>
      <w:r>
        <w:rPr>
          <w:rFonts w:ascii="Times New Roman" w:hAnsi="Times New Roman" w:eastAsia="宋体" w:cs="Times New Roman"/>
          <w:color w:val="auto"/>
          <w:highlight w:val="none"/>
        </w:rPr>
        <w:t>露天开采，采矿</w:t>
      </w:r>
      <w:r>
        <w:rPr>
          <w:rFonts w:hint="eastAsia" w:ascii="Times New Roman" w:hAnsi="Times New Roman" w:eastAsia="宋体" w:cs="Times New Roman"/>
          <w:color w:val="auto"/>
          <w:highlight w:val="none"/>
        </w:rPr>
        <w:t>权信息如下：</w:t>
      </w:r>
    </w:p>
    <w:p>
      <w:pPr>
        <w:ind w:firstLine="480"/>
        <w:jc w:val="left"/>
        <w:rPr>
          <w:rFonts w:hint="eastAsia" w:ascii="Times New Roman" w:hAnsi="Times New Roman" w:eastAsia="宋体" w:cs="Times New Roman"/>
          <w:color w:val="auto"/>
          <w:highlight w:val="none"/>
        </w:rPr>
      </w:pPr>
      <w:r>
        <w:rPr>
          <w:rFonts w:ascii="Times New Roman" w:hAnsi="Times New Roman" w:eastAsia="宋体" w:cs="Times New Roman"/>
          <w:color w:val="auto"/>
          <w:highlight w:val="none"/>
        </w:rPr>
        <w:t>采矿</w:t>
      </w:r>
      <w:r>
        <w:rPr>
          <w:rFonts w:hint="eastAsia" w:ascii="Times New Roman" w:hAnsi="Times New Roman" w:eastAsia="宋体" w:cs="Times New Roman"/>
          <w:color w:val="auto"/>
          <w:highlight w:val="none"/>
        </w:rPr>
        <w:t>权人：三江县鑫贝矿业有限公司；</w:t>
      </w:r>
    </w:p>
    <w:p>
      <w:pPr>
        <w:ind w:firstLine="480"/>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地址：三江县古宜镇玫瑰苑（福临路东1号）；</w:t>
      </w:r>
    </w:p>
    <w:p>
      <w:pPr>
        <w:ind w:firstLine="480"/>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矿山名称：三江侗族自治县宏源采石场硅质岩矿；</w:t>
      </w:r>
    </w:p>
    <w:p>
      <w:pPr>
        <w:ind w:firstLine="480"/>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经济类型：其他有限责任公司；</w:t>
      </w:r>
    </w:p>
    <w:p>
      <w:pPr>
        <w:ind w:firstLine="480"/>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 xml:space="preserve">开采矿种：建筑用砂岩； </w:t>
      </w:r>
    </w:p>
    <w:p>
      <w:pPr>
        <w:ind w:firstLine="480"/>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开采方式：露天开采；</w:t>
      </w:r>
    </w:p>
    <w:p>
      <w:pPr>
        <w:ind w:firstLine="480"/>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生产规模：20.83万立方米/年（50万吨/年）；</w:t>
      </w:r>
    </w:p>
    <w:p>
      <w:pPr>
        <w:ind w:firstLine="480"/>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矿区面积：0.1598km</w:t>
      </w:r>
      <w:r>
        <w:rPr>
          <w:rFonts w:hint="eastAsia"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rPr>
        <w:t xml:space="preserve">； </w:t>
      </w:r>
    </w:p>
    <w:p>
      <w:pPr>
        <w:ind w:firstLine="480"/>
        <w:jc w:val="left"/>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有效期限：29年，自2019年5月27日至2048年5月27日</w:t>
      </w:r>
    </w:p>
    <w:p>
      <w:pPr>
        <w:ind w:firstLine="480"/>
        <w:jc w:val="left"/>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开采深度：由+447m至227m，共由6个拐点圈定，具体</w:t>
      </w:r>
      <w:r>
        <w:rPr>
          <w:rFonts w:ascii="Times New Roman" w:hAnsi="Times New Roman" w:eastAsia="宋体" w:cs="Times New Roman"/>
          <w:color w:val="auto"/>
          <w:highlight w:val="none"/>
        </w:rPr>
        <w:t>坐标见表2.</w:t>
      </w:r>
      <w:r>
        <w:rPr>
          <w:rFonts w:hint="eastAsia" w:ascii="Times New Roman" w:hAnsi="Times New Roman" w:eastAsia="宋体" w:cs="Times New Roman"/>
          <w:color w:val="auto"/>
          <w:highlight w:val="none"/>
        </w:rPr>
        <w:t>3-1</w:t>
      </w:r>
      <w:r>
        <w:rPr>
          <w:rFonts w:ascii="Times New Roman" w:hAnsi="Times New Roman" w:eastAsia="宋体" w:cs="Times New Roman"/>
          <w:color w:val="auto"/>
          <w:highlight w:val="none"/>
        </w:rPr>
        <w:t>。</w:t>
      </w:r>
    </w:p>
    <w:p>
      <w:pPr>
        <w:spacing w:line="240" w:lineRule="auto"/>
        <w:ind w:firstLine="482"/>
        <w:jc w:val="center"/>
        <w:rPr>
          <w:rFonts w:ascii="Times New Roman" w:hAnsi="Times New Roman" w:eastAsia="宋体" w:cs="Times New Roman"/>
          <w:b/>
          <w:bCs/>
          <w:color w:val="auto"/>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spacing w:line="240" w:lineRule="auto"/>
        <w:ind w:firstLine="482"/>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表2.</w:t>
      </w:r>
      <w:r>
        <w:rPr>
          <w:rFonts w:hint="eastAsia" w:ascii="Times New Roman" w:hAnsi="Times New Roman" w:eastAsia="宋体" w:cs="Times New Roman"/>
          <w:b/>
          <w:bCs/>
          <w:color w:val="auto"/>
          <w:highlight w:val="none"/>
        </w:rPr>
        <w:t>3-1</w:t>
      </w:r>
      <w:r>
        <w:rPr>
          <w:rFonts w:ascii="Times New Roman" w:hAnsi="Times New Roman" w:eastAsia="宋体" w:cs="Times New Roman"/>
          <w:b/>
          <w:bCs/>
          <w:color w:val="auto"/>
          <w:highlight w:val="none"/>
        </w:rPr>
        <w:t xml:space="preserve"> 矿区范围</w:t>
      </w:r>
      <w:r>
        <w:rPr>
          <w:rFonts w:hint="eastAsia" w:ascii="Times New Roman" w:hAnsi="Times New Roman" w:eastAsia="宋体" w:cs="Times New Roman"/>
          <w:b/>
          <w:bCs/>
          <w:color w:val="auto"/>
          <w:highlight w:val="none"/>
        </w:rPr>
        <w:t>拐点</w:t>
      </w:r>
      <w:r>
        <w:rPr>
          <w:rFonts w:ascii="Times New Roman" w:hAnsi="Times New Roman" w:eastAsia="宋体" w:cs="Times New Roman"/>
          <w:b/>
          <w:bCs/>
          <w:color w:val="auto"/>
          <w:highlight w:val="none"/>
        </w:rPr>
        <w:t>坐标（2000国家大地坐标系）</w:t>
      </w:r>
    </w:p>
    <w:tbl>
      <w:tblPr>
        <w:tblStyle w:val="48"/>
        <w:tblW w:w="9082"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3027"/>
        <w:gridCol w:w="3027"/>
        <w:gridCol w:w="3028"/>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3027"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点号</w:t>
            </w:r>
          </w:p>
        </w:tc>
        <w:tc>
          <w:tcPr>
            <w:tcW w:w="3027" w:type="dxa"/>
            <w:noWrap w:val="0"/>
            <w:vAlign w:val="center"/>
          </w:tcPr>
          <w:p>
            <w:pPr>
              <w:spacing w:line="240" w:lineRule="auto"/>
              <w:ind w:firstLine="0" w:firstLineChars="0"/>
              <w:jc w:val="center"/>
              <w:rPr>
                <w:rFonts w:hint="eastAsia"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X</w:t>
            </w:r>
            <w:r>
              <w:rPr>
                <w:rFonts w:hint="eastAsia" w:ascii="Times New Roman" w:hAnsi="Times New Roman" w:eastAsia="宋体" w:cs="Times New Roman"/>
                <w:b/>
                <w:bCs/>
                <w:color w:val="auto"/>
                <w:sz w:val="21"/>
                <w:highlight w:val="none"/>
              </w:rPr>
              <w:t>坐标</w:t>
            </w:r>
          </w:p>
        </w:tc>
        <w:tc>
          <w:tcPr>
            <w:tcW w:w="3028" w:type="dxa"/>
            <w:noWrap w:val="0"/>
            <w:vAlign w:val="center"/>
          </w:tcPr>
          <w:p>
            <w:pPr>
              <w:spacing w:line="240" w:lineRule="auto"/>
              <w:ind w:firstLine="0" w:firstLineChars="0"/>
              <w:jc w:val="center"/>
              <w:rPr>
                <w:rFonts w:hint="eastAsia"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Y</w:t>
            </w:r>
            <w:r>
              <w:rPr>
                <w:rFonts w:hint="eastAsia" w:ascii="Times New Roman" w:hAnsi="Times New Roman" w:eastAsia="宋体" w:cs="Times New Roman"/>
                <w:b/>
                <w:bCs/>
                <w:color w:val="auto"/>
                <w:sz w:val="21"/>
                <w:highlight w:val="none"/>
              </w:rPr>
              <w:t>坐标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302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302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r>
              <w:rPr>
                <w:rFonts w:hint="eastAsia" w:ascii="Times New Roman" w:hAnsi="Times New Roman" w:eastAsia="宋体" w:cs="Times New Roman"/>
                <w:color w:val="auto"/>
                <w:sz w:val="21"/>
                <w:highlight w:val="none"/>
              </w:rPr>
              <w:t>850773</w:t>
            </w: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66</w:t>
            </w:r>
          </w:p>
        </w:tc>
        <w:tc>
          <w:tcPr>
            <w:tcW w:w="302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r>
              <w:rPr>
                <w:rFonts w:hint="eastAsia" w:ascii="Times New Roman" w:hAnsi="Times New Roman" w:eastAsia="宋体" w:cs="Times New Roman"/>
                <w:color w:val="auto"/>
                <w:sz w:val="21"/>
                <w:highlight w:val="none"/>
              </w:rPr>
              <w:t>7369590.36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302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302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r>
              <w:rPr>
                <w:rFonts w:hint="eastAsia" w:ascii="Times New Roman" w:hAnsi="Times New Roman" w:eastAsia="宋体" w:cs="Times New Roman"/>
                <w:color w:val="auto"/>
                <w:sz w:val="21"/>
                <w:highlight w:val="none"/>
              </w:rPr>
              <w:t>851214.51</w:t>
            </w:r>
          </w:p>
        </w:tc>
        <w:tc>
          <w:tcPr>
            <w:tcW w:w="302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r>
              <w:rPr>
                <w:rFonts w:hint="eastAsia" w:ascii="Times New Roman" w:hAnsi="Times New Roman" w:eastAsia="宋体" w:cs="Times New Roman"/>
                <w:color w:val="auto"/>
                <w:sz w:val="21"/>
                <w:highlight w:val="none"/>
              </w:rPr>
              <w:t>7369673.23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302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302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r>
              <w:rPr>
                <w:rFonts w:hint="eastAsia" w:ascii="Times New Roman" w:hAnsi="Times New Roman" w:eastAsia="宋体" w:cs="Times New Roman"/>
                <w:color w:val="auto"/>
                <w:sz w:val="21"/>
                <w:highlight w:val="none"/>
              </w:rPr>
              <w:t>851388.11</w:t>
            </w:r>
          </w:p>
        </w:tc>
        <w:tc>
          <w:tcPr>
            <w:tcW w:w="302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r>
              <w:rPr>
                <w:rFonts w:hint="eastAsia" w:ascii="Times New Roman" w:hAnsi="Times New Roman" w:eastAsia="宋体" w:cs="Times New Roman"/>
                <w:color w:val="auto"/>
                <w:sz w:val="21"/>
                <w:highlight w:val="none"/>
              </w:rPr>
              <w:t>7369939.46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302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302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r>
              <w:rPr>
                <w:rFonts w:hint="eastAsia" w:ascii="Times New Roman" w:hAnsi="Times New Roman" w:eastAsia="宋体" w:cs="Times New Roman"/>
                <w:color w:val="auto"/>
                <w:sz w:val="21"/>
                <w:highlight w:val="none"/>
              </w:rPr>
              <w:t>851289.28</w:t>
            </w:r>
          </w:p>
        </w:tc>
        <w:tc>
          <w:tcPr>
            <w:tcW w:w="302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r>
              <w:rPr>
                <w:rFonts w:hint="eastAsia" w:ascii="Times New Roman" w:hAnsi="Times New Roman" w:eastAsia="宋体" w:cs="Times New Roman"/>
                <w:color w:val="auto"/>
                <w:sz w:val="21"/>
                <w:highlight w:val="none"/>
              </w:rPr>
              <w:t>7370089.89</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302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w:t>
            </w:r>
          </w:p>
        </w:tc>
        <w:tc>
          <w:tcPr>
            <w:tcW w:w="302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r>
              <w:rPr>
                <w:rFonts w:hint="eastAsia" w:ascii="Times New Roman" w:hAnsi="Times New Roman" w:eastAsia="宋体" w:cs="Times New Roman"/>
                <w:color w:val="auto"/>
                <w:sz w:val="21"/>
                <w:highlight w:val="none"/>
              </w:rPr>
              <w:t>851102.89</w:t>
            </w:r>
          </w:p>
        </w:tc>
        <w:tc>
          <w:tcPr>
            <w:tcW w:w="302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37370108.80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302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w:t>
            </w:r>
          </w:p>
        </w:tc>
        <w:tc>
          <w:tcPr>
            <w:tcW w:w="302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2851020.44</w:t>
            </w:r>
          </w:p>
        </w:tc>
        <w:tc>
          <w:tcPr>
            <w:tcW w:w="302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r>
              <w:rPr>
                <w:rFonts w:hint="eastAsia" w:ascii="Times New Roman" w:hAnsi="Times New Roman" w:eastAsia="宋体" w:cs="Times New Roman"/>
                <w:color w:val="auto"/>
                <w:sz w:val="21"/>
                <w:highlight w:val="none"/>
              </w:rPr>
              <w:t>7369939.11</w:t>
            </w:r>
          </w:p>
        </w:tc>
      </w:tr>
    </w:tbl>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w:t>
      </w:r>
      <w:r>
        <w:rPr>
          <w:rFonts w:hint="eastAsia" w:ascii="Times New Roman" w:hAnsi="Times New Roman" w:eastAsia="宋体" w:cs="Times New Roman"/>
          <w:color w:val="auto"/>
          <w:highlight w:val="none"/>
        </w:rPr>
        <w:t>中国冶金地质总局广西地质</w:t>
      </w:r>
      <w:r>
        <w:rPr>
          <w:rFonts w:ascii="Times New Roman" w:hAnsi="Times New Roman" w:eastAsia="宋体" w:cs="Times New Roman"/>
          <w:color w:val="auto"/>
          <w:highlight w:val="none"/>
        </w:rPr>
        <w:t>勘察院于2017年</w:t>
      </w:r>
      <w:r>
        <w:rPr>
          <w:rFonts w:hint="eastAsia" w:ascii="Times New Roman" w:hAnsi="Times New Roman" w:eastAsia="宋体" w:cs="Times New Roman"/>
          <w:color w:val="auto"/>
          <w:highlight w:val="none"/>
        </w:rPr>
        <w:t>12</w:t>
      </w:r>
      <w:r>
        <w:rPr>
          <w:rFonts w:ascii="Times New Roman" w:hAnsi="Times New Roman" w:eastAsia="宋体" w:cs="Times New Roman"/>
          <w:color w:val="auto"/>
          <w:highlight w:val="none"/>
        </w:rPr>
        <w:t>月编制的《</w:t>
      </w:r>
      <w:r>
        <w:rPr>
          <w:rFonts w:hint="eastAsia" w:ascii="Times New Roman" w:hAnsi="Times New Roman" w:eastAsia="宋体" w:cs="Times New Roman"/>
          <w:color w:val="auto"/>
          <w:highlight w:val="none"/>
        </w:rPr>
        <w:t>广西三江县宏源采石场硅质岩矿</w:t>
      </w:r>
      <w:r>
        <w:rPr>
          <w:rFonts w:ascii="Times New Roman" w:hAnsi="Times New Roman" w:eastAsia="宋体" w:cs="Times New Roman"/>
          <w:color w:val="auto"/>
          <w:highlight w:val="none"/>
        </w:rPr>
        <w:t>资源储量</w:t>
      </w:r>
      <w:r>
        <w:rPr>
          <w:rFonts w:hint="eastAsia" w:ascii="Times New Roman" w:hAnsi="Times New Roman" w:eastAsia="宋体" w:cs="Times New Roman"/>
          <w:color w:val="auto"/>
          <w:highlight w:val="none"/>
        </w:rPr>
        <w:t>简测</w:t>
      </w:r>
      <w:r>
        <w:rPr>
          <w:rFonts w:ascii="Times New Roman" w:hAnsi="Times New Roman" w:eastAsia="宋体" w:cs="Times New Roman"/>
          <w:color w:val="auto"/>
          <w:highlight w:val="none"/>
        </w:rPr>
        <w:t>报告》及</w:t>
      </w:r>
      <w:r>
        <w:rPr>
          <w:rFonts w:hint="eastAsia" w:ascii="Times New Roman" w:hAnsi="Times New Roman" w:eastAsia="宋体" w:cs="Times New Roman"/>
          <w:color w:val="auto"/>
          <w:highlight w:val="none"/>
        </w:rPr>
        <w:t>评审</w:t>
      </w:r>
      <w:r>
        <w:rPr>
          <w:rFonts w:ascii="Times New Roman" w:hAnsi="Times New Roman" w:eastAsia="宋体" w:cs="Times New Roman"/>
          <w:color w:val="auto"/>
          <w:highlight w:val="none"/>
        </w:rPr>
        <w:t>意见（附件</w:t>
      </w:r>
      <w:r>
        <w:rPr>
          <w:rFonts w:hint="eastAsia" w:ascii="Times New Roman" w:hAnsi="Times New Roman" w:eastAsia="宋体" w:cs="Times New Roman"/>
          <w:color w:val="auto"/>
          <w:highlight w:val="none"/>
        </w:rPr>
        <w:t>8</w:t>
      </w:r>
      <w:r>
        <w:rPr>
          <w:rFonts w:ascii="Times New Roman" w:hAnsi="Times New Roman" w:eastAsia="宋体" w:cs="Times New Roman"/>
          <w:color w:val="auto"/>
          <w:highlight w:val="none"/>
        </w:rPr>
        <w:t>），截至2017年</w:t>
      </w:r>
      <w:r>
        <w:rPr>
          <w:rFonts w:hint="eastAsia" w:ascii="Times New Roman" w:hAnsi="Times New Roman" w:eastAsia="宋体" w:cs="Times New Roman"/>
          <w:color w:val="auto"/>
          <w:highlight w:val="none"/>
        </w:rPr>
        <w:t>11月1日</w:t>
      </w:r>
      <w:r>
        <w:rPr>
          <w:rFonts w:ascii="Times New Roman" w:hAnsi="Times New Roman" w:eastAsia="宋体" w:cs="Times New Roman"/>
          <w:color w:val="auto"/>
          <w:highlight w:val="none"/>
        </w:rPr>
        <w:t>，矿区范围内+</w:t>
      </w:r>
      <w:r>
        <w:rPr>
          <w:rFonts w:hint="eastAsia" w:ascii="Times New Roman" w:hAnsi="Times New Roman" w:eastAsia="宋体" w:cs="Times New Roman"/>
          <w:color w:val="auto"/>
          <w:highlight w:val="none"/>
        </w:rPr>
        <w:t>447</w:t>
      </w:r>
      <w:r>
        <w:rPr>
          <w:rFonts w:ascii="Times New Roman" w:hAnsi="Times New Roman" w:eastAsia="宋体" w:cs="Times New Roman"/>
          <w:color w:val="auto"/>
          <w:highlight w:val="none"/>
        </w:rPr>
        <w:t>m~+</w:t>
      </w:r>
      <w:r>
        <w:rPr>
          <w:rFonts w:hint="eastAsia" w:ascii="Times New Roman" w:hAnsi="Times New Roman" w:eastAsia="宋体" w:cs="Times New Roman"/>
          <w:color w:val="auto"/>
          <w:highlight w:val="none"/>
        </w:rPr>
        <w:t>227</w:t>
      </w:r>
      <w:r>
        <w:rPr>
          <w:rFonts w:ascii="Times New Roman" w:hAnsi="Times New Roman" w:eastAsia="宋体" w:cs="Times New Roman"/>
          <w:color w:val="auto"/>
          <w:highlight w:val="none"/>
        </w:rPr>
        <w:t>m标高段保有</w:t>
      </w:r>
      <w:r>
        <w:rPr>
          <w:rFonts w:hint="eastAsia" w:ascii="Times New Roman" w:hAnsi="Times New Roman" w:eastAsia="宋体" w:cs="Times New Roman"/>
          <w:color w:val="auto"/>
          <w:highlight w:val="none"/>
        </w:rPr>
        <w:t>硅质岩矿</w:t>
      </w:r>
      <w:r>
        <w:rPr>
          <w:rFonts w:ascii="Times New Roman" w:hAnsi="Times New Roman" w:eastAsia="宋体" w:cs="Times New Roman"/>
          <w:color w:val="auto"/>
          <w:highlight w:val="none"/>
        </w:rPr>
        <w:t>资源量(</w:t>
      </w:r>
      <w:r>
        <w:rPr>
          <w:rFonts w:hint="eastAsia" w:ascii="Times New Roman" w:hAnsi="Times New Roman" w:eastAsia="宋体" w:cs="Times New Roman"/>
          <w:color w:val="auto"/>
          <w:highlight w:val="none"/>
        </w:rPr>
        <w:t>333</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1095.90</w:t>
      </w:r>
      <w:r>
        <w:rPr>
          <w:rFonts w:ascii="Times New Roman" w:hAnsi="Times New Roman" w:eastAsia="宋体" w:cs="Times New Roman"/>
          <w:color w:val="auto"/>
          <w:highlight w:val="none"/>
        </w:rPr>
        <w:t>万m</w:t>
      </w:r>
      <w:r>
        <w:rPr>
          <w:rFonts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rPr>
        <w:t>，合2630.16</w:t>
      </w:r>
      <w:r>
        <w:rPr>
          <w:rFonts w:ascii="Times New Roman" w:hAnsi="Times New Roman" w:eastAsia="宋体" w:cs="Times New Roman"/>
          <w:color w:val="auto"/>
          <w:highlight w:val="none"/>
        </w:rPr>
        <w:t>万</w:t>
      </w:r>
      <w:r>
        <w:rPr>
          <w:rFonts w:hint="eastAsia" w:ascii="Times New Roman" w:hAnsi="Times New Roman" w:eastAsia="宋体" w:cs="Times New Roman"/>
          <w:color w:val="auto"/>
          <w:highlight w:val="none"/>
        </w:rPr>
        <w:t>t。其中保有可利用硅质岩矿</w:t>
      </w:r>
      <w:r>
        <w:rPr>
          <w:rFonts w:ascii="Times New Roman" w:hAnsi="Times New Roman" w:eastAsia="宋体" w:cs="Times New Roman"/>
          <w:color w:val="auto"/>
          <w:highlight w:val="none"/>
        </w:rPr>
        <w:t>资源量(</w:t>
      </w:r>
      <w:r>
        <w:rPr>
          <w:rFonts w:hint="eastAsia" w:ascii="Times New Roman" w:hAnsi="Times New Roman" w:eastAsia="宋体" w:cs="Times New Roman"/>
          <w:color w:val="auto"/>
          <w:highlight w:val="none"/>
        </w:rPr>
        <w:t>333</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939.53</w:t>
      </w:r>
      <w:r>
        <w:rPr>
          <w:rFonts w:ascii="Times New Roman" w:hAnsi="Times New Roman" w:eastAsia="宋体" w:cs="Times New Roman"/>
          <w:color w:val="auto"/>
          <w:highlight w:val="none"/>
        </w:rPr>
        <w:t>万m</w:t>
      </w:r>
      <w:r>
        <w:rPr>
          <w:rFonts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rPr>
        <w:t>，合2254.87</w:t>
      </w:r>
      <w:r>
        <w:rPr>
          <w:rFonts w:ascii="Times New Roman" w:hAnsi="Times New Roman" w:eastAsia="宋体" w:cs="Times New Roman"/>
          <w:color w:val="auto"/>
          <w:highlight w:val="none"/>
        </w:rPr>
        <w:t>万</w:t>
      </w:r>
      <w:r>
        <w:rPr>
          <w:rFonts w:hint="eastAsia" w:ascii="Times New Roman" w:hAnsi="Times New Roman" w:eastAsia="宋体" w:cs="Times New Roman"/>
          <w:color w:val="auto"/>
          <w:highlight w:val="none"/>
        </w:rPr>
        <w:t>t；边坡压占硅质岩矿</w:t>
      </w:r>
      <w:r>
        <w:rPr>
          <w:rFonts w:ascii="Times New Roman" w:hAnsi="Times New Roman" w:eastAsia="宋体" w:cs="Times New Roman"/>
          <w:color w:val="auto"/>
          <w:highlight w:val="none"/>
        </w:rPr>
        <w:t>资源量(</w:t>
      </w:r>
      <w:r>
        <w:rPr>
          <w:rFonts w:hint="eastAsia" w:ascii="Times New Roman" w:hAnsi="Times New Roman" w:eastAsia="宋体" w:cs="Times New Roman"/>
          <w:color w:val="auto"/>
          <w:highlight w:val="none"/>
        </w:rPr>
        <w:t>333</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156.37</w:t>
      </w:r>
      <w:r>
        <w:rPr>
          <w:rFonts w:ascii="Times New Roman" w:hAnsi="Times New Roman" w:eastAsia="宋体" w:cs="Times New Roman"/>
          <w:color w:val="auto"/>
          <w:highlight w:val="none"/>
        </w:rPr>
        <w:t>万m</w:t>
      </w:r>
      <w:r>
        <w:rPr>
          <w:rFonts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rPr>
        <w:t>，合375.29</w:t>
      </w:r>
      <w:r>
        <w:rPr>
          <w:rFonts w:ascii="Times New Roman" w:hAnsi="Times New Roman" w:eastAsia="宋体" w:cs="Times New Roman"/>
          <w:color w:val="auto"/>
          <w:highlight w:val="none"/>
        </w:rPr>
        <w:t>万</w:t>
      </w:r>
      <w:r>
        <w:rPr>
          <w:rFonts w:hint="eastAsia" w:ascii="Times New Roman" w:hAnsi="Times New Roman" w:eastAsia="宋体" w:cs="Times New Roman"/>
          <w:color w:val="auto"/>
          <w:highlight w:val="none"/>
        </w:rPr>
        <w:t>t</w:t>
      </w:r>
      <w:r>
        <w:rPr>
          <w:rFonts w:ascii="Times New Roman" w:hAnsi="Times New Roman" w:eastAsia="宋体" w:cs="Times New Roman"/>
          <w:color w:val="auto"/>
          <w:highlight w:val="none"/>
        </w:rPr>
        <w:t>。</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项目</w:t>
      </w:r>
      <w:r>
        <w:rPr>
          <w:rFonts w:hint="eastAsia" w:ascii="Times New Roman" w:hAnsi="Times New Roman" w:eastAsia="宋体" w:cs="Times New Roman"/>
          <w:color w:val="auto"/>
          <w:szCs w:val="24"/>
          <w:highlight w:val="none"/>
        </w:rPr>
        <w:t>整合</w:t>
      </w:r>
      <w:r>
        <w:rPr>
          <w:rFonts w:ascii="Times New Roman" w:hAnsi="Times New Roman" w:eastAsia="宋体" w:cs="Times New Roman"/>
          <w:color w:val="auto"/>
          <w:szCs w:val="24"/>
          <w:highlight w:val="none"/>
        </w:rPr>
        <w:t>后</w:t>
      </w:r>
      <w:r>
        <w:rPr>
          <w:rFonts w:ascii="Times New Roman" w:hAnsi="Times New Roman" w:eastAsia="宋体" w:cs="Times New Roman"/>
          <w:bCs/>
          <w:color w:val="auto"/>
          <w:szCs w:val="24"/>
          <w:highlight w:val="none"/>
        </w:rPr>
        <w:t>劳动定员</w:t>
      </w:r>
      <w:r>
        <w:rPr>
          <w:rFonts w:hint="eastAsia" w:ascii="Times New Roman" w:hAnsi="Times New Roman" w:eastAsia="宋体" w:cs="Times New Roman"/>
          <w:bCs/>
          <w:color w:val="auto"/>
          <w:szCs w:val="24"/>
          <w:highlight w:val="none"/>
        </w:rPr>
        <w:t>45</w:t>
      </w:r>
      <w:r>
        <w:rPr>
          <w:rFonts w:ascii="Times New Roman" w:hAnsi="Times New Roman" w:eastAsia="宋体" w:cs="Times New Roman"/>
          <w:bCs/>
          <w:color w:val="auto"/>
          <w:szCs w:val="24"/>
          <w:highlight w:val="none"/>
        </w:rPr>
        <w:t>人，</w:t>
      </w:r>
      <w:r>
        <w:rPr>
          <w:rFonts w:hint="eastAsia" w:ascii="Times New Roman" w:hAnsi="Times New Roman" w:eastAsia="宋体" w:cs="Times New Roman"/>
          <w:bCs/>
          <w:color w:val="auto"/>
          <w:szCs w:val="24"/>
          <w:highlight w:val="none"/>
        </w:rPr>
        <w:t>全部在矿区内住宿，具体人员安排见表2.3-2。</w:t>
      </w:r>
      <w:r>
        <w:rPr>
          <w:rFonts w:ascii="Times New Roman" w:hAnsi="Times New Roman" w:eastAsia="宋体" w:cs="Times New Roman"/>
          <w:color w:val="auto"/>
          <w:szCs w:val="24"/>
          <w:highlight w:val="none"/>
        </w:rPr>
        <w:t>工作制度实行</w:t>
      </w:r>
      <w:r>
        <w:rPr>
          <w:rFonts w:hint="eastAsia" w:ascii="Times New Roman" w:hAnsi="Times New Roman" w:eastAsia="宋体" w:cs="Times New Roman"/>
          <w:color w:val="auto"/>
          <w:szCs w:val="24"/>
          <w:highlight w:val="none"/>
        </w:rPr>
        <w:t>1</w:t>
      </w:r>
      <w:r>
        <w:rPr>
          <w:rFonts w:ascii="Times New Roman" w:hAnsi="Times New Roman" w:eastAsia="宋体" w:cs="Times New Roman"/>
          <w:color w:val="auto"/>
          <w:szCs w:val="24"/>
          <w:highlight w:val="none"/>
        </w:rPr>
        <w:t>班制，每班生产</w:t>
      </w:r>
      <w:r>
        <w:rPr>
          <w:rFonts w:hint="eastAsia" w:ascii="Times New Roman" w:hAnsi="Times New Roman" w:eastAsia="宋体" w:cs="Times New Roman"/>
          <w:color w:val="auto"/>
          <w:szCs w:val="24"/>
          <w:highlight w:val="none"/>
        </w:rPr>
        <w:t>8</w:t>
      </w:r>
      <w:r>
        <w:rPr>
          <w:rFonts w:ascii="Times New Roman" w:hAnsi="Times New Roman" w:eastAsia="宋体" w:cs="Times New Roman"/>
          <w:color w:val="auto"/>
          <w:szCs w:val="24"/>
          <w:highlight w:val="none"/>
        </w:rPr>
        <w:t>h</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每年运行</w:t>
      </w:r>
      <w:r>
        <w:rPr>
          <w:rFonts w:hint="eastAsia" w:ascii="Times New Roman" w:hAnsi="Times New Roman" w:eastAsia="宋体" w:cs="Times New Roman"/>
          <w:color w:val="auto"/>
          <w:szCs w:val="24"/>
          <w:highlight w:val="none"/>
        </w:rPr>
        <w:t>30</w:t>
      </w:r>
      <w:r>
        <w:rPr>
          <w:rFonts w:ascii="Times New Roman" w:hAnsi="Times New Roman" w:eastAsia="宋体" w:cs="Times New Roman"/>
          <w:color w:val="auto"/>
          <w:szCs w:val="24"/>
          <w:highlight w:val="none"/>
        </w:rPr>
        <w:t>0d。</w:t>
      </w:r>
    </w:p>
    <w:p>
      <w:pPr>
        <w:spacing w:line="240" w:lineRule="auto"/>
        <w:ind w:firstLine="482"/>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表2.</w:t>
      </w:r>
      <w:r>
        <w:rPr>
          <w:rFonts w:hint="eastAsia" w:ascii="Times New Roman" w:hAnsi="Times New Roman" w:eastAsia="宋体" w:cs="Times New Roman"/>
          <w:b/>
          <w:bCs/>
          <w:color w:val="auto"/>
          <w:highlight w:val="none"/>
        </w:rPr>
        <w:t>3-2</w:t>
      </w:r>
      <w:r>
        <w:rPr>
          <w:rFonts w:ascii="Times New Roman" w:hAnsi="Times New Roman" w:eastAsia="宋体" w:cs="Times New Roman"/>
          <w:b/>
          <w:bCs/>
          <w:color w:val="auto"/>
          <w:highlight w:val="none"/>
        </w:rPr>
        <w:t xml:space="preserve"> </w:t>
      </w:r>
      <w:r>
        <w:rPr>
          <w:rFonts w:hint="eastAsia" w:ascii="Times New Roman" w:hAnsi="Times New Roman" w:eastAsia="宋体" w:cs="Times New Roman"/>
          <w:b/>
          <w:bCs/>
          <w:color w:val="auto"/>
          <w:highlight w:val="none"/>
        </w:rPr>
        <w:t xml:space="preserve">矿山劳动定员表 </w:t>
      </w:r>
    </w:p>
    <w:tbl>
      <w:tblPr>
        <w:tblStyle w:val="48"/>
        <w:tblW w:w="9071"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4535"/>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4536" w:type="dxa"/>
            <w:noWrap w:val="0"/>
            <w:vAlign w:val="center"/>
          </w:tcPr>
          <w:p>
            <w:pPr>
              <w:spacing w:line="240" w:lineRule="auto"/>
              <w:ind w:firstLine="0" w:firstLineChars="0"/>
              <w:jc w:val="center"/>
              <w:rPr>
                <w:rFonts w:hint="eastAsia"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工种名称</w:t>
            </w:r>
          </w:p>
        </w:tc>
        <w:tc>
          <w:tcPr>
            <w:tcW w:w="4535" w:type="dxa"/>
            <w:noWrap w:val="0"/>
            <w:vAlign w:val="center"/>
          </w:tcPr>
          <w:p>
            <w:pPr>
              <w:spacing w:line="240" w:lineRule="auto"/>
              <w:ind w:firstLine="0" w:firstLineChars="0"/>
              <w:jc w:val="center"/>
              <w:rPr>
                <w:rFonts w:hint="eastAsia"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劳动定员（人）</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453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凿岩工</w:t>
            </w:r>
          </w:p>
        </w:tc>
        <w:tc>
          <w:tcPr>
            <w:tcW w:w="45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453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爆破工</w:t>
            </w:r>
          </w:p>
        </w:tc>
        <w:tc>
          <w:tcPr>
            <w:tcW w:w="45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453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装运工</w:t>
            </w:r>
          </w:p>
        </w:tc>
        <w:tc>
          <w:tcPr>
            <w:tcW w:w="45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453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破碎工</w:t>
            </w:r>
          </w:p>
        </w:tc>
        <w:tc>
          <w:tcPr>
            <w:tcW w:w="45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453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机电工</w:t>
            </w:r>
          </w:p>
        </w:tc>
        <w:tc>
          <w:tcPr>
            <w:tcW w:w="453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453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管理人员</w:t>
            </w:r>
          </w:p>
        </w:tc>
        <w:tc>
          <w:tcPr>
            <w:tcW w:w="453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lang w:eastAsia="zh-CN"/>
              </w:rPr>
            </w:pPr>
            <w:r>
              <w:rPr>
                <w:rFonts w:hint="eastAsia" w:cs="Times New Roman"/>
                <w:color w:val="auto"/>
                <w:sz w:val="21"/>
                <w:highlight w:val="none"/>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453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专职安全员</w:t>
            </w:r>
          </w:p>
        </w:tc>
        <w:tc>
          <w:tcPr>
            <w:tcW w:w="453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453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汽车司机</w:t>
            </w:r>
          </w:p>
        </w:tc>
        <w:tc>
          <w:tcPr>
            <w:tcW w:w="453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453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后勤员</w:t>
            </w:r>
          </w:p>
        </w:tc>
        <w:tc>
          <w:tcPr>
            <w:tcW w:w="453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453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合计</w:t>
            </w:r>
          </w:p>
        </w:tc>
        <w:tc>
          <w:tcPr>
            <w:tcW w:w="453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45</w:t>
            </w:r>
          </w:p>
        </w:tc>
      </w:tr>
    </w:tbl>
    <w:p>
      <w:pPr>
        <w:pStyle w:val="5"/>
        <w:rPr>
          <w:rFonts w:ascii="Times New Roman" w:hAnsi="Times New Roman" w:eastAsia="宋体"/>
          <w:bCs/>
          <w:color w:val="auto"/>
          <w:highlight w:val="none"/>
        </w:rPr>
      </w:pPr>
      <w:r>
        <w:rPr>
          <w:rFonts w:hint="eastAsia" w:ascii="Times New Roman" w:hAnsi="Times New Roman" w:eastAsia="宋体"/>
          <w:color w:val="auto"/>
          <w:highlight w:val="none"/>
        </w:rPr>
        <w:t>2.3</w:t>
      </w:r>
      <w:r>
        <w:rPr>
          <w:rFonts w:ascii="Times New Roman" w:hAnsi="Times New Roman" w:eastAsia="宋体"/>
          <w:color w:val="auto"/>
          <w:highlight w:val="none"/>
        </w:rPr>
        <w:t>.2 项目工程组成</w:t>
      </w:r>
    </w:p>
    <w:p>
      <w:pPr>
        <w:pStyle w:val="47"/>
        <w:ind w:firstLine="480"/>
        <w:rPr>
          <w:rFonts w:ascii="Times New Roman" w:hAnsi="Times New Roman" w:eastAsia="宋体"/>
          <w:color w:val="auto"/>
          <w:highlight w:val="none"/>
        </w:rPr>
      </w:pPr>
      <w:r>
        <w:rPr>
          <w:rFonts w:hint="eastAsia" w:ascii="Times New Roman" w:hAnsi="Times New Roman" w:eastAsia="宋体"/>
          <w:color w:val="auto"/>
          <w:highlight w:val="none"/>
        </w:rPr>
        <w:t>整合项目由主体工程、储运工程、辅助工程、公用工程、环保工程组成，具体见</w:t>
      </w:r>
      <w:r>
        <w:rPr>
          <w:rFonts w:ascii="Times New Roman" w:hAnsi="Times New Roman" w:eastAsia="宋体"/>
          <w:color w:val="auto"/>
          <w:highlight w:val="none"/>
        </w:rPr>
        <w:t>表2.</w:t>
      </w:r>
      <w:r>
        <w:rPr>
          <w:rFonts w:hint="eastAsia" w:ascii="Times New Roman" w:hAnsi="Times New Roman" w:eastAsia="宋体"/>
          <w:color w:val="auto"/>
          <w:highlight w:val="none"/>
        </w:rPr>
        <w:t>3-3</w:t>
      </w:r>
      <w:r>
        <w:rPr>
          <w:rFonts w:ascii="Times New Roman" w:hAnsi="Times New Roman" w:eastAsia="宋体"/>
          <w:color w:val="auto"/>
          <w:highlight w:val="none"/>
        </w:rPr>
        <w:t>。</w:t>
      </w:r>
    </w:p>
    <w:p>
      <w:pPr>
        <w:spacing w:line="240" w:lineRule="auto"/>
        <w:ind w:firstLine="0" w:firstLineChars="0"/>
        <w:jc w:val="center"/>
        <w:rPr>
          <w:rFonts w:ascii="Times New Roman" w:hAnsi="Times New Roman" w:eastAsia="宋体" w:cs="Times New Roman"/>
          <w:b/>
          <w:bCs/>
          <w:color w:val="auto"/>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表2.</w:t>
      </w:r>
      <w:r>
        <w:rPr>
          <w:rFonts w:hint="eastAsia" w:ascii="Times New Roman" w:hAnsi="Times New Roman" w:eastAsia="宋体" w:cs="Times New Roman"/>
          <w:b/>
          <w:bCs/>
          <w:color w:val="auto"/>
          <w:highlight w:val="none"/>
        </w:rPr>
        <w:t>3-3</w:t>
      </w:r>
      <w:r>
        <w:rPr>
          <w:rFonts w:ascii="Times New Roman" w:hAnsi="Times New Roman" w:eastAsia="宋体" w:cs="Times New Roman"/>
          <w:b/>
          <w:bCs/>
          <w:color w:val="auto"/>
          <w:highlight w:val="none"/>
        </w:rPr>
        <w:t xml:space="preserve"> 项目主要工程组成内容一览表</w:t>
      </w:r>
    </w:p>
    <w:tbl>
      <w:tblPr>
        <w:tblStyle w:val="48"/>
        <w:tblW w:w="9105"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698"/>
        <w:gridCol w:w="855"/>
        <w:gridCol w:w="5963"/>
        <w:gridCol w:w="1589"/>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项目</w:t>
            </w:r>
          </w:p>
          <w:p>
            <w:pPr>
              <w:widowControl/>
              <w:snapToGrid w:val="0"/>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分类</w:t>
            </w: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工程</w:t>
            </w:r>
          </w:p>
          <w:p>
            <w:pPr>
              <w:widowControl/>
              <w:snapToGrid w:val="0"/>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组成</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工程内容</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restart"/>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主体</w:t>
            </w:r>
          </w:p>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工程</w:t>
            </w: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开采</w:t>
            </w:r>
          </w:p>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工程</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整合后</w:t>
            </w:r>
            <w:r>
              <w:rPr>
                <w:rFonts w:ascii="Times New Roman" w:hAnsi="Times New Roman" w:eastAsia="宋体" w:cs="Times New Roman"/>
                <w:color w:val="auto"/>
                <w:sz w:val="21"/>
                <w:highlight w:val="none"/>
                <w:u w:val="single"/>
              </w:rPr>
              <w:t>矿区面积为0.1</w:t>
            </w:r>
            <w:r>
              <w:rPr>
                <w:rFonts w:hint="eastAsia" w:ascii="Times New Roman" w:hAnsi="Times New Roman" w:eastAsia="宋体" w:cs="Times New Roman"/>
                <w:color w:val="auto"/>
                <w:sz w:val="21"/>
                <w:highlight w:val="none"/>
                <w:u w:val="single"/>
              </w:rPr>
              <w:t>598</w:t>
            </w:r>
            <w:r>
              <w:rPr>
                <w:rFonts w:ascii="Times New Roman" w:hAnsi="Times New Roman" w:eastAsia="宋体" w:cs="Times New Roman"/>
                <w:color w:val="auto"/>
                <w:sz w:val="21"/>
                <w:highlight w:val="none"/>
                <w:u w:val="single"/>
              </w:rPr>
              <w:t>km</w:t>
            </w:r>
            <w:r>
              <w:rPr>
                <w:rFonts w:ascii="Times New Roman" w:hAnsi="Times New Roman" w:eastAsia="宋体" w:cs="Times New Roman"/>
                <w:color w:val="auto"/>
                <w:sz w:val="21"/>
                <w:highlight w:val="none"/>
                <w:u w:val="single"/>
                <w:vertAlign w:val="superscript"/>
              </w:rPr>
              <w:t>2</w:t>
            </w:r>
            <w:r>
              <w:rPr>
                <w:rFonts w:ascii="Times New Roman" w:hAnsi="Times New Roman" w:eastAsia="宋体" w:cs="Times New Roman"/>
                <w:color w:val="auto"/>
                <w:sz w:val="21"/>
                <w:highlight w:val="none"/>
                <w:u w:val="single"/>
              </w:rPr>
              <w:t>，</w:t>
            </w:r>
            <w:r>
              <w:rPr>
                <w:rFonts w:hint="eastAsia" w:ascii="Times New Roman" w:hAnsi="Times New Roman" w:eastAsia="宋体" w:cs="Times New Roman"/>
                <w:color w:val="auto"/>
                <w:sz w:val="21"/>
                <w:highlight w:val="none"/>
                <w:u w:val="single"/>
              </w:rPr>
              <w:t>整合后矿区面积增大0.1057</w:t>
            </w:r>
            <w:r>
              <w:rPr>
                <w:rFonts w:ascii="Times New Roman" w:hAnsi="Times New Roman" w:eastAsia="宋体" w:cs="Times New Roman"/>
                <w:color w:val="auto"/>
                <w:sz w:val="21"/>
                <w:highlight w:val="none"/>
                <w:u w:val="single"/>
              </w:rPr>
              <w:t>km</w:t>
            </w:r>
            <w:r>
              <w:rPr>
                <w:rFonts w:ascii="Times New Roman" w:hAnsi="Times New Roman" w:eastAsia="宋体" w:cs="Times New Roman"/>
                <w:color w:val="auto"/>
                <w:sz w:val="21"/>
                <w:highlight w:val="none"/>
                <w:u w:val="single"/>
                <w:vertAlign w:val="superscript"/>
              </w:rPr>
              <w:t>2</w:t>
            </w:r>
            <w:r>
              <w:rPr>
                <w:rFonts w:hint="eastAsia" w:ascii="Times New Roman" w:hAnsi="Times New Roman" w:eastAsia="宋体" w:cs="Times New Roman"/>
                <w:color w:val="auto"/>
                <w:sz w:val="21"/>
                <w:highlight w:val="none"/>
                <w:u w:val="single"/>
              </w:rPr>
              <w:t>，</w:t>
            </w:r>
            <w:r>
              <w:rPr>
                <w:rFonts w:ascii="Times New Roman" w:hAnsi="Times New Roman" w:eastAsia="宋体" w:cs="Times New Roman"/>
                <w:color w:val="auto"/>
                <w:sz w:val="21"/>
                <w:highlight w:val="none"/>
                <w:u w:val="single"/>
              </w:rPr>
              <w:t>开采深度+</w:t>
            </w:r>
            <w:r>
              <w:rPr>
                <w:rFonts w:hint="eastAsia" w:ascii="Times New Roman" w:hAnsi="Times New Roman" w:eastAsia="宋体" w:cs="Times New Roman"/>
                <w:color w:val="auto"/>
                <w:sz w:val="21"/>
                <w:highlight w:val="none"/>
                <w:u w:val="single"/>
              </w:rPr>
              <w:t>447</w:t>
            </w:r>
            <w:r>
              <w:rPr>
                <w:rFonts w:ascii="Times New Roman" w:hAnsi="Times New Roman" w:eastAsia="宋体" w:cs="Times New Roman"/>
                <w:color w:val="auto"/>
                <w:sz w:val="21"/>
                <w:highlight w:val="none"/>
                <w:u w:val="single"/>
              </w:rPr>
              <w:t>m~ +</w:t>
            </w:r>
            <w:r>
              <w:rPr>
                <w:rFonts w:hint="eastAsia" w:ascii="Times New Roman" w:hAnsi="Times New Roman" w:eastAsia="宋体" w:cs="Times New Roman"/>
                <w:color w:val="auto"/>
                <w:sz w:val="21"/>
                <w:highlight w:val="none"/>
                <w:u w:val="single"/>
              </w:rPr>
              <w:t>227</w:t>
            </w:r>
            <w:r>
              <w:rPr>
                <w:rFonts w:ascii="Times New Roman" w:hAnsi="Times New Roman" w:eastAsia="宋体" w:cs="Times New Roman"/>
                <w:color w:val="auto"/>
                <w:sz w:val="21"/>
                <w:highlight w:val="none"/>
                <w:u w:val="single"/>
              </w:rPr>
              <w:t>m；设置</w:t>
            </w:r>
            <w:r>
              <w:rPr>
                <w:rFonts w:hint="eastAsia" w:cs="Times New Roman"/>
                <w:color w:val="auto"/>
                <w:sz w:val="21"/>
                <w:highlight w:val="none"/>
                <w:u w:val="single"/>
                <w:lang w:val="en-US" w:eastAsia="zh-CN"/>
              </w:rPr>
              <w:t>1</w:t>
            </w:r>
            <w:r>
              <w:rPr>
                <w:rFonts w:ascii="Times New Roman" w:hAnsi="Times New Roman" w:eastAsia="宋体" w:cs="Times New Roman"/>
                <w:color w:val="auto"/>
                <w:sz w:val="21"/>
                <w:highlight w:val="none"/>
                <w:u w:val="single"/>
              </w:rPr>
              <w:t>个</w:t>
            </w:r>
            <w:r>
              <w:rPr>
                <w:rFonts w:hint="eastAsia" w:cs="Times New Roman"/>
                <w:color w:val="auto"/>
                <w:sz w:val="21"/>
                <w:highlight w:val="none"/>
                <w:u w:val="single"/>
                <w:lang w:val="en-US" w:eastAsia="zh-CN"/>
              </w:rPr>
              <w:t>首</w:t>
            </w:r>
            <w:r>
              <w:rPr>
                <w:rFonts w:ascii="Times New Roman" w:hAnsi="Times New Roman" w:eastAsia="宋体" w:cs="Times New Roman"/>
                <w:color w:val="auto"/>
                <w:sz w:val="21"/>
                <w:highlight w:val="none"/>
                <w:u w:val="single"/>
              </w:rPr>
              <w:t>采</w:t>
            </w:r>
            <w:r>
              <w:rPr>
                <w:rFonts w:hint="eastAsia" w:cs="Times New Roman"/>
                <w:color w:val="auto"/>
                <w:sz w:val="21"/>
                <w:highlight w:val="none"/>
                <w:u w:val="single"/>
                <w:lang w:val="en-US" w:eastAsia="zh-CN"/>
              </w:rPr>
              <w:t>平台，位于矿区北面，</w:t>
            </w:r>
            <w:r>
              <w:rPr>
                <w:rFonts w:ascii="Times New Roman" w:hAnsi="Times New Roman" w:eastAsia="宋体" w:cs="Times New Roman"/>
                <w:color w:val="auto"/>
                <w:sz w:val="21"/>
                <w:highlight w:val="none"/>
                <w:u w:val="single"/>
              </w:rPr>
              <w:t>自上而下分台阶进行露天开采，台阶高度 15m，台阶坡面角70°</w:t>
            </w:r>
            <w:r>
              <w:rPr>
                <w:rFonts w:ascii="Times New Roman" w:hAnsi="Times New Roman" w:eastAsia="宋体" w:cs="Times New Roman"/>
                <w:color w:val="auto"/>
                <w:kern w:val="0"/>
                <w:sz w:val="21"/>
                <w:highlight w:val="none"/>
                <w:u w:val="single"/>
              </w:rPr>
              <w:t>，</w:t>
            </w:r>
            <w:r>
              <w:rPr>
                <w:rFonts w:ascii="Times New Roman" w:hAnsi="Times New Roman" w:eastAsia="宋体" w:cs="Times New Roman"/>
                <w:color w:val="auto"/>
                <w:sz w:val="21"/>
                <w:highlight w:val="none"/>
                <w:u w:val="single"/>
              </w:rPr>
              <w:t>开采矿石</w:t>
            </w:r>
            <w:r>
              <w:rPr>
                <w:rFonts w:hint="eastAsia" w:ascii="Times New Roman" w:hAnsi="Times New Roman" w:eastAsia="宋体" w:cs="Times New Roman"/>
                <w:color w:val="auto"/>
                <w:sz w:val="21"/>
                <w:highlight w:val="none"/>
                <w:u w:val="single"/>
              </w:rPr>
              <w:t>5</w:t>
            </w:r>
            <w:r>
              <w:rPr>
                <w:rFonts w:ascii="Times New Roman" w:hAnsi="Times New Roman" w:eastAsia="宋体" w:cs="Times New Roman"/>
                <w:color w:val="auto"/>
                <w:sz w:val="21"/>
                <w:highlight w:val="none"/>
                <w:u w:val="single"/>
              </w:rPr>
              <w:t>0万t/a。</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hint="eastAsia" w:ascii="Times New Roman" w:hAnsi="Times New Roman" w:eastAsia="宋体" w:cs="Times New Roman"/>
                <w:color w:val="auto"/>
                <w:sz w:val="21"/>
                <w:highlight w:val="none"/>
                <w:u w:val="single"/>
                <w:lang w:eastAsia="zh-CN"/>
              </w:rPr>
            </w:pPr>
            <w:r>
              <w:rPr>
                <w:rFonts w:hint="eastAsia" w:cs="Times New Roman"/>
                <w:color w:val="auto"/>
                <w:sz w:val="21"/>
                <w:highlight w:val="none"/>
                <w:u w:val="single"/>
                <w:lang w:val="en-US" w:eastAsia="zh-CN"/>
              </w:rPr>
              <w:t>新建</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continue"/>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破碎</w:t>
            </w:r>
          </w:p>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筛分</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jc w:val="both"/>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u w:val="single"/>
              </w:rPr>
              <w:t>矿山整合后</w:t>
            </w:r>
            <w:r>
              <w:rPr>
                <w:rFonts w:hint="eastAsia" w:cs="Times New Roman"/>
                <w:color w:val="auto"/>
                <w:kern w:val="0"/>
                <w:sz w:val="21"/>
                <w:highlight w:val="none"/>
                <w:u w:val="single"/>
                <w:lang w:val="en-US" w:eastAsia="zh-CN"/>
              </w:rPr>
              <w:t>设置2个破碎场，</w:t>
            </w:r>
            <w:r>
              <w:rPr>
                <w:rFonts w:hint="eastAsia" w:cs="Times New Roman"/>
                <w:color w:val="auto"/>
                <w:kern w:val="0"/>
                <w:sz w:val="21"/>
                <w:highlight w:val="none"/>
                <w:u w:val="single"/>
                <w:lang w:eastAsia="zh-CN"/>
              </w:rPr>
              <w:t>破碎场</w:t>
            </w:r>
            <w:r>
              <w:rPr>
                <w:rFonts w:hint="eastAsia" w:ascii="宋体" w:hAnsi="宋体" w:eastAsia="宋体" w:cs="宋体"/>
                <w:color w:val="auto"/>
                <w:kern w:val="0"/>
                <w:sz w:val="21"/>
                <w:highlight w:val="none"/>
                <w:u w:val="single"/>
                <w:lang w:eastAsia="zh-CN"/>
              </w:rPr>
              <w:t>①</w:t>
            </w:r>
            <w:r>
              <w:rPr>
                <w:rFonts w:hint="eastAsia" w:ascii="Times New Roman" w:hAnsi="Times New Roman" w:eastAsia="宋体" w:cs="Times New Roman"/>
                <w:color w:val="auto"/>
                <w:kern w:val="0"/>
                <w:sz w:val="21"/>
                <w:highlight w:val="none"/>
                <w:u w:val="single"/>
              </w:rPr>
              <w:t>、</w:t>
            </w:r>
            <w:r>
              <w:rPr>
                <w:rFonts w:hint="eastAsia" w:cs="Times New Roman"/>
                <w:color w:val="auto"/>
                <w:kern w:val="0"/>
                <w:sz w:val="21"/>
                <w:highlight w:val="none"/>
                <w:u w:val="single"/>
                <w:lang w:eastAsia="zh-CN"/>
              </w:rPr>
              <w:t>破碎场②</w:t>
            </w:r>
            <w:r>
              <w:rPr>
                <w:rFonts w:hint="eastAsia" w:ascii="Times New Roman" w:hAnsi="Times New Roman" w:eastAsia="宋体" w:cs="Times New Roman"/>
                <w:color w:val="auto"/>
                <w:kern w:val="0"/>
                <w:sz w:val="21"/>
                <w:highlight w:val="none"/>
                <w:u w:val="single"/>
              </w:rPr>
              <w:t>分别设置1条破碎筛分生产线。其中</w:t>
            </w:r>
            <w:r>
              <w:rPr>
                <w:rFonts w:hint="eastAsia" w:cs="Times New Roman"/>
                <w:color w:val="auto"/>
                <w:kern w:val="0"/>
                <w:sz w:val="21"/>
                <w:highlight w:val="none"/>
                <w:u w:val="single"/>
                <w:lang w:eastAsia="zh-CN"/>
              </w:rPr>
              <w:t>破碎场①</w:t>
            </w:r>
            <w:r>
              <w:rPr>
                <w:rFonts w:hint="eastAsia" w:ascii="Times New Roman" w:hAnsi="Times New Roman" w:eastAsia="宋体" w:cs="Times New Roman"/>
                <w:color w:val="auto"/>
                <w:kern w:val="0"/>
                <w:sz w:val="21"/>
                <w:highlight w:val="none"/>
                <w:u w:val="single"/>
              </w:rPr>
              <w:t>破碎筛分生产线占地面积为3000m</w:t>
            </w:r>
            <w:r>
              <w:rPr>
                <w:rFonts w:hint="eastAsia" w:ascii="Times New Roman" w:hAnsi="Times New Roman" w:eastAsia="宋体" w:cs="Times New Roman"/>
                <w:color w:val="auto"/>
                <w:kern w:val="0"/>
                <w:sz w:val="21"/>
                <w:highlight w:val="none"/>
                <w:u w:val="single"/>
                <w:vertAlign w:val="superscript"/>
              </w:rPr>
              <w:t>2</w:t>
            </w:r>
            <w:r>
              <w:rPr>
                <w:rFonts w:hint="eastAsia" w:ascii="Times New Roman" w:hAnsi="Times New Roman" w:eastAsia="宋体" w:cs="Times New Roman"/>
                <w:color w:val="auto"/>
                <w:kern w:val="0"/>
                <w:sz w:val="21"/>
                <w:highlight w:val="none"/>
                <w:u w:val="single"/>
              </w:rPr>
              <w:t>，</w:t>
            </w:r>
            <w:r>
              <w:rPr>
                <w:rFonts w:ascii="Times New Roman" w:hAnsi="Times New Roman" w:eastAsia="宋体" w:cs="Times New Roman"/>
                <w:color w:val="auto"/>
                <w:kern w:val="0"/>
                <w:sz w:val="21"/>
                <w:highlight w:val="none"/>
                <w:u w:val="single"/>
              </w:rPr>
              <w:t>包括1个</w:t>
            </w:r>
            <w:r>
              <w:rPr>
                <w:rFonts w:hint="eastAsia" w:ascii="Times New Roman" w:hAnsi="Times New Roman" w:eastAsia="宋体" w:cs="Times New Roman"/>
                <w:color w:val="auto"/>
                <w:kern w:val="0"/>
                <w:sz w:val="21"/>
                <w:highlight w:val="none"/>
                <w:u w:val="single"/>
              </w:rPr>
              <w:t>筛选</w:t>
            </w:r>
            <w:r>
              <w:rPr>
                <w:rFonts w:ascii="Times New Roman" w:hAnsi="Times New Roman" w:eastAsia="宋体" w:cs="Times New Roman"/>
                <w:color w:val="auto"/>
                <w:kern w:val="0"/>
                <w:sz w:val="21"/>
                <w:highlight w:val="none"/>
                <w:u w:val="single"/>
              </w:rPr>
              <w:t>破碎站，1个</w:t>
            </w:r>
            <w:r>
              <w:rPr>
                <w:rFonts w:hint="eastAsia" w:ascii="Times New Roman" w:hAnsi="Times New Roman" w:eastAsia="宋体" w:cs="Times New Roman"/>
                <w:color w:val="auto"/>
                <w:kern w:val="0"/>
                <w:sz w:val="21"/>
                <w:highlight w:val="none"/>
                <w:u w:val="single"/>
              </w:rPr>
              <w:t>二级破碎</w:t>
            </w:r>
            <w:r>
              <w:rPr>
                <w:rFonts w:ascii="Times New Roman" w:hAnsi="Times New Roman" w:eastAsia="宋体" w:cs="Times New Roman"/>
                <w:color w:val="auto"/>
                <w:kern w:val="0"/>
                <w:sz w:val="21"/>
                <w:highlight w:val="none"/>
                <w:u w:val="single"/>
              </w:rPr>
              <w:t>站，1个</w:t>
            </w:r>
            <w:r>
              <w:rPr>
                <w:rFonts w:hint="eastAsia" w:ascii="Times New Roman" w:hAnsi="Times New Roman" w:eastAsia="宋体" w:cs="Times New Roman"/>
                <w:color w:val="auto"/>
                <w:kern w:val="0"/>
                <w:sz w:val="21"/>
                <w:highlight w:val="none"/>
                <w:u w:val="single"/>
              </w:rPr>
              <w:t>三级破碎</w:t>
            </w:r>
            <w:r>
              <w:rPr>
                <w:rFonts w:ascii="Times New Roman" w:hAnsi="Times New Roman" w:eastAsia="宋体" w:cs="Times New Roman"/>
                <w:color w:val="auto"/>
                <w:kern w:val="0"/>
                <w:sz w:val="21"/>
                <w:highlight w:val="none"/>
                <w:u w:val="single"/>
              </w:rPr>
              <w:t>筛分站，</w:t>
            </w:r>
            <w:r>
              <w:rPr>
                <w:rFonts w:hint="eastAsia" w:ascii="Times New Roman" w:hAnsi="Times New Roman" w:eastAsia="宋体" w:cs="Times New Roman"/>
                <w:color w:val="auto"/>
                <w:kern w:val="0"/>
                <w:sz w:val="21"/>
                <w:highlight w:val="none"/>
                <w:u w:val="single"/>
              </w:rPr>
              <w:t>筛选</w:t>
            </w:r>
            <w:r>
              <w:rPr>
                <w:rFonts w:ascii="Times New Roman" w:hAnsi="Times New Roman" w:eastAsia="宋体" w:cs="Times New Roman"/>
                <w:color w:val="auto"/>
                <w:kern w:val="0"/>
                <w:sz w:val="21"/>
                <w:highlight w:val="none"/>
                <w:u w:val="single"/>
              </w:rPr>
              <w:t>破碎</w:t>
            </w:r>
            <w:r>
              <w:rPr>
                <w:rFonts w:hint="eastAsia" w:ascii="Times New Roman" w:hAnsi="Times New Roman" w:eastAsia="宋体"/>
                <w:color w:val="auto"/>
                <w:kern w:val="0"/>
                <w:sz w:val="21"/>
                <w:highlight w:val="none"/>
                <w:u w:val="single"/>
              </w:rPr>
              <w:t>①</w:t>
            </w:r>
            <w:r>
              <w:rPr>
                <w:rFonts w:ascii="Times New Roman" w:hAnsi="Times New Roman" w:eastAsia="宋体" w:cs="Times New Roman"/>
                <w:color w:val="auto"/>
                <w:kern w:val="0"/>
                <w:sz w:val="21"/>
                <w:highlight w:val="none"/>
                <w:u w:val="single"/>
              </w:rPr>
              <w:t>、</w:t>
            </w:r>
            <w:r>
              <w:rPr>
                <w:rFonts w:hint="eastAsia" w:ascii="Times New Roman" w:hAnsi="Times New Roman" w:eastAsia="宋体" w:cs="Times New Roman"/>
                <w:color w:val="auto"/>
                <w:kern w:val="0"/>
                <w:sz w:val="21"/>
                <w:highlight w:val="none"/>
                <w:u w:val="single"/>
              </w:rPr>
              <w:t>二级破碎</w:t>
            </w:r>
            <w:r>
              <w:rPr>
                <w:rFonts w:hint="eastAsia" w:ascii="Times New Roman" w:hAnsi="Times New Roman" w:eastAsia="宋体"/>
                <w:color w:val="auto"/>
                <w:kern w:val="0"/>
                <w:sz w:val="21"/>
                <w:highlight w:val="none"/>
                <w:u w:val="single"/>
              </w:rPr>
              <w:t>①</w:t>
            </w:r>
            <w:r>
              <w:rPr>
                <w:rFonts w:ascii="Times New Roman" w:hAnsi="Times New Roman" w:eastAsia="宋体" w:cs="Times New Roman"/>
                <w:color w:val="auto"/>
                <w:kern w:val="0"/>
                <w:sz w:val="21"/>
                <w:highlight w:val="none"/>
                <w:u w:val="single"/>
              </w:rPr>
              <w:t>、</w:t>
            </w:r>
            <w:r>
              <w:rPr>
                <w:rFonts w:hint="eastAsia" w:ascii="Times New Roman" w:hAnsi="Times New Roman" w:eastAsia="宋体" w:cs="Times New Roman"/>
                <w:color w:val="auto"/>
                <w:kern w:val="0"/>
                <w:sz w:val="21"/>
                <w:highlight w:val="none"/>
                <w:u w:val="single"/>
              </w:rPr>
              <w:t>三级破碎</w:t>
            </w:r>
            <w:r>
              <w:rPr>
                <w:rFonts w:ascii="Times New Roman" w:hAnsi="Times New Roman" w:eastAsia="宋体" w:cs="Times New Roman"/>
                <w:color w:val="auto"/>
                <w:kern w:val="0"/>
                <w:sz w:val="21"/>
                <w:highlight w:val="none"/>
                <w:u w:val="single"/>
              </w:rPr>
              <w:t>筛分</w:t>
            </w:r>
            <w:r>
              <w:rPr>
                <w:rFonts w:hint="eastAsia" w:ascii="Times New Roman" w:hAnsi="Times New Roman" w:eastAsia="宋体"/>
                <w:color w:val="auto"/>
                <w:kern w:val="0"/>
                <w:sz w:val="21"/>
                <w:highlight w:val="none"/>
                <w:u w:val="single"/>
              </w:rPr>
              <w:t>①</w:t>
            </w:r>
            <w:r>
              <w:rPr>
                <w:rFonts w:ascii="Times New Roman" w:hAnsi="Times New Roman" w:eastAsia="宋体" w:cs="Times New Roman"/>
                <w:color w:val="auto"/>
                <w:kern w:val="0"/>
                <w:sz w:val="21"/>
                <w:highlight w:val="none"/>
                <w:u w:val="single"/>
              </w:rPr>
              <w:t>工序分别布设一套废气处理设施</w:t>
            </w:r>
            <w:r>
              <w:rPr>
                <w:rFonts w:hint="eastAsia" w:ascii="Times New Roman" w:hAnsi="Times New Roman" w:eastAsia="宋体" w:cs="Times New Roman"/>
                <w:color w:val="auto"/>
                <w:kern w:val="0"/>
                <w:sz w:val="21"/>
                <w:highlight w:val="none"/>
                <w:u w:val="single"/>
              </w:rPr>
              <w:t>；</w:t>
            </w:r>
            <w:r>
              <w:rPr>
                <w:rFonts w:hint="eastAsia" w:cs="Times New Roman"/>
                <w:color w:val="auto"/>
                <w:kern w:val="0"/>
                <w:sz w:val="21"/>
                <w:highlight w:val="none"/>
                <w:u w:val="single"/>
                <w:lang w:eastAsia="zh-CN"/>
              </w:rPr>
              <w:t>破碎场②</w:t>
            </w:r>
            <w:r>
              <w:rPr>
                <w:rFonts w:hint="eastAsia" w:ascii="Times New Roman" w:hAnsi="Times New Roman" w:eastAsia="宋体" w:cs="Times New Roman"/>
                <w:color w:val="auto"/>
                <w:kern w:val="0"/>
                <w:sz w:val="21"/>
                <w:highlight w:val="none"/>
                <w:u w:val="single"/>
              </w:rPr>
              <w:t>破碎筛分生产线占地面积为</w:t>
            </w:r>
            <w:r>
              <w:rPr>
                <w:rFonts w:hint="eastAsia" w:cs="Times New Roman"/>
                <w:color w:val="auto"/>
                <w:kern w:val="0"/>
                <w:sz w:val="21"/>
                <w:highlight w:val="none"/>
                <w:u w:val="single"/>
                <w:lang w:val="en-US" w:eastAsia="zh-CN"/>
              </w:rPr>
              <w:t>40</w:t>
            </w:r>
            <w:r>
              <w:rPr>
                <w:rFonts w:hint="eastAsia" w:ascii="Times New Roman" w:hAnsi="Times New Roman" w:eastAsia="宋体" w:cs="Times New Roman"/>
                <w:color w:val="auto"/>
                <w:kern w:val="0"/>
                <w:sz w:val="21"/>
                <w:highlight w:val="none"/>
                <w:u w:val="single"/>
              </w:rPr>
              <w:t>00m</w:t>
            </w:r>
            <w:r>
              <w:rPr>
                <w:rFonts w:hint="eastAsia" w:ascii="Times New Roman" w:hAnsi="Times New Roman" w:eastAsia="宋体" w:cs="Times New Roman"/>
                <w:color w:val="auto"/>
                <w:kern w:val="0"/>
                <w:sz w:val="21"/>
                <w:highlight w:val="none"/>
                <w:u w:val="single"/>
                <w:vertAlign w:val="superscript"/>
              </w:rPr>
              <w:t>2</w:t>
            </w:r>
            <w:r>
              <w:rPr>
                <w:rFonts w:hint="eastAsia" w:ascii="Times New Roman" w:hAnsi="Times New Roman" w:eastAsia="宋体" w:cs="Times New Roman"/>
                <w:color w:val="auto"/>
                <w:kern w:val="0"/>
                <w:sz w:val="21"/>
                <w:highlight w:val="none"/>
                <w:u w:val="single"/>
              </w:rPr>
              <w:t>，</w:t>
            </w:r>
            <w:r>
              <w:rPr>
                <w:rFonts w:ascii="Times New Roman" w:hAnsi="Times New Roman" w:eastAsia="宋体" w:cs="Times New Roman"/>
                <w:color w:val="auto"/>
                <w:kern w:val="0"/>
                <w:sz w:val="21"/>
                <w:highlight w:val="none"/>
                <w:u w:val="single"/>
              </w:rPr>
              <w:t>包括1个</w:t>
            </w:r>
            <w:r>
              <w:rPr>
                <w:rFonts w:hint="eastAsia" w:ascii="Times New Roman" w:hAnsi="Times New Roman" w:eastAsia="宋体" w:cs="Times New Roman"/>
                <w:color w:val="auto"/>
                <w:kern w:val="0"/>
                <w:sz w:val="21"/>
                <w:highlight w:val="none"/>
                <w:u w:val="single"/>
              </w:rPr>
              <w:t>筛选</w:t>
            </w:r>
            <w:r>
              <w:rPr>
                <w:rFonts w:ascii="Times New Roman" w:hAnsi="Times New Roman" w:eastAsia="宋体" w:cs="Times New Roman"/>
                <w:color w:val="auto"/>
                <w:kern w:val="0"/>
                <w:sz w:val="21"/>
                <w:highlight w:val="none"/>
                <w:u w:val="single"/>
              </w:rPr>
              <w:t>破碎站，1个</w:t>
            </w:r>
            <w:r>
              <w:rPr>
                <w:rFonts w:hint="eastAsia" w:ascii="Times New Roman" w:hAnsi="Times New Roman" w:eastAsia="宋体" w:cs="Times New Roman"/>
                <w:color w:val="auto"/>
                <w:kern w:val="0"/>
                <w:sz w:val="21"/>
                <w:highlight w:val="none"/>
                <w:u w:val="single"/>
              </w:rPr>
              <w:t>二级破碎</w:t>
            </w:r>
            <w:r>
              <w:rPr>
                <w:rFonts w:ascii="Times New Roman" w:hAnsi="Times New Roman" w:eastAsia="宋体" w:cs="Times New Roman"/>
                <w:color w:val="auto"/>
                <w:kern w:val="0"/>
                <w:sz w:val="21"/>
                <w:highlight w:val="none"/>
                <w:u w:val="single"/>
              </w:rPr>
              <w:t>筛分站，1个</w:t>
            </w:r>
            <w:r>
              <w:rPr>
                <w:rFonts w:hint="eastAsia" w:ascii="Times New Roman" w:hAnsi="Times New Roman" w:eastAsia="宋体" w:cs="Times New Roman"/>
                <w:color w:val="auto"/>
                <w:kern w:val="0"/>
                <w:sz w:val="21"/>
                <w:highlight w:val="none"/>
                <w:u w:val="single"/>
              </w:rPr>
              <w:t>三级破碎</w:t>
            </w:r>
            <w:r>
              <w:rPr>
                <w:rFonts w:ascii="Times New Roman" w:hAnsi="Times New Roman" w:eastAsia="宋体" w:cs="Times New Roman"/>
                <w:color w:val="auto"/>
                <w:kern w:val="0"/>
                <w:sz w:val="21"/>
                <w:highlight w:val="none"/>
                <w:u w:val="single"/>
              </w:rPr>
              <w:t>筛分站，</w:t>
            </w:r>
            <w:r>
              <w:rPr>
                <w:rFonts w:hint="eastAsia" w:ascii="Times New Roman" w:hAnsi="Times New Roman" w:eastAsia="宋体" w:cs="Times New Roman"/>
                <w:color w:val="auto"/>
                <w:kern w:val="0"/>
                <w:sz w:val="21"/>
                <w:highlight w:val="none"/>
                <w:u w:val="single"/>
              </w:rPr>
              <w:t>筛选</w:t>
            </w:r>
            <w:r>
              <w:rPr>
                <w:rFonts w:ascii="Times New Roman" w:hAnsi="Times New Roman" w:eastAsia="宋体" w:cs="Times New Roman"/>
                <w:color w:val="auto"/>
                <w:kern w:val="0"/>
                <w:sz w:val="21"/>
                <w:highlight w:val="none"/>
                <w:u w:val="single"/>
              </w:rPr>
              <w:t>破碎</w:t>
            </w:r>
            <w:r>
              <w:rPr>
                <w:rFonts w:hint="eastAsia" w:ascii="Times New Roman" w:hAnsi="Times New Roman" w:eastAsia="宋体"/>
                <w:color w:val="auto"/>
                <w:kern w:val="0"/>
                <w:sz w:val="21"/>
                <w:highlight w:val="none"/>
                <w:u w:val="single"/>
              </w:rPr>
              <w:t>②</w:t>
            </w:r>
            <w:r>
              <w:rPr>
                <w:rFonts w:ascii="Times New Roman" w:hAnsi="Times New Roman" w:eastAsia="宋体" w:cs="Times New Roman"/>
                <w:color w:val="auto"/>
                <w:kern w:val="0"/>
                <w:sz w:val="21"/>
                <w:highlight w:val="none"/>
                <w:u w:val="single"/>
              </w:rPr>
              <w:t>、</w:t>
            </w:r>
            <w:r>
              <w:rPr>
                <w:rFonts w:hint="eastAsia" w:ascii="Times New Roman" w:hAnsi="Times New Roman" w:eastAsia="宋体" w:cs="Times New Roman"/>
                <w:color w:val="auto"/>
                <w:kern w:val="0"/>
                <w:sz w:val="21"/>
                <w:highlight w:val="none"/>
                <w:u w:val="single"/>
              </w:rPr>
              <w:t>二级破碎筛分</w:t>
            </w:r>
            <w:r>
              <w:rPr>
                <w:rFonts w:hint="eastAsia" w:ascii="Times New Roman" w:hAnsi="Times New Roman" w:eastAsia="宋体"/>
                <w:color w:val="auto"/>
                <w:kern w:val="0"/>
                <w:sz w:val="21"/>
                <w:highlight w:val="none"/>
                <w:u w:val="single"/>
              </w:rPr>
              <w:t>②</w:t>
            </w:r>
            <w:r>
              <w:rPr>
                <w:rFonts w:ascii="Times New Roman" w:hAnsi="Times New Roman" w:eastAsia="宋体" w:cs="Times New Roman"/>
                <w:color w:val="auto"/>
                <w:kern w:val="0"/>
                <w:sz w:val="21"/>
                <w:highlight w:val="none"/>
                <w:u w:val="single"/>
              </w:rPr>
              <w:t>、</w:t>
            </w:r>
            <w:r>
              <w:rPr>
                <w:rFonts w:hint="eastAsia" w:ascii="Times New Roman" w:hAnsi="Times New Roman" w:eastAsia="宋体" w:cs="Times New Roman"/>
                <w:color w:val="auto"/>
                <w:kern w:val="0"/>
                <w:sz w:val="21"/>
                <w:highlight w:val="none"/>
                <w:u w:val="single"/>
              </w:rPr>
              <w:t>三级破碎</w:t>
            </w:r>
            <w:r>
              <w:rPr>
                <w:rFonts w:ascii="Times New Roman" w:hAnsi="Times New Roman" w:eastAsia="宋体" w:cs="Times New Roman"/>
                <w:color w:val="auto"/>
                <w:kern w:val="0"/>
                <w:sz w:val="21"/>
                <w:highlight w:val="none"/>
                <w:u w:val="single"/>
              </w:rPr>
              <w:t>筛分</w:t>
            </w:r>
            <w:r>
              <w:rPr>
                <w:rFonts w:hint="eastAsia" w:ascii="Times New Roman" w:hAnsi="Times New Roman" w:eastAsia="宋体"/>
                <w:color w:val="auto"/>
                <w:kern w:val="0"/>
                <w:sz w:val="21"/>
                <w:highlight w:val="none"/>
                <w:u w:val="single"/>
              </w:rPr>
              <w:t>②</w:t>
            </w:r>
            <w:r>
              <w:rPr>
                <w:rFonts w:ascii="Times New Roman" w:hAnsi="Times New Roman" w:eastAsia="宋体" w:cs="Times New Roman"/>
                <w:color w:val="auto"/>
                <w:kern w:val="0"/>
                <w:sz w:val="21"/>
                <w:highlight w:val="none"/>
                <w:u w:val="single"/>
              </w:rPr>
              <w:t>工序分别布设一套废气处理设施</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left"/>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依托现有</w:t>
            </w:r>
            <w:r>
              <w:rPr>
                <w:rFonts w:hint="eastAsia" w:ascii="Times New Roman" w:hAnsi="Times New Roman" w:eastAsia="宋体" w:cs="Times New Roman"/>
                <w:color w:val="auto"/>
                <w:kern w:val="0"/>
                <w:sz w:val="21"/>
                <w:highlight w:val="none"/>
              </w:rPr>
              <w:t>工程场地，更新破碎筛分设备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continue"/>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洗砂区</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jc w:val="left"/>
              <w:rPr>
                <w:rFonts w:ascii="Times New Roman" w:hAnsi="Times New Roman" w:eastAsia="宋体" w:cs="Times New Roman"/>
                <w:color w:val="auto"/>
                <w:kern w:val="0"/>
                <w:sz w:val="21"/>
                <w:highlight w:val="none"/>
              </w:rPr>
            </w:pPr>
            <w:r>
              <w:rPr>
                <w:rFonts w:hint="eastAsia" w:cs="Times New Roman"/>
                <w:color w:val="auto"/>
                <w:kern w:val="0"/>
                <w:sz w:val="21"/>
                <w:highlight w:val="none"/>
                <w:u w:val="single"/>
                <w:lang w:eastAsia="zh-CN"/>
              </w:rPr>
              <w:t>破碎场①</w:t>
            </w:r>
            <w:r>
              <w:rPr>
                <w:rFonts w:hint="eastAsia" w:ascii="Times New Roman" w:hAnsi="Times New Roman" w:eastAsia="宋体" w:cs="Times New Roman"/>
                <w:color w:val="auto"/>
                <w:kern w:val="0"/>
                <w:sz w:val="21"/>
                <w:highlight w:val="none"/>
              </w:rPr>
              <w:t>设置1个洗砂区，位于</w:t>
            </w:r>
            <w:r>
              <w:rPr>
                <w:rFonts w:hint="eastAsia" w:cs="Times New Roman"/>
                <w:color w:val="auto"/>
                <w:kern w:val="0"/>
                <w:sz w:val="21"/>
                <w:highlight w:val="none"/>
                <w:u w:val="single"/>
                <w:lang w:eastAsia="zh-CN"/>
              </w:rPr>
              <w:t>破碎场①</w:t>
            </w:r>
            <w:r>
              <w:rPr>
                <w:rFonts w:hint="eastAsia" w:ascii="Times New Roman" w:hAnsi="Times New Roman" w:eastAsia="宋体" w:cs="Times New Roman"/>
                <w:color w:val="auto"/>
                <w:kern w:val="0"/>
                <w:sz w:val="21"/>
                <w:highlight w:val="none"/>
              </w:rPr>
              <w:t>东南侧，占地约200m</w:t>
            </w:r>
            <w:r>
              <w:rPr>
                <w:rFonts w:hint="eastAsia" w:ascii="Times New Roman" w:hAnsi="Times New Roman" w:eastAsia="宋体" w:cs="Times New Roman"/>
                <w:color w:val="auto"/>
                <w:kern w:val="0"/>
                <w:sz w:val="21"/>
                <w:highlight w:val="none"/>
                <w:vertAlign w:val="superscript"/>
              </w:rPr>
              <w:t>2</w:t>
            </w:r>
            <w:r>
              <w:rPr>
                <w:rFonts w:hint="eastAsia" w:ascii="Times New Roman" w:hAnsi="Times New Roman" w:eastAsia="宋体" w:cs="Times New Roman"/>
                <w:color w:val="auto"/>
                <w:kern w:val="0"/>
                <w:sz w:val="21"/>
                <w:highlight w:val="none"/>
              </w:rPr>
              <w:t>，</w:t>
            </w:r>
            <w:r>
              <w:rPr>
                <w:rFonts w:hint="eastAsia" w:ascii="Times New Roman" w:hAnsi="Times New Roman" w:eastAsia="宋体" w:cs="Times New Roman"/>
                <w:color w:val="auto"/>
                <w:sz w:val="21"/>
                <w:highlight w:val="none"/>
              </w:rPr>
              <w:t>建设1个三级沉砂池，容积80m</w:t>
            </w:r>
            <w:r>
              <w:rPr>
                <w:rFonts w:hint="eastAsia" w:ascii="Times New Roman" w:hAnsi="Times New Roman" w:eastAsia="宋体" w:cs="Times New Roman"/>
                <w:color w:val="auto"/>
                <w:sz w:val="21"/>
                <w:highlight w:val="none"/>
                <w:vertAlign w:val="superscript"/>
              </w:rPr>
              <w:t>3</w:t>
            </w:r>
            <w:r>
              <w:rPr>
                <w:rFonts w:hint="eastAsia" w:ascii="Times New Roman" w:hAnsi="Times New Roman" w:eastAsia="宋体" w:cs="Times New Roman"/>
                <w:color w:val="auto"/>
                <w:sz w:val="21"/>
                <w:highlight w:val="none"/>
              </w:rPr>
              <w:t>，1个清水池，容积100</w:t>
            </w:r>
            <w:r>
              <w:rPr>
                <w:rFonts w:hint="eastAsia" w:ascii="Times New Roman" w:hAnsi="Times New Roman" w:eastAsia="宋体"/>
                <w:color w:val="auto"/>
                <w:sz w:val="21"/>
                <w:highlight w:val="none"/>
              </w:rPr>
              <w:t>m</w:t>
            </w:r>
            <w:r>
              <w:rPr>
                <w:rFonts w:hint="eastAsia" w:ascii="Times New Roman" w:hAnsi="Times New Roman" w:eastAsia="宋体"/>
                <w:color w:val="auto"/>
                <w:sz w:val="21"/>
                <w:highlight w:val="none"/>
                <w:vertAlign w:val="superscript"/>
              </w:rPr>
              <w:t>3</w:t>
            </w:r>
            <w:r>
              <w:rPr>
                <w:rFonts w:hint="eastAsia" w:ascii="Times New Roman" w:hAnsi="Times New Roman" w:eastAsia="宋体" w:cs="Times New Roman"/>
                <w:color w:val="auto"/>
                <w:sz w:val="21"/>
                <w:highlight w:val="none"/>
              </w:rPr>
              <w:t>。</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原有洗砂区拆除，新建洗砂区</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restart"/>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储运</w:t>
            </w:r>
          </w:p>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工程</w:t>
            </w: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堆料场</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共</w:t>
            </w:r>
            <w:r>
              <w:rPr>
                <w:rFonts w:ascii="Times New Roman" w:hAnsi="Times New Roman" w:eastAsia="宋体" w:cs="Times New Roman"/>
                <w:color w:val="auto"/>
                <w:kern w:val="0"/>
                <w:sz w:val="21"/>
                <w:highlight w:val="none"/>
              </w:rPr>
              <w:t>设置</w:t>
            </w:r>
            <w:r>
              <w:rPr>
                <w:rFonts w:hint="eastAsia" w:ascii="Times New Roman" w:hAnsi="Times New Roman" w:eastAsia="宋体" w:cs="Times New Roman"/>
                <w:color w:val="auto"/>
                <w:kern w:val="0"/>
                <w:sz w:val="21"/>
                <w:highlight w:val="none"/>
              </w:rPr>
              <w:t>8</w:t>
            </w:r>
            <w:r>
              <w:rPr>
                <w:rFonts w:ascii="Times New Roman" w:hAnsi="Times New Roman" w:eastAsia="宋体" w:cs="Times New Roman"/>
                <w:color w:val="auto"/>
                <w:kern w:val="0"/>
                <w:sz w:val="21"/>
                <w:highlight w:val="none"/>
              </w:rPr>
              <w:t>个堆料场，</w:t>
            </w:r>
            <w:r>
              <w:rPr>
                <w:rFonts w:hint="eastAsia" w:cs="Times New Roman"/>
                <w:color w:val="auto"/>
                <w:kern w:val="0"/>
                <w:sz w:val="21"/>
                <w:highlight w:val="none"/>
                <w:u w:val="single"/>
                <w:lang w:val="en-US" w:eastAsia="zh-CN"/>
              </w:rPr>
              <w:t>地面均进行硬化处理。</w:t>
            </w:r>
            <w:r>
              <w:rPr>
                <w:rFonts w:hint="eastAsia" w:ascii="Times New Roman" w:hAnsi="Times New Roman" w:eastAsia="宋体" w:cs="Times New Roman"/>
                <w:color w:val="auto"/>
                <w:kern w:val="0"/>
                <w:sz w:val="21"/>
                <w:highlight w:val="none"/>
              </w:rPr>
              <w:t>堆料场</w:t>
            </w:r>
            <w:r>
              <w:rPr>
                <w:rFonts w:ascii="Times New Roman" w:hAnsi="Times New Roman" w:eastAsia="宋体" w:cs="Times New Roman"/>
                <w:color w:val="auto"/>
                <w:kern w:val="0"/>
                <w:sz w:val="21"/>
                <w:highlight w:val="none"/>
              </w:rPr>
              <w:t>①②</w:t>
            </w:r>
            <w:r>
              <w:rPr>
                <w:rFonts w:hint="eastAsia" w:ascii="Times New Roman" w:hAnsi="Times New Roman" w:eastAsia="宋体"/>
                <w:color w:val="auto"/>
                <w:kern w:val="0"/>
                <w:sz w:val="21"/>
                <w:highlight w:val="none"/>
              </w:rPr>
              <w:t>③分别</w:t>
            </w:r>
            <w:r>
              <w:rPr>
                <w:rFonts w:hint="eastAsia" w:ascii="Times New Roman" w:hAnsi="Times New Roman" w:eastAsia="宋体" w:cs="Times New Roman"/>
                <w:color w:val="auto"/>
                <w:kern w:val="0"/>
                <w:sz w:val="21"/>
                <w:highlight w:val="none"/>
              </w:rPr>
              <w:t>依托原海江采石场堆料场</w:t>
            </w:r>
            <w:r>
              <w:rPr>
                <w:rFonts w:ascii="Times New Roman" w:hAnsi="Times New Roman" w:eastAsia="宋体" w:cs="Times New Roman"/>
                <w:color w:val="auto"/>
                <w:kern w:val="0"/>
                <w:sz w:val="21"/>
                <w:highlight w:val="none"/>
              </w:rPr>
              <w:t>①②</w:t>
            </w:r>
            <w:r>
              <w:rPr>
                <w:rFonts w:hint="eastAsia" w:ascii="Times New Roman" w:hAnsi="Times New Roman" w:eastAsia="宋体"/>
                <w:color w:val="auto"/>
                <w:kern w:val="0"/>
                <w:sz w:val="21"/>
                <w:highlight w:val="none"/>
              </w:rPr>
              <w:t>③</w:t>
            </w:r>
            <w:r>
              <w:rPr>
                <w:rFonts w:hint="eastAsia" w:ascii="Times New Roman" w:hAnsi="Times New Roman" w:eastAsia="宋体" w:cs="Times New Roman"/>
                <w:color w:val="auto"/>
                <w:kern w:val="0"/>
                <w:sz w:val="21"/>
                <w:highlight w:val="none"/>
              </w:rPr>
              <w:t>场地进行建设，原海江采石场堆料场</w:t>
            </w:r>
            <w:r>
              <w:rPr>
                <w:rFonts w:hint="eastAsia" w:ascii="Times New Roman" w:hAnsi="Times New Roman" w:eastAsia="宋体"/>
                <w:color w:val="auto"/>
                <w:kern w:val="0"/>
                <w:sz w:val="21"/>
                <w:highlight w:val="none"/>
              </w:rPr>
              <w:t>④拆除，在</w:t>
            </w:r>
            <w:r>
              <w:rPr>
                <w:rFonts w:hint="eastAsia" w:cs="Times New Roman"/>
                <w:color w:val="auto"/>
                <w:kern w:val="0"/>
                <w:sz w:val="21"/>
                <w:highlight w:val="none"/>
                <w:u w:val="single"/>
                <w:lang w:eastAsia="zh-CN"/>
              </w:rPr>
              <w:t>破碎场①</w:t>
            </w:r>
            <w:r>
              <w:rPr>
                <w:rFonts w:hint="eastAsia" w:ascii="Times New Roman" w:hAnsi="Times New Roman" w:eastAsia="宋体" w:cs="Times New Roman"/>
                <w:color w:val="auto"/>
                <w:kern w:val="0"/>
                <w:sz w:val="21"/>
                <w:highlight w:val="none"/>
              </w:rPr>
              <w:t>东南角新建堆料场</w:t>
            </w:r>
            <w:r>
              <w:rPr>
                <w:rFonts w:hint="eastAsia" w:ascii="Times New Roman" w:hAnsi="Times New Roman" w:eastAsia="宋体"/>
                <w:color w:val="auto"/>
                <w:kern w:val="0"/>
                <w:sz w:val="21"/>
                <w:highlight w:val="none"/>
              </w:rPr>
              <w:t>④，</w:t>
            </w:r>
            <w:r>
              <w:rPr>
                <w:rFonts w:hint="eastAsia" w:ascii="Times New Roman" w:hAnsi="Times New Roman" w:eastAsia="宋体" w:cs="Times New Roman"/>
                <w:color w:val="auto"/>
                <w:kern w:val="0"/>
                <w:sz w:val="21"/>
                <w:highlight w:val="none"/>
              </w:rPr>
              <w:t>堆料场</w:t>
            </w:r>
            <w:r>
              <w:rPr>
                <w:rFonts w:ascii="Times New Roman" w:hAnsi="Times New Roman" w:eastAsia="宋体" w:cs="Times New Roman"/>
                <w:color w:val="auto"/>
                <w:kern w:val="0"/>
                <w:sz w:val="21"/>
                <w:highlight w:val="none"/>
              </w:rPr>
              <w:t>①②</w:t>
            </w:r>
            <w:r>
              <w:rPr>
                <w:rFonts w:hint="eastAsia" w:ascii="Times New Roman" w:hAnsi="Times New Roman" w:eastAsia="宋体"/>
                <w:color w:val="auto"/>
                <w:kern w:val="0"/>
                <w:sz w:val="21"/>
                <w:highlight w:val="none"/>
              </w:rPr>
              <w:t>③④</w:t>
            </w:r>
            <w:r>
              <w:rPr>
                <w:rFonts w:ascii="Times New Roman" w:hAnsi="Times New Roman" w:eastAsia="宋体" w:cs="Times New Roman"/>
                <w:color w:val="auto"/>
                <w:kern w:val="0"/>
                <w:sz w:val="21"/>
                <w:highlight w:val="none"/>
              </w:rPr>
              <w:t>占地面积分别</w:t>
            </w:r>
            <w:r>
              <w:rPr>
                <w:rFonts w:hint="eastAsia" w:ascii="Times New Roman" w:hAnsi="Times New Roman" w:eastAsia="宋体" w:cs="Times New Roman"/>
                <w:color w:val="auto"/>
                <w:kern w:val="0"/>
                <w:sz w:val="21"/>
                <w:highlight w:val="none"/>
              </w:rPr>
              <w:t>扩建至2</w:t>
            </w:r>
            <w:r>
              <w:rPr>
                <w:rFonts w:ascii="Times New Roman" w:hAnsi="Times New Roman" w:eastAsia="宋体" w:cs="Times New Roman"/>
                <w:color w:val="auto"/>
                <w:kern w:val="0"/>
                <w:sz w:val="21"/>
                <w:highlight w:val="none"/>
              </w:rPr>
              <w:t>000m</w:t>
            </w:r>
            <w:r>
              <w:rPr>
                <w:rFonts w:ascii="Times New Roman" w:hAnsi="Times New Roman" w:eastAsia="宋体" w:cs="Times New Roman"/>
                <w:color w:val="auto"/>
                <w:kern w:val="0"/>
                <w:sz w:val="21"/>
                <w:highlight w:val="none"/>
                <w:vertAlign w:val="superscript"/>
              </w:rPr>
              <w:t>2</w:t>
            </w:r>
            <w:r>
              <w:rPr>
                <w:rFonts w:ascii="Times New Roman" w:hAnsi="Times New Roman" w:eastAsia="宋体" w:cs="Times New Roman"/>
                <w:color w:val="auto"/>
                <w:kern w:val="0"/>
                <w:sz w:val="21"/>
                <w:highlight w:val="none"/>
              </w:rPr>
              <w:t>、1</w:t>
            </w:r>
            <w:r>
              <w:rPr>
                <w:rFonts w:hint="eastAsia" w:ascii="Times New Roman" w:hAnsi="Times New Roman" w:eastAsia="宋体" w:cs="Times New Roman"/>
                <w:color w:val="auto"/>
                <w:kern w:val="0"/>
                <w:sz w:val="21"/>
                <w:highlight w:val="none"/>
              </w:rPr>
              <w:t>5</w:t>
            </w:r>
            <w:r>
              <w:rPr>
                <w:rFonts w:ascii="Times New Roman" w:hAnsi="Times New Roman" w:eastAsia="宋体" w:cs="Times New Roman"/>
                <w:color w:val="auto"/>
                <w:kern w:val="0"/>
                <w:sz w:val="21"/>
                <w:highlight w:val="none"/>
              </w:rPr>
              <w:t>00m</w:t>
            </w:r>
            <w:r>
              <w:rPr>
                <w:rFonts w:ascii="Times New Roman" w:hAnsi="Times New Roman" w:eastAsia="宋体" w:cs="Times New Roman"/>
                <w:color w:val="auto"/>
                <w:kern w:val="0"/>
                <w:sz w:val="21"/>
                <w:highlight w:val="none"/>
                <w:vertAlign w:val="superscript"/>
              </w:rPr>
              <w:t>2</w:t>
            </w:r>
            <w:r>
              <w:rPr>
                <w:rFonts w:hint="eastAsia" w:ascii="Times New Roman" w:hAnsi="Times New Roman" w:eastAsia="宋体" w:cs="Times New Roman"/>
                <w:color w:val="auto"/>
                <w:kern w:val="0"/>
                <w:sz w:val="21"/>
                <w:highlight w:val="none"/>
              </w:rPr>
              <w:t>、15</w:t>
            </w:r>
            <w:r>
              <w:rPr>
                <w:rFonts w:ascii="Times New Roman" w:hAnsi="Times New Roman" w:eastAsia="宋体" w:cs="Times New Roman"/>
                <w:color w:val="auto"/>
                <w:kern w:val="0"/>
                <w:sz w:val="21"/>
                <w:highlight w:val="none"/>
              </w:rPr>
              <w:t>00m</w:t>
            </w:r>
            <w:r>
              <w:rPr>
                <w:rFonts w:ascii="Times New Roman" w:hAnsi="Times New Roman" w:eastAsia="宋体" w:cs="Times New Roman"/>
                <w:color w:val="auto"/>
                <w:kern w:val="0"/>
                <w:sz w:val="21"/>
                <w:highlight w:val="none"/>
                <w:vertAlign w:val="superscript"/>
              </w:rPr>
              <w:t>2</w:t>
            </w:r>
            <w:r>
              <w:rPr>
                <w:rFonts w:ascii="Times New Roman" w:hAnsi="Times New Roman" w:eastAsia="宋体" w:cs="Times New Roman"/>
                <w:color w:val="auto"/>
                <w:kern w:val="0"/>
                <w:sz w:val="21"/>
                <w:highlight w:val="none"/>
              </w:rPr>
              <w:t>、</w:t>
            </w:r>
            <w:r>
              <w:rPr>
                <w:rFonts w:hint="eastAsia" w:ascii="Times New Roman" w:hAnsi="Times New Roman" w:eastAsia="宋体" w:cs="Times New Roman"/>
                <w:color w:val="auto"/>
                <w:kern w:val="0"/>
                <w:sz w:val="21"/>
                <w:highlight w:val="none"/>
              </w:rPr>
              <w:t>10</w:t>
            </w:r>
            <w:r>
              <w:rPr>
                <w:rFonts w:ascii="Times New Roman" w:hAnsi="Times New Roman" w:eastAsia="宋体" w:cs="Times New Roman"/>
                <w:color w:val="auto"/>
                <w:kern w:val="0"/>
                <w:sz w:val="21"/>
                <w:highlight w:val="none"/>
              </w:rPr>
              <w:t>00m</w:t>
            </w:r>
            <w:r>
              <w:rPr>
                <w:rFonts w:ascii="Times New Roman" w:hAnsi="Times New Roman" w:eastAsia="宋体" w:cs="Times New Roman"/>
                <w:color w:val="auto"/>
                <w:kern w:val="0"/>
                <w:sz w:val="21"/>
                <w:highlight w:val="none"/>
                <w:vertAlign w:val="superscript"/>
              </w:rPr>
              <w:t>2</w:t>
            </w:r>
            <w:r>
              <w:rPr>
                <w:rFonts w:hint="eastAsia" w:ascii="Times New Roman" w:hAnsi="Times New Roman" w:eastAsia="宋体" w:cs="Times New Roman"/>
                <w:color w:val="auto"/>
                <w:kern w:val="0"/>
                <w:sz w:val="21"/>
                <w:highlight w:val="none"/>
              </w:rPr>
              <w:t>；堆料场</w:t>
            </w:r>
            <w:r>
              <w:rPr>
                <w:rFonts w:hint="eastAsia" w:ascii="Times New Roman" w:hAnsi="Times New Roman" w:eastAsia="宋体"/>
                <w:color w:val="auto"/>
                <w:kern w:val="0"/>
                <w:sz w:val="21"/>
                <w:highlight w:val="none"/>
              </w:rPr>
              <w:t>⑤⑥⑦⑧分别</w:t>
            </w:r>
            <w:r>
              <w:rPr>
                <w:rFonts w:hint="eastAsia" w:ascii="Times New Roman" w:hAnsi="Times New Roman" w:eastAsia="宋体" w:cs="Times New Roman"/>
                <w:color w:val="auto"/>
                <w:kern w:val="0"/>
                <w:sz w:val="21"/>
                <w:highlight w:val="none"/>
              </w:rPr>
              <w:t>依托原宏保兴采石场堆料场</w:t>
            </w:r>
            <w:r>
              <w:rPr>
                <w:rFonts w:hint="eastAsia" w:ascii="Times New Roman" w:hAnsi="Times New Roman" w:eastAsia="宋体"/>
                <w:color w:val="auto"/>
                <w:kern w:val="0"/>
                <w:sz w:val="21"/>
                <w:highlight w:val="none"/>
              </w:rPr>
              <w:t>⑤⑥⑦⑧</w:t>
            </w:r>
            <w:r>
              <w:rPr>
                <w:rFonts w:hint="eastAsia" w:ascii="Times New Roman" w:hAnsi="Times New Roman" w:eastAsia="宋体" w:cs="Times New Roman"/>
                <w:color w:val="auto"/>
                <w:kern w:val="0"/>
                <w:sz w:val="21"/>
                <w:highlight w:val="none"/>
              </w:rPr>
              <w:t>场地进行扩建，</w:t>
            </w:r>
            <w:r>
              <w:rPr>
                <w:rFonts w:ascii="Times New Roman" w:hAnsi="Times New Roman" w:eastAsia="宋体" w:cs="Times New Roman"/>
                <w:color w:val="auto"/>
                <w:kern w:val="0"/>
                <w:sz w:val="21"/>
                <w:highlight w:val="none"/>
              </w:rPr>
              <w:t>占地面积分别</w:t>
            </w:r>
            <w:r>
              <w:rPr>
                <w:rFonts w:hint="eastAsia" w:ascii="Times New Roman" w:hAnsi="Times New Roman" w:eastAsia="宋体" w:cs="Times New Roman"/>
                <w:color w:val="auto"/>
                <w:kern w:val="0"/>
                <w:sz w:val="21"/>
                <w:highlight w:val="none"/>
              </w:rPr>
              <w:t>扩建至2</w:t>
            </w:r>
            <w:r>
              <w:rPr>
                <w:rFonts w:ascii="Times New Roman" w:hAnsi="Times New Roman" w:eastAsia="宋体" w:cs="Times New Roman"/>
                <w:color w:val="auto"/>
                <w:kern w:val="0"/>
                <w:sz w:val="21"/>
                <w:highlight w:val="none"/>
              </w:rPr>
              <w:t>000m</w:t>
            </w:r>
            <w:r>
              <w:rPr>
                <w:rFonts w:ascii="Times New Roman" w:hAnsi="Times New Roman" w:eastAsia="宋体" w:cs="Times New Roman"/>
                <w:color w:val="auto"/>
                <w:kern w:val="0"/>
                <w:sz w:val="21"/>
                <w:highlight w:val="none"/>
                <w:vertAlign w:val="superscript"/>
              </w:rPr>
              <w:t>2</w:t>
            </w:r>
            <w:r>
              <w:rPr>
                <w:rFonts w:ascii="Times New Roman" w:hAnsi="Times New Roman" w:eastAsia="宋体" w:cs="Times New Roman"/>
                <w:color w:val="auto"/>
                <w:kern w:val="0"/>
                <w:sz w:val="21"/>
                <w:highlight w:val="none"/>
              </w:rPr>
              <w:t>、1</w:t>
            </w:r>
            <w:r>
              <w:rPr>
                <w:rFonts w:hint="eastAsia" w:ascii="Times New Roman" w:hAnsi="Times New Roman" w:eastAsia="宋体" w:cs="Times New Roman"/>
                <w:color w:val="auto"/>
                <w:kern w:val="0"/>
                <w:sz w:val="21"/>
                <w:highlight w:val="none"/>
              </w:rPr>
              <w:t>5</w:t>
            </w:r>
            <w:r>
              <w:rPr>
                <w:rFonts w:ascii="Times New Roman" w:hAnsi="Times New Roman" w:eastAsia="宋体" w:cs="Times New Roman"/>
                <w:color w:val="auto"/>
                <w:kern w:val="0"/>
                <w:sz w:val="21"/>
                <w:highlight w:val="none"/>
              </w:rPr>
              <w:t>00m</w:t>
            </w:r>
            <w:r>
              <w:rPr>
                <w:rFonts w:ascii="Times New Roman" w:hAnsi="Times New Roman" w:eastAsia="宋体" w:cs="Times New Roman"/>
                <w:color w:val="auto"/>
                <w:kern w:val="0"/>
                <w:sz w:val="21"/>
                <w:highlight w:val="none"/>
                <w:vertAlign w:val="superscript"/>
              </w:rPr>
              <w:t>2</w:t>
            </w:r>
            <w:r>
              <w:rPr>
                <w:rFonts w:hint="eastAsia" w:ascii="Times New Roman" w:hAnsi="Times New Roman" w:eastAsia="宋体" w:cs="Times New Roman"/>
                <w:color w:val="auto"/>
                <w:kern w:val="0"/>
                <w:sz w:val="21"/>
                <w:highlight w:val="none"/>
              </w:rPr>
              <w:t>、15</w:t>
            </w:r>
            <w:r>
              <w:rPr>
                <w:rFonts w:ascii="Times New Roman" w:hAnsi="Times New Roman" w:eastAsia="宋体" w:cs="Times New Roman"/>
                <w:color w:val="auto"/>
                <w:kern w:val="0"/>
                <w:sz w:val="21"/>
                <w:highlight w:val="none"/>
              </w:rPr>
              <w:t>00m</w:t>
            </w:r>
            <w:r>
              <w:rPr>
                <w:rFonts w:ascii="Times New Roman" w:hAnsi="Times New Roman" w:eastAsia="宋体" w:cs="Times New Roman"/>
                <w:color w:val="auto"/>
                <w:kern w:val="0"/>
                <w:sz w:val="21"/>
                <w:highlight w:val="none"/>
                <w:vertAlign w:val="superscript"/>
              </w:rPr>
              <w:t>2</w:t>
            </w:r>
            <w:r>
              <w:rPr>
                <w:rFonts w:ascii="Times New Roman" w:hAnsi="Times New Roman" w:eastAsia="宋体" w:cs="Times New Roman"/>
                <w:color w:val="auto"/>
                <w:kern w:val="0"/>
                <w:sz w:val="21"/>
                <w:highlight w:val="none"/>
              </w:rPr>
              <w:t>、</w:t>
            </w:r>
            <w:r>
              <w:rPr>
                <w:rFonts w:hint="eastAsia" w:ascii="Times New Roman" w:hAnsi="Times New Roman" w:eastAsia="宋体" w:cs="Times New Roman"/>
                <w:color w:val="auto"/>
                <w:kern w:val="0"/>
                <w:sz w:val="21"/>
                <w:highlight w:val="none"/>
              </w:rPr>
              <w:t>10</w:t>
            </w:r>
            <w:r>
              <w:rPr>
                <w:rFonts w:ascii="Times New Roman" w:hAnsi="Times New Roman" w:eastAsia="宋体" w:cs="Times New Roman"/>
                <w:color w:val="auto"/>
                <w:kern w:val="0"/>
                <w:sz w:val="21"/>
                <w:highlight w:val="none"/>
              </w:rPr>
              <w:t>00m</w:t>
            </w:r>
            <w:r>
              <w:rPr>
                <w:rFonts w:ascii="Times New Roman" w:hAnsi="Times New Roman" w:eastAsia="宋体" w:cs="Times New Roman"/>
                <w:color w:val="auto"/>
                <w:kern w:val="0"/>
                <w:sz w:val="21"/>
                <w:highlight w:val="none"/>
                <w:vertAlign w:val="superscript"/>
              </w:rPr>
              <w:t>2</w:t>
            </w:r>
            <w:r>
              <w:rPr>
                <w:rFonts w:ascii="Times New Roman" w:hAnsi="Times New Roman" w:eastAsia="宋体" w:cs="Times New Roman"/>
                <w:color w:val="auto"/>
                <w:kern w:val="0"/>
                <w:sz w:val="21"/>
                <w:highlight w:val="none"/>
              </w:rPr>
              <w:t>，</w:t>
            </w:r>
            <w:r>
              <w:rPr>
                <w:rFonts w:hint="eastAsia" w:ascii="Times New Roman" w:hAnsi="Times New Roman" w:eastAsia="宋体" w:cs="Times New Roman"/>
                <w:color w:val="auto"/>
                <w:kern w:val="0"/>
                <w:sz w:val="21"/>
                <w:highlight w:val="none"/>
              </w:rPr>
              <w:t>各堆料场地面均进行硬化处理，日常存储覆盖防尘网，堆料场</w:t>
            </w:r>
            <w:r>
              <w:rPr>
                <w:rFonts w:hint="eastAsia" w:ascii="Times New Roman" w:hAnsi="Times New Roman" w:eastAsia="宋体"/>
                <w:color w:val="auto"/>
                <w:kern w:val="0"/>
                <w:sz w:val="21"/>
                <w:highlight w:val="none"/>
              </w:rPr>
              <w:t>④和</w:t>
            </w:r>
            <w:r>
              <w:rPr>
                <w:rFonts w:ascii="Times New Roman" w:hAnsi="Times New Roman" w:eastAsia="宋体" w:cs="Times New Roman"/>
                <w:color w:val="auto"/>
                <w:kern w:val="0"/>
                <w:sz w:val="21"/>
                <w:highlight w:val="none"/>
              </w:rPr>
              <w:t>堆料场</w:t>
            </w:r>
            <w:r>
              <w:rPr>
                <w:rFonts w:hint="eastAsia" w:ascii="Times New Roman" w:hAnsi="Times New Roman" w:eastAsia="宋体"/>
                <w:color w:val="auto"/>
                <w:kern w:val="0"/>
                <w:sz w:val="21"/>
                <w:highlight w:val="none"/>
              </w:rPr>
              <w:t>⑧为</w:t>
            </w:r>
            <w:r>
              <w:rPr>
                <w:rFonts w:hint="eastAsia" w:ascii="Times New Roman" w:hAnsi="Times New Roman" w:eastAsia="宋体" w:cs="Times New Roman"/>
                <w:color w:val="auto"/>
                <w:kern w:val="0"/>
                <w:sz w:val="21"/>
                <w:highlight w:val="none"/>
              </w:rPr>
              <w:t>石粉堆料场，按厂棚进行建设。</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原海江采石场堆料场</w:t>
            </w:r>
            <w:r>
              <w:rPr>
                <w:rFonts w:hint="eastAsia" w:ascii="Times New Roman" w:hAnsi="Times New Roman" w:eastAsia="宋体"/>
                <w:color w:val="auto"/>
                <w:kern w:val="0"/>
                <w:sz w:val="21"/>
                <w:highlight w:val="none"/>
              </w:rPr>
              <w:t>④拆除，在</w:t>
            </w:r>
            <w:r>
              <w:rPr>
                <w:rFonts w:hint="eastAsia" w:cs="Times New Roman"/>
                <w:color w:val="auto"/>
                <w:kern w:val="0"/>
                <w:sz w:val="21"/>
                <w:highlight w:val="none"/>
                <w:u w:val="single"/>
                <w:lang w:eastAsia="zh-CN"/>
              </w:rPr>
              <w:t>破碎场①</w:t>
            </w:r>
            <w:r>
              <w:rPr>
                <w:rFonts w:hint="eastAsia" w:ascii="Times New Roman" w:hAnsi="Times New Roman" w:eastAsia="宋体" w:cs="Times New Roman"/>
                <w:color w:val="auto"/>
                <w:kern w:val="0"/>
                <w:sz w:val="21"/>
                <w:highlight w:val="none"/>
              </w:rPr>
              <w:t>东南角新建堆料场</w:t>
            </w:r>
            <w:r>
              <w:rPr>
                <w:rFonts w:hint="eastAsia" w:ascii="Times New Roman" w:hAnsi="Times New Roman" w:eastAsia="宋体"/>
                <w:color w:val="auto"/>
                <w:kern w:val="0"/>
                <w:sz w:val="21"/>
                <w:highlight w:val="none"/>
              </w:rPr>
              <w:t>④，其他</w:t>
            </w:r>
            <w:r>
              <w:rPr>
                <w:rFonts w:hint="eastAsia" w:ascii="Times New Roman" w:hAnsi="Times New Roman" w:eastAsia="宋体" w:cs="Times New Roman"/>
                <w:color w:val="auto"/>
                <w:kern w:val="0"/>
                <w:sz w:val="21"/>
                <w:highlight w:val="none"/>
              </w:rPr>
              <w:t>堆料场在原有位置上扩建</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continue"/>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料仓</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rPr>
                <w:rFonts w:ascii="Times New Roman" w:hAnsi="Times New Roman" w:eastAsia="宋体" w:cs="Times New Roman"/>
                <w:color w:val="auto"/>
                <w:kern w:val="0"/>
                <w:sz w:val="21"/>
                <w:highlight w:val="none"/>
              </w:rPr>
            </w:pPr>
            <w:r>
              <w:rPr>
                <w:rFonts w:hint="eastAsia"/>
                <w:bCs/>
                <w:color w:val="auto"/>
                <w:kern w:val="0"/>
                <w:sz w:val="21"/>
                <w:highlight w:val="none"/>
                <w:u w:val="single"/>
                <w:lang w:eastAsia="zh-CN"/>
              </w:rPr>
              <w:t>破碎场①</w:t>
            </w:r>
            <w:r>
              <w:rPr>
                <w:rFonts w:hint="eastAsia" w:ascii="Times New Roman" w:hAnsi="Times New Roman" w:eastAsia="宋体"/>
                <w:bCs/>
                <w:color w:val="auto"/>
                <w:kern w:val="0"/>
                <w:sz w:val="21"/>
                <w:highlight w:val="none"/>
              </w:rPr>
              <w:t>料仓1个长10m×宽10m×高10m，</w:t>
            </w:r>
            <w:r>
              <w:rPr>
                <w:rFonts w:hint="eastAsia"/>
                <w:bCs/>
                <w:color w:val="auto"/>
                <w:kern w:val="0"/>
                <w:sz w:val="21"/>
                <w:highlight w:val="none"/>
                <w:u w:val="single"/>
                <w:lang w:eastAsia="zh-CN"/>
              </w:rPr>
              <w:t>破碎场②</w:t>
            </w:r>
            <w:r>
              <w:rPr>
                <w:rFonts w:hint="eastAsia" w:ascii="Times New Roman" w:hAnsi="Times New Roman" w:eastAsia="宋体"/>
                <w:bCs/>
                <w:color w:val="auto"/>
                <w:kern w:val="0"/>
                <w:sz w:val="21"/>
                <w:highlight w:val="none"/>
              </w:rPr>
              <w:t>料仓1个长15m×宽8m×高10m</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新增</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continue"/>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场内</w:t>
            </w:r>
          </w:p>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运输</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jc w:val="left"/>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采用公路开拓-汽车运输方案，完善通达采场的开拓道路</w:t>
            </w:r>
            <w:r>
              <w:rPr>
                <w:rFonts w:hint="eastAsia" w:ascii="Times New Roman" w:hAnsi="Times New Roman" w:eastAsia="宋体" w:cs="Times New Roman"/>
                <w:color w:val="auto"/>
                <w:kern w:val="0"/>
                <w:sz w:val="21"/>
                <w:highlight w:val="none"/>
              </w:rPr>
              <w:t>，对矿区道路进行硬化处理</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 xml:space="preserve"> 依托现有</w:t>
            </w:r>
          </w:p>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矿区道路</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continue"/>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场外</w:t>
            </w:r>
          </w:p>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运输</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采用汽车运输，运输道路：矿山道路→</w:t>
            </w:r>
            <w:r>
              <w:rPr>
                <w:rFonts w:hint="eastAsia" w:ascii="Times New Roman" w:hAnsi="Times New Roman" w:eastAsia="宋体" w:cs="Times New Roman"/>
                <w:color w:val="auto"/>
                <w:kern w:val="0"/>
                <w:sz w:val="21"/>
                <w:highlight w:val="none"/>
              </w:rPr>
              <w:t>村级道路</w:t>
            </w:r>
            <w:r>
              <w:rPr>
                <w:rFonts w:ascii="Times New Roman" w:hAnsi="Times New Roman" w:eastAsia="宋体" w:cs="Times New Roman"/>
                <w:color w:val="auto"/>
                <w:kern w:val="0"/>
                <w:sz w:val="21"/>
                <w:highlight w:val="none"/>
              </w:rPr>
              <w:t>→周边地区</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left"/>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依托</w:t>
            </w:r>
            <w:r>
              <w:rPr>
                <w:rFonts w:hint="eastAsia" w:ascii="Times New Roman" w:hAnsi="Times New Roman" w:eastAsia="宋体" w:cs="Times New Roman"/>
                <w:color w:val="auto"/>
                <w:kern w:val="0"/>
                <w:sz w:val="21"/>
                <w:highlight w:val="none"/>
              </w:rPr>
              <w:t>现有</w:t>
            </w:r>
            <w:r>
              <w:rPr>
                <w:rFonts w:ascii="Times New Roman" w:hAnsi="Times New Roman" w:eastAsia="宋体" w:cs="Times New Roman"/>
                <w:color w:val="auto"/>
                <w:kern w:val="0"/>
                <w:sz w:val="21"/>
                <w:highlight w:val="none"/>
              </w:rPr>
              <w:t>运输道路</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continue"/>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柴油</w:t>
            </w:r>
          </w:p>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储罐</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jc w:val="left"/>
              <w:rPr>
                <w:rFonts w:ascii="Times New Roman" w:hAnsi="Times New Roman" w:eastAsia="宋体" w:cs="Times New Roman"/>
                <w:color w:val="auto"/>
                <w:kern w:val="0"/>
                <w:sz w:val="21"/>
                <w:highlight w:val="none"/>
              </w:rPr>
            </w:pPr>
            <w:r>
              <w:rPr>
                <w:rFonts w:hint="eastAsia" w:cs="Times New Roman"/>
                <w:color w:val="auto"/>
                <w:kern w:val="0"/>
                <w:sz w:val="21"/>
                <w:highlight w:val="none"/>
                <w:u w:val="single"/>
                <w:lang w:eastAsia="zh-CN"/>
              </w:rPr>
              <w:t>破碎场①</w:t>
            </w:r>
            <w:r>
              <w:rPr>
                <w:rFonts w:hint="eastAsia" w:ascii="Times New Roman" w:hAnsi="Times New Roman" w:eastAsia="宋体" w:cs="Times New Roman"/>
                <w:color w:val="auto"/>
                <w:kern w:val="0"/>
                <w:sz w:val="21"/>
                <w:highlight w:val="none"/>
              </w:rPr>
              <w:t>新增</w:t>
            </w:r>
            <w:r>
              <w:rPr>
                <w:rFonts w:ascii="Times New Roman" w:hAnsi="Times New Roman" w:eastAsia="宋体" w:cs="Times New Roman"/>
                <w:color w:val="auto"/>
                <w:kern w:val="0"/>
                <w:sz w:val="21"/>
                <w:highlight w:val="none"/>
              </w:rPr>
              <w:t>1个</w:t>
            </w:r>
            <w:r>
              <w:rPr>
                <w:rFonts w:hint="eastAsia" w:ascii="Times New Roman" w:hAnsi="Times New Roman" w:eastAsia="宋体" w:cs="Times New Roman"/>
                <w:color w:val="auto"/>
                <w:kern w:val="0"/>
                <w:sz w:val="21"/>
                <w:highlight w:val="none"/>
              </w:rPr>
              <w:t>10</w:t>
            </w:r>
            <w:r>
              <w:rPr>
                <w:rFonts w:ascii="Times New Roman" w:hAnsi="Times New Roman" w:eastAsia="宋体" w:cs="Times New Roman"/>
                <w:color w:val="auto"/>
                <w:kern w:val="0"/>
                <w:sz w:val="21"/>
                <w:highlight w:val="none"/>
              </w:rPr>
              <w:t>m</w:t>
            </w:r>
            <w:r>
              <w:rPr>
                <w:rFonts w:ascii="Times New Roman" w:hAnsi="Times New Roman" w:eastAsia="宋体" w:cs="Times New Roman"/>
                <w:color w:val="auto"/>
                <w:kern w:val="0"/>
                <w:sz w:val="21"/>
                <w:highlight w:val="none"/>
                <w:vertAlign w:val="superscript"/>
              </w:rPr>
              <w:t>3</w:t>
            </w:r>
            <w:r>
              <w:rPr>
                <w:rFonts w:ascii="Times New Roman" w:hAnsi="Times New Roman" w:eastAsia="宋体" w:cs="Times New Roman"/>
                <w:color w:val="auto"/>
                <w:kern w:val="0"/>
                <w:sz w:val="21"/>
                <w:highlight w:val="none"/>
              </w:rPr>
              <w:t>柴油储罐</w:t>
            </w:r>
            <w:r>
              <w:rPr>
                <w:rFonts w:hint="eastAsia" w:ascii="Times New Roman" w:hAnsi="Times New Roman" w:eastAsia="宋体" w:cs="Times New Roman"/>
                <w:color w:val="auto"/>
                <w:kern w:val="0"/>
                <w:sz w:val="21"/>
                <w:highlight w:val="none"/>
              </w:rPr>
              <w:t>，位于</w:t>
            </w:r>
            <w:r>
              <w:rPr>
                <w:rFonts w:hint="eastAsia" w:cs="Times New Roman"/>
                <w:color w:val="auto"/>
                <w:kern w:val="0"/>
                <w:sz w:val="21"/>
                <w:highlight w:val="none"/>
                <w:u w:val="single"/>
                <w:lang w:eastAsia="zh-CN"/>
              </w:rPr>
              <w:t>破碎场①</w:t>
            </w:r>
            <w:r>
              <w:rPr>
                <w:rFonts w:hint="eastAsia" w:ascii="Times New Roman" w:hAnsi="Times New Roman" w:eastAsia="宋体" w:cs="Times New Roman"/>
                <w:color w:val="auto"/>
                <w:kern w:val="0"/>
                <w:sz w:val="21"/>
                <w:highlight w:val="none"/>
              </w:rPr>
              <w:t>东侧；</w:t>
            </w:r>
            <w:r>
              <w:rPr>
                <w:rFonts w:hint="eastAsia" w:cs="Times New Roman"/>
                <w:color w:val="auto"/>
                <w:kern w:val="0"/>
                <w:sz w:val="21"/>
                <w:highlight w:val="none"/>
                <w:u w:val="single"/>
                <w:lang w:eastAsia="zh-CN"/>
              </w:rPr>
              <w:t>破碎场②</w:t>
            </w:r>
            <w:r>
              <w:rPr>
                <w:rFonts w:ascii="Times New Roman" w:hAnsi="Times New Roman" w:eastAsia="宋体" w:cs="Times New Roman"/>
                <w:color w:val="auto"/>
                <w:kern w:val="0"/>
                <w:sz w:val="21"/>
                <w:highlight w:val="none"/>
              </w:rPr>
              <w:t>设置1个</w:t>
            </w:r>
            <w:r>
              <w:rPr>
                <w:rFonts w:hint="eastAsia" w:ascii="Times New Roman" w:hAnsi="Times New Roman" w:eastAsia="宋体" w:cs="Times New Roman"/>
                <w:color w:val="auto"/>
                <w:kern w:val="0"/>
                <w:sz w:val="21"/>
                <w:highlight w:val="none"/>
              </w:rPr>
              <w:t>20</w:t>
            </w:r>
            <w:r>
              <w:rPr>
                <w:rFonts w:ascii="Times New Roman" w:hAnsi="Times New Roman" w:eastAsia="宋体" w:cs="Times New Roman"/>
                <w:color w:val="auto"/>
                <w:kern w:val="0"/>
                <w:sz w:val="21"/>
                <w:highlight w:val="none"/>
              </w:rPr>
              <w:t>m</w:t>
            </w:r>
            <w:r>
              <w:rPr>
                <w:rFonts w:ascii="Times New Roman" w:hAnsi="Times New Roman" w:eastAsia="宋体" w:cs="Times New Roman"/>
                <w:color w:val="auto"/>
                <w:kern w:val="0"/>
                <w:sz w:val="21"/>
                <w:highlight w:val="none"/>
                <w:vertAlign w:val="superscript"/>
              </w:rPr>
              <w:t>3</w:t>
            </w:r>
            <w:r>
              <w:rPr>
                <w:rFonts w:ascii="Times New Roman" w:hAnsi="Times New Roman" w:eastAsia="宋体" w:cs="Times New Roman"/>
                <w:color w:val="auto"/>
                <w:kern w:val="0"/>
                <w:sz w:val="21"/>
                <w:highlight w:val="none"/>
              </w:rPr>
              <w:t>柴油储罐</w:t>
            </w:r>
            <w:r>
              <w:rPr>
                <w:rFonts w:hint="eastAsia" w:ascii="Times New Roman" w:hAnsi="Times New Roman" w:eastAsia="宋体" w:cs="Times New Roman"/>
                <w:color w:val="auto"/>
                <w:kern w:val="0"/>
                <w:sz w:val="21"/>
                <w:highlight w:val="none"/>
              </w:rPr>
              <w:t>，位于</w:t>
            </w:r>
            <w:r>
              <w:rPr>
                <w:rFonts w:hint="eastAsia" w:cs="Times New Roman"/>
                <w:color w:val="auto"/>
                <w:kern w:val="0"/>
                <w:sz w:val="21"/>
                <w:highlight w:val="none"/>
                <w:u w:val="single"/>
                <w:lang w:eastAsia="zh-CN"/>
              </w:rPr>
              <w:t>破碎场②</w:t>
            </w:r>
            <w:r>
              <w:rPr>
                <w:rFonts w:hint="eastAsia" w:ascii="Times New Roman" w:hAnsi="Times New Roman" w:eastAsia="宋体" w:cs="Times New Roman"/>
                <w:color w:val="auto"/>
                <w:kern w:val="0"/>
                <w:sz w:val="21"/>
                <w:highlight w:val="none"/>
              </w:rPr>
              <w:t>西南角</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 xml:space="preserve"> </w:t>
            </w:r>
            <w:r>
              <w:rPr>
                <w:rFonts w:hint="eastAsia" w:ascii="Times New Roman" w:hAnsi="Times New Roman" w:eastAsia="宋体" w:cs="Times New Roman"/>
                <w:color w:val="auto"/>
                <w:kern w:val="0"/>
                <w:sz w:val="21"/>
                <w:highlight w:val="none"/>
              </w:rPr>
              <w:t>部分依托</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continue"/>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临时排土场</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jc w:val="left"/>
              <w:rPr>
                <w:rFonts w:hint="default" w:ascii="Times New Roman" w:hAnsi="Times New Roman" w:eastAsia="宋体" w:cs="Times New Roman"/>
                <w:color w:val="auto"/>
                <w:kern w:val="0"/>
                <w:sz w:val="21"/>
                <w:highlight w:val="none"/>
                <w:lang w:val="en-US" w:eastAsia="zh-CN"/>
              </w:rPr>
            </w:pPr>
            <w:r>
              <w:rPr>
                <w:rFonts w:hint="eastAsia" w:cs="Times New Roman"/>
                <w:color w:val="auto"/>
                <w:kern w:val="0"/>
                <w:sz w:val="21"/>
                <w:highlight w:val="none"/>
                <w:u w:val="single"/>
                <w:lang w:eastAsia="zh-CN"/>
              </w:rPr>
              <w:t>破碎场①</w:t>
            </w:r>
            <w:r>
              <w:rPr>
                <w:rFonts w:hint="eastAsia" w:ascii="Times New Roman" w:hAnsi="Times New Roman" w:eastAsia="宋体" w:cs="Times New Roman"/>
                <w:color w:val="auto"/>
                <w:kern w:val="0"/>
                <w:sz w:val="21"/>
                <w:highlight w:val="none"/>
                <w:u w:val="none"/>
              </w:rPr>
              <w:t>中部设置1个临时排土场，占地面积2</w:t>
            </w:r>
            <w:r>
              <w:rPr>
                <w:rFonts w:ascii="Times New Roman" w:hAnsi="Times New Roman" w:eastAsia="宋体" w:cs="Times New Roman"/>
                <w:color w:val="auto"/>
                <w:kern w:val="0"/>
                <w:sz w:val="21"/>
                <w:highlight w:val="none"/>
                <w:u w:val="none"/>
              </w:rPr>
              <w:t>000m</w:t>
            </w:r>
            <w:r>
              <w:rPr>
                <w:rFonts w:ascii="Times New Roman" w:hAnsi="Times New Roman" w:eastAsia="宋体" w:cs="Times New Roman"/>
                <w:color w:val="auto"/>
                <w:kern w:val="0"/>
                <w:sz w:val="21"/>
                <w:highlight w:val="none"/>
                <w:u w:val="none"/>
                <w:vertAlign w:val="superscript"/>
              </w:rPr>
              <w:t>2</w:t>
            </w:r>
            <w:r>
              <w:rPr>
                <w:rFonts w:hint="eastAsia" w:ascii="Times New Roman" w:hAnsi="Times New Roman" w:eastAsia="宋体" w:cs="Times New Roman"/>
                <w:color w:val="auto"/>
                <w:kern w:val="0"/>
                <w:sz w:val="21"/>
                <w:highlight w:val="none"/>
                <w:u w:val="none"/>
                <w:vertAlign w:val="baseline"/>
                <w:lang w:eastAsia="zh-CN"/>
              </w:rPr>
              <w:t>（</w:t>
            </w:r>
            <w:r>
              <w:rPr>
                <w:rFonts w:hint="eastAsia" w:ascii="Times New Roman" w:hAnsi="Times New Roman" w:eastAsia="宋体" w:cs="Times New Roman"/>
                <w:color w:val="auto"/>
                <w:kern w:val="0"/>
                <w:sz w:val="21"/>
                <w:highlight w:val="none"/>
                <w:u w:val="none"/>
                <w:vertAlign w:val="baseline"/>
                <w:lang w:val="en-US" w:eastAsia="zh-CN"/>
              </w:rPr>
              <w:t>表土堆存占地1000m</w:t>
            </w:r>
            <w:r>
              <w:rPr>
                <w:rFonts w:hint="eastAsia" w:ascii="Times New Roman" w:hAnsi="Times New Roman" w:eastAsia="宋体" w:cs="Times New Roman"/>
                <w:color w:val="auto"/>
                <w:kern w:val="0"/>
                <w:sz w:val="21"/>
                <w:highlight w:val="none"/>
                <w:u w:val="none"/>
                <w:vertAlign w:val="superscript"/>
                <w:lang w:val="en-US" w:eastAsia="zh-CN"/>
              </w:rPr>
              <w:t>2</w:t>
            </w:r>
            <w:r>
              <w:rPr>
                <w:rFonts w:hint="eastAsia" w:ascii="Times New Roman" w:hAnsi="Times New Roman" w:eastAsia="宋体" w:cs="Times New Roman"/>
                <w:color w:val="auto"/>
                <w:kern w:val="0"/>
                <w:sz w:val="21"/>
                <w:highlight w:val="none"/>
                <w:u w:val="none"/>
                <w:vertAlign w:val="baseline"/>
                <w:lang w:eastAsia="zh-CN"/>
              </w:rPr>
              <w:t>）</w:t>
            </w:r>
            <w:r>
              <w:rPr>
                <w:rFonts w:ascii="Times New Roman" w:hAnsi="Times New Roman" w:eastAsia="宋体" w:cs="Times New Roman"/>
                <w:color w:val="auto"/>
                <w:kern w:val="0"/>
                <w:sz w:val="21"/>
                <w:highlight w:val="none"/>
                <w:u w:val="none"/>
              </w:rPr>
              <w:t>，</w:t>
            </w:r>
            <w:r>
              <w:rPr>
                <w:rFonts w:hint="eastAsia" w:ascii="Times New Roman" w:hAnsi="Times New Roman" w:eastAsia="宋体" w:cs="Times New Roman"/>
                <w:color w:val="auto"/>
                <w:kern w:val="0"/>
                <w:sz w:val="21"/>
                <w:highlight w:val="none"/>
                <w:u w:val="none"/>
              </w:rPr>
              <w:t>周边建设挡土墙和截排水沟；</w:t>
            </w:r>
            <w:r>
              <w:rPr>
                <w:rFonts w:hint="eastAsia" w:cs="Times New Roman"/>
                <w:i w:val="0"/>
                <w:iCs w:val="0"/>
                <w:color w:val="auto"/>
                <w:kern w:val="0"/>
                <w:sz w:val="21"/>
                <w:highlight w:val="none"/>
                <w:u w:val="single"/>
                <w:lang w:eastAsia="zh-CN"/>
              </w:rPr>
              <w:t>破碎场②</w:t>
            </w:r>
            <w:r>
              <w:rPr>
                <w:rFonts w:hint="eastAsia" w:ascii="Times New Roman" w:hAnsi="Times New Roman" w:eastAsia="宋体" w:cs="Times New Roman"/>
                <w:color w:val="auto"/>
                <w:kern w:val="0"/>
                <w:sz w:val="21"/>
                <w:highlight w:val="none"/>
                <w:u w:val="none"/>
              </w:rPr>
              <w:t>西侧山坳设置1个临时排土场，占地面积2</w:t>
            </w:r>
            <w:r>
              <w:rPr>
                <w:rFonts w:ascii="Times New Roman" w:hAnsi="Times New Roman" w:eastAsia="宋体" w:cs="Times New Roman"/>
                <w:color w:val="auto"/>
                <w:kern w:val="0"/>
                <w:sz w:val="21"/>
                <w:highlight w:val="none"/>
                <w:u w:val="none"/>
              </w:rPr>
              <w:t>000m</w:t>
            </w:r>
            <w:r>
              <w:rPr>
                <w:rFonts w:ascii="Times New Roman" w:hAnsi="Times New Roman" w:eastAsia="宋体" w:cs="Times New Roman"/>
                <w:color w:val="auto"/>
                <w:kern w:val="0"/>
                <w:sz w:val="21"/>
                <w:highlight w:val="none"/>
                <w:u w:val="none"/>
                <w:vertAlign w:val="superscript"/>
              </w:rPr>
              <w:t>2</w:t>
            </w:r>
            <w:r>
              <w:rPr>
                <w:rFonts w:hint="eastAsia" w:ascii="Times New Roman" w:hAnsi="Times New Roman" w:eastAsia="宋体" w:cs="Times New Roman"/>
                <w:color w:val="auto"/>
                <w:kern w:val="0"/>
                <w:sz w:val="21"/>
                <w:highlight w:val="none"/>
                <w:u w:val="none"/>
                <w:vertAlign w:val="baseline"/>
                <w:lang w:eastAsia="zh-CN"/>
              </w:rPr>
              <w:t>（</w:t>
            </w:r>
            <w:r>
              <w:rPr>
                <w:rFonts w:hint="eastAsia" w:ascii="Times New Roman" w:hAnsi="Times New Roman" w:eastAsia="宋体" w:cs="Times New Roman"/>
                <w:color w:val="auto"/>
                <w:kern w:val="0"/>
                <w:sz w:val="21"/>
                <w:highlight w:val="none"/>
                <w:u w:val="none"/>
                <w:vertAlign w:val="baseline"/>
                <w:lang w:val="en-US" w:eastAsia="zh-CN"/>
              </w:rPr>
              <w:t>表土堆存占地1000m</w:t>
            </w:r>
            <w:r>
              <w:rPr>
                <w:rFonts w:hint="eastAsia" w:ascii="Times New Roman" w:hAnsi="Times New Roman" w:eastAsia="宋体" w:cs="Times New Roman"/>
                <w:color w:val="auto"/>
                <w:kern w:val="0"/>
                <w:sz w:val="21"/>
                <w:highlight w:val="none"/>
                <w:u w:val="none"/>
                <w:vertAlign w:val="superscript"/>
                <w:lang w:val="en-US" w:eastAsia="zh-CN"/>
              </w:rPr>
              <w:t>2</w:t>
            </w:r>
            <w:r>
              <w:rPr>
                <w:rFonts w:hint="eastAsia" w:ascii="Times New Roman" w:hAnsi="Times New Roman" w:eastAsia="宋体" w:cs="Times New Roman"/>
                <w:color w:val="auto"/>
                <w:kern w:val="0"/>
                <w:sz w:val="21"/>
                <w:highlight w:val="none"/>
                <w:u w:val="none"/>
                <w:vertAlign w:val="baseline"/>
                <w:lang w:eastAsia="zh-CN"/>
              </w:rPr>
              <w:t>）</w:t>
            </w:r>
            <w:r>
              <w:rPr>
                <w:rFonts w:ascii="Times New Roman" w:hAnsi="Times New Roman" w:eastAsia="宋体" w:cs="Times New Roman"/>
                <w:color w:val="auto"/>
                <w:kern w:val="0"/>
                <w:sz w:val="21"/>
                <w:highlight w:val="none"/>
                <w:u w:val="none"/>
              </w:rPr>
              <w:t>，</w:t>
            </w:r>
            <w:r>
              <w:rPr>
                <w:rFonts w:hint="eastAsia" w:ascii="Times New Roman" w:hAnsi="Times New Roman" w:eastAsia="宋体" w:cs="Times New Roman"/>
                <w:color w:val="auto"/>
                <w:kern w:val="0"/>
                <w:sz w:val="21"/>
                <w:highlight w:val="none"/>
                <w:u w:val="none"/>
              </w:rPr>
              <w:t>西面建设挡土墙和截排水沟；</w:t>
            </w:r>
            <w:r>
              <w:rPr>
                <w:rFonts w:hint="eastAsia" w:ascii="Times New Roman" w:hAnsi="Times New Roman" w:eastAsia="宋体" w:cs="Times New Roman"/>
                <w:color w:val="auto"/>
                <w:kern w:val="0"/>
                <w:sz w:val="21"/>
                <w:highlight w:val="none"/>
                <w:u w:val="none"/>
                <w:lang w:val="en-US" w:eastAsia="zh-CN"/>
              </w:rPr>
              <w:t>表土和废土石渣分开堆存。</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新增</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continue"/>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废土石渣场</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jc w:val="left"/>
              <w:rPr>
                <w:rFonts w:ascii="Times New Roman" w:hAnsi="Times New Roman" w:eastAsia="宋体" w:cs="Times New Roman"/>
                <w:color w:val="auto"/>
                <w:kern w:val="0"/>
                <w:sz w:val="21"/>
                <w:highlight w:val="none"/>
              </w:rPr>
            </w:pPr>
            <w:r>
              <w:rPr>
                <w:rFonts w:hint="eastAsia" w:ascii="Times New Roman" w:hAnsi="Times New Roman" w:eastAsia="宋体"/>
                <w:color w:val="auto"/>
                <w:sz w:val="21"/>
                <w:highlight w:val="none"/>
              </w:rPr>
              <w:t>矿区矿体覆盖层较薄，剥离量较少，开采过程中产生的少量废土石渣外卖用于道路建设</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restart"/>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辅助</w:t>
            </w:r>
          </w:p>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工程</w:t>
            </w: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办公生活区</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jc w:val="left"/>
              <w:rPr>
                <w:rFonts w:ascii="Times New Roman" w:hAnsi="Times New Roman" w:eastAsia="宋体" w:cs="Times New Roman"/>
                <w:color w:val="auto"/>
                <w:kern w:val="0"/>
                <w:sz w:val="21"/>
                <w:highlight w:val="none"/>
              </w:rPr>
            </w:pPr>
            <w:r>
              <w:rPr>
                <w:rFonts w:hint="eastAsia" w:cs="Times New Roman"/>
                <w:color w:val="auto"/>
                <w:kern w:val="0"/>
                <w:sz w:val="21"/>
                <w:highlight w:val="none"/>
                <w:u w:val="single"/>
                <w:lang w:eastAsia="zh-CN"/>
              </w:rPr>
              <w:t>破碎场①</w:t>
            </w:r>
            <w:r>
              <w:rPr>
                <w:rFonts w:ascii="Times New Roman" w:hAnsi="Times New Roman" w:eastAsia="宋体" w:cs="Times New Roman"/>
                <w:color w:val="auto"/>
                <w:kern w:val="0"/>
                <w:sz w:val="21"/>
                <w:highlight w:val="none"/>
              </w:rPr>
              <w:t>办公生活区位于矿山</w:t>
            </w:r>
            <w:r>
              <w:rPr>
                <w:rFonts w:hint="eastAsia" w:ascii="Times New Roman" w:hAnsi="Times New Roman" w:eastAsia="宋体" w:cs="Times New Roman"/>
                <w:color w:val="auto"/>
                <w:kern w:val="0"/>
                <w:sz w:val="21"/>
                <w:highlight w:val="none"/>
              </w:rPr>
              <w:t>东</w:t>
            </w:r>
            <w:r>
              <w:rPr>
                <w:rFonts w:ascii="Times New Roman" w:hAnsi="Times New Roman" w:eastAsia="宋体" w:cs="Times New Roman"/>
                <w:color w:val="auto"/>
                <w:kern w:val="0"/>
                <w:sz w:val="21"/>
                <w:highlight w:val="none"/>
              </w:rPr>
              <w:t>面，占地面积为</w:t>
            </w:r>
            <w:r>
              <w:rPr>
                <w:rFonts w:hint="eastAsia" w:ascii="Times New Roman" w:hAnsi="Times New Roman" w:eastAsia="宋体" w:cs="Times New Roman"/>
                <w:color w:val="auto"/>
                <w:kern w:val="0"/>
                <w:sz w:val="21"/>
                <w:highlight w:val="none"/>
              </w:rPr>
              <w:t>2</w:t>
            </w:r>
            <w:r>
              <w:rPr>
                <w:rFonts w:ascii="Times New Roman" w:hAnsi="Times New Roman" w:eastAsia="宋体" w:cs="Times New Roman"/>
                <w:color w:val="auto"/>
                <w:kern w:val="0"/>
                <w:sz w:val="21"/>
                <w:highlight w:val="none"/>
              </w:rPr>
              <w:t>00m</w:t>
            </w:r>
            <w:r>
              <w:rPr>
                <w:rFonts w:ascii="Times New Roman" w:hAnsi="Times New Roman" w:eastAsia="宋体" w:cs="Times New Roman"/>
                <w:color w:val="auto"/>
                <w:kern w:val="0"/>
                <w:sz w:val="21"/>
                <w:highlight w:val="none"/>
                <w:vertAlign w:val="superscript"/>
              </w:rPr>
              <w:t>2</w:t>
            </w:r>
            <w:r>
              <w:rPr>
                <w:rFonts w:ascii="Times New Roman" w:hAnsi="Times New Roman" w:eastAsia="宋体" w:cs="Times New Roman"/>
                <w:color w:val="auto"/>
                <w:kern w:val="0"/>
                <w:sz w:val="21"/>
                <w:highlight w:val="none"/>
              </w:rPr>
              <w:t>，</w:t>
            </w:r>
            <w:r>
              <w:rPr>
                <w:rFonts w:hint="eastAsia" w:cs="Times New Roman"/>
                <w:color w:val="auto"/>
                <w:kern w:val="0"/>
                <w:sz w:val="21"/>
                <w:highlight w:val="none"/>
                <w:u w:val="single"/>
                <w:lang w:eastAsia="zh-CN"/>
              </w:rPr>
              <w:t>破碎场②</w:t>
            </w:r>
            <w:r>
              <w:rPr>
                <w:rFonts w:ascii="Times New Roman" w:hAnsi="Times New Roman" w:eastAsia="宋体" w:cs="Times New Roman"/>
                <w:color w:val="auto"/>
                <w:kern w:val="0"/>
                <w:sz w:val="21"/>
                <w:highlight w:val="none"/>
              </w:rPr>
              <w:t>办公生活区位于矿山</w:t>
            </w:r>
            <w:r>
              <w:rPr>
                <w:rFonts w:hint="eastAsia" w:ascii="Times New Roman" w:hAnsi="Times New Roman" w:eastAsia="宋体" w:cs="Times New Roman"/>
                <w:color w:val="auto"/>
                <w:kern w:val="0"/>
                <w:sz w:val="21"/>
                <w:highlight w:val="none"/>
              </w:rPr>
              <w:t>西南角</w:t>
            </w:r>
            <w:r>
              <w:rPr>
                <w:rFonts w:ascii="Times New Roman" w:hAnsi="Times New Roman" w:eastAsia="宋体" w:cs="Times New Roman"/>
                <w:color w:val="auto"/>
                <w:kern w:val="0"/>
                <w:sz w:val="21"/>
                <w:highlight w:val="none"/>
              </w:rPr>
              <w:t>，占地面积为</w:t>
            </w:r>
            <w:r>
              <w:rPr>
                <w:rFonts w:hint="eastAsia" w:ascii="Times New Roman" w:hAnsi="Times New Roman" w:eastAsia="宋体" w:cs="Times New Roman"/>
                <w:color w:val="auto"/>
                <w:kern w:val="0"/>
                <w:sz w:val="21"/>
                <w:highlight w:val="none"/>
              </w:rPr>
              <w:t>2</w:t>
            </w:r>
            <w:r>
              <w:rPr>
                <w:rFonts w:ascii="Times New Roman" w:hAnsi="Times New Roman" w:eastAsia="宋体" w:cs="Times New Roman"/>
                <w:color w:val="auto"/>
                <w:kern w:val="0"/>
                <w:sz w:val="21"/>
                <w:highlight w:val="none"/>
              </w:rPr>
              <w:t>00m</w:t>
            </w:r>
            <w:r>
              <w:rPr>
                <w:rFonts w:ascii="Times New Roman" w:hAnsi="Times New Roman" w:eastAsia="宋体" w:cs="Times New Roman"/>
                <w:color w:val="auto"/>
                <w:kern w:val="0"/>
                <w:sz w:val="21"/>
                <w:highlight w:val="none"/>
                <w:vertAlign w:val="superscript"/>
              </w:rPr>
              <w:t>2</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依托现有生活区</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continue"/>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配电房</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2</w:t>
            </w:r>
            <w:r>
              <w:rPr>
                <w:rFonts w:ascii="Times New Roman" w:hAnsi="Times New Roman" w:eastAsia="宋体" w:cs="Times New Roman"/>
                <w:color w:val="auto"/>
                <w:kern w:val="0"/>
                <w:sz w:val="21"/>
                <w:highlight w:val="none"/>
              </w:rPr>
              <w:t>个配电房</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依托现有配电</w:t>
            </w:r>
            <w:r>
              <w:rPr>
                <w:rFonts w:hint="eastAsia" w:ascii="Times New Roman" w:hAnsi="Times New Roman" w:eastAsia="宋体" w:cs="Times New Roman"/>
                <w:color w:val="auto"/>
                <w:kern w:val="0"/>
                <w:sz w:val="21"/>
                <w:highlight w:val="none"/>
              </w:rPr>
              <w:t>房</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continue"/>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矿山设备仓库</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2</w:t>
            </w:r>
            <w:r>
              <w:rPr>
                <w:rFonts w:ascii="Times New Roman" w:hAnsi="Times New Roman" w:eastAsia="宋体" w:cs="Times New Roman"/>
                <w:color w:val="auto"/>
                <w:kern w:val="0"/>
                <w:sz w:val="21"/>
                <w:highlight w:val="none"/>
              </w:rPr>
              <w:t>个矿山设备仓库</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依托现有</w:t>
            </w:r>
            <w:r>
              <w:rPr>
                <w:rFonts w:hint="eastAsia" w:ascii="Times New Roman" w:hAnsi="Times New Roman" w:eastAsia="宋体" w:cs="Times New Roman"/>
                <w:color w:val="auto"/>
                <w:kern w:val="0"/>
                <w:sz w:val="21"/>
                <w:highlight w:val="none"/>
              </w:rPr>
              <w:t>矿山</w:t>
            </w:r>
          </w:p>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设备仓库</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restart"/>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公用</w:t>
            </w:r>
          </w:p>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工程</w:t>
            </w: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供水</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jc w:val="left"/>
              <w:rPr>
                <w:rFonts w:ascii="Times New Roman" w:hAnsi="Times New Roman" w:eastAsia="宋体" w:cs="Times New Roman"/>
                <w:color w:val="auto"/>
                <w:kern w:val="0"/>
                <w:sz w:val="21"/>
                <w:highlight w:val="none"/>
              </w:rPr>
            </w:pPr>
            <w:r>
              <w:rPr>
                <w:rFonts w:hint="eastAsia" w:cs="Times New Roman"/>
                <w:color w:val="auto"/>
                <w:kern w:val="0"/>
                <w:sz w:val="21"/>
                <w:highlight w:val="none"/>
                <w:u w:val="single"/>
                <w:lang w:val="en-US" w:eastAsia="zh-CN"/>
              </w:rPr>
              <w:t>取</w:t>
            </w:r>
            <w:r>
              <w:rPr>
                <w:rFonts w:ascii="Times New Roman" w:hAnsi="Times New Roman" w:eastAsia="宋体" w:cs="Times New Roman"/>
                <w:color w:val="auto"/>
                <w:kern w:val="0"/>
                <w:sz w:val="21"/>
                <w:highlight w:val="none"/>
                <w:u w:val="single"/>
              </w:rPr>
              <w:t>自</w:t>
            </w:r>
            <w:r>
              <w:rPr>
                <w:rFonts w:hint="eastAsia" w:ascii="Times New Roman" w:hAnsi="Times New Roman" w:eastAsia="宋体" w:cs="Times New Roman"/>
                <w:color w:val="auto"/>
                <w:kern w:val="0"/>
                <w:sz w:val="21"/>
                <w:highlight w:val="none"/>
                <w:u w:val="single"/>
              </w:rPr>
              <w:t>山泉水，</w:t>
            </w:r>
            <w:r>
              <w:rPr>
                <w:rFonts w:hint="eastAsia" w:cs="Times New Roman"/>
                <w:color w:val="auto"/>
                <w:kern w:val="0"/>
                <w:sz w:val="21"/>
                <w:highlight w:val="none"/>
                <w:u w:val="single"/>
                <w:lang w:val="en-US" w:eastAsia="zh-CN"/>
              </w:rPr>
              <w:t>由东坪村管网接入。</w:t>
            </w:r>
            <w:r>
              <w:rPr>
                <w:rFonts w:hint="eastAsia"/>
                <w:bCs/>
                <w:color w:val="auto"/>
                <w:kern w:val="0"/>
                <w:sz w:val="21"/>
                <w:highlight w:val="none"/>
                <w:u w:val="single"/>
                <w:lang w:eastAsia="zh-CN"/>
              </w:rPr>
              <w:t>破碎场①</w:t>
            </w:r>
            <w:r>
              <w:rPr>
                <w:rFonts w:hint="eastAsia" w:ascii="Times New Roman" w:hAnsi="Times New Roman" w:eastAsia="宋体"/>
                <w:bCs/>
                <w:color w:val="auto"/>
                <w:kern w:val="0"/>
                <w:sz w:val="21"/>
                <w:highlight w:val="none"/>
              </w:rPr>
              <w:t>设置1个10m</w:t>
            </w:r>
            <w:r>
              <w:rPr>
                <w:rFonts w:hint="eastAsia" w:ascii="Times New Roman" w:hAnsi="Times New Roman" w:eastAsia="宋体"/>
                <w:bCs/>
                <w:color w:val="auto"/>
                <w:kern w:val="0"/>
                <w:sz w:val="21"/>
                <w:highlight w:val="none"/>
                <w:vertAlign w:val="superscript"/>
              </w:rPr>
              <w:t>3</w:t>
            </w:r>
            <w:r>
              <w:rPr>
                <w:rFonts w:hint="eastAsia" w:ascii="Times New Roman" w:hAnsi="Times New Roman" w:eastAsia="宋体"/>
                <w:bCs/>
                <w:color w:val="auto"/>
                <w:kern w:val="0"/>
                <w:sz w:val="21"/>
                <w:highlight w:val="none"/>
              </w:rPr>
              <w:t>水塔，</w:t>
            </w:r>
            <w:r>
              <w:rPr>
                <w:rFonts w:hint="eastAsia"/>
                <w:bCs/>
                <w:color w:val="auto"/>
                <w:kern w:val="0"/>
                <w:sz w:val="21"/>
                <w:highlight w:val="none"/>
                <w:u w:val="single"/>
                <w:lang w:eastAsia="zh-CN"/>
              </w:rPr>
              <w:t>破碎场②</w:t>
            </w:r>
            <w:r>
              <w:rPr>
                <w:rFonts w:hint="eastAsia" w:ascii="Times New Roman" w:hAnsi="Times New Roman" w:eastAsia="宋体"/>
                <w:bCs/>
                <w:color w:val="auto"/>
                <w:kern w:val="0"/>
                <w:sz w:val="21"/>
                <w:highlight w:val="none"/>
              </w:rPr>
              <w:t>设置1个10m</w:t>
            </w:r>
            <w:r>
              <w:rPr>
                <w:rFonts w:hint="eastAsia" w:ascii="Times New Roman" w:hAnsi="Times New Roman" w:eastAsia="宋体"/>
                <w:bCs/>
                <w:color w:val="auto"/>
                <w:kern w:val="0"/>
                <w:sz w:val="21"/>
                <w:highlight w:val="none"/>
                <w:vertAlign w:val="superscript"/>
              </w:rPr>
              <w:t>3</w:t>
            </w:r>
            <w:r>
              <w:rPr>
                <w:rFonts w:hint="eastAsia" w:ascii="Times New Roman" w:hAnsi="Times New Roman" w:eastAsia="宋体"/>
                <w:bCs/>
                <w:color w:val="auto"/>
                <w:kern w:val="0"/>
                <w:sz w:val="21"/>
                <w:highlight w:val="none"/>
              </w:rPr>
              <w:t>水塔</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依托现有工程</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continue"/>
            <w:noWrap w:val="0"/>
            <w:tcMar>
              <w:top w:w="0" w:type="dxa"/>
              <w:left w:w="28" w:type="dxa"/>
              <w:bottom w:w="0" w:type="dxa"/>
              <w:right w:w="28" w:type="dxa"/>
            </w:tcMar>
            <w:vAlign w:val="center"/>
          </w:tcPr>
          <w:p>
            <w:pPr>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供电</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从附近的10kV电网引入</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依托现有工程</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continue"/>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排水</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jc w:val="left"/>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矿区周边新建截排水沟，截排水沟底部建设2座初期雨水沉砂池，</w:t>
            </w:r>
            <w:r>
              <w:rPr>
                <w:rFonts w:ascii="Times New Roman" w:hAnsi="Times New Roman" w:eastAsia="宋体" w:cs="Times New Roman"/>
                <w:color w:val="auto"/>
                <w:kern w:val="0"/>
                <w:sz w:val="21"/>
                <w:highlight w:val="none"/>
                <w:u w:val="single"/>
              </w:rPr>
              <w:t>1#沉砂池设在</w:t>
            </w:r>
            <w:r>
              <w:rPr>
                <w:rFonts w:hint="eastAsia" w:cs="Times New Roman"/>
                <w:color w:val="auto"/>
                <w:kern w:val="0"/>
                <w:sz w:val="21"/>
                <w:highlight w:val="none"/>
                <w:u w:val="single"/>
                <w:lang w:eastAsia="zh-CN"/>
              </w:rPr>
              <w:t>破碎场①</w:t>
            </w:r>
            <w:r>
              <w:rPr>
                <w:rFonts w:hint="eastAsia" w:ascii="Times New Roman" w:hAnsi="Times New Roman" w:eastAsia="宋体" w:cs="Times New Roman"/>
                <w:color w:val="auto"/>
                <w:kern w:val="0"/>
                <w:sz w:val="21"/>
                <w:highlight w:val="none"/>
                <w:u w:val="single"/>
              </w:rPr>
              <w:t>中部</w:t>
            </w:r>
            <w:r>
              <w:rPr>
                <w:rFonts w:ascii="Times New Roman" w:hAnsi="Times New Roman" w:eastAsia="宋体" w:cs="Times New Roman"/>
                <w:color w:val="auto"/>
                <w:kern w:val="0"/>
                <w:sz w:val="21"/>
                <w:highlight w:val="none"/>
                <w:u w:val="single"/>
              </w:rPr>
              <w:t>，容积为</w:t>
            </w:r>
            <w:r>
              <w:rPr>
                <w:rFonts w:hint="eastAsia" w:cs="Times New Roman"/>
                <w:color w:val="auto"/>
                <w:kern w:val="0"/>
                <w:sz w:val="21"/>
                <w:highlight w:val="none"/>
                <w:u w:val="single"/>
                <w:lang w:val="en-US" w:eastAsia="zh-CN"/>
              </w:rPr>
              <w:t>3</w:t>
            </w:r>
            <w:r>
              <w:rPr>
                <w:rFonts w:hint="eastAsia" w:ascii="Times New Roman" w:hAnsi="Times New Roman" w:eastAsia="宋体" w:cs="Times New Roman"/>
                <w:color w:val="auto"/>
                <w:kern w:val="0"/>
                <w:sz w:val="21"/>
                <w:highlight w:val="none"/>
                <w:u w:val="single"/>
              </w:rPr>
              <w:t>0</w:t>
            </w:r>
            <w:r>
              <w:rPr>
                <w:rFonts w:ascii="Times New Roman" w:hAnsi="Times New Roman" w:eastAsia="宋体" w:cs="Times New Roman"/>
                <w:color w:val="auto"/>
                <w:kern w:val="0"/>
                <w:sz w:val="21"/>
                <w:highlight w:val="none"/>
                <w:u w:val="single"/>
              </w:rPr>
              <w:t>0m</w:t>
            </w:r>
            <w:r>
              <w:rPr>
                <w:rFonts w:ascii="Times New Roman" w:hAnsi="Times New Roman" w:eastAsia="宋体" w:cs="Times New Roman"/>
                <w:color w:val="auto"/>
                <w:kern w:val="0"/>
                <w:sz w:val="21"/>
                <w:highlight w:val="none"/>
                <w:u w:val="single"/>
                <w:vertAlign w:val="superscript"/>
              </w:rPr>
              <w:t>3</w:t>
            </w:r>
            <w:r>
              <w:rPr>
                <w:rFonts w:ascii="Times New Roman" w:hAnsi="Times New Roman" w:eastAsia="宋体" w:cs="Times New Roman"/>
                <w:color w:val="auto"/>
                <w:kern w:val="0"/>
                <w:sz w:val="21"/>
                <w:highlight w:val="none"/>
                <w:u w:val="single"/>
              </w:rPr>
              <w:t>，2#沉砂池设在</w:t>
            </w:r>
            <w:r>
              <w:rPr>
                <w:rFonts w:hint="eastAsia" w:cs="Times New Roman"/>
                <w:color w:val="auto"/>
                <w:kern w:val="0"/>
                <w:sz w:val="21"/>
                <w:highlight w:val="none"/>
                <w:u w:val="single"/>
                <w:lang w:eastAsia="zh-CN"/>
              </w:rPr>
              <w:t>破碎场②</w:t>
            </w:r>
            <w:r>
              <w:rPr>
                <w:rFonts w:hint="eastAsia" w:ascii="Times New Roman" w:hAnsi="Times New Roman" w:eastAsia="宋体" w:cs="Times New Roman"/>
                <w:color w:val="auto"/>
                <w:kern w:val="0"/>
                <w:sz w:val="21"/>
                <w:highlight w:val="none"/>
                <w:u w:val="single"/>
              </w:rPr>
              <w:t>西面</w:t>
            </w:r>
            <w:r>
              <w:rPr>
                <w:rFonts w:ascii="Times New Roman" w:hAnsi="Times New Roman" w:eastAsia="宋体" w:cs="Times New Roman"/>
                <w:color w:val="auto"/>
                <w:kern w:val="0"/>
                <w:sz w:val="21"/>
                <w:highlight w:val="none"/>
                <w:u w:val="single"/>
              </w:rPr>
              <w:t>，容积为</w:t>
            </w:r>
            <w:r>
              <w:rPr>
                <w:rFonts w:hint="eastAsia" w:cs="Times New Roman"/>
                <w:color w:val="auto"/>
                <w:kern w:val="0"/>
                <w:sz w:val="21"/>
                <w:highlight w:val="none"/>
                <w:u w:val="single"/>
                <w:lang w:val="en-US" w:eastAsia="zh-CN"/>
              </w:rPr>
              <w:t>2</w:t>
            </w:r>
            <w:r>
              <w:rPr>
                <w:rFonts w:hint="eastAsia" w:ascii="Times New Roman" w:hAnsi="Times New Roman" w:eastAsia="宋体" w:cs="Times New Roman"/>
                <w:color w:val="auto"/>
                <w:kern w:val="0"/>
                <w:sz w:val="21"/>
                <w:highlight w:val="none"/>
                <w:u w:val="single"/>
              </w:rPr>
              <w:t>0</w:t>
            </w:r>
            <w:r>
              <w:rPr>
                <w:rFonts w:ascii="Times New Roman" w:hAnsi="Times New Roman" w:eastAsia="宋体" w:cs="Times New Roman"/>
                <w:color w:val="auto"/>
                <w:kern w:val="0"/>
                <w:sz w:val="21"/>
                <w:highlight w:val="none"/>
                <w:u w:val="single"/>
              </w:rPr>
              <w:t>0m</w:t>
            </w:r>
            <w:r>
              <w:rPr>
                <w:rFonts w:ascii="Times New Roman" w:hAnsi="Times New Roman" w:eastAsia="宋体" w:cs="Times New Roman"/>
                <w:color w:val="auto"/>
                <w:kern w:val="0"/>
                <w:sz w:val="21"/>
                <w:highlight w:val="none"/>
                <w:u w:val="single"/>
                <w:vertAlign w:val="superscript"/>
              </w:rPr>
              <w:t>3</w:t>
            </w:r>
            <w:r>
              <w:rPr>
                <w:rFonts w:ascii="Times New Roman" w:hAnsi="Times New Roman" w:eastAsia="宋体" w:cs="Times New Roman"/>
                <w:color w:val="auto"/>
                <w:kern w:val="0"/>
                <w:sz w:val="21"/>
                <w:highlight w:val="none"/>
              </w:rPr>
              <w:t>。</w:t>
            </w:r>
            <w:r>
              <w:rPr>
                <w:rFonts w:hint="eastAsia" w:ascii="Times New Roman" w:hAnsi="Times New Roman" w:eastAsia="宋体" w:cs="Times New Roman"/>
                <w:color w:val="auto"/>
                <w:kern w:val="0"/>
                <w:sz w:val="21"/>
                <w:highlight w:val="none"/>
              </w:rPr>
              <w:t>厨房新增隔油池，生活污水设置2个容积均为20</w:t>
            </w:r>
            <w:r>
              <w:rPr>
                <w:rFonts w:ascii="Times New Roman" w:hAnsi="Times New Roman" w:eastAsia="宋体" w:cs="Times New Roman"/>
                <w:color w:val="auto"/>
                <w:kern w:val="0"/>
                <w:sz w:val="21"/>
                <w:highlight w:val="none"/>
              </w:rPr>
              <w:t>m</w:t>
            </w:r>
            <w:r>
              <w:rPr>
                <w:rFonts w:ascii="Times New Roman" w:hAnsi="Times New Roman" w:eastAsia="宋体" w:cs="Times New Roman"/>
                <w:color w:val="auto"/>
                <w:kern w:val="0"/>
                <w:sz w:val="21"/>
                <w:highlight w:val="none"/>
                <w:vertAlign w:val="superscript"/>
              </w:rPr>
              <w:t>3</w:t>
            </w:r>
            <w:r>
              <w:rPr>
                <w:rFonts w:hint="eastAsia" w:ascii="Times New Roman" w:hAnsi="Times New Roman" w:eastAsia="宋体" w:cs="Times New Roman"/>
                <w:color w:val="auto"/>
                <w:kern w:val="0"/>
                <w:sz w:val="21"/>
                <w:highlight w:val="none"/>
              </w:rPr>
              <w:t>化粪池，分别位于矿区东侧和西南侧。</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依托现有</w:t>
            </w:r>
            <w:r>
              <w:rPr>
                <w:rFonts w:hint="eastAsia" w:ascii="Times New Roman" w:hAnsi="Times New Roman" w:eastAsia="宋体" w:cs="Times New Roman"/>
                <w:color w:val="auto"/>
                <w:kern w:val="0"/>
                <w:sz w:val="21"/>
                <w:highlight w:val="none"/>
              </w:rPr>
              <w:t>生活污水排污设施</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restart"/>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环保</w:t>
            </w:r>
          </w:p>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工程</w:t>
            </w: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生活污水处理</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隔油后的厨房废水与生活污水经化粪池处理后用于周边旱地施肥</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依托现有工程</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continue"/>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洗砂</w:t>
            </w:r>
          </w:p>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废水</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洗砂废水经沉淀处理后循环使用，不外排</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依托现有工程</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continue"/>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车辆</w:t>
            </w:r>
          </w:p>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清洗</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设置</w:t>
            </w:r>
            <w:r>
              <w:rPr>
                <w:rFonts w:hint="eastAsia" w:ascii="Times New Roman" w:hAnsi="Times New Roman" w:eastAsia="宋体" w:cs="Times New Roman"/>
                <w:color w:val="auto"/>
                <w:kern w:val="0"/>
                <w:sz w:val="21"/>
                <w:highlight w:val="none"/>
              </w:rPr>
              <w:t>2个</w:t>
            </w:r>
            <w:r>
              <w:rPr>
                <w:rFonts w:ascii="Times New Roman" w:hAnsi="Times New Roman" w:eastAsia="宋体" w:cs="Times New Roman"/>
                <w:color w:val="auto"/>
                <w:kern w:val="0"/>
                <w:sz w:val="21"/>
                <w:highlight w:val="none"/>
              </w:rPr>
              <w:t>车辆清洗池</w:t>
            </w:r>
            <w:r>
              <w:rPr>
                <w:rFonts w:hint="eastAsia" w:ascii="Times New Roman" w:hAnsi="Times New Roman" w:eastAsia="宋体" w:cs="Times New Roman"/>
                <w:color w:val="auto"/>
                <w:kern w:val="0"/>
                <w:sz w:val="21"/>
                <w:highlight w:val="none"/>
              </w:rPr>
              <w:t>（</w:t>
            </w:r>
            <w:r>
              <w:rPr>
                <w:rFonts w:ascii="Times New Roman" w:hAnsi="Times New Roman" w:eastAsia="宋体" w:cs="Times New Roman"/>
                <w:color w:val="auto"/>
                <w:kern w:val="0"/>
                <w:sz w:val="21"/>
                <w:highlight w:val="none"/>
              </w:rPr>
              <w:t>长</w:t>
            </w:r>
            <w:r>
              <w:rPr>
                <w:rFonts w:hint="eastAsia" w:ascii="Times New Roman" w:hAnsi="Times New Roman" w:eastAsia="宋体" w:cs="Times New Roman"/>
                <w:color w:val="auto"/>
                <w:kern w:val="0"/>
                <w:sz w:val="21"/>
                <w:highlight w:val="none"/>
              </w:rPr>
              <w:t>5</w:t>
            </w:r>
            <w:r>
              <w:rPr>
                <w:rFonts w:ascii="Times New Roman" w:hAnsi="Times New Roman" w:eastAsia="宋体" w:cs="Times New Roman"/>
                <w:color w:val="auto"/>
                <w:kern w:val="0"/>
                <w:sz w:val="21"/>
                <w:highlight w:val="none"/>
              </w:rPr>
              <w:t>m×宽</w:t>
            </w:r>
            <w:r>
              <w:rPr>
                <w:rFonts w:hint="eastAsia" w:ascii="Times New Roman" w:hAnsi="Times New Roman" w:eastAsia="宋体" w:cs="Times New Roman"/>
                <w:color w:val="auto"/>
                <w:kern w:val="0"/>
                <w:sz w:val="21"/>
                <w:highlight w:val="none"/>
              </w:rPr>
              <w:t>3</w:t>
            </w:r>
            <w:r>
              <w:rPr>
                <w:rFonts w:ascii="Times New Roman" w:hAnsi="Times New Roman" w:eastAsia="宋体" w:cs="Times New Roman"/>
                <w:color w:val="auto"/>
                <w:kern w:val="0"/>
                <w:sz w:val="21"/>
                <w:highlight w:val="none"/>
              </w:rPr>
              <w:t>m</w:t>
            </w:r>
            <w:r>
              <w:rPr>
                <w:rFonts w:hint="eastAsia" w:ascii="Times New Roman" w:hAnsi="Times New Roman" w:eastAsia="宋体" w:cs="Times New Roman"/>
                <w:color w:val="auto"/>
                <w:kern w:val="0"/>
                <w:sz w:val="21"/>
                <w:highlight w:val="none"/>
              </w:rPr>
              <w:t>）和2个隔油沉砂池（长2m</w:t>
            </w:r>
            <w:r>
              <w:rPr>
                <w:rFonts w:ascii="Times New Roman" w:hAnsi="Times New Roman" w:eastAsia="宋体" w:cs="Times New Roman"/>
                <w:color w:val="auto"/>
                <w:kern w:val="0"/>
                <w:sz w:val="21"/>
                <w:highlight w:val="none"/>
              </w:rPr>
              <w:t>×宽</w:t>
            </w:r>
            <w:r>
              <w:rPr>
                <w:rFonts w:hint="eastAsia" w:ascii="Times New Roman" w:hAnsi="Times New Roman" w:eastAsia="宋体" w:cs="Times New Roman"/>
                <w:color w:val="auto"/>
                <w:kern w:val="0"/>
                <w:sz w:val="21"/>
                <w:highlight w:val="none"/>
              </w:rPr>
              <w:t>1</w:t>
            </w:r>
            <w:r>
              <w:rPr>
                <w:rFonts w:ascii="Times New Roman" w:hAnsi="Times New Roman" w:eastAsia="宋体" w:cs="Times New Roman"/>
                <w:color w:val="auto"/>
                <w:kern w:val="0"/>
                <w:sz w:val="21"/>
                <w:highlight w:val="none"/>
              </w:rPr>
              <w:t>m×</w:t>
            </w:r>
            <w:r>
              <w:rPr>
                <w:rFonts w:hint="eastAsia" w:ascii="Times New Roman" w:hAnsi="Times New Roman" w:eastAsia="宋体" w:cs="Times New Roman"/>
                <w:color w:val="auto"/>
                <w:kern w:val="0"/>
                <w:sz w:val="21"/>
                <w:highlight w:val="none"/>
              </w:rPr>
              <w:t>高1m），分别位于矿区东侧和西南侧厂区进口处，车辆清洗池废水经隔油沉砂池沉淀后回用</w:t>
            </w:r>
            <w:r>
              <w:rPr>
                <w:rFonts w:ascii="Times New Roman" w:hAnsi="Times New Roman" w:eastAsia="宋体" w:cs="Times New Roman"/>
                <w:color w:val="auto"/>
                <w:kern w:val="0"/>
                <w:sz w:val="21"/>
                <w:highlight w:val="none"/>
              </w:rPr>
              <w:t>，</w:t>
            </w:r>
            <w:r>
              <w:rPr>
                <w:rFonts w:hint="eastAsia" w:ascii="Times New Roman" w:hAnsi="Times New Roman" w:eastAsia="宋体" w:cs="Times New Roman"/>
                <w:color w:val="auto"/>
                <w:kern w:val="0"/>
                <w:sz w:val="21"/>
                <w:highlight w:val="none"/>
              </w:rPr>
              <w:t>定期清理沉砂池泥渣</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新</w:t>
            </w:r>
            <w:r>
              <w:rPr>
                <w:rFonts w:hint="eastAsia" w:ascii="Times New Roman" w:hAnsi="Times New Roman" w:eastAsia="宋体" w:cs="Times New Roman"/>
                <w:color w:val="auto"/>
                <w:kern w:val="0"/>
                <w:sz w:val="21"/>
                <w:highlight w:val="none"/>
              </w:rPr>
              <w:t>增</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continue"/>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初期</w:t>
            </w:r>
          </w:p>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雨水</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jc w:val="left"/>
              <w:rPr>
                <w:rFonts w:hint="eastAsia" w:ascii="Times New Roman" w:hAnsi="Times New Roman" w:eastAsia="宋体" w:cs="Times New Roman"/>
                <w:color w:val="auto"/>
                <w:kern w:val="0"/>
                <w:sz w:val="21"/>
                <w:highlight w:val="none"/>
                <w:lang w:eastAsia="zh-CN"/>
              </w:rPr>
            </w:pPr>
            <w:r>
              <w:rPr>
                <w:rFonts w:hint="eastAsia" w:ascii="Times New Roman" w:hAnsi="Times New Roman" w:eastAsia="宋体" w:cs="Times New Roman"/>
                <w:color w:val="auto"/>
                <w:kern w:val="0"/>
                <w:sz w:val="21"/>
                <w:highlight w:val="none"/>
              </w:rPr>
              <w:t>开采区和破碎加工区</w:t>
            </w:r>
            <w:r>
              <w:rPr>
                <w:rFonts w:ascii="Times New Roman" w:hAnsi="Times New Roman" w:eastAsia="宋体" w:cs="Times New Roman"/>
                <w:color w:val="auto"/>
                <w:kern w:val="0"/>
                <w:sz w:val="21"/>
                <w:highlight w:val="none"/>
              </w:rPr>
              <w:t>初期雨水</w:t>
            </w:r>
            <w:r>
              <w:rPr>
                <w:rFonts w:hint="eastAsia" w:ascii="Times New Roman" w:hAnsi="Times New Roman" w:eastAsia="宋体" w:cs="Times New Roman"/>
                <w:color w:val="auto"/>
                <w:kern w:val="0"/>
                <w:sz w:val="21"/>
                <w:highlight w:val="none"/>
              </w:rPr>
              <w:t>经初期雨水沉砂池</w:t>
            </w:r>
            <w:r>
              <w:rPr>
                <w:rFonts w:ascii="Times New Roman" w:hAnsi="Times New Roman" w:eastAsia="宋体" w:cs="Times New Roman"/>
                <w:color w:val="auto"/>
                <w:kern w:val="0"/>
                <w:sz w:val="21"/>
                <w:highlight w:val="none"/>
              </w:rPr>
              <w:t>收集沉淀后回用</w:t>
            </w:r>
            <w:r>
              <w:rPr>
                <w:rFonts w:hint="eastAsia" w:ascii="Times New Roman" w:hAnsi="Times New Roman" w:eastAsia="宋体" w:cs="Times New Roman"/>
                <w:color w:val="auto"/>
                <w:kern w:val="0"/>
                <w:sz w:val="21"/>
                <w:highlight w:val="none"/>
              </w:rPr>
              <w:t>于矿区洒水降尘</w:t>
            </w:r>
            <w:r>
              <w:rPr>
                <w:rFonts w:hint="eastAsia" w:cs="Times New Roman"/>
                <w:color w:val="auto"/>
                <w:kern w:val="0"/>
                <w:sz w:val="21"/>
                <w:highlight w:val="none"/>
                <w:lang w:eastAsia="zh-CN"/>
              </w:rPr>
              <w:t>，</w:t>
            </w:r>
            <w:r>
              <w:rPr>
                <w:rFonts w:hint="eastAsia" w:cs="Times New Roman"/>
                <w:color w:val="auto"/>
                <w:kern w:val="0"/>
                <w:sz w:val="21"/>
                <w:highlight w:val="none"/>
                <w:u w:val="single"/>
                <w:lang w:eastAsia="zh-CN"/>
              </w:rPr>
              <w:t>中后期雨水直接排</w:t>
            </w:r>
            <w:r>
              <w:rPr>
                <w:rFonts w:hint="eastAsia" w:cs="Times New Roman"/>
                <w:color w:val="auto"/>
                <w:kern w:val="0"/>
                <w:sz w:val="21"/>
                <w:highlight w:val="none"/>
                <w:u w:val="single"/>
                <w:lang w:val="en-US" w:eastAsia="zh-CN"/>
              </w:rPr>
              <w:t>入矿区周边无名小沟</w:t>
            </w:r>
            <w:r>
              <w:rPr>
                <w:rFonts w:hint="eastAsia" w:cs="Times New Roman"/>
                <w:color w:val="auto"/>
                <w:kern w:val="0"/>
                <w:sz w:val="21"/>
                <w:highlight w:val="none"/>
                <w:u w:val="single"/>
                <w:lang w:eastAsia="zh-CN"/>
              </w:rPr>
              <w:t>。</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新</w:t>
            </w:r>
            <w:r>
              <w:rPr>
                <w:rFonts w:hint="eastAsia" w:ascii="Times New Roman" w:hAnsi="Times New Roman" w:eastAsia="宋体" w:cs="Times New Roman"/>
                <w:color w:val="auto"/>
                <w:kern w:val="0"/>
                <w:sz w:val="21"/>
                <w:highlight w:val="none"/>
              </w:rPr>
              <w:t>增</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continue"/>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废气治理措施</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jc w:val="left"/>
              <w:rPr>
                <w:rFonts w:hint="eastAsia" w:ascii="Times New Roman" w:hAnsi="Times New Roman" w:eastAsia="宋体" w:cs="Times New Roman"/>
                <w:color w:val="auto"/>
                <w:kern w:val="0"/>
                <w:sz w:val="21"/>
                <w:highlight w:val="none"/>
              </w:rPr>
            </w:pPr>
            <w:r>
              <w:rPr>
                <w:rFonts w:hint="eastAsia" w:cs="Times New Roman"/>
                <w:color w:val="auto"/>
                <w:kern w:val="0"/>
                <w:sz w:val="21"/>
                <w:highlight w:val="none"/>
                <w:u w:val="single"/>
                <w:lang w:eastAsia="zh-CN"/>
              </w:rPr>
              <w:t>破碎场①</w:t>
            </w:r>
            <w:r>
              <w:rPr>
                <w:rFonts w:hint="eastAsia" w:ascii="Times New Roman" w:hAnsi="Times New Roman" w:eastAsia="宋体" w:cs="Times New Roman"/>
                <w:color w:val="auto"/>
                <w:kern w:val="0"/>
                <w:sz w:val="21"/>
                <w:highlight w:val="none"/>
                <w:u w:val="single"/>
              </w:rPr>
              <w:t>和</w:t>
            </w:r>
            <w:r>
              <w:rPr>
                <w:rFonts w:hint="eastAsia" w:cs="Times New Roman"/>
                <w:color w:val="auto"/>
                <w:kern w:val="0"/>
                <w:sz w:val="21"/>
                <w:highlight w:val="none"/>
                <w:u w:val="single"/>
                <w:lang w:eastAsia="zh-CN"/>
              </w:rPr>
              <w:t>破碎场②</w:t>
            </w:r>
            <w:r>
              <w:rPr>
                <w:rFonts w:hint="eastAsia" w:ascii="Times New Roman" w:hAnsi="Times New Roman" w:eastAsia="宋体" w:cs="Times New Roman"/>
                <w:color w:val="auto"/>
                <w:kern w:val="0"/>
                <w:sz w:val="21"/>
                <w:highlight w:val="none"/>
              </w:rPr>
              <w:t>筛选</w:t>
            </w:r>
            <w:r>
              <w:rPr>
                <w:rFonts w:ascii="Times New Roman" w:hAnsi="Times New Roman" w:eastAsia="宋体" w:cs="Times New Roman"/>
                <w:color w:val="auto"/>
                <w:kern w:val="0"/>
                <w:sz w:val="21"/>
                <w:highlight w:val="none"/>
              </w:rPr>
              <w:t>破碎、</w:t>
            </w:r>
            <w:r>
              <w:rPr>
                <w:rFonts w:hint="eastAsia" w:ascii="Times New Roman" w:hAnsi="Times New Roman" w:eastAsia="宋体" w:cs="Times New Roman"/>
                <w:color w:val="auto"/>
                <w:kern w:val="0"/>
                <w:sz w:val="21"/>
                <w:highlight w:val="none"/>
              </w:rPr>
              <w:t>二级破碎筛分</w:t>
            </w:r>
            <w:r>
              <w:rPr>
                <w:rFonts w:ascii="Times New Roman" w:hAnsi="Times New Roman" w:eastAsia="宋体" w:cs="Times New Roman"/>
                <w:color w:val="auto"/>
                <w:kern w:val="0"/>
                <w:sz w:val="21"/>
                <w:highlight w:val="none"/>
              </w:rPr>
              <w:t>、</w:t>
            </w:r>
            <w:r>
              <w:rPr>
                <w:rFonts w:hint="eastAsia" w:ascii="Times New Roman" w:hAnsi="Times New Roman" w:eastAsia="宋体" w:cs="Times New Roman"/>
                <w:color w:val="auto"/>
                <w:kern w:val="0"/>
                <w:sz w:val="21"/>
                <w:highlight w:val="none"/>
              </w:rPr>
              <w:t>三级破碎筛分</w:t>
            </w:r>
            <w:r>
              <w:rPr>
                <w:rFonts w:ascii="Times New Roman" w:hAnsi="Times New Roman" w:eastAsia="宋体" w:cs="Times New Roman"/>
                <w:color w:val="auto"/>
                <w:kern w:val="0"/>
                <w:sz w:val="21"/>
                <w:highlight w:val="none"/>
              </w:rPr>
              <w:t>工序分别设置</w:t>
            </w:r>
            <w:r>
              <w:rPr>
                <w:rFonts w:hint="eastAsia" w:ascii="Times New Roman" w:hAnsi="Times New Roman" w:eastAsia="宋体" w:cs="Times New Roman"/>
                <w:color w:val="auto"/>
                <w:sz w:val="21"/>
                <w:highlight w:val="none"/>
                <w:lang w:val="en-US" w:eastAsia="zh-CN"/>
              </w:rPr>
              <w:t>喷淋</w:t>
            </w:r>
            <w:r>
              <w:rPr>
                <w:rFonts w:hint="eastAsia" w:ascii="Times New Roman" w:hAnsi="Times New Roman" w:eastAsia="宋体" w:cs="Times New Roman"/>
                <w:color w:val="auto"/>
                <w:sz w:val="21"/>
                <w:highlight w:val="none"/>
              </w:rPr>
              <w:t>+</w:t>
            </w:r>
            <w:r>
              <w:rPr>
                <w:rFonts w:hint="eastAsia" w:ascii="Times New Roman" w:hAnsi="Times New Roman" w:eastAsia="宋体" w:cs="Times New Roman"/>
                <w:color w:val="auto"/>
                <w:kern w:val="0"/>
                <w:sz w:val="21"/>
                <w:highlight w:val="none"/>
              </w:rPr>
              <w:t>封闭+负压收集</w:t>
            </w:r>
            <w:r>
              <w:rPr>
                <w:rFonts w:ascii="Times New Roman" w:hAnsi="Times New Roman" w:eastAsia="宋体" w:cs="Times New Roman"/>
                <w:color w:val="auto"/>
                <w:kern w:val="0"/>
                <w:sz w:val="21"/>
                <w:highlight w:val="none"/>
              </w:rPr>
              <w:t>+袋式除尘</w:t>
            </w:r>
            <w:r>
              <w:rPr>
                <w:rFonts w:hint="eastAsia" w:ascii="Times New Roman" w:hAnsi="Times New Roman" w:eastAsia="宋体" w:cs="Times New Roman"/>
                <w:color w:val="auto"/>
                <w:kern w:val="0"/>
                <w:sz w:val="21"/>
                <w:highlight w:val="none"/>
              </w:rPr>
              <w:t>设施</w:t>
            </w:r>
            <w:r>
              <w:rPr>
                <w:rFonts w:ascii="Times New Roman" w:hAnsi="Times New Roman" w:eastAsia="宋体" w:cs="Times New Roman"/>
                <w:color w:val="auto"/>
                <w:kern w:val="0"/>
                <w:sz w:val="21"/>
                <w:highlight w:val="none"/>
              </w:rPr>
              <w:t>，颗粒物经</w:t>
            </w:r>
            <w:r>
              <w:rPr>
                <w:rFonts w:hint="eastAsia" w:ascii="Times New Roman" w:hAnsi="Times New Roman" w:eastAsia="宋体" w:cs="Times New Roman"/>
                <w:color w:val="auto"/>
                <w:kern w:val="0"/>
                <w:sz w:val="21"/>
                <w:highlight w:val="none"/>
              </w:rPr>
              <w:t>收集</w:t>
            </w:r>
            <w:r>
              <w:rPr>
                <w:rFonts w:ascii="Times New Roman" w:hAnsi="Times New Roman" w:eastAsia="宋体" w:cs="Times New Roman"/>
                <w:color w:val="auto"/>
                <w:kern w:val="0"/>
                <w:sz w:val="21"/>
                <w:highlight w:val="none"/>
              </w:rPr>
              <w:t>处理后</w:t>
            </w:r>
            <w:r>
              <w:rPr>
                <w:rFonts w:hint="eastAsia" w:ascii="Times New Roman" w:hAnsi="Times New Roman" w:eastAsia="宋体" w:cs="Times New Roman"/>
                <w:color w:val="auto"/>
                <w:kern w:val="0"/>
                <w:sz w:val="21"/>
                <w:highlight w:val="none"/>
              </w:rPr>
              <w:t>均</w:t>
            </w:r>
            <w:r>
              <w:rPr>
                <w:rFonts w:ascii="Times New Roman" w:hAnsi="Times New Roman" w:eastAsia="宋体" w:cs="Times New Roman"/>
                <w:color w:val="auto"/>
                <w:kern w:val="0"/>
                <w:sz w:val="21"/>
                <w:highlight w:val="none"/>
              </w:rPr>
              <w:t>由15m排气筒排放；</w:t>
            </w:r>
            <w:r>
              <w:rPr>
                <w:rFonts w:hint="eastAsia" w:ascii="Times New Roman" w:hAnsi="Times New Roman" w:eastAsia="宋体" w:cs="Times New Roman"/>
                <w:color w:val="auto"/>
                <w:kern w:val="0"/>
                <w:sz w:val="21"/>
                <w:highlight w:val="none"/>
              </w:rPr>
              <w:t>石粉堆料场建设厂棚，堆料场、临时排土场覆盖防尘网并定时洒水降尘；输送过程密闭处理并在输送带两端设置喷淋和帘布；</w:t>
            </w:r>
            <w:r>
              <w:rPr>
                <w:rFonts w:hint="eastAsia" w:ascii="Times New Roman" w:hAnsi="Times New Roman" w:eastAsia="宋体" w:cs="Times New Roman"/>
                <w:bCs/>
                <w:color w:val="auto"/>
                <w:sz w:val="21"/>
                <w:highlight w:val="none"/>
              </w:rPr>
              <w:t>落料上堆增加可伸缩斜槽；进出厂车辆设置车辆清洗池</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新</w:t>
            </w:r>
            <w:r>
              <w:rPr>
                <w:rFonts w:hint="eastAsia" w:ascii="Times New Roman" w:hAnsi="Times New Roman" w:eastAsia="宋体" w:cs="Times New Roman"/>
                <w:color w:val="auto"/>
                <w:kern w:val="0"/>
                <w:sz w:val="21"/>
                <w:highlight w:val="none"/>
              </w:rPr>
              <w:t>增</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continue"/>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固体</w:t>
            </w:r>
          </w:p>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废物</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jc w:val="left"/>
              <w:rPr>
                <w:rFonts w:hint="default" w:ascii="Times New Roman" w:hAnsi="Times New Roman" w:eastAsia="宋体" w:cs="Times New Roman"/>
                <w:color w:val="auto"/>
                <w:kern w:val="0"/>
                <w:sz w:val="21"/>
                <w:highlight w:val="none"/>
                <w:lang w:val="en-US" w:eastAsia="zh-CN"/>
              </w:rPr>
            </w:pPr>
            <w:r>
              <w:rPr>
                <w:rFonts w:ascii="Times New Roman" w:hAnsi="Times New Roman" w:eastAsia="宋体" w:cs="Times New Roman"/>
                <w:color w:val="auto"/>
                <w:kern w:val="0"/>
                <w:sz w:val="21"/>
                <w:highlight w:val="none"/>
              </w:rPr>
              <w:t>生活垃圾收集后，由环卫部门处理</w:t>
            </w:r>
            <w:r>
              <w:rPr>
                <w:rFonts w:hint="eastAsia" w:ascii="Times New Roman" w:hAnsi="Times New Roman" w:eastAsia="宋体" w:cs="Times New Roman"/>
                <w:color w:val="auto"/>
                <w:kern w:val="0"/>
                <w:sz w:val="21"/>
                <w:highlight w:val="none"/>
              </w:rPr>
              <w:t>；</w:t>
            </w:r>
            <w:r>
              <w:rPr>
                <w:rFonts w:ascii="Times New Roman" w:hAnsi="Times New Roman" w:eastAsia="宋体" w:cs="Times New Roman"/>
                <w:color w:val="auto"/>
                <w:kern w:val="0"/>
                <w:sz w:val="21"/>
                <w:highlight w:val="none"/>
              </w:rPr>
              <w:t>按规范要求设置危险废物暂存间</w:t>
            </w:r>
            <w:r>
              <w:rPr>
                <w:rFonts w:hint="eastAsia" w:ascii="Times New Roman" w:hAnsi="Times New Roman" w:eastAsia="宋体" w:cs="Times New Roman"/>
                <w:color w:val="auto"/>
                <w:kern w:val="0"/>
                <w:sz w:val="21"/>
                <w:highlight w:val="none"/>
              </w:rPr>
              <w:t>2个</w:t>
            </w:r>
            <w:r>
              <w:rPr>
                <w:rFonts w:ascii="Times New Roman" w:hAnsi="Times New Roman" w:eastAsia="宋体" w:cs="Times New Roman"/>
                <w:color w:val="auto"/>
                <w:kern w:val="0"/>
                <w:sz w:val="21"/>
                <w:highlight w:val="none"/>
              </w:rPr>
              <w:t>，</w:t>
            </w:r>
            <w:r>
              <w:rPr>
                <w:rFonts w:hint="eastAsia" w:ascii="Times New Roman" w:hAnsi="Times New Roman" w:eastAsia="宋体" w:cs="Times New Roman"/>
                <w:color w:val="auto"/>
                <w:kern w:val="0"/>
                <w:sz w:val="21"/>
                <w:highlight w:val="none"/>
              </w:rPr>
              <w:t>分别位于矿区</w:t>
            </w:r>
            <w:r>
              <w:rPr>
                <w:rFonts w:ascii="Times New Roman" w:hAnsi="Times New Roman" w:eastAsia="宋体" w:cs="Times New Roman"/>
                <w:color w:val="auto"/>
                <w:sz w:val="21"/>
                <w:highlight w:val="none"/>
              </w:rPr>
              <w:t>矿区东</w:t>
            </w:r>
            <w:r>
              <w:rPr>
                <w:rFonts w:hint="eastAsia" w:ascii="Times New Roman" w:hAnsi="Times New Roman" w:eastAsia="宋体" w:cs="Times New Roman"/>
                <w:color w:val="auto"/>
                <w:sz w:val="21"/>
                <w:highlight w:val="none"/>
              </w:rPr>
              <w:t>南</w:t>
            </w:r>
            <w:r>
              <w:rPr>
                <w:rFonts w:ascii="Times New Roman" w:hAnsi="Times New Roman" w:eastAsia="宋体" w:cs="Times New Roman"/>
                <w:color w:val="auto"/>
                <w:sz w:val="21"/>
                <w:highlight w:val="none"/>
              </w:rPr>
              <w:t>侧</w:t>
            </w:r>
            <w:r>
              <w:rPr>
                <w:rFonts w:hint="eastAsia" w:ascii="Times New Roman" w:hAnsi="Times New Roman" w:eastAsia="宋体" w:cs="Times New Roman"/>
                <w:color w:val="auto"/>
                <w:sz w:val="21"/>
                <w:highlight w:val="none"/>
              </w:rPr>
              <w:t>和西南侧</w:t>
            </w:r>
            <w:r>
              <w:rPr>
                <w:rFonts w:ascii="Times New Roman" w:hAnsi="Times New Roman" w:eastAsia="宋体" w:cs="Times New Roman"/>
                <w:color w:val="auto"/>
                <w:sz w:val="21"/>
                <w:highlight w:val="none"/>
              </w:rPr>
              <w:t>，占地面积</w:t>
            </w:r>
            <w:r>
              <w:rPr>
                <w:rFonts w:hint="eastAsia" w:ascii="Times New Roman" w:hAnsi="Times New Roman" w:eastAsia="宋体" w:cs="Times New Roman"/>
                <w:color w:val="auto"/>
                <w:sz w:val="21"/>
                <w:highlight w:val="none"/>
              </w:rPr>
              <w:t>均</w:t>
            </w:r>
            <w:r>
              <w:rPr>
                <w:rFonts w:ascii="Times New Roman" w:hAnsi="Times New Roman" w:eastAsia="宋体" w:cs="Times New Roman"/>
                <w:color w:val="auto"/>
                <w:sz w:val="21"/>
                <w:highlight w:val="none"/>
              </w:rPr>
              <w:t>为5m</w:t>
            </w:r>
            <w:r>
              <w:rPr>
                <w:rFonts w:ascii="Times New Roman" w:hAnsi="Times New Roman" w:eastAsia="宋体" w:cs="Times New Roman"/>
                <w:color w:val="auto"/>
                <w:sz w:val="21"/>
                <w:highlight w:val="none"/>
                <w:vertAlign w:val="superscript"/>
              </w:rPr>
              <w:t>2</w:t>
            </w:r>
            <w:r>
              <w:rPr>
                <w:rFonts w:ascii="Times New Roman" w:hAnsi="Times New Roman" w:eastAsia="宋体" w:cs="Times New Roman"/>
                <w:color w:val="auto"/>
                <w:sz w:val="21"/>
                <w:highlight w:val="none"/>
              </w:rPr>
              <w:t>。</w:t>
            </w:r>
            <w:r>
              <w:rPr>
                <w:rFonts w:ascii="Times New Roman" w:hAnsi="Times New Roman" w:eastAsia="宋体" w:cs="Times New Roman"/>
                <w:color w:val="auto"/>
                <w:kern w:val="0"/>
                <w:sz w:val="21"/>
                <w:highlight w:val="none"/>
                <w:u w:val="single"/>
              </w:rPr>
              <w:t>废机油经收集后暂存于危险废物暂存间，交由有资质单位处理</w:t>
            </w:r>
            <w:r>
              <w:rPr>
                <w:rFonts w:hint="eastAsia" w:cs="Times New Roman"/>
                <w:color w:val="auto"/>
                <w:kern w:val="0"/>
                <w:sz w:val="21"/>
                <w:highlight w:val="none"/>
                <w:u w:val="single"/>
                <w:lang w:eastAsia="zh-CN"/>
              </w:rPr>
              <w:t>，</w:t>
            </w:r>
            <w:r>
              <w:rPr>
                <w:rFonts w:hint="eastAsia" w:ascii="Times New Roman" w:hAnsi="Times New Roman" w:eastAsia="宋体" w:cs="Times New Roman"/>
                <w:color w:val="auto"/>
                <w:kern w:val="0"/>
                <w:sz w:val="21"/>
                <w:highlight w:val="none"/>
                <w:u w:val="single"/>
              </w:rPr>
              <w:t>废含油抹布</w:t>
            </w:r>
            <w:r>
              <w:rPr>
                <w:rFonts w:hint="eastAsia" w:cs="Times New Roman"/>
                <w:color w:val="auto"/>
                <w:kern w:val="0"/>
                <w:sz w:val="21"/>
                <w:highlight w:val="none"/>
                <w:u w:val="single"/>
                <w:lang w:val="en-US" w:eastAsia="zh-CN"/>
              </w:rPr>
              <w:t>混入生活垃圾，委托环卫部门处理</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新增危险废物</w:t>
            </w:r>
          </w:p>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暂存间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continue"/>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噪声</w:t>
            </w:r>
          </w:p>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治理</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jc w:val="left"/>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对高噪声设备采用减振措施，合理布置设备位置；严控爆破作业时间</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新增厂房隔声</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continue"/>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环境</w:t>
            </w:r>
          </w:p>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风险</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jc w:val="left"/>
              <w:rPr>
                <w:rFonts w:ascii="Times New Roman" w:hAnsi="Times New Roman" w:eastAsia="宋体" w:cs="Times New Roman"/>
                <w:color w:val="auto"/>
                <w:kern w:val="0"/>
                <w:sz w:val="21"/>
                <w:highlight w:val="none"/>
              </w:rPr>
            </w:pPr>
            <w:r>
              <w:rPr>
                <w:rFonts w:hint="eastAsia" w:cs="Times New Roman"/>
                <w:color w:val="auto"/>
                <w:kern w:val="0"/>
                <w:sz w:val="21"/>
                <w:highlight w:val="none"/>
                <w:u w:val="single"/>
                <w:lang w:eastAsia="zh-CN"/>
              </w:rPr>
              <w:t>破碎场①</w:t>
            </w:r>
            <w:r>
              <w:rPr>
                <w:rFonts w:ascii="Times New Roman" w:hAnsi="Times New Roman" w:eastAsia="宋体" w:cs="Times New Roman"/>
                <w:color w:val="auto"/>
                <w:kern w:val="0"/>
                <w:sz w:val="21"/>
                <w:highlight w:val="none"/>
              </w:rPr>
              <w:t>柴油储罐区</w:t>
            </w:r>
            <w:r>
              <w:rPr>
                <w:rFonts w:ascii="Times New Roman" w:hAnsi="Times New Roman" w:eastAsia="宋体" w:cs="Times New Roman"/>
                <w:bCs/>
                <w:color w:val="auto"/>
                <w:sz w:val="21"/>
                <w:highlight w:val="none"/>
              </w:rPr>
              <w:t>围堰</w:t>
            </w:r>
            <w:r>
              <w:rPr>
                <w:rFonts w:hint="eastAsia" w:ascii="Times New Roman" w:hAnsi="Times New Roman" w:eastAsia="宋体" w:cs="Times New Roman"/>
                <w:bCs/>
                <w:color w:val="auto"/>
                <w:sz w:val="21"/>
                <w:highlight w:val="none"/>
              </w:rPr>
              <w:t>长6m×宽3m×高0.6m</w:t>
            </w:r>
            <w:r>
              <w:rPr>
                <w:rFonts w:ascii="Times New Roman" w:hAnsi="Times New Roman" w:eastAsia="宋体" w:cs="Times New Roman"/>
                <w:bCs/>
                <w:color w:val="auto"/>
                <w:sz w:val="21"/>
                <w:highlight w:val="none"/>
              </w:rPr>
              <w:t>，</w:t>
            </w:r>
            <w:r>
              <w:rPr>
                <w:rFonts w:hint="eastAsia" w:cs="Times New Roman"/>
                <w:bCs/>
                <w:color w:val="auto"/>
                <w:sz w:val="21"/>
                <w:highlight w:val="none"/>
                <w:u w:val="single"/>
                <w:lang w:eastAsia="zh-CN"/>
              </w:rPr>
              <w:t>破碎场②</w:t>
            </w:r>
            <w:r>
              <w:rPr>
                <w:rFonts w:ascii="Times New Roman" w:hAnsi="Times New Roman" w:eastAsia="宋体" w:cs="Times New Roman"/>
                <w:color w:val="auto"/>
                <w:kern w:val="0"/>
                <w:sz w:val="21"/>
                <w:highlight w:val="none"/>
              </w:rPr>
              <w:t>柴油储罐区</w:t>
            </w:r>
            <w:r>
              <w:rPr>
                <w:rFonts w:ascii="Times New Roman" w:hAnsi="Times New Roman" w:eastAsia="宋体" w:cs="Times New Roman"/>
                <w:bCs/>
                <w:color w:val="auto"/>
                <w:sz w:val="21"/>
                <w:highlight w:val="none"/>
              </w:rPr>
              <w:t>围堰</w:t>
            </w:r>
            <w:r>
              <w:rPr>
                <w:rFonts w:hint="eastAsia" w:ascii="Times New Roman" w:hAnsi="Times New Roman" w:eastAsia="宋体" w:cs="Times New Roman"/>
                <w:bCs/>
                <w:color w:val="auto"/>
                <w:sz w:val="21"/>
                <w:highlight w:val="none"/>
              </w:rPr>
              <w:t>长6m×宽3m×高1.2m</w:t>
            </w:r>
            <w:r>
              <w:rPr>
                <w:rFonts w:ascii="Times New Roman" w:hAnsi="Times New Roman" w:eastAsia="宋体" w:cs="Times New Roman"/>
                <w:bCs/>
                <w:color w:val="auto"/>
                <w:sz w:val="21"/>
                <w:highlight w:val="none"/>
              </w:rPr>
              <w:t>，储罐区</w:t>
            </w:r>
            <w:r>
              <w:rPr>
                <w:rFonts w:hint="eastAsia" w:ascii="Times New Roman" w:hAnsi="Times New Roman" w:eastAsia="宋体" w:cs="Times New Roman"/>
                <w:bCs/>
                <w:color w:val="auto"/>
                <w:sz w:val="21"/>
                <w:highlight w:val="none"/>
              </w:rPr>
              <w:t>围堰</w:t>
            </w:r>
            <w:r>
              <w:rPr>
                <w:rFonts w:ascii="Times New Roman" w:hAnsi="Times New Roman" w:eastAsia="宋体" w:cs="Times New Roman"/>
                <w:bCs/>
                <w:color w:val="auto"/>
                <w:sz w:val="21"/>
                <w:highlight w:val="none"/>
              </w:rPr>
              <w:t>地表做防渗处理</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新</w:t>
            </w:r>
            <w:r>
              <w:rPr>
                <w:rFonts w:hint="eastAsia" w:ascii="Times New Roman" w:hAnsi="Times New Roman" w:eastAsia="宋体" w:cs="Times New Roman"/>
                <w:color w:val="auto"/>
                <w:kern w:val="0"/>
                <w:sz w:val="21"/>
                <w:highlight w:val="none"/>
              </w:rPr>
              <w:t>增</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98" w:type="dxa"/>
            <w:vMerge w:val="continue"/>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855"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生态</w:t>
            </w:r>
          </w:p>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环境</w:t>
            </w:r>
          </w:p>
        </w:tc>
        <w:tc>
          <w:tcPr>
            <w:tcW w:w="5963" w:type="dxa"/>
            <w:noWrap w:val="0"/>
            <w:tcMar>
              <w:top w:w="0" w:type="dxa"/>
              <w:left w:w="28" w:type="dxa"/>
              <w:bottom w:w="0" w:type="dxa"/>
              <w:right w:w="28" w:type="dxa"/>
            </w:tcMar>
            <w:vAlign w:val="center"/>
          </w:tcPr>
          <w:p>
            <w:pPr>
              <w:widowControl/>
              <w:snapToGrid w:val="0"/>
              <w:spacing w:line="240" w:lineRule="auto"/>
              <w:ind w:firstLine="0" w:firstLineChars="0"/>
              <w:jc w:val="left"/>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破碎筛分区、堆料场和运输道路地面硬化处理；临时排土场设置</w:t>
            </w:r>
            <w:r>
              <w:rPr>
                <w:rFonts w:hint="eastAsia" w:ascii="Times New Roman" w:hAnsi="Times New Roman" w:eastAsia="宋体" w:cs="Times New Roman"/>
                <w:color w:val="auto"/>
                <w:kern w:val="0"/>
                <w:sz w:val="21"/>
                <w:highlight w:val="none"/>
                <w:lang w:val="en-US" w:eastAsia="zh-CN"/>
              </w:rPr>
              <w:t>3m高</w:t>
            </w:r>
            <w:r>
              <w:rPr>
                <w:rFonts w:ascii="Times New Roman" w:hAnsi="Times New Roman" w:eastAsia="宋体" w:cs="Times New Roman"/>
                <w:color w:val="auto"/>
                <w:kern w:val="0"/>
                <w:sz w:val="21"/>
                <w:highlight w:val="none"/>
              </w:rPr>
              <w:t>围挡</w:t>
            </w:r>
            <w:r>
              <w:rPr>
                <w:rFonts w:hint="eastAsia" w:ascii="Times New Roman" w:hAnsi="Times New Roman" w:eastAsia="宋体" w:cs="Times New Roman"/>
                <w:color w:val="auto"/>
                <w:kern w:val="0"/>
                <w:sz w:val="21"/>
                <w:highlight w:val="none"/>
              </w:rPr>
              <w:t>和导流沟；</w:t>
            </w:r>
            <w:r>
              <w:rPr>
                <w:rFonts w:hint="eastAsia" w:cs="Times New Roman"/>
                <w:bCs/>
                <w:color w:val="auto"/>
                <w:sz w:val="21"/>
                <w:highlight w:val="none"/>
                <w:u w:val="single"/>
                <w:lang w:eastAsia="zh-CN"/>
              </w:rPr>
              <w:t>破碎场①</w:t>
            </w:r>
            <w:r>
              <w:rPr>
                <w:rFonts w:hint="eastAsia" w:ascii="Times New Roman" w:hAnsi="Times New Roman" w:eastAsia="宋体" w:cs="Times New Roman"/>
                <w:bCs/>
                <w:color w:val="auto"/>
                <w:sz w:val="21"/>
                <w:highlight w:val="none"/>
                <w:lang w:eastAsia="zh-CN"/>
              </w:rPr>
              <w:t>导流管</w:t>
            </w:r>
            <w:r>
              <w:rPr>
                <w:rFonts w:hint="eastAsia" w:ascii="Times New Roman" w:hAnsi="Times New Roman" w:eastAsia="宋体" w:cs="Times New Roman"/>
                <w:bCs/>
                <w:color w:val="auto"/>
                <w:sz w:val="21"/>
                <w:highlight w:val="none"/>
              </w:rPr>
              <w:t>上部沿着</w:t>
            </w:r>
            <w:r>
              <w:rPr>
                <w:rFonts w:hint="eastAsia" w:ascii="Times New Roman" w:hAnsi="Times New Roman" w:eastAsia="宋体" w:cs="Times New Roman"/>
                <w:bCs/>
                <w:color w:val="auto"/>
                <w:sz w:val="21"/>
                <w:highlight w:val="none"/>
                <w:lang w:eastAsia="zh-CN"/>
              </w:rPr>
              <w:t>导流管</w:t>
            </w:r>
            <w:r>
              <w:rPr>
                <w:rFonts w:hint="eastAsia" w:ascii="Times New Roman" w:hAnsi="Times New Roman" w:eastAsia="宋体" w:cs="Times New Roman"/>
                <w:bCs/>
                <w:color w:val="auto"/>
                <w:sz w:val="21"/>
                <w:highlight w:val="none"/>
              </w:rPr>
              <w:t>建设长150m</w:t>
            </w:r>
            <w:r>
              <w:rPr>
                <w:rFonts w:ascii="Times New Roman" w:hAnsi="Times New Roman" w:eastAsia="宋体" w:cs="Arial"/>
                <w:bCs/>
                <w:color w:val="auto"/>
                <w:sz w:val="21"/>
                <w:highlight w:val="none"/>
              </w:rPr>
              <w:t>×</w:t>
            </w:r>
            <w:r>
              <w:rPr>
                <w:rFonts w:hint="eastAsia" w:ascii="Times New Roman" w:hAnsi="Times New Roman" w:eastAsia="宋体" w:cs="Times New Roman"/>
                <w:bCs/>
                <w:color w:val="auto"/>
                <w:sz w:val="21"/>
                <w:highlight w:val="none"/>
              </w:rPr>
              <w:t>宽1m</w:t>
            </w:r>
            <w:r>
              <w:rPr>
                <w:rFonts w:ascii="Times New Roman" w:hAnsi="Times New Roman" w:eastAsia="宋体" w:cs="Arial"/>
                <w:bCs/>
                <w:color w:val="auto"/>
                <w:sz w:val="21"/>
                <w:highlight w:val="none"/>
              </w:rPr>
              <w:t>×</w:t>
            </w:r>
            <w:r>
              <w:rPr>
                <w:rFonts w:hint="eastAsia" w:ascii="Times New Roman" w:hAnsi="Times New Roman" w:eastAsia="宋体" w:cs="Arial"/>
                <w:bCs/>
                <w:color w:val="auto"/>
                <w:sz w:val="21"/>
                <w:highlight w:val="none"/>
              </w:rPr>
              <w:t>高</w:t>
            </w:r>
            <w:r>
              <w:rPr>
                <w:rFonts w:hint="eastAsia" w:ascii="Times New Roman" w:hAnsi="Times New Roman" w:eastAsia="宋体" w:cs="Times New Roman"/>
                <w:bCs/>
                <w:color w:val="auto"/>
                <w:sz w:val="21"/>
                <w:highlight w:val="none"/>
              </w:rPr>
              <w:t>1m泄洪通道，上覆</w:t>
            </w:r>
            <w:r>
              <w:rPr>
                <w:rFonts w:hint="eastAsia" w:ascii="Times New Roman" w:hAnsi="Times New Roman" w:eastAsia="宋体" w:cs="Times New Roman"/>
                <w:bCs/>
                <w:color w:val="auto"/>
                <w:sz w:val="21"/>
                <w:highlight w:val="none"/>
                <w:lang w:val="en-US" w:eastAsia="zh-CN"/>
              </w:rPr>
              <w:t>盖板</w:t>
            </w:r>
            <w:r>
              <w:rPr>
                <w:rFonts w:hint="eastAsia" w:ascii="Times New Roman" w:hAnsi="Times New Roman" w:eastAsia="宋体" w:cs="Times New Roman"/>
                <w:bCs/>
                <w:color w:val="auto"/>
                <w:sz w:val="21"/>
                <w:highlight w:val="none"/>
              </w:rPr>
              <w:t>，洗砂区下游无名小沟设置三级拦砂坝，定期清理河道；</w:t>
            </w:r>
            <w:r>
              <w:rPr>
                <w:rFonts w:ascii="Times New Roman" w:hAnsi="Times New Roman" w:eastAsia="宋体" w:cs="Times New Roman"/>
                <w:color w:val="auto"/>
                <w:kern w:val="0"/>
                <w:sz w:val="21"/>
                <w:highlight w:val="none"/>
              </w:rPr>
              <w:t>矿山开采期间，露天采场、工业场地及办公生活区、矿山道路共损毁土地</w:t>
            </w:r>
            <w:r>
              <w:rPr>
                <w:rFonts w:hint="eastAsia" w:cs="Times New Roman"/>
                <w:color w:val="auto"/>
                <w:kern w:val="0"/>
                <w:sz w:val="21"/>
                <w:highlight w:val="none"/>
                <w:u w:val="single"/>
                <w:lang w:val="en-US" w:eastAsia="zh-CN"/>
              </w:rPr>
              <w:t>21.4356</w:t>
            </w:r>
            <w:r>
              <w:rPr>
                <w:rFonts w:ascii="Times New Roman" w:hAnsi="Times New Roman" w:eastAsia="宋体" w:cs="Times New Roman"/>
                <w:color w:val="auto"/>
                <w:kern w:val="0"/>
                <w:sz w:val="21"/>
                <w:highlight w:val="none"/>
                <w:u w:val="single"/>
              </w:rPr>
              <w:t>hm</w:t>
            </w:r>
            <w:r>
              <w:rPr>
                <w:rFonts w:ascii="Times New Roman" w:hAnsi="Times New Roman" w:eastAsia="宋体" w:cs="Times New Roman"/>
                <w:color w:val="auto"/>
                <w:kern w:val="0"/>
                <w:sz w:val="21"/>
                <w:highlight w:val="none"/>
                <w:u w:val="single"/>
                <w:vertAlign w:val="superscript"/>
              </w:rPr>
              <w:t>2</w:t>
            </w:r>
            <w:r>
              <w:rPr>
                <w:rFonts w:ascii="Times New Roman" w:hAnsi="Times New Roman" w:eastAsia="宋体" w:cs="Times New Roman"/>
                <w:color w:val="auto"/>
                <w:kern w:val="0"/>
                <w:sz w:val="21"/>
                <w:highlight w:val="none"/>
                <w:u w:val="single"/>
              </w:rPr>
              <w:t>。</w:t>
            </w:r>
            <w:r>
              <w:rPr>
                <w:rFonts w:ascii="Times New Roman" w:hAnsi="Times New Roman" w:eastAsia="宋体" w:cs="Times New Roman"/>
                <w:color w:val="auto"/>
                <w:kern w:val="0"/>
                <w:sz w:val="21"/>
                <w:highlight w:val="none"/>
              </w:rPr>
              <w:t>矿山服务年结束后，根据复垦方案，拟采取采场底部平台及台阶平台进行覆土植草、工业场地及办公生活区构筑物拆除、废渣清运、播撒草籽等措施恢复，</w:t>
            </w:r>
            <w:r>
              <w:rPr>
                <w:rFonts w:ascii="Times New Roman" w:hAnsi="Times New Roman" w:eastAsia="宋体" w:cs="Times New Roman"/>
                <w:color w:val="auto"/>
                <w:kern w:val="0"/>
                <w:sz w:val="21"/>
                <w:highlight w:val="none"/>
                <w:u w:val="single"/>
              </w:rPr>
              <w:t>复垦土地为1</w:t>
            </w:r>
            <w:r>
              <w:rPr>
                <w:rFonts w:hint="eastAsia" w:cs="Times New Roman"/>
                <w:color w:val="auto"/>
                <w:kern w:val="0"/>
                <w:sz w:val="21"/>
                <w:highlight w:val="none"/>
                <w:u w:val="single"/>
                <w:lang w:val="en-US" w:eastAsia="zh-CN"/>
              </w:rPr>
              <w:t>7.9667</w:t>
            </w:r>
            <w:r>
              <w:rPr>
                <w:rFonts w:ascii="Times New Roman" w:hAnsi="Times New Roman" w:eastAsia="宋体" w:cs="Times New Roman"/>
                <w:color w:val="auto"/>
                <w:kern w:val="0"/>
                <w:sz w:val="21"/>
                <w:highlight w:val="none"/>
                <w:u w:val="single"/>
              </w:rPr>
              <w:t>hm</w:t>
            </w:r>
            <w:r>
              <w:rPr>
                <w:rFonts w:ascii="Times New Roman" w:hAnsi="Times New Roman" w:eastAsia="宋体" w:cs="Times New Roman"/>
                <w:color w:val="auto"/>
                <w:kern w:val="0"/>
                <w:sz w:val="21"/>
                <w:highlight w:val="none"/>
                <w:u w:val="single"/>
                <w:vertAlign w:val="superscript"/>
              </w:rPr>
              <w:t>2</w:t>
            </w:r>
            <w:r>
              <w:rPr>
                <w:rFonts w:ascii="Times New Roman" w:hAnsi="Times New Roman" w:eastAsia="宋体" w:cs="Times New Roman"/>
                <w:color w:val="auto"/>
                <w:kern w:val="0"/>
                <w:sz w:val="21"/>
                <w:highlight w:val="none"/>
                <w:u w:val="single"/>
              </w:rPr>
              <w:t>，复垦率为</w:t>
            </w:r>
            <w:r>
              <w:rPr>
                <w:rFonts w:hint="eastAsia" w:ascii="Times New Roman" w:hAnsi="Times New Roman" w:eastAsia="宋体" w:cs="Times New Roman"/>
                <w:color w:val="auto"/>
                <w:kern w:val="0"/>
                <w:sz w:val="21"/>
                <w:highlight w:val="none"/>
                <w:u w:val="single"/>
              </w:rPr>
              <w:t>8</w:t>
            </w:r>
            <w:r>
              <w:rPr>
                <w:rFonts w:hint="eastAsia" w:cs="Times New Roman"/>
                <w:color w:val="auto"/>
                <w:kern w:val="0"/>
                <w:sz w:val="21"/>
                <w:highlight w:val="none"/>
                <w:u w:val="single"/>
                <w:lang w:val="en-US" w:eastAsia="zh-CN"/>
              </w:rPr>
              <w:t>3.82</w:t>
            </w:r>
            <w:r>
              <w:rPr>
                <w:rFonts w:ascii="Times New Roman" w:hAnsi="Times New Roman" w:eastAsia="宋体" w:cs="Times New Roman"/>
                <w:color w:val="auto"/>
                <w:kern w:val="0"/>
                <w:sz w:val="21"/>
                <w:highlight w:val="none"/>
                <w:u w:val="single"/>
              </w:rPr>
              <w:t>%</w:t>
            </w:r>
          </w:p>
        </w:tc>
        <w:tc>
          <w:tcPr>
            <w:tcW w:w="1589" w:type="dxa"/>
            <w:noWrap w:val="0"/>
            <w:tcMar>
              <w:top w:w="0" w:type="dxa"/>
              <w:left w:w="28" w:type="dxa"/>
              <w:bottom w:w="0" w:type="dxa"/>
              <w:right w:w="28" w:type="dxa"/>
            </w:tcMar>
            <w:vAlign w:val="center"/>
          </w:tcPr>
          <w:p>
            <w:pPr>
              <w:widowControl/>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新增环保措施</w:t>
            </w:r>
          </w:p>
        </w:tc>
      </w:tr>
    </w:tbl>
    <w:p>
      <w:pPr>
        <w:pStyle w:val="5"/>
        <w:rPr>
          <w:rFonts w:ascii="Times New Roman" w:hAnsi="Times New Roman" w:eastAsia="宋体"/>
          <w:color w:val="auto"/>
          <w:highlight w:val="none"/>
        </w:rPr>
      </w:pPr>
      <w:r>
        <w:rPr>
          <w:rFonts w:hint="eastAsia" w:ascii="Times New Roman" w:hAnsi="Times New Roman" w:eastAsia="宋体"/>
          <w:color w:val="auto"/>
          <w:highlight w:val="none"/>
        </w:rPr>
        <w:t>2.3</w:t>
      </w:r>
      <w:r>
        <w:rPr>
          <w:rFonts w:ascii="Times New Roman" w:hAnsi="Times New Roman" w:eastAsia="宋体"/>
          <w:color w:val="auto"/>
          <w:highlight w:val="none"/>
        </w:rPr>
        <w:t>.3 主要生产设备</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1、主要生产设备清单</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u w:val="single"/>
        </w:rPr>
        <w:t>原有破碎筛分生产线设备已经严重老化，</w:t>
      </w:r>
      <w:r>
        <w:rPr>
          <w:rFonts w:hint="eastAsia"/>
          <w:color w:val="auto"/>
          <w:highlight w:val="none"/>
          <w:u w:val="single"/>
          <w:lang w:val="en-US" w:eastAsia="zh-CN"/>
        </w:rPr>
        <w:t>且不能满足生产需要</w:t>
      </w:r>
      <w:r>
        <w:rPr>
          <w:rFonts w:hint="eastAsia" w:ascii="Times New Roman" w:hAnsi="Times New Roman" w:eastAsia="宋体"/>
          <w:color w:val="auto"/>
          <w:highlight w:val="none"/>
          <w:u w:val="single"/>
        </w:rPr>
        <w:t>，</w:t>
      </w:r>
      <w:r>
        <w:rPr>
          <w:rFonts w:hint="eastAsia" w:ascii="Times New Roman" w:hAnsi="Times New Roman" w:eastAsia="宋体"/>
          <w:color w:val="auto"/>
          <w:highlight w:val="none"/>
          <w:u w:val="single"/>
          <w:lang w:eastAsia="zh-CN"/>
        </w:rPr>
        <w:t>破碎场①</w:t>
      </w:r>
      <w:r>
        <w:rPr>
          <w:rFonts w:hint="eastAsia" w:ascii="Times New Roman" w:hAnsi="Times New Roman" w:eastAsia="宋体"/>
          <w:color w:val="auto"/>
          <w:highlight w:val="none"/>
          <w:u w:val="single"/>
        </w:rPr>
        <w:t>、</w:t>
      </w:r>
      <w:r>
        <w:rPr>
          <w:rFonts w:hint="eastAsia"/>
          <w:color w:val="auto"/>
          <w:highlight w:val="none"/>
          <w:u w:val="single"/>
          <w:lang w:eastAsia="zh-CN"/>
        </w:rPr>
        <w:t>破碎场②</w:t>
      </w:r>
      <w:r>
        <w:rPr>
          <w:rFonts w:hint="eastAsia" w:ascii="Times New Roman" w:hAnsi="Times New Roman" w:eastAsia="宋体"/>
          <w:color w:val="auto"/>
          <w:highlight w:val="none"/>
          <w:u w:val="single"/>
        </w:rPr>
        <w:t>破碎筛分生产线部分设备已经更换，</w:t>
      </w:r>
      <w:r>
        <w:rPr>
          <w:rFonts w:hint="eastAsia"/>
          <w:color w:val="auto"/>
          <w:highlight w:val="none"/>
          <w:u w:val="single"/>
          <w:lang w:eastAsia="zh-CN"/>
        </w:rPr>
        <w:t>破碎场②</w:t>
      </w:r>
      <w:r>
        <w:rPr>
          <w:rFonts w:hint="eastAsia"/>
          <w:highlight w:val="none"/>
          <w:u w:val="single"/>
          <w:lang w:val="en-US" w:eastAsia="zh-CN"/>
        </w:rPr>
        <w:t>加工场地分上、下两个台阶，产品堆场分别设在上、下两个台阶。</w:t>
      </w:r>
      <w:r>
        <w:rPr>
          <w:rFonts w:ascii="Times New Roman" w:hAnsi="Times New Roman" w:eastAsia="宋体"/>
          <w:color w:val="auto"/>
          <w:highlight w:val="none"/>
        </w:rPr>
        <w:t>项目生产使用的主要设备见表2.</w:t>
      </w:r>
      <w:r>
        <w:rPr>
          <w:rFonts w:hint="eastAsia" w:ascii="Times New Roman" w:hAnsi="Times New Roman" w:eastAsia="宋体"/>
          <w:color w:val="auto"/>
          <w:highlight w:val="none"/>
        </w:rPr>
        <w:t>3-4</w:t>
      </w:r>
      <w:r>
        <w:rPr>
          <w:rFonts w:ascii="Times New Roman" w:hAnsi="Times New Roman" w:eastAsia="宋体"/>
          <w:color w:val="auto"/>
          <w:highlight w:val="none"/>
        </w:rPr>
        <w:t>所示。</w:t>
      </w:r>
    </w:p>
    <w:p>
      <w:pPr>
        <w:tabs>
          <w:tab w:val="left" w:pos="1418"/>
        </w:tabs>
        <w:spacing w:line="240" w:lineRule="auto"/>
        <w:ind w:firstLine="0" w:firstLineChars="0"/>
        <w:jc w:val="center"/>
        <w:rPr>
          <w:rFonts w:ascii="Times New Roman" w:hAnsi="Times New Roman" w:eastAsia="宋体" w:cs="Times New Roman"/>
          <w:b/>
          <w:bCs/>
          <w:color w:val="auto"/>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tabs>
          <w:tab w:val="left" w:pos="1418"/>
        </w:tabs>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表2.</w:t>
      </w:r>
      <w:r>
        <w:rPr>
          <w:rFonts w:hint="eastAsia" w:ascii="Times New Roman" w:hAnsi="Times New Roman" w:eastAsia="宋体" w:cs="Times New Roman"/>
          <w:b/>
          <w:bCs/>
          <w:color w:val="auto"/>
          <w:highlight w:val="none"/>
        </w:rPr>
        <w:t>3-4</w:t>
      </w:r>
      <w:r>
        <w:rPr>
          <w:rFonts w:ascii="Times New Roman" w:hAnsi="Times New Roman" w:eastAsia="宋体" w:cs="Times New Roman"/>
          <w:b/>
          <w:bCs/>
          <w:color w:val="auto"/>
          <w:highlight w:val="none"/>
        </w:rPr>
        <w:t xml:space="preserve"> 拟建项目工程主要生产设备表</w:t>
      </w:r>
    </w:p>
    <w:tbl>
      <w:tblPr>
        <w:tblStyle w:val="48"/>
        <w:tblW w:w="9071"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494"/>
        <w:gridCol w:w="2909"/>
        <w:gridCol w:w="712"/>
        <w:gridCol w:w="773"/>
        <w:gridCol w:w="2472"/>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u w:val="single"/>
              </w:rPr>
            </w:pPr>
            <w:r>
              <w:rPr>
                <w:rFonts w:ascii="Times New Roman" w:hAnsi="Times New Roman" w:eastAsia="宋体" w:cs="Times New Roman"/>
                <w:b/>
                <w:bCs/>
                <w:color w:val="auto"/>
                <w:sz w:val="21"/>
                <w:highlight w:val="none"/>
                <w:u w:val="single"/>
              </w:rPr>
              <w:t>序号</w:t>
            </w:r>
          </w:p>
        </w:tc>
        <w:tc>
          <w:tcPr>
            <w:tcW w:w="1494"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u w:val="single"/>
              </w:rPr>
            </w:pPr>
            <w:r>
              <w:rPr>
                <w:rFonts w:ascii="Times New Roman" w:hAnsi="Times New Roman" w:eastAsia="宋体" w:cs="Times New Roman"/>
                <w:b/>
                <w:bCs/>
                <w:color w:val="auto"/>
                <w:sz w:val="21"/>
                <w:highlight w:val="none"/>
                <w:u w:val="single"/>
              </w:rPr>
              <w:t>设备</w:t>
            </w:r>
          </w:p>
        </w:tc>
        <w:tc>
          <w:tcPr>
            <w:tcW w:w="2909"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u w:val="single"/>
              </w:rPr>
            </w:pPr>
            <w:r>
              <w:rPr>
                <w:rFonts w:ascii="Times New Roman" w:hAnsi="Times New Roman" w:eastAsia="宋体" w:cs="Times New Roman"/>
                <w:b/>
                <w:bCs/>
                <w:color w:val="auto"/>
                <w:sz w:val="21"/>
                <w:highlight w:val="none"/>
                <w:u w:val="single"/>
              </w:rPr>
              <w:t>规格型号</w:t>
            </w:r>
          </w:p>
        </w:tc>
        <w:tc>
          <w:tcPr>
            <w:tcW w:w="712"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u w:val="single"/>
              </w:rPr>
            </w:pPr>
            <w:r>
              <w:rPr>
                <w:rFonts w:ascii="Times New Roman" w:hAnsi="Times New Roman" w:eastAsia="宋体" w:cs="Times New Roman"/>
                <w:b/>
                <w:bCs/>
                <w:color w:val="auto"/>
                <w:sz w:val="21"/>
                <w:highlight w:val="none"/>
                <w:u w:val="single"/>
              </w:rPr>
              <w:t>单位</w:t>
            </w:r>
          </w:p>
        </w:tc>
        <w:tc>
          <w:tcPr>
            <w:tcW w:w="773"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u w:val="single"/>
              </w:rPr>
            </w:pPr>
            <w:r>
              <w:rPr>
                <w:rFonts w:ascii="Times New Roman" w:hAnsi="Times New Roman" w:eastAsia="宋体" w:cs="Times New Roman"/>
                <w:b/>
                <w:bCs/>
                <w:color w:val="auto"/>
                <w:sz w:val="21"/>
                <w:highlight w:val="none"/>
                <w:u w:val="single"/>
              </w:rPr>
              <w:t>数量</w:t>
            </w:r>
          </w:p>
        </w:tc>
        <w:tc>
          <w:tcPr>
            <w:tcW w:w="2472"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u w:val="single"/>
              </w:rPr>
            </w:pPr>
            <w:r>
              <w:rPr>
                <w:rFonts w:ascii="Times New Roman" w:hAnsi="Times New Roman" w:eastAsia="宋体" w:cs="Times New Roman"/>
                <w:b/>
                <w:bCs/>
                <w:color w:val="auto"/>
                <w:sz w:val="21"/>
                <w:highlight w:val="none"/>
                <w:u w:val="single"/>
              </w:rPr>
              <w:t>依托关系</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9071" w:type="dxa"/>
            <w:gridSpan w:val="6"/>
            <w:noWrap w:val="0"/>
            <w:vAlign w:val="center"/>
          </w:tcPr>
          <w:p>
            <w:pPr>
              <w:adjustRightInd w:val="0"/>
              <w:snapToGrid w:val="0"/>
              <w:spacing w:line="240" w:lineRule="auto"/>
              <w:ind w:firstLine="0" w:firstLineChars="0"/>
              <w:jc w:val="center"/>
              <w:rPr>
                <w:rFonts w:hint="eastAsia" w:ascii="Times New Roman" w:hAnsi="Times New Roman" w:eastAsia="宋体" w:cs="Times New Roman"/>
                <w:b/>
                <w:bCs/>
                <w:color w:val="auto"/>
                <w:sz w:val="21"/>
                <w:highlight w:val="none"/>
                <w:u w:val="single"/>
                <w:lang w:val="en-US" w:eastAsia="zh-CN"/>
              </w:rPr>
            </w:pPr>
            <w:r>
              <w:rPr>
                <w:rFonts w:hint="eastAsia" w:cs="Times New Roman"/>
                <w:b/>
                <w:bCs/>
                <w:color w:val="auto"/>
                <w:sz w:val="21"/>
                <w:highlight w:val="none"/>
                <w:u w:val="single"/>
                <w:lang w:val="en-US" w:eastAsia="zh-CN"/>
              </w:rPr>
              <w:t>开采区</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1</w:t>
            </w:r>
          </w:p>
        </w:tc>
        <w:tc>
          <w:tcPr>
            <w:tcW w:w="1494"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szCs w:val="21"/>
                <w:highlight w:val="none"/>
                <w:u w:val="single"/>
              </w:rPr>
            </w:pPr>
            <w:r>
              <w:rPr>
                <w:rFonts w:hint="eastAsia" w:ascii="Times New Roman" w:hAnsi="Times New Roman" w:eastAsia="宋体"/>
                <w:bCs/>
                <w:color w:val="auto"/>
                <w:kern w:val="0"/>
                <w:sz w:val="21"/>
                <w:szCs w:val="21"/>
                <w:highlight w:val="none"/>
                <w:u w:val="single"/>
              </w:rPr>
              <w:t>潜孔钻</w:t>
            </w:r>
            <w:r>
              <w:rPr>
                <w:rFonts w:ascii="Times New Roman" w:hAnsi="Times New Roman" w:eastAsia="宋体"/>
                <w:bCs/>
                <w:color w:val="auto"/>
                <w:kern w:val="0"/>
                <w:sz w:val="21"/>
                <w:szCs w:val="21"/>
                <w:highlight w:val="none"/>
                <w:u w:val="single"/>
              </w:rPr>
              <w:t>机</w:t>
            </w:r>
          </w:p>
        </w:tc>
        <w:tc>
          <w:tcPr>
            <w:tcW w:w="2909"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szCs w:val="21"/>
                <w:highlight w:val="none"/>
                <w:u w:val="single"/>
              </w:rPr>
            </w:pPr>
            <w:r>
              <w:rPr>
                <w:rFonts w:hint="eastAsia" w:ascii="Times New Roman" w:hAnsi="Times New Roman" w:eastAsia="宋体"/>
                <w:bCs/>
                <w:color w:val="auto"/>
                <w:kern w:val="0"/>
                <w:sz w:val="21"/>
                <w:szCs w:val="21"/>
                <w:highlight w:val="none"/>
                <w:u w:val="single"/>
              </w:rPr>
              <w:t>HQF100</w:t>
            </w:r>
          </w:p>
        </w:tc>
        <w:tc>
          <w:tcPr>
            <w:tcW w:w="712"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szCs w:val="21"/>
                <w:highlight w:val="none"/>
                <w:u w:val="single"/>
              </w:rPr>
            </w:pPr>
            <w:r>
              <w:rPr>
                <w:rFonts w:ascii="Times New Roman" w:hAnsi="Times New Roman" w:eastAsia="宋体"/>
                <w:bCs/>
                <w:color w:val="auto"/>
                <w:kern w:val="0"/>
                <w:sz w:val="21"/>
                <w:szCs w:val="21"/>
                <w:highlight w:val="none"/>
                <w:u w:val="single"/>
              </w:rPr>
              <w:t>台</w:t>
            </w:r>
          </w:p>
        </w:tc>
        <w:tc>
          <w:tcPr>
            <w:tcW w:w="773"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color w:val="auto"/>
                <w:sz w:val="21"/>
                <w:szCs w:val="21"/>
                <w:highlight w:val="none"/>
                <w:u w:val="single"/>
              </w:rPr>
            </w:pPr>
            <w:r>
              <w:rPr>
                <w:rFonts w:hint="eastAsia" w:ascii="Times New Roman" w:hAnsi="Times New Roman" w:eastAsia="宋体"/>
                <w:color w:val="auto"/>
                <w:sz w:val="21"/>
                <w:szCs w:val="21"/>
                <w:highlight w:val="none"/>
                <w:u w:val="single"/>
              </w:rPr>
              <w:t>2</w:t>
            </w:r>
          </w:p>
        </w:tc>
        <w:tc>
          <w:tcPr>
            <w:tcW w:w="2472"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szCs w:val="21"/>
                <w:highlight w:val="none"/>
                <w:u w:val="single"/>
              </w:rPr>
            </w:pPr>
            <w:r>
              <w:rPr>
                <w:rFonts w:ascii="Times New Roman" w:hAnsi="Times New Roman" w:eastAsia="宋体"/>
                <w:bCs/>
                <w:color w:val="auto"/>
                <w:kern w:val="0"/>
                <w:sz w:val="21"/>
                <w:szCs w:val="21"/>
                <w:highlight w:val="none"/>
                <w:u w:val="single"/>
              </w:rPr>
              <w:t>原有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2</w:t>
            </w:r>
          </w:p>
        </w:tc>
        <w:tc>
          <w:tcPr>
            <w:tcW w:w="1494" w:type="dxa"/>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挖掘机</w:t>
            </w:r>
          </w:p>
        </w:tc>
        <w:tc>
          <w:tcPr>
            <w:tcW w:w="2909"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神钢SK320-6、</w:t>
            </w:r>
            <w:r>
              <w:rPr>
                <w:rFonts w:hint="eastAsia" w:ascii="Times New Roman" w:hAnsi="Times New Roman" w:eastAsia="宋体"/>
                <w:color w:val="auto"/>
                <w:kern w:val="0"/>
                <w:sz w:val="21"/>
                <w:highlight w:val="none"/>
                <w:u w:val="single"/>
                <w:lang w:bidi="ar"/>
              </w:rPr>
              <w:t>沃尔沃EC260</w:t>
            </w:r>
          </w:p>
        </w:tc>
        <w:tc>
          <w:tcPr>
            <w:tcW w:w="712" w:type="dxa"/>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台</w:t>
            </w:r>
          </w:p>
        </w:tc>
        <w:tc>
          <w:tcPr>
            <w:tcW w:w="773"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color w:val="auto"/>
                <w:sz w:val="21"/>
                <w:szCs w:val="21"/>
                <w:highlight w:val="none"/>
                <w:u w:val="single"/>
              </w:rPr>
            </w:pPr>
            <w:r>
              <w:rPr>
                <w:rFonts w:hint="eastAsia" w:ascii="Times New Roman" w:hAnsi="Times New Roman" w:eastAsia="宋体"/>
                <w:color w:val="auto"/>
                <w:sz w:val="21"/>
                <w:szCs w:val="21"/>
                <w:highlight w:val="none"/>
                <w:u w:val="single"/>
              </w:rPr>
              <w:t>6</w:t>
            </w:r>
          </w:p>
        </w:tc>
        <w:tc>
          <w:tcPr>
            <w:tcW w:w="2472" w:type="dxa"/>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原有</w:t>
            </w:r>
            <w:r>
              <w:rPr>
                <w:rFonts w:hint="eastAsia" w:ascii="Times New Roman" w:hAnsi="Times New Roman" w:eastAsia="宋体"/>
                <w:bCs/>
                <w:color w:val="auto"/>
                <w:kern w:val="0"/>
                <w:sz w:val="21"/>
                <w:szCs w:val="21"/>
                <w:highlight w:val="none"/>
                <w:u w:val="single"/>
              </w:rPr>
              <w:t>4</w:t>
            </w:r>
            <w:r>
              <w:rPr>
                <w:rFonts w:ascii="Times New Roman" w:hAnsi="Times New Roman" w:eastAsia="宋体"/>
                <w:bCs/>
                <w:color w:val="auto"/>
                <w:kern w:val="0"/>
                <w:sz w:val="21"/>
                <w:szCs w:val="21"/>
                <w:highlight w:val="none"/>
                <w:u w:val="single"/>
              </w:rPr>
              <w:t>台，</w:t>
            </w:r>
            <w:r>
              <w:rPr>
                <w:rFonts w:ascii="Times New Roman" w:hAnsi="Times New Roman" w:eastAsia="宋体"/>
                <w:color w:val="auto"/>
                <w:kern w:val="0"/>
                <w:sz w:val="21"/>
                <w:szCs w:val="21"/>
                <w:highlight w:val="none"/>
                <w:u w:val="single"/>
                <w:lang w:bidi="ar"/>
              </w:rPr>
              <w:t>新增</w:t>
            </w:r>
            <w:r>
              <w:rPr>
                <w:rFonts w:hint="eastAsia" w:ascii="Times New Roman" w:hAnsi="Times New Roman" w:eastAsia="宋体"/>
                <w:color w:val="auto"/>
                <w:kern w:val="0"/>
                <w:sz w:val="21"/>
                <w:szCs w:val="21"/>
                <w:highlight w:val="none"/>
                <w:u w:val="single"/>
                <w:lang w:bidi="ar"/>
              </w:rPr>
              <w:t>2</w:t>
            </w:r>
            <w:r>
              <w:rPr>
                <w:rFonts w:ascii="Times New Roman" w:hAnsi="Times New Roman" w:eastAsia="宋体"/>
                <w:color w:val="auto"/>
                <w:kern w:val="0"/>
                <w:sz w:val="21"/>
                <w:szCs w:val="21"/>
                <w:highlight w:val="none"/>
                <w:u w:val="single"/>
                <w:lang w:bidi="ar"/>
              </w:rPr>
              <w:t>台</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3</w:t>
            </w:r>
          </w:p>
        </w:tc>
        <w:tc>
          <w:tcPr>
            <w:tcW w:w="1494"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szCs w:val="21"/>
                <w:highlight w:val="none"/>
                <w:u w:val="single"/>
              </w:rPr>
            </w:pPr>
            <w:r>
              <w:rPr>
                <w:rFonts w:ascii="Times New Roman" w:hAnsi="Times New Roman" w:eastAsia="宋体"/>
                <w:bCs/>
                <w:color w:val="auto"/>
                <w:kern w:val="0"/>
                <w:sz w:val="21"/>
                <w:szCs w:val="21"/>
                <w:highlight w:val="none"/>
                <w:u w:val="single"/>
              </w:rPr>
              <w:t>空压机</w:t>
            </w:r>
          </w:p>
        </w:tc>
        <w:tc>
          <w:tcPr>
            <w:tcW w:w="2909"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highlight w:val="none"/>
                <w:u w:val="single"/>
              </w:rPr>
            </w:pPr>
            <w:r>
              <w:rPr>
                <w:rFonts w:ascii="Times New Roman" w:hAnsi="Times New Roman" w:eastAsia="宋体"/>
                <w:bCs/>
                <w:color w:val="auto"/>
                <w:kern w:val="0"/>
                <w:sz w:val="21"/>
                <w:szCs w:val="21"/>
                <w:highlight w:val="none"/>
                <w:u w:val="single"/>
              </w:rPr>
              <w:t>复盛</w:t>
            </w:r>
            <w:r>
              <w:rPr>
                <w:rFonts w:hint="eastAsia" w:ascii="Times New Roman" w:hAnsi="Times New Roman" w:eastAsia="宋体"/>
                <w:bCs/>
                <w:color w:val="auto"/>
                <w:kern w:val="0"/>
                <w:sz w:val="21"/>
                <w:szCs w:val="21"/>
                <w:highlight w:val="none"/>
                <w:u w:val="single"/>
              </w:rPr>
              <w:t>V=7m</w:t>
            </w:r>
            <w:r>
              <w:rPr>
                <w:rFonts w:hint="eastAsia" w:ascii="Times New Roman" w:hAnsi="Times New Roman" w:eastAsia="宋体"/>
                <w:bCs/>
                <w:color w:val="auto"/>
                <w:kern w:val="0"/>
                <w:sz w:val="21"/>
                <w:szCs w:val="21"/>
                <w:highlight w:val="none"/>
                <w:u w:val="single"/>
                <w:vertAlign w:val="superscript"/>
              </w:rPr>
              <w:t>3</w:t>
            </w:r>
            <w:r>
              <w:rPr>
                <w:rFonts w:hint="eastAsia" w:ascii="Times New Roman" w:hAnsi="Times New Roman" w:eastAsia="宋体"/>
                <w:bCs/>
                <w:color w:val="auto"/>
                <w:kern w:val="0"/>
                <w:sz w:val="21"/>
                <w:szCs w:val="21"/>
                <w:highlight w:val="none"/>
                <w:u w:val="single"/>
              </w:rPr>
              <w:t>/min</w:t>
            </w:r>
          </w:p>
        </w:tc>
        <w:tc>
          <w:tcPr>
            <w:tcW w:w="712"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u w:val="single"/>
              </w:rPr>
            </w:pPr>
            <w:r>
              <w:rPr>
                <w:rFonts w:ascii="Times New Roman" w:hAnsi="Times New Roman" w:eastAsia="宋体" w:cs="Times New Roman"/>
                <w:bCs/>
                <w:color w:val="auto"/>
                <w:kern w:val="0"/>
                <w:sz w:val="21"/>
                <w:highlight w:val="none"/>
                <w:u w:val="single"/>
              </w:rPr>
              <w:t>台</w:t>
            </w:r>
          </w:p>
        </w:tc>
        <w:tc>
          <w:tcPr>
            <w:tcW w:w="773"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bCs/>
                <w:color w:val="auto"/>
                <w:kern w:val="0"/>
                <w:sz w:val="21"/>
                <w:highlight w:val="none"/>
                <w:u w:val="single"/>
              </w:rPr>
              <w:t>2</w:t>
            </w:r>
          </w:p>
        </w:tc>
        <w:tc>
          <w:tcPr>
            <w:tcW w:w="2472"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highlight w:val="none"/>
                <w:u w:val="single"/>
              </w:rPr>
            </w:pPr>
            <w:r>
              <w:rPr>
                <w:rFonts w:ascii="Times New Roman" w:hAnsi="Times New Roman" w:eastAsia="宋体"/>
                <w:bCs/>
                <w:color w:val="auto"/>
                <w:kern w:val="0"/>
                <w:sz w:val="21"/>
                <w:szCs w:val="21"/>
                <w:highlight w:val="none"/>
                <w:u w:val="single"/>
              </w:rPr>
              <w:t>原有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4</w:t>
            </w:r>
          </w:p>
        </w:tc>
        <w:tc>
          <w:tcPr>
            <w:tcW w:w="1494"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szCs w:val="21"/>
                <w:highlight w:val="none"/>
                <w:u w:val="single"/>
              </w:rPr>
            </w:pPr>
            <w:r>
              <w:rPr>
                <w:rFonts w:ascii="Times New Roman" w:hAnsi="Times New Roman" w:eastAsia="宋体"/>
                <w:bCs/>
                <w:color w:val="auto"/>
                <w:kern w:val="0"/>
                <w:sz w:val="21"/>
                <w:szCs w:val="21"/>
                <w:highlight w:val="none"/>
                <w:u w:val="single"/>
              </w:rPr>
              <w:t>自卸汽车</w:t>
            </w:r>
          </w:p>
        </w:tc>
        <w:tc>
          <w:tcPr>
            <w:tcW w:w="2909"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载重量10t</w:t>
            </w:r>
          </w:p>
        </w:tc>
        <w:tc>
          <w:tcPr>
            <w:tcW w:w="712"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bCs/>
                <w:color w:val="auto"/>
                <w:kern w:val="0"/>
                <w:sz w:val="21"/>
                <w:highlight w:val="none"/>
                <w:u w:val="single"/>
              </w:rPr>
              <w:t>台</w:t>
            </w:r>
          </w:p>
        </w:tc>
        <w:tc>
          <w:tcPr>
            <w:tcW w:w="773"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8</w:t>
            </w:r>
          </w:p>
        </w:tc>
        <w:tc>
          <w:tcPr>
            <w:tcW w:w="2472"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szCs w:val="21"/>
                <w:highlight w:val="none"/>
                <w:u w:val="single"/>
              </w:rPr>
            </w:pPr>
            <w:r>
              <w:rPr>
                <w:rFonts w:ascii="Times New Roman" w:hAnsi="Times New Roman" w:eastAsia="宋体"/>
                <w:bCs/>
                <w:color w:val="auto"/>
                <w:kern w:val="0"/>
                <w:sz w:val="21"/>
                <w:szCs w:val="21"/>
                <w:highlight w:val="none"/>
                <w:u w:val="single"/>
              </w:rPr>
              <w:t>原有</w:t>
            </w:r>
            <w:r>
              <w:rPr>
                <w:rFonts w:hint="eastAsia" w:ascii="Times New Roman" w:hAnsi="Times New Roman" w:eastAsia="宋体"/>
                <w:bCs/>
                <w:color w:val="auto"/>
                <w:kern w:val="0"/>
                <w:sz w:val="21"/>
                <w:szCs w:val="21"/>
                <w:highlight w:val="none"/>
                <w:u w:val="single"/>
              </w:rPr>
              <w:t>6</w:t>
            </w:r>
            <w:r>
              <w:rPr>
                <w:rFonts w:ascii="Times New Roman" w:hAnsi="Times New Roman" w:eastAsia="宋体"/>
                <w:bCs/>
                <w:color w:val="auto"/>
                <w:kern w:val="0"/>
                <w:sz w:val="21"/>
                <w:szCs w:val="21"/>
                <w:highlight w:val="none"/>
                <w:u w:val="single"/>
              </w:rPr>
              <w:t>台，</w:t>
            </w:r>
            <w:r>
              <w:rPr>
                <w:rFonts w:ascii="Times New Roman" w:hAnsi="Times New Roman" w:eastAsia="宋体"/>
                <w:color w:val="auto"/>
                <w:kern w:val="0"/>
                <w:sz w:val="21"/>
                <w:szCs w:val="21"/>
                <w:highlight w:val="none"/>
                <w:u w:val="single"/>
                <w:lang w:bidi="ar"/>
              </w:rPr>
              <w:t>新增</w:t>
            </w:r>
            <w:r>
              <w:rPr>
                <w:rFonts w:hint="eastAsia" w:ascii="Times New Roman" w:hAnsi="Times New Roman" w:eastAsia="宋体"/>
                <w:color w:val="auto"/>
                <w:kern w:val="0"/>
                <w:sz w:val="21"/>
                <w:szCs w:val="21"/>
                <w:highlight w:val="none"/>
                <w:u w:val="single"/>
                <w:lang w:bidi="ar"/>
              </w:rPr>
              <w:t>2</w:t>
            </w:r>
            <w:r>
              <w:rPr>
                <w:rFonts w:ascii="Times New Roman" w:hAnsi="Times New Roman" w:eastAsia="宋体"/>
                <w:color w:val="auto"/>
                <w:kern w:val="0"/>
                <w:sz w:val="21"/>
                <w:szCs w:val="21"/>
                <w:highlight w:val="none"/>
                <w:u w:val="single"/>
                <w:lang w:bidi="ar"/>
              </w:rPr>
              <w:t>台</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5</w:t>
            </w:r>
          </w:p>
        </w:tc>
        <w:tc>
          <w:tcPr>
            <w:tcW w:w="1494" w:type="dxa"/>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装载车</w:t>
            </w:r>
          </w:p>
        </w:tc>
        <w:tc>
          <w:tcPr>
            <w:tcW w:w="2909"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柳工856</w:t>
            </w:r>
          </w:p>
        </w:tc>
        <w:tc>
          <w:tcPr>
            <w:tcW w:w="712" w:type="dxa"/>
            <w:noWrap w:val="0"/>
            <w:vAlign w:val="center"/>
          </w:tcPr>
          <w:p>
            <w:pPr>
              <w:widowControl/>
              <w:adjustRightInd w:val="0"/>
              <w:snapToGrid w:val="0"/>
              <w:spacing w:line="240" w:lineRule="auto"/>
              <w:ind w:firstLine="0" w:firstLineChars="0"/>
              <w:jc w:val="center"/>
              <w:textAlignment w:val="center"/>
              <w:rPr>
                <w:rFonts w:hint="eastAsia" w:ascii="Times New Roman" w:hAnsi="Times New Roman" w:eastAsia="宋体" w:cs="Times New Roman"/>
                <w:bCs/>
                <w:color w:val="auto"/>
                <w:kern w:val="0"/>
                <w:sz w:val="21"/>
                <w:highlight w:val="none"/>
                <w:u w:val="single"/>
              </w:rPr>
            </w:pPr>
            <w:r>
              <w:rPr>
                <w:rFonts w:hint="eastAsia" w:ascii="Times New Roman" w:hAnsi="Times New Roman" w:eastAsia="宋体" w:cs="Times New Roman"/>
                <w:bCs/>
                <w:color w:val="auto"/>
                <w:kern w:val="0"/>
                <w:sz w:val="21"/>
                <w:highlight w:val="none"/>
                <w:u w:val="single"/>
              </w:rPr>
              <w:t>台</w:t>
            </w:r>
          </w:p>
        </w:tc>
        <w:tc>
          <w:tcPr>
            <w:tcW w:w="773" w:type="dxa"/>
            <w:noWrap w:val="0"/>
            <w:vAlign w:val="center"/>
          </w:tcPr>
          <w:p>
            <w:pPr>
              <w:widowControl/>
              <w:adjustRightInd w:val="0"/>
              <w:snapToGrid w:val="0"/>
              <w:spacing w:line="240" w:lineRule="auto"/>
              <w:ind w:firstLine="0" w:firstLineChars="0"/>
              <w:jc w:val="center"/>
              <w:textAlignment w:val="center"/>
              <w:rPr>
                <w:rFonts w:hint="eastAsia"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2</w:t>
            </w:r>
          </w:p>
        </w:tc>
        <w:tc>
          <w:tcPr>
            <w:tcW w:w="2472" w:type="dxa"/>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原有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9071" w:type="dxa"/>
            <w:gridSpan w:val="6"/>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lang w:val="en-US" w:eastAsia="zh-CN"/>
              </w:rPr>
            </w:pPr>
            <w:r>
              <w:rPr>
                <w:rFonts w:hint="eastAsia"/>
                <w:b/>
                <w:bCs w:val="0"/>
                <w:color w:val="auto"/>
                <w:kern w:val="0"/>
                <w:sz w:val="21"/>
                <w:szCs w:val="21"/>
                <w:highlight w:val="none"/>
                <w:u w:val="single"/>
                <w:lang w:val="en-US" w:eastAsia="zh-CN"/>
              </w:rPr>
              <w:t>破碎场①</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6</w:t>
            </w:r>
          </w:p>
        </w:tc>
        <w:tc>
          <w:tcPr>
            <w:tcW w:w="1494"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szCs w:val="21"/>
                <w:highlight w:val="none"/>
                <w:u w:val="single"/>
              </w:rPr>
            </w:pPr>
            <w:r>
              <w:rPr>
                <w:rFonts w:ascii="Times New Roman" w:hAnsi="Times New Roman" w:eastAsia="宋体"/>
                <w:color w:val="auto"/>
                <w:sz w:val="21"/>
                <w:szCs w:val="21"/>
                <w:highlight w:val="none"/>
                <w:u w:val="single"/>
              </w:rPr>
              <w:t>振动给料机</w:t>
            </w:r>
          </w:p>
        </w:tc>
        <w:tc>
          <w:tcPr>
            <w:tcW w:w="2909" w:type="dxa"/>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ZG1300</w:t>
            </w:r>
            <w:r>
              <w:rPr>
                <w:rFonts w:ascii="Times New Roman" w:hAnsi="Times New Roman" w:eastAsia="宋体"/>
                <w:bCs/>
                <w:color w:val="auto"/>
                <w:kern w:val="0"/>
                <w:sz w:val="21"/>
                <w:szCs w:val="21"/>
                <w:highlight w:val="none"/>
                <w:u w:val="single"/>
              </w:rPr>
              <w:t>×</w:t>
            </w:r>
            <w:r>
              <w:rPr>
                <w:rFonts w:hint="eastAsia" w:ascii="Times New Roman" w:hAnsi="Times New Roman" w:eastAsia="宋体"/>
                <w:bCs/>
                <w:color w:val="auto"/>
                <w:kern w:val="0"/>
                <w:sz w:val="21"/>
                <w:szCs w:val="21"/>
                <w:highlight w:val="none"/>
                <w:u w:val="single"/>
              </w:rPr>
              <w:t>6000，150t/h</w:t>
            </w:r>
          </w:p>
        </w:tc>
        <w:tc>
          <w:tcPr>
            <w:tcW w:w="712"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szCs w:val="21"/>
                <w:highlight w:val="none"/>
                <w:u w:val="single"/>
              </w:rPr>
            </w:pPr>
            <w:r>
              <w:rPr>
                <w:rFonts w:ascii="Times New Roman" w:hAnsi="Times New Roman" w:eastAsia="宋体"/>
                <w:bCs/>
                <w:color w:val="auto"/>
                <w:kern w:val="0"/>
                <w:sz w:val="21"/>
                <w:szCs w:val="21"/>
                <w:highlight w:val="none"/>
                <w:u w:val="single"/>
              </w:rPr>
              <w:t>台</w:t>
            </w:r>
          </w:p>
        </w:tc>
        <w:tc>
          <w:tcPr>
            <w:tcW w:w="773"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color w:val="auto"/>
                <w:sz w:val="21"/>
                <w:szCs w:val="21"/>
                <w:highlight w:val="none"/>
                <w:u w:val="single"/>
                <w:lang w:eastAsia="zh-CN"/>
              </w:rPr>
            </w:pPr>
            <w:r>
              <w:rPr>
                <w:rFonts w:hint="eastAsia"/>
                <w:color w:val="auto"/>
                <w:sz w:val="21"/>
                <w:szCs w:val="21"/>
                <w:highlight w:val="none"/>
                <w:u w:val="single"/>
                <w:lang w:val="en-US" w:eastAsia="zh-CN"/>
              </w:rPr>
              <w:t>1</w:t>
            </w:r>
          </w:p>
        </w:tc>
        <w:tc>
          <w:tcPr>
            <w:tcW w:w="247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color w:val="auto"/>
                <w:sz w:val="21"/>
                <w:szCs w:val="21"/>
                <w:highlight w:val="none"/>
                <w:u w:val="single"/>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7</w:t>
            </w:r>
          </w:p>
        </w:tc>
        <w:tc>
          <w:tcPr>
            <w:tcW w:w="1494"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szCs w:val="21"/>
                <w:highlight w:val="none"/>
                <w:u w:val="single"/>
              </w:rPr>
            </w:pPr>
            <w:r>
              <w:rPr>
                <w:rFonts w:hint="eastAsia" w:ascii="Times New Roman" w:hAnsi="Times New Roman" w:eastAsia="宋体"/>
                <w:bCs/>
                <w:color w:val="auto"/>
                <w:kern w:val="0"/>
                <w:sz w:val="21"/>
                <w:szCs w:val="21"/>
                <w:highlight w:val="none"/>
                <w:u w:val="single"/>
              </w:rPr>
              <w:t>颚式</w:t>
            </w:r>
            <w:r>
              <w:rPr>
                <w:rFonts w:ascii="Times New Roman" w:hAnsi="Times New Roman" w:eastAsia="宋体"/>
                <w:bCs/>
                <w:color w:val="auto"/>
                <w:kern w:val="0"/>
                <w:sz w:val="21"/>
                <w:szCs w:val="21"/>
                <w:highlight w:val="none"/>
                <w:u w:val="single"/>
              </w:rPr>
              <w:t>破碎机</w:t>
            </w:r>
          </w:p>
        </w:tc>
        <w:tc>
          <w:tcPr>
            <w:tcW w:w="2909" w:type="dxa"/>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PE900</w:t>
            </w:r>
            <w:r>
              <w:rPr>
                <w:rFonts w:ascii="Times New Roman" w:hAnsi="Times New Roman" w:eastAsia="宋体"/>
                <w:bCs/>
                <w:color w:val="auto"/>
                <w:kern w:val="0"/>
                <w:sz w:val="21"/>
                <w:szCs w:val="21"/>
                <w:highlight w:val="none"/>
                <w:u w:val="single"/>
              </w:rPr>
              <w:t>×</w:t>
            </w:r>
            <w:r>
              <w:rPr>
                <w:rFonts w:hint="eastAsia" w:ascii="Times New Roman" w:hAnsi="Times New Roman" w:eastAsia="宋体"/>
                <w:bCs/>
                <w:color w:val="auto"/>
                <w:kern w:val="0"/>
                <w:sz w:val="21"/>
                <w:szCs w:val="21"/>
                <w:highlight w:val="none"/>
                <w:u w:val="single"/>
              </w:rPr>
              <w:t>1200，120t/h</w:t>
            </w:r>
          </w:p>
        </w:tc>
        <w:tc>
          <w:tcPr>
            <w:tcW w:w="712"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highlight w:val="none"/>
                <w:u w:val="single"/>
              </w:rPr>
            </w:pPr>
            <w:r>
              <w:rPr>
                <w:rFonts w:ascii="Times New Roman" w:hAnsi="Times New Roman" w:eastAsia="宋体"/>
                <w:bCs/>
                <w:color w:val="auto"/>
                <w:kern w:val="0"/>
                <w:sz w:val="21"/>
                <w:szCs w:val="21"/>
                <w:highlight w:val="none"/>
                <w:u w:val="single"/>
              </w:rPr>
              <w:t>台</w:t>
            </w:r>
          </w:p>
        </w:tc>
        <w:tc>
          <w:tcPr>
            <w:tcW w:w="773"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color w:val="auto"/>
                <w:sz w:val="21"/>
                <w:highlight w:val="none"/>
                <w:u w:val="single"/>
                <w:lang w:eastAsia="zh-CN"/>
              </w:rPr>
            </w:pPr>
            <w:r>
              <w:rPr>
                <w:rFonts w:hint="eastAsia"/>
                <w:color w:val="auto"/>
                <w:sz w:val="21"/>
                <w:szCs w:val="21"/>
                <w:highlight w:val="none"/>
                <w:u w:val="single"/>
                <w:lang w:val="en-US" w:eastAsia="zh-CN"/>
              </w:rPr>
              <w:t>1</w:t>
            </w:r>
          </w:p>
        </w:tc>
        <w:tc>
          <w:tcPr>
            <w:tcW w:w="2472"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szCs w:val="21"/>
                <w:highlight w:val="none"/>
                <w:u w:val="single"/>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adjustRightInd w:val="0"/>
              <w:snapToGrid w:val="0"/>
              <w:spacing w:line="240" w:lineRule="auto"/>
              <w:ind w:firstLine="0" w:firstLineChars="0"/>
              <w:jc w:val="center"/>
              <w:rPr>
                <w:rFonts w:ascii="Times New Roman" w:hAnsi="Times New Roman" w:eastAsia="宋体"/>
                <w:color w:val="auto"/>
                <w:sz w:val="21"/>
                <w:highlight w:val="none"/>
                <w:u w:val="single"/>
              </w:rPr>
            </w:pPr>
            <w:r>
              <w:rPr>
                <w:rFonts w:ascii="Times New Roman" w:hAnsi="Times New Roman" w:eastAsia="宋体" w:cs="Times New Roman"/>
                <w:color w:val="auto"/>
                <w:sz w:val="21"/>
                <w:highlight w:val="none"/>
                <w:u w:val="single"/>
              </w:rPr>
              <w:t>8</w:t>
            </w:r>
          </w:p>
        </w:tc>
        <w:tc>
          <w:tcPr>
            <w:tcW w:w="1494"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color w:val="auto"/>
                <w:sz w:val="21"/>
                <w:szCs w:val="21"/>
                <w:highlight w:val="none"/>
                <w:u w:val="single"/>
              </w:rPr>
            </w:pPr>
            <w:r>
              <w:rPr>
                <w:rFonts w:hint="eastAsia" w:ascii="Times New Roman" w:hAnsi="Times New Roman" w:eastAsia="宋体"/>
                <w:color w:val="auto"/>
                <w:sz w:val="21"/>
                <w:szCs w:val="21"/>
                <w:highlight w:val="none"/>
                <w:u w:val="single"/>
              </w:rPr>
              <w:t>圆锥机</w:t>
            </w:r>
          </w:p>
        </w:tc>
        <w:tc>
          <w:tcPr>
            <w:tcW w:w="2909" w:type="dxa"/>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S340B，120</w:t>
            </w:r>
            <w:r>
              <w:rPr>
                <w:rFonts w:ascii="Times New Roman" w:hAnsi="Times New Roman" w:eastAsia="宋体"/>
                <w:bCs/>
                <w:color w:val="auto"/>
                <w:kern w:val="0"/>
                <w:sz w:val="21"/>
                <w:szCs w:val="21"/>
                <w:highlight w:val="none"/>
                <w:u w:val="single"/>
              </w:rPr>
              <w:t>~</w:t>
            </w:r>
            <w:r>
              <w:rPr>
                <w:rFonts w:hint="eastAsia" w:ascii="Times New Roman" w:hAnsi="Times New Roman" w:eastAsia="宋体"/>
                <w:bCs/>
                <w:color w:val="auto"/>
                <w:kern w:val="0"/>
                <w:sz w:val="21"/>
                <w:szCs w:val="21"/>
                <w:highlight w:val="none"/>
                <w:u w:val="single"/>
              </w:rPr>
              <w:t>150t/h</w:t>
            </w:r>
          </w:p>
        </w:tc>
        <w:tc>
          <w:tcPr>
            <w:tcW w:w="71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color w:val="auto"/>
                <w:sz w:val="21"/>
                <w:highlight w:val="none"/>
                <w:u w:val="single"/>
              </w:rPr>
            </w:pPr>
            <w:r>
              <w:rPr>
                <w:rFonts w:ascii="Times New Roman" w:hAnsi="Times New Roman" w:eastAsia="宋体"/>
                <w:bCs/>
                <w:color w:val="auto"/>
                <w:kern w:val="0"/>
                <w:sz w:val="21"/>
                <w:szCs w:val="21"/>
                <w:highlight w:val="none"/>
                <w:u w:val="single"/>
              </w:rPr>
              <w:t>台</w:t>
            </w:r>
          </w:p>
        </w:tc>
        <w:tc>
          <w:tcPr>
            <w:tcW w:w="773"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highlight w:val="none"/>
                <w:u w:val="single"/>
              </w:rPr>
            </w:pPr>
            <w:r>
              <w:rPr>
                <w:rFonts w:hint="eastAsia" w:ascii="Times New Roman" w:hAnsi="Times New Roman" w:eastAsia="宋体"/>
                <w:color w:val="auto"/>
                <w:sz w:val="21"/>
                <w:highlight w:val="none"/>
                <w:u w:val="single"/>
              </w:rPr>
              <w:t>3</w:t>
            </w:r>
          </w:p>
        </w:tc>
        <w:tc>
          <w:tcPr>
            <w:tcW w:w="2472"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szCs w:val="21"/>
                <w:highlight w:val="none"/>
                <w:u w:val="single"/>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highlight w:val="none"/>
                <w:u w:val="single"/>
              </w:rPr>
            </w:pPr>
            <w:r>
              <w:rPr>
                <w:rFonts w:ascii="Times New Roman" w:hAnsi="Times New Roman" w:eastAsia="宋体"/>
                <w:bCs/>
                <w:color w:val="auto"/>
                <w:kern w:val="0"/>
                <w:sz w:val="21"/>
                <w:szCs w:val="21"/>
                <w:highlight w:val="none"/>
                <w:u w:val="single"/>
              </w:rPr>
              <w:t>9</w:t>
            </w:r>
          </w:p>
        </w:tc>
        <w:tc>
          <w:tcPr>
            <w:tcW w:w="1494"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szCs w:val="21"/>
                <w:highlight w:val="none"/>
                <w:u w:val="single"/>
              </w:rPr>
            </w:pPr>
            <w:r>
              <w:rPr>
                <w:rFonts w:ascii="Times New Roman" w:hAnsi="Times New Roman" w:eastAsia="宋体"/>
                <w:bCs/>
                <w:color w:val="auto"/>
                <w:kern w:val="0"/>
                <w:sz w:val="21"/>
                <w:szCs w:val="21"/>
                <w:highlight w:val="none"/>
                <w:u w:val="single"/>
              </w:rPr>
              <w:t>振动筛</w:t>
            </w:r>
          </w:p>
        </w:tc>
        <w:tc>
          <w:tcPr>
            <w:tcW w:w="2909"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100</w:t>
            </w:r>
            <w:r>
              <w:rPr>
                <w:rFonts w:ascii="Times New Roman" w:hAnsi="Times New Roman" w:eastAsia="宋体"/>
                <w:bCs/>
                <w:color w:val="auto"/>
                <w:kern w:val="0"/>
                <w:sz w:val="21"/>
                <w:szCs w:val="21"/>
                <w:highlight w:val="none"/>
                <w:u w:val="single"/>
              </w:rPr>
              <w:t>~</w:t>
            </w:r>
            <w:r>
              <w:rPr>
                <w:rFonts w:hint="eastAsia" w:ascii="Times New Roman" w:hAnsi="Times New Roman" w:eastAsia="宋体"/>
                <w:bCs/>
                <w:color w:val="auto"/>
                <w:kern w:val="0"/>
                <w:sz w:val="21"/>
                <w:szCs w:val="21"/>
                <w:highlight w:val="none"/>
                <w:u w:val="single"/>
              </w:rPr>
              <w:t>120t/h</w:t>
            </w:r>
          </w:p>
        </w:tc>
        <w:tc>
          <w:tcPr>
            <w:tcW w:w="71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color w:val="auto"/>
                <w:sz w:val="21"/>
                <w:highlight w:val="none"/>
                <w:u w:val="single"/>
              </w:rPr>
            </w:pPr>
            <w:r>
              <w:rPr>
                <w:rFonts w:ascii="Times New Roman" w:hAnsi="Times New Roman" w:eastAsia="宋体"/>
                <w:bCs/>
                <w:color w:val="auto"/>
                <w:kern w:val="0"/>
                <w:sz w:val="21"/>
                <w:szCs w:val="21"/>
                <w:highlight w:val="none"/>
                <w:u w:val="single"/>
              </w:rPr>
              <w:t>台</w:t>
            </w:r>
          </w:p>
        </w:tc>
        <w:tc>
          <w:tcPr>
            <w:tcW w:w="773"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color w:val="auto"/>
                <w:sz w:val="21"/>
                <w:highlight w:val="none"/>
                <w:u w:val="single"/>
                <w:lang w:eastAsia="zh-CN"/>
              </w:rPr>
            </w:pPr>
            <w:r>
              <w:rPr>
                <w:rFonts w:hint="eastAsia"/>
                <w:bCs/>
                <w:color w:val="auto"/>
                <w:kern w:val="0"/>
                <w:sz w:val="21"/>
                <w:szCs w:val="21"/>
                <w:highlight w:val="none"/>
                <w:u w:val="single"/>
                <w:lang w:val="en-US" w:eastAsia="zh-CN"/>
              </w:rPr>
              <w:t>5</w:t>
            </w:r>
          </w:p>
        </w:tc>
        <w:tc>
          <w:tcPr>
            <w:tcW w:w="2472"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szCs w:val="21"/>
                <w:highlight w:val="none"/>
                <w:u w:val="single"/>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highlight w:val="none"/>
                <w:u w:val="single"/>
              </w:rPr>
            </w:pPr>
            <w:r>
              <w:rPr>
                <w:rFonts w:ascii="Times New Roman" w:hAnsi="Times New Roman" w:eastAsia="宋体"/>
                <w:bCs/>
                <w:color w:val="auto"/>
                <w:kern w:val="0"/>
                <w:sz w:val="21"/>
                <w:szCs w:val="21"/>
                <w:highlight w:val="none"/>
                <w:u w:val="single"/>
              </w:rPr>
              <w:t>10</w:t>
            </w:r>
          </w:p>
        </w:tc>
        <w:tc>
          <w:tcPr>
            <w:tcW w:w="1494"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szCs w:val="21"/>
                <w:highlight w:val="none"/>
                <w:u w:val="single"/>
              </w:rPr>
            </w:pPr>
            <w:r>
              <w:rPr>
                <w:rFonts w:hint="eastAsia" w:ascii="Times New Roman" w:hAnsi="Times New Roman" w:eastAsia="宋体"/>
                <w:bCs/>
                <w:color w:val="auto"/>
                <w:kern w:val="0"/>
                <w:sz w:val="21"/>
                <w:szCs w:val="21"/>
                <w:highlight w:val="none"/>
                <w:u w:val="single"/>
              </w:rPr>
              <w:t>泥</w:t>
            </w:r>
            <w:r>
              <w:rPr>
                <w:rFonts w:ascii="Times New Roman" w:hAnsi="Times New Roman" w:eastAsia="宋体"/>
                <w:bCs/>
                <w:color w:val="auto"/>
                <w:kern w:val="0"/>
                <w:sz w:val="21"/>
                <w:szCs w:val="21"/>
                <w:highlight w:val="none"/>
                <w:u w:val="single"/>
              </w:rPr>
              <w:t>筛</w:t>
            </w:r>
          </w:p>
        </w:tc>
        <w:tc>
          <w:tcPr>
            <w:tcW w:w="2909" w:type="dxa"/>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150</w:t>
            </w:r>
            <w:r>
              <w:rPr>
                <w:rFonts w:ascii="Times New Roman" w:hAnsi="Times New Roman" w:eastAsia="宋体"/>
                <w:bCs/>
                <w:color w:val="auto"/>
                <w:kern w:val="0"/>
                <w:sz w:val="21"/>
                <w:szCs w:val="21"/>
                <w:highlight w:val="none"/>
                <w:u w:val="single"/>
              </w:rPr>
              <w:t>~</w:t>
            </w:r>
            <w:r>
              <w:rPr>
                <w:rFonts w:hint="eastAsia" w:ascii="Times New Roman" w:hAnsi="Times New Roman" w:eastAsia="宋体"/>
                <w:bCs/>
                <w:color w:val="auto"/>
                <w:kern w:val="0"/>
                <w:sz w:val="21"/>
                <w:szCs w:val="21"/>
                <w:highlight w:val="none"/>
                <w:u w:val="single"/>
              </w:rPr>
              <w:t>200t/h</w:t>
            </w:r>
          </w:p>
        </w:tc>
        <w:tc>
          <w:tcPr>
            <w:tcW w:w="712"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szCs w:val="21"/>
                <w:highlight w:val="none"/>
                <w:u w:val="single"/>
              </w:rPr>
            </w:pPr>
            <w:r>
              <w:rPr>
                <w:rFonts w:ascii="Times New Roman" w:hAnsi="Times New Roman" w:eastAsia="宋体"/>
                <w:bCs/>
                <w:color w:val="auto"/>
                <w:kern w:val="0"/>
                <w:sz w:val="21"/>
                <w:szCs w:val="21"/>
                <w:highlight w:val="none"/>
                <w:u w:val="single"/>
              </w:rPr>
              <w:t>台</w:t>
            </w:r>
          </w:p>
        </w:tc>
        <w:tc>
          <w:tcPr>
            <w:tcW w:w="773"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color w:val="auto"/>
                <w:sz w:val="21"/>
                <w:szCs w:val="21"/>
                <w:highlight w:val="none"/>
                <w:u w:val="single"/>
                <w:lang w:eastAsia="zh-CN"/>
              </w:rPr>
            </w:pPr>
            <w:r>
              <w:rPr>
                <w:rFonts w:hint="eastAsia"/>
                <w:color w:val="auto"/>
                <w:sz w:val="21"/>
                <w:szCs w:val="21"/>
                <w:highlight w:val="none"/>
                <w:u w:val="single"/>
                <w:lang w:val="en-US" w:eastAsia="zh-CN"/>
              </w:rPr>
              <w:t>1</w:t>
            </w:r>
          </w:p>
        </w:tc>
        <w:tc>
          <w:tcPr>
            <w:tcW w:w="2472"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szCs w:val="21"/>
                <w:highlight w:val="none"/>
                <w:u w:val="single"/>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highlight w:val="none"/>
                <w:u w:val="single"/>
              </w:rPr>
            </w:pPr>
            <w:r>
              <w:rPr>
                <w:rFonts w:ascii="Times New Roman" w:hAnsi="Times New Roman" w:eastAsia="宋体"/>
                <w:bCs/>
                <w:color w:val="auto"/>
                <w:kern w:val="0"/>
                <w:sz w:val="21"/>
                <w:szCs w:val="21"/>
                <w:highlight w:val="none"/>
                <w:u w:val="single"/>
              </w:rPr>
              <w:t>11</w:t>
            </w:r>
          </w:p>
        </w:tc>
        <w:tc>
          <w:tcPr>
            <w:tcW w:w="1494" w:type="dxa"/>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雾炮机</w:t>
            </w:r>
          </w:p>
        </w:tc>
        <w:tc>
          <w:tcPr>
            <w:tcW w:w="2909" w:type="dxa"/>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w:t>
            </w:r>
          </w:p>
        </w:tc>
        <w:tc>
          <w:tcPr>
            <w:tcW w:w="71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台</w:t>
            </w:r>
          </w:p>
        </w:tc>
        <w:tc>
          <w:tcPr>
            <w:tcW w:w="773"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szCs w:val="21"/>
                <w:highlight w:val="none"/>
                <w:u w:val="single"/>
              </w:rPr>
            </w:pPr>
            <w:r>
              <w:rPr>
                <w:rFonts w:hint="eastAsia"/>
                <w:bCs/>
                <w:color w:val="auto"/>
                <w:kern w:val="0"/>
                <w:sz w:val="21"/>
                <w:szCs w:val="21"/>
                <w:highlight w:val="none"/>
                <w:u w:val="single"/>
                <w:lang w:val="en-US" w:eastAsia="zh-CN"/>
              </w:rPr>
              <w:t>2</w:t>
            </w:r>
          </w:p>
        </w:tc>
        <w:tc>
          <w:tcPr>
            <w:tcW w:w="2472" w:type="dxa"/>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新增</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highlight w:val="none"/>
                <w:u w:val="single"/>
              </w:rPr>
            </w:pPr>
            <w:r>
              <w:rPr>
                <w:rFonts w:ascii="Times New Roman" w:hAnsi="Times New Roman" w:eastAsia="宋体"/>
                <w:bCs/>
                <w:color w:val="auto"/>
                <w:kern w:val="0"/>
                <w:sz w:val="21"/>
                <w:szCs w:val="21"/>
                <w:highlight w:val="none"/>
                <w:u w:val="single"/>
              </w:rPr>
              <w:t>12</w:t>
            </w:r>
          </w:p>
        </w:tc>
        <w:tc>
          <w:tcPr>
            <w:tcW w:w="1494" w:type="dxa"/>
            <w:noWrap w:val="0"/>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除尘器</w:t>
            </w:r>
          </w:p>
        </w:tc>
        <w:tc>
          <w:tcPr>
            <w:tcW w:w="2909" w:type="dxa"/>
            <w:noWrap w:val="0"/>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脉冲袋式除尘器</w:t>
            </w:r>
            <w:r>
              <w:rPr>
                <w:rFonts w:ascii="Times New Roman" w:hAnsi="Times New Roman" w:eastAsia="宋体"/>
                <w:color w:val="auto"/>
                <w:sz w:val="21"/>
                <w:szCs w:val="21"/>
                <w:highlight w:val="none"/>
                <w:u w:val="single"/>
              </w:rPr>
              <w:t>MC-56</w:t>
            </w:r>
          </w:p>
        </w:tc>
        <w:tc>
          <w:tcPr>
            <w:tcW w:w="712" w:type="dxa"/>
            <w:noWrap w:val="0"/>
            <w:vAlign w:val="center"/>
          </w:tcPr>
          <w:p>
            <w:pPr>
              <w:widowControl/>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ascii="Times New Roman" w:hAnsi="Times New Roman" w:eastAsia="宋体" w:cs="Times New Roman"/>
                <w:bCs/>
                <w:color w:val="auto"/>
                <w:kern w:val="0"/>
                <w:sz w:val="21"/>
                <w:highlight w:val="none"/>
                <w:u w:val="single"/>
              </w:rPr>
              <w:t>台</w:t>
            </w:r>
          </w:p>
        </w:tc>
        <w:tc>
          <w:tcPr>
            <w:tcW w:w="773" w:type="dxa"/>
            <w:noWrap w:val="0"/>
            <w:vAlign w:val="center"/>
          </w:tcPr>
          <w:p>
            <w:pPr>
              <w:widowControl/>
              <w:snapToGrid w:val="0"/>
              <w:spacing w:line="240" w:lineRule="auto"/>
              <w:ind w:firstLine="0" w:firstLineChars="0"/>
              <w:jc w:val="center"/>
              <w:rPr>
                <w:rFonts w:hint="eastAsia" w:ascii="Times New Roman" w:hAnsi="Times New Roman" w:eastAsia="宋体"/>
                <w:color w:val="auto"/>
                <w:sz w:val="21"/>
                <w:szCs w:val="21"/>
                <w:highlight w:val="none"/>
                <w:u w:val="single"/>
              </w:rPr>
            </w:pPr>
            <w:r>
              <w:rPr>
                <w:rFonts w:hint="eastAsia" w:cs="Times New Roman"/>
                <w:bCs/>
                <w:color w:val="auto"/>
                <w:kern w:val="0"/>
                <w:sz w:val="21"/>
                <w:highlight w:val="none"/>
                <w:u w:val="single"/>
                <w:lang w:val="en-US" w:eastAsia="zh-CN"/>
              </w:rPr>
              <w:t>3</w:t>
            </w:r>
          </w:p>
        </w:tc>
        <w:tc>
          <w:tcPr>
            <w:tcW w:w="2472" w:type="dxa"/>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新增</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szCs w:val="21"/>
                <w:highlight w:val="none"/>
                <w:u w:val="single"/>
              </w:rPr>
            </w:pPr>
            <w:r>
              <w:rPr>
                <w:rFonts w:hint="eastAsia" w:ascii="Times New Roman" w:hAnsi="Times New Roman" w:eastAsia="宋体"/>
                <w:color w:val="auto"/>
                <w:sz w:val="21"/>
                <w:szCs w:val="21"/>
                <w:highlight w:val="none"/>
                <w:u w:val="single"/>
              </w:rPr>
              <w:t>13</w:t>
            </w:r>
          </w:p>
        </w:tc>
        <w:tc>
          <w:tcPr>
            <w:tcW w:w="1494" w:type="dxa"/>
            <w:noWrap w:val="0"/>
            <w:vAlign w:val="center"/>
          </w:tcPr>
          <w:p>
            <w:pPr>
              <w:pStyle w:val="69"/>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水泵</w:t>
            </w:r>
          </w:p>
        </w:tc>
        <w:tc>
          <w:tcPr>
            <w:tcW w:w="2909" w:type="dxa"/>
            <w:noWrap w:val="0"/>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w:t>
            </w:r>
          </w:p>
        </w:tc>
        <w:tc>
          <w:tcPr>
            <w:tcW w:w="712" w:type="dxa"/>
            <w:noWrap w:val="0"/>
            <w:vAlign w:val="center"/>
          </w:tcPr>
          <w:p>
            <w:pPr>
              <w:widowControl/>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ascii="Times New Roman" w:hAnsi="Times New Roman" w:eastAsia="宋体" w:cs="Times New Roman"/>
                <w:bCs/>
                <w:color w:val="auto"/>
                <w:kern w:val="0"/>
                <w:sz w:val="21"/>
                <w:highlight w:val="none"/>
                <w:u w:val="single"/>
              </w:rPr>
              <w:t>台</w:t>
            </w:r>
          </w:p>
        </w:tc>
        <w:tc>
          <w:tcPr>
            <w:tcW w:w="773" w:type="dxa"/>
            <w:noWrap w:val="0"/>
            <w:vAlign w:val="center"/>
          </w:tcPr>
          <w:p>
            <w:pPr>
              <w:widowControl/>
              <w:snapToGrid w:val="0"/>
              <w:spacing w:line="240" w:lineRule="auto"/>
              <w:ind w:firstLine="0" w:firstLineChars="0"/>
              <w:jc w:val="center"/>
              <w:rPr>
                <w:rFonts w:hint="eastAsia" w:ascii="Times New Roman" w:hAnsi="Times New Roman" w:eastAsia="宋体"/>
                <w:bCs/>
                <w:color w:val="auto"/>
                <w:kern w:val="0"/>
                <w:sz w:val="21"/>
                <w:szCs w:val="21"/>
                <w:highlight w:val="none"/>
                <w:u w:val="single"/>
                <w:lang w:eastAsia="zh-CN"/>
              </w:rPr>
            </w:pPr>
            <w:r>
              <w:rPr>
                <w:rFonts w:hint="eastAsia" w:cs="Times New Roman"/>
                <w:bCs/>
                <w:color w:val="auto"/>
                <w:kern w:val="0"/>
                <w:sz w:val="21"/>
                <w:highlight w:val="none"/>
                <w:u w:val="single"/>
                <w:lang w:val="en-US" w:eastAsia="zh-CN"/>
              </w:rPr>
              <w:t>1</w:t>
            </w:r>
          </w:p>
        </w:tc>
        <w:tc>
          <w:tcPr>
            <w:tcW w:w="2472" w:type="dxa"/>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原有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pStyle w:val="69"/>
              <w:adjustRightInd w:val="0"/>
              <w:snapToGrid w:val="0"/>
              <w:spacing w:line="240" w:lineRule="auto"/>
              <w:ind w:firstLine="0" w:firstLineChars="0"/>
              <w:jc w:val="center"/>
              <w:rPr>
                <w:rFonts w:ascii="Times New Roman" w:hAnsi="Times New Roman" w:eastAsia="宋体"/>
                <w:color w:val="auto"/>
                <w:sz w:val="21"/>
                <w:szCs w:val="21"/>
                <w:highlight w:val="none"/>
                <w:u w:val="single"/>
              </w:rPr>
            </w:pPr>
            <w:r>
              <w:rPr>
                <w:rFonts w:hint="eastAsia" w:ascii="Times New Roman" w:hAnsi="Times New Roman" w:eastAsia="宋体"/>
                <w:color w:val="auto"/>
                <w:sz w:val="21"/>
                <w:szCs w:val="21"/>
                <w:highlight w:val="none"/>
                <w:u w:val="single"/>
              </w:rPr>
              <w:t>14</w:t>
            </w:r>
          </w:p>
        </w:tc>
        <w:tc>
          <w:tcPr>
            <w:tcW w:w="1494" w:type="dxa"/>
            <w:noWrap w:val="0"/>
            <w:vAlign w:val="center"/>
          </w:tcPr>
          <w:p>
            <w:pPr>
              <w:pStyle w:val="69"/>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洗砂设备</w:t>
            </w:r>
          </w:p>
        </w:tc>
        <w:tc>
          <w:tcPr>
            <w:tcW w:w="2909" w:type="dxa"/>
            <w:noWrap w:val="0"/>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10m</w:t>
            </w:r>
            <w:r>
              <w:rPr>
                <w:rFonts w:hint="eastAsia" w:ascii="Times New Roman" w:hAnsi="Times New Roman" w:eastAsia="宋体"/>
                <w:bCs/>
                <w:color w:val="auto"/>
                <w:kern w:val="0"/>
                <w:sz w:val="21"/>
                <w:szCs w:val="21"/>
                <w:highlight w:val="none"/>
                <w:u w:val="single"/>
                <w:vertAlign w:val="superscript"/>
              </w:rPr>
              <w:t>3</w:t>
            </w:r>
            <w:r>
              <w:rPr>
                <w:rFonts w:hint="eastAsia" w:ascii="Times New Roman" w:hAnsi="Times New Roman" w:eastAsia="宋体"/>
                <w:bCs/>
                <w:color w:val="auto"/>
                <w:kern w:val="0"/>
                <w:sz w:val="21"/>
                <w:szCs w:val="21"/>
                <w:highlight w:val="none"/>
                <w:u w:val="single"/>
              </w:rPr>
              <w:t>/h</w:t>
            </w:r>
          </w:p>
        </w:tc>
        <w:tc>
          <w:tcPr>
            <w:tcW w:w="712" w:type="dxa"/>
            <w:noWrap w:val="0"/>
            <w:vAlign w:val="center"/>
          </w:tcPr>
          <w:p>
            <w:pPr>
              <w:widowControl/>
              <w:snapToGrid w:val="0"/>
              <w:spacing w:line="240" w:lineRule="auto"/>
              <w:ind w:firstLine="0" w:firstLineChars="0"/>
              <w:jc w:val="center"/>
              <w:rPr>
                <w:rFonts w:ascii="Times New Roman" w:hAnsi="Times New Roman" w:eastAsia="宋体"/>
                <w:bCs/>
                <w:color w:val="auto"/>
                <w:kern w:val="0"/>
                <w:sz w:val="21"/>
                <w:highlight w:val="none"/>
                <w:u w:val="single"/>
              </w:rPr>
            </w:pPr>
            <w:r>
              <w:rPr>
                <w:rFonts w:hint="eastAsia" w:ascii="Times New Roman" w:hAnsi="Times New Roman" w:eastAsia="宋体" w:cs="Times New Roman"/>
                <w:bCs/>
                <w:color w:val="auto"/>
                <w:kern w:val="0"/>
                <w:sz w:val="21"/>
                <w:highlight w:val="none"/>
                <w:u w:val="single"/>
              </w:rPr>
              <w:t>套</w:t>
            </w:r>
          </w:p>
        </w:tc>
        <w:tc>
          <w:tcPr>
            <w:tcW w:w="773" w:type="dxa"/>
            <w:noWrap w:val="0"/>
            <w:vAlign w:val="center"/>
          </w:tcPr>
          <w:p>
            <w:pPr>
              <w:widowControl/>
              <w:snapToGrid w:val="0"/>
              <w:spacing w:line="240" w:lineRule="auto"/>
              <w:ind w:firstLine="0" w:firstLineChars="0"/>
              <w:jc w:val="center"/>
              <w:rPr>
                <w:rFonts w:ascii="Times New Roman" w:hAnsi="Times New Roman" w:eastAsia="宋体"/>
                <w:bCs/>
                <w:color w:val="auto"/>
                <w:kern w:val="0"/>
                <w:sz w:val="21"/>
                <w:highlight w:val="none"/>
                <w:u w:val="single"/>
              </w:rPr>
            </w:pPr>
            <w:r>
              <w:rPr>
                <w:rFonts w:hint="eastAsia" w:ascii="Times New Roman" w:hAnsi="Times New Roman" w:eastAsia="宋体" w:cs="Times New Roman"/>
                <w:bCs/>
                <w:color w:val="auto"/>
                <w:kern w:val="0"/>
                <w:sz w:val="21"/>
                <w:highlight w:val="none"/>
                <w:u w:val="single"/>
              </w:rPr>
              <w:t>1</w:t>
            </w:r>
          </w:p>
        </w:tc>
        <w:tc>
          <w:tcPr>
            <w:tcW w:w="2472" w:type="dxa"/>
            <w:noWrap w:val="0"/>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color w:val="auto"/>
                <w:sz w:val="21"/>
                <w:szCs w:val="21"/>
                <w:highlight w:val="none"/>
                <w:u w:val="single"/>
              </w:rPr>
            </w:pPr>
            <w:r>
              <w:rPr>
                <w:rFonts w:hint="eastAsia" w:ascii="Times New Roman" w:hAnsi="Times New Roman" w:eastAsia="宋体"/>
                <w:bCs/>
                <w:color w:val="auto"/>
                <w:kern w:val="0"/>
                <w:sz w:val="21"/>
                <w:szCs w:val="21"/>
                <w:highlight w:val="none"/>
                <w:u w:val="single"/>
              </w:rPr>
              <w:t>1</w:t>
            </w:r>
            <w:r>
              <w:rPr>
                <w:rFonts w:hint="eastAsia"/>
                <w:bCs/>
                <w:color w:val="auto"/>
                <w:kern w:val="0"/>
                <w:sz w:val="21"/>
                <w:szCs w:val="21"/>
                <w:highlight w:val="none"/>
                <w:u w:val="single"/>
                <w:lang w:val="en-US" w:eastAsia="zh-CN"/>
              </w:rPr>
              <w:t>5</w:t>
            </w:r>
          </w:p>
        </w:tc>
        <w:tc>
          <w:tcPr>
            <w:tcW w:w="1494" w:type="dxa"/>
            <w:noWrap w:val="0"/>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输送带</w:t>
            </w:r>
          </w:p>
        </w:tc>
        <w:tc>
          <w:tcPr>
            <w:tcW w:w="2909" w:type="dxa"/>
            <w:noWrap w:val="0"/>
            <w:vAlign w:val="center"/>
          </w:tcPr>
          <w:p>
            <w:pPr>
              <w:pStyle w:val="69"/>
              <w:snapToGrid w:val="0"/>
              <w:spacing w:line="240" w:lineRule="auto"/>
              <w:ind w:firstLine="0" w:firstLineChars="0"/>
              <w:jc w:val="center"/>
              <w:rPr>
                <w:rFonts w:hint="default" w:ascii="Times New Roman" w:hAnsi="Times New Roman" w:eastAsia="宋体"/>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50m</w:t>
            </w:r>
          </w:p>
        </w:tc>
        <w:tc>
          <w:tcPr>
            <w:tcW w:w="712" w:type="dxa"/>
            <w:noWrap w:val="0"/>
            <w:vAlign w:val="center"/>
          </w:tcPr>
          <w:p>
            <w:pPr>
              <w:widowControl/>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lang w:val="en-US" w:eastAsia="zh-CN"/>
              </w:rPr>
            </w:pPr>
            <w:r>
              <w:rPr>
                <w:rFonts w:hint="eastAsia" w:cs="Times New Roman"/>
                <w:bCs/>
                <w:color w:val="auto"/>
                <w:kern w:val="0"/>
                <w:sz w:val="21"/>
                <w:highlight w:val="none"/>
                <w:u w:val="single"/>
                <w:lang w:val="en-US" w:eastAsia="zh-CN"/>
              </w:rPr>
              <w:t>条</w:t>
            </w:r>
          </w:p>
        </w:tc>
        <w:tc>
          <w:tcPr>
            <w:tcW w:w="773" w:type="dxa"/>
            <w:noWrap w:val="0"/>
            <w:vAlign w:val="center"/>
          </w:tcPr>
          <w:p>
            <w:pPr>
              <w:widowControl/>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lang w:val="en-US" w:eastAsia="zh-CN"/>
              </w:rPr>
            </w:pPr>
            <w:r>
              <w:rPr>
                <w:rFonts w:hint="eastAsia" w:cs="Times New Roman"/>
                <w:bCs/>
                <w:color w:val="auto"/>
                <w:kern w:val="0"/>
                <w:sz w:val="21"/>
                <w:highlight w:val="none"/>
                <w:u w:val="single"/>
                <w:lang w:val="en-US" w:eastAsia="zh-CN"/>
              </w:rPr>
              <w:t>4</w:t>
            </w:r>
          </w:p>
        </w:tc>
        <w:tc>
          <w:tcPr>
            <w:tcW w:w="247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color w:val="auto"/>
                <w:sz w:val="21"/>
                <w:szCs w:val="21"/>
                <w:highlight w:val="none"/>
                <w:u w:val="single"/>
              </w:rPr>
            </w:pPr>
            <w:r>
              <w:rPr>
                <w:rFonts w:hint="eastAsia" w:ascii="Times New Roman" w:hAnsi="Times New Roman" w:eastAsia="宋体"/>
                <w:bCs/>
                <w:color w:val="auto"/>
                <w:kern w:val="0"/>
                <w:sz w:val="21"/>
                <w:szCs w:val="21"/>
                <w:highlight w:val="none"/>
                <w:u w:val="single"/>
              </w:rPr>
              <w:t>1</w:t>
            </w:r>
            <w:r>
              <w:rPr>
                <w:rFonts w:hint="eastAsia"/>
                <w:bCs/>
                <w:color w:val="auto"/>
                <w:kern w:val="0"/>
                <w:sz w:val="21"/>
                <w:szCs w:val="21"/>
                <w:highlight w:val="none"/>
                <w:u w:val="single"/>
                <w:lang w:val="en-US" w:eastAsia="zh-CN"/>
              </w:rPr>
              <w:t>6</w:t>
            </w:r>
          </w:p>
        </w:tc>
        <w:tc>
          <w:tcPr>
            <w:tcW w:w="1494" w:type="dxa"/>
            <w:noWrap w:val="0"/>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bCs/>
                <w:color w:val="auto"/>
                <w:kern w:val="0"/>
                <w:sz w:val="21"/>
                <w:szCs w:val="21"/>
                <w:highlight w:val="none"/>
                <w:u w:val="single"/>
                <w:lang w:val="en-US" w:eastAsia="zh-CN"/>
              </w:rPr>
              <w:t>输送带</w:t>
            </w:r>
          </w:p>
        </w:tc>
        <w:tc>
          <w:tcPr>
            <w:tcW w:w="2909" w:type="dxa"/>
            <w:noWrap w:val="0"/>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bCs/>
                <w:color w:val="auto"/>
                <w:kern w:val="0"/>
                <w:sz w:val="21"/>
                <w:szCs w:val="21"/>
                <w:highlight w:val="none"/>
                <w:u w:val="single"/>
                <w:lang w:val="en-US" w:eastAsia="zh-CN"/>
              </w:rPr>
              <w:t>40m</w:t>
            </w:r>
          </w:p>
        </w:tc>
        <w:tc>
          <w:tcPr>
            <w:tcW w:w="712" w:type="dxa"/>
            <w:noWrap w:val="0"/>
            <w:vAlign w:val="center"/>
          </w:tcPr>
          <w:p>
            <w:pPr>
              <w:widowControl/>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rPr>
            </w:pPr>
            <w:r>
              <w:rPr>
                <w:rFonts w:hint="eastAsia" w:cs="Times New Roman"/>
                <w:bCs/>
                <w:color w:val="auto"/>
                <w:kern w:val="0"/>
                <w:sz w:val="21"/>
                <w:highlight w:val="none"/>
                <w:u w:val="single"/>
                <w:lang w:val="en-US" w:eastAsia="zh-CN"/>
              </w:rPr>
              <w:t>条</w:t>
            </w:r>
          </w:p>
        </w:tc>
        <w:tc>
          <w:tcPr>
            <w:tcW w:w="773" w:type="dxa"/>
            <w:noWrap w:val="0"/>
            <w:vAlign w:val="center"/>
          </w:tcPr>
          <w:p>
            <w:pPr>
              <w:widowControl/>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rPr>
            </w:pPr>
            <w:r>
              <w:rPr>
                <w:rFonts w:hint="eastAsia" w:cs="Times New Roman"/>
                <w:bCs/>
                <w:color w:val="auto"/>
                <w:kern w:val="0"/>
                <w:sz w:val="21"/>
                <w:highlight w:val="none"/>
                <w:u w:val="single"/>
                <w:lang w:val="en-US" w:eastAsia="zh-CN"/>
              </w:rPr>
              <w:t>3</w:t>
            </w:r>
          </w:p>
        </w:tc>
        <w:tc>
          <w:tcPr>
            <w:tcW w:w="247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color w:val="auto"/>
                <w:sz w:val="21"/>
                <w:szCs w:val="21"/>
                <w:highlight w:val="none"/>
                <w:u w:val="single"/>
              </w:rPr>
            </w:pPr>
            <w:r>
              <w:rPr>
                <w:rFonts w:hint="eastAsia" w:ascii="Times New Roman" w:hAnsi="Times New Roman" w:eastAsia="宋体"/>
                <w:bCs/>
                <w:color w:val="auto"/>
                <w:kern w:val="0"/>
                <w:sz w:val="21"/>
                <w:szCs w:val="21"/>
                <w:highlight w:val="none"/>
                <w:u w:val="single"/>
              </w:rPr>
              <w:t>17</w:t>
            </w:r>
          </w:p>
        </w:tc>
        <w:tc>
          <w:tcPr>
            <w:tcW w:w="1494" w:type="dxa"/>
            <w:noWrap w:val="0"/>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bCs/>
                <w:color w:val="auto"/>
                <w:kern w:val="0"/>
                <w:sz w:val="21"/>
                <w:szCs w:val="21"/>
                <w:highlight w:val="none"/>
                <w:u w:val="single"/>
                <w:lang w:val="en-US" w:eastAsia="zh-CN"/>
              </w:rPr>
              <w:t>输送带</w:t>
            </w:r>
          </w:p>
        </w:tc>
        <w:tc>
          <w:tcPr>
            <w:tcW w:w="2909" w:type="dxa"/>
            <w:noWrap w:val="0"/>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bCs/>
                <w:color w:val="auto"/>
                <w:kern w:val="0"/>
                <w:sz w:val="21"/>
                <w:szCs w:val="21"/>
                <w:highlight w:val="none"/>
                <w:u w:val="single"/>
                <w:lang w:val="en-US" w:eastAsia="zh-CN"/>
              </w:rPr>
              <w:t>35m</w:t>
            </w:r>
          </w:p>
        </w:tc>
        <w:tc>
          <w:tcPr>
            <w:tcW w:w="712" w:type="dxa"/>
            <w:noWrap w:val="0"/>
            <w:vAlign w:val="center"/>
          </w:tcPr>
          <w:p>
            <w:pPr>
              <w:widowControl/>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rPr>
            </w:pPr>
            <w:r>
              <w:rPr>
                <w:rFonts w:hint="eastAsia" w:cs="Times New Roman"/>
                <w:bCs/>
                <w:color w:val="auto"/>
                <w:kern w:val="0"/>
                <w:sz w:val="21"/>
                <w:highlight w:val="none"/>
                <w:u w:val="single"/>
                <w:lang w:val="en-US" w:eastAsia="zh-CN"/>
              </w:rPr>
              <w:t>条</w:t>
            </w:r>
          </w:p>
        </w:tc>
        <w:tc>
          <w:tcPr>
            <w:tcW w:w="773" w:type="dxa"/>
            <w:noWrap w:val="0"/>
            <w:vAlign w:val="center"/>
          </w:tcPr>
          <w:p>
            <w:pPr>
              <w:widowControl/>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rPr>
            </w:pPr>
            <w:r>
              <w:rPr>
                <w:rFonts w:hint="eastAsia" w:cs="Times New Roman"/>
                <w:bCs/>
                <w:color w:val="auto"/>
                <w:kern w:val="0"/>
                <w:sz w:val="21"/>
                <w:highlight w:val="none"/>
                <w:u w:val="single"/>
                <w:lang w:val="en-US" w:eastAsia="zh-CN"/>
              </w:rPr>
              <w:t>3</w:t>
            </w:r>
          </w:p>
        </w:tc>
        <w:tc>
          <w:tcPr>
            <w:tcW w:w="247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pStyle w:val="69"/>
              <w:adjustRightInd w:val="0"/>
              <w:snapToGrid w:val="0"/>
              <w:spacing w:line="240" w:lineRule="auto"/>
              <w:ind w:firstLine="0" w:firstLineChars="0"/>
              <w:jc w:val="center"/>
              <w:rPr>
                <w:rFonts w:hint="default" w:ascii="Times New Roman" w:hAnsi="Times New Roman" w:eastAsia="宋体"/>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18</w:t>
            </w:r>
          </w:p>
        </w:tc>
        <w:tc>
          <w:tcPr>
            <w:tcW w:w="1494" w:type="dxa"/>
            <w:noWrap w:val="0"/>
            <w:vAlign w:val="center"/>
          </w:tcPr>
          <w:p>
            <w:pPr>
              <w:pStyle w:val="69"/>
              <w:snapToGrid w:val="0"/>
              <w:spacing w:line="240" w:lineRule="auto"/>
              <w:ind w:firstLine="0" w:firstLineChars="0"/>
              <w:jc w:val="center"/>
              <w:rPr>
                <w:rFonts w:hint="eastAsia"/>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输送带</w:t>
            </w:r>
          </w:p>
        </w:tc>
        <w:tc>
          <w:tcPr>
            <w:tcW w:w="2909" w:type="dxa"/>
            <w:noWrap w:val="0"/>
            <w:vAlign w:val="center"/>
          </w:tcPr>
          <w:p>
            <w:pPr>
              <w:pStyle w:val="69"/>
              <w:snapToGrid w:val="0"/>
              <w:spacing w:line="240" w:lineRule="auto"/>
              <w:ind w:firstLine="0" w:firstLineChars="0"/>
              <w:jc w:val="center"/>
              <w:rPr>
                <w:rFonts w:hint="eastAsia"/>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30m</w:t>
            </w:r>
          </w:p>
        </w:tc>
        <w:tc>
          <w:tcPr>
            <w:tcW w:w="712" w:type="dxa"/>
            <w:noWrap w:val="0"/>
            <w:vAlign w:val="center"/>
          </w:tcPr>
          <w:p>
            <w:pPr>
              <w:widowControl/>
              <w:snapToGrid w:val="0"/>
              <w:spacing w:line="240" w:lineRule="auto"/>
              <w:ind w:firstLine="0" w:firstLineChars="0"/>
              <w:jc w:val="center"/>
              <w:rPr>
                <w:rFonts w:hint="eastAsia" w:cs="Times New Roman"/>
                <w:bCs/>
                <w:color w:val="auto"/>
                <w:kern w:val="0"/>
                <w:sz w:val="21"/>
                <w:highlight w:val="none"/>
                <w:u w:val="single"/>
                <w:lang w:val="en-US" w:eastAsia="zh-CN"/>
              </w:rPr>
            </w:pPr>
            <w:r>
              <w:rPr>
                <w:rFonts w:hint="eastAsia" w:cs="Times New Roman"/>
                <w:bCs/>
                <w:color w:val="auto"/>
                <w:kern w:val="0"/>
                <w:sz w:val="21"/>
                <w:highlight w:val="none"/>
                <w:u w:val="single"/>
                <w:lang w:val="en-US" w:eastAsia="zh-CN"/>
              </w:rPr>
              <w:t>条</w:t>
            </w:r>
          </w:p>
        </w:tc>
        <w:tc>
          <w:tcPr>
            <w:tcW w:w="773" w:type="dxa"/>
            <w:noWrap w:val="0"/>
            <w:vAlign w:val="center"/>
          </w:tcPr>
          <w:p>
            <w:pPr>
              <w:widowControl/>
              <w:snapToGrid w:val="0"/>
              <w:spacing w:line="240" w:lineRule="auto"/>
              <w:ind w:firstLine="0" w:firstLineChars="0"/>
              <w:jc w:val="center"/>
              <w:rPr>
                <w:rFonts w:hint="eastAsia" w:cs="Times New Roman"/>
                <w:bCs/>
                <w:color w:val="auto"/>
                <w:kern w:val="0"/>
                <w:sz w:val="21"/>
                <w:highlight w:val="none"/>
                <w:u w:val="single"/>
                <w:lang w:val="en-US" w:eastAsia="zh-CN"/>
              </w:rPr>
            </w:pPr>
            <w:r>
              <w:rPr>
                <w:rFonts w:hint="eastAsia" w:cs="Times New Roman"/>
                <w:bCs/>
                <w:color w:val="auto"/>
                <w:kern w:val="0"/>
                <w:sz w:val="21"/>
                <w:highlight w:val="none"/>
                <w:u w:val="single"/>
                <w:lang w:val="en-US" w:eastAsia="zh-CN"/>
              </w:rPr>
              <w:t>1</w:t>
            </w:r>
          </w:p>
        </w:tc>
        <w:tc>
          <w:tcPr>
            <w:tcW w:w="247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pStyle w:val="69"/>
              <w:adjustRightInd w:val="0"/>
              <w:snapToGrid w:val="0"/>
              <w:spacing w:line="240" w:lineRule="auto"/>
              <w:ind w:firstLine="0" w:firstLineChars="0"/>
              <w:jc w:val="center"/>
              <w:rPr>
                <w:rFonts w:hint="eastAsia"/>
                <w:bCs/>
                <w:color w:val="auto"/>
                <w:kern w:val="0"/>
                <w:sz w:val="21"/>
                <w:szCs w:val="21"/>
                <w:highlight w:val="none"/>
                <w:u w:val="single"/>
                <w:lang w:val="en-US" w:eastAsia="zh-CN"/>
              </w:rPr>
            </w:pPr>
            <w:r>
              <w:rPr>
                <w:rFonts w:hint="eastAsia" w:ascii="Times New Roman" w:hAnsi="Times New Roman" w:eastAsia="宋体"/>
                <w:bCs/>
                <w:color w:val="auto"/>
                <w:kern w:val="0"/>
                <w:sz w:val="21"/>
                <w:szCs w:val="21"/>
                <w:highlight w:val="none"/>
                <w:u w:val="single"/>
              </w:rPr>
              <w:t>19</w:t>
            </w:r>
          </w:p>
        </w:tc>
        <w:tc>
          <w:tcPr>
            <w:tcW w:w="1494" w:type="dxa"/>
            <w:noWrap w:val="0"/>
            <w:vAlign w:val="center"/>
          </w:tcPr>
          <w:p>
            <w:pPr>
              <w:pStyle w:val="69"/>
              <w:snapToGrid w:val="0"/>
              <w:spacing w:line="240" w:lineRule="auto"/>
              <w:ind w:firstLine="0" w:firstLineChars="0"/>
              <w:jc w:val="center"/>
              <w:rPr>
                <w:rFonts w:hint="eastAsia"/>
                <w:b/>
                <w:bCs w:val="0"/>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输送带</w:t>
            </w:r>
          </w:p>
        </w:tc>
        <w:tc>
          <w:tcPr>
            <w:tcW w:w="2909" w:type="dxa"/>
            <w:noWrap w:val="0"/>
            <w:vAlign w:val="center"/>
          </w:tcPr>
          <w:p>
            <w:pPr>
              <w:pStyle w:val="69"/>
              <w:snapToGrid w:val="0"/>
              <w:spacing w:line="240" w:lineRule="auto"/>
              <w:ind w:firstLine="0" w:firstLineChars="0"/>
              <w:jc w:val="center"/>
              <w:rPr>
                <w:rFonts w:hint="eastAsia"/>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25m</w:t>
            </w:r>
          </w:p>
        </w:tc>
        <w:tc>
          <w:tcPr>
            <w:tcW w:w="712" w:type="dxa"/>
            <w:noWrap w:val="0"/>
            <w:vAlign w:val="center"/>
          </w:tcPr>
          <w:p>
            <w:pPr>
              <w:widowControl/>
              <w:snapToGrid w:val="0"/>
              <w:spacing w:line="240" w:lineRule="auto"/>
              <w:ind w:firstLine="0" w:firstLineChars="0"/>
              <w:jc w:val="center"/>
              <w:rPr>
                <w:rFonts w:hint="eastAsia" w:cs="Times New Roman"/>
                <w:bCs/>
                <w:color w:val="auto"/>
                <w:kern w:val="0"/>
                <w:sz w:val="21"/>
                <w:highlight w:val="none"/>
                <w:u w:val="single"/>
                <w:lang w:val="en-US" w:eastAsia="zh-CN"/>
              </w:rPr>
            </w:pPr>
            <w:r>
              <w:rPr>
                <w:rFonts w:hint="eastAsia" w:cs="Times New Roman"/>
                <w:bCs/>
                <w:color w:val="auto"/>
                <w:kern w:val="0"/>
                <w:sz w:val="21"/>
                <w:highlight w:val="none"/>
                <w:u w:val="single"/>
                <w:lang w:val="en-US" w:eastAsia="zh-CN"/>
              </w:rPr>
              <w:t>条</w:t>
            </w:r>
          </w:p>
        </w:tc>
        <w:tc>
          <w:tcPr>
            <w:tcW w:w="773" w:type="dxa"/>
            <w:noWrap w:val="0"/>
            <w:vAlign w:val="center"/>
          </w:tcPr>
          <w:p>
            <w:pPr>
              <w:widowControl/>
              <w:snapToGrid w:val="0"/>
              <w:spacing w:line="240" w:lineRule="auto"/>
              <w:ind w:firstLine="0" w:firstLineChars="0"/>
              <w:jc w:val="center"/>
              <w:rPr>
                <w:rFonts w:hint="eastAsia" w:cs="Times New Roman"/>
                <w:bCs/>
                <w:color w:val="auto"/>
                <w:kern w:val="0"/>
                <w:sz w:val="21"/>
                <w:highlight w:val="none"/>
                <w:u w:val="single"/>
                <w:lang w:val="en-US" w:eastAsia="zh-CN"/>
              </w:rPr>
            </w:pPr>
            <w:r>
              <w:rPr>
                <w:rFonts w:hint="eastAsia" w:cs="Times New Roman"/>
                <w:bCs/>
                <w:color w:val="auto"/>
                <w:kern w:val="0"/>
                <w:sz w:val="21"/>
                <w:highlight w:val="none"/>
                <w:u w:val="single"/>
                <w:lang w:val="en-US" w:eastAsia="zh-CN"/>
              </w:rPr>
              <w:t>1</w:t>
            </w:r>
          </w:p>
        </w:tc>
        <w:tc>
          <w:tcPr>
            <w:tcW w:w="247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pStyle w:val="69"/>
              <w:adjustRightInd w:val="0"/>
              <w:snapToGrid w:val="0"/>
              <w:spacing w:line="240" w:lineRule="auto"/>
              <w:ind w:firstLine="0" w:firstLineChars="0"/>
              <w:jc w:val="center"/>
              <w:rPr>
                <w:rFonts w:hint="eastAsia"/>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20</w:t>
            </w:r>
          </w:p>
        </w:tc>
        <w:tc>
          <w:tcPr>
            <w:tcW w:w="1494" w:type="dxa"/>
            <w:noWrap w:val="0"/>
            <w:vAlign w:val="center"/>
          </w:tcPr>
          <w:p>
            <w:pPr>
              <w:pStyle w:val="69"/>
              <w:snapToGrid w:val="0"/>
              <w:spacing w:line="240" w:lineRule="auto"/>
              <w:ind w:firstLine="0" w:firstLineChars="0"/>
              <w:jc w:val="center"/>
              <w:rPr>
                <w:rFonts w:hint="eastAsia"/>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输送带</w:t>
            </w:r>
          </w:p>
        </w:tc>
        <w:tc>
          <w:tcPr>
            <w:tcW w:w="2909" w:type="dxa"/>
            <w:noWrap w:val="0"/>
            <w:vAlign w:val="center"/>
          </w:tcPr>
          <w:p>
            <w:pPr>
              <w:pStyle w:val="69"/>
              <w:snapToGrid w:val="0"/>
              <w:spacing w:line="240" w:lineRule="auto"/>
              <w:ind w:firstLine="0" w:firstLineChars="0"/>
              <w:jc w:val="center"/>
              <w:rPr>
                <w:rFonts w:hint="eastAsia"/>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10m</w:t>
            </w:r>
          </w:p>
        </w:tc>
        <w:tc>
          <w:tcPr>
            <w:tcW w:w="712" w:type="dxa"/>
            <w:noWrap w:val="0"/>
            <w:vAlign w:val="center"/>
          </w:tcPr>
          <w:p>
            <w:pPr>
              <w:widowControl/>
              <w:snapToGrid w:val="0"/>
              <w:spacing w:line="240" w:lineRule="auto"/>
              <w:ind w:firstLine="0" w:firstLineChars="0"/>
              <w:jc w:val="center"/>
              <w:rPr>
                <w:rFonts w:hint="eastAsia" w:cs="Times New Roman"/>
                <w:bCs/>
                <w:color w:val="auto"/>
                <w:kern w:val="0"/>
                <w:sz w:val="21"/>
                <w:highlight w:val="none"/>
                <w:u w:val="single"/>
                <w:lang w:val="en-US" w:eastAsia="zh-CN"/>
              </w:rPr>
            </w:pPr>
            <w:r>
              <w:rPr>
                <w:rFonts w:hint="eastAsia" w:cs="Times New Roman"/>
                <w:bCs/>
                <w:color w:val="auto"/>
                <w:kern w:val="0"/>
                <w:sz w:val="21"/>
                <w:highlight w:val="none"/>
                <w:u w:val="single"/>
                <w:lang w:val="en-US" w:eastAsia="zh-CN"/>
              </w:rPr>
              <w:t>条</w:t>
            </w:r>
          </w:p>
        </w:tc>
        <w:tc>
          <w:tcPr>
            <w:tcW w:w="773" w:type="dxa"/>
            <w:noWrap w:val="0"/>
            <w:vAlign w:val="center"/>
          </w:tcPr>
          <w:p>
            <w:pPr>
              <w:widowControl/>
              <w:snapToGrid w:val="0"/>
              <w:spacing w:line="240" w:lineRule="auto"/>
              <w:ind w:firstLine="0" w:firstLineChars="0"/>
              <w:jc w:val="center"/>
              <w:rPr>
                <w:rFonts w:hint="eastAsia" w:cs="Times New Roman"/>
                <w:bCs/>
                <w:color w:val="auto"/>
                <w:kern w:val="0"/>
                <w:sz w:val="21"/>
                <w:highlight w:val="none"/>
                <w:u w:val="single"/>
                <w:lang w:val="en-US" w:eastAsia="zh-CN"/>
              </w:rPr>
            </w:pPr>
            <w:r>
              <w:rPr>
                <w:rFonts w:hint="eastAsia" w:cs="Times New Roman"/>
                <w:bCs/>
                <w:color w:val="auto"/>
                <w:kern w:val="0"/>
                <w:sz w:val="21"/>
                <w:highlight w:val="none"/>
                <w:u w:val="single"/>
                <w:lang w:val="en-US" w:eastAsia="zh-CN"/>
              </w:rPr>
              <w:t>2</w:t>
            </w:r>
          </w:p>
        </w:tc>
        <w:tc>
          <w:tcPr>
            <w:tcW w:w="247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9071" w:type="dxa"/>
            <w:gridSpan w:val="6"/>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
                <w:bCs w:val="0"/>
                <w:color w:val="auto"/>
                <w:kern w:val="0"/>
                <w:sz w:val="21"/>
                <w:szCs w:val="21"/>
                <w:highlight w:val="none"/>
                <w:u w:val="single"/>
                <w:lang w:eastAsia="zh-CN"/>
              </w:rPr>
              <w:t>破碎场②</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lang w:eastAsia="zh-CN"/>
              </w:rPr>
            </w:pPr>
            <w:r>
              <w:rPr>
                <w:rFonts w:hint="eastAsia"/>
                <w:bCs/>
                <w:color w:val="auto"/>
                <w:kern w:val="0"/>
                <w:sz w:val="21"/>
                <w:szCs w:val="21"/>
                <w:highlight w:val="none"/>
                <w:u w:val="single"/>
                <w:lang w:val="en-US" w:eastAsia="zh-CN"/>
              </w:rPr>
              <w:t>21</w:t>
            </w:r>
          </w:p>
        </w:tc>
        <w:tc>
          <w:tcPr>
            <w:tcW w:w="1494"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ascii="Times New Roman" w:hAnsi="Times New Roman" w:eastAsia="宋体"/>
                <w:color w:val="auto"/>
                <w:sz w:val="21"/>
                <w:szCs w:val="21"/>
                <w:highlight w:val="none"/>
                <w:u w:val="single"/>
              </w:rPr>
              <w:t>振动给料机</w:t>
            </w:r>
          </w:p>
        </w:tc>
        <w:tc>
          <w:tcPr>
            <w:tcW w:w="2909"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ZG1300</w:t>
            </w:r>
            <w:r>
              <w:rPr>
                <w:rFonts w:ascii="Times New Roman" w:hAnsi="Times New Roman" w:eastAsia="宋体"/>
                <w:bCs/>
                <w:color w:val="auto"/>
                <w:kern w:val="0"/>
                <w:sz w:val="21"/>
                <w:szCs w:val="21"/>
                <w:highlight w:val="none"/>
                <w:u w:val="single"/>
              </w:rPr>
              <w:t>×</w:t>
            </w:r>
            <w:r>
              <w:rPr>
                <w:rFonts w:hint="eastAsia" w:ascii="Times New Roman" w:hAnsi="Times New Roman" w:eastAsia="宋体"/>
                <w:bCs/>
                <w:color w:val="auto"/>
                <w:kern w:val="0"/>
                <w:sz w:val="21"/>
                <w:szCs w:val="21"/>
                <w:highlight w:val="none"/>
                <w:u w:val="single"/>
              </w:rPr>
              <w:t>6000，150t/h</w:t>
            </w:r>
          </w:p>
        </w:tc>
        <w:tc>
          <w:tcPr>
            <w:tcW w:w="71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rPr>
            </w:pPr>
            <w:r>
              <w:rPr>
                <w:rFonts w:ascii="Times New Roman" w:hAnsi="Times New Roman" w:eastAsia="宋体"/>
                <w:bCs/>
                <w:color w:val="auto"/>
                <w:kern w:val="0"/>
                <w:sz w:val="21"/>
                <w:szCs w:val="21"/>
                <w:highlight w:val="none"/>
                <w:u w:val="single"/>
              </w:rPr>
              <w:t>台</w:t>
            </w:r>
          </w:p>
        </w:tc>
        <w:tc>
          <w:tcPr>
            <w:tcW w:w="773"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lang w:eastAsia="zh-CN"/>
              </w:rPr>
            </w:pPr>
            <w:r>
              <w:rPr>
                <w:rFonts w:hint="eastAsia"/>
                <w:color w:val="auto"/>
                <w:sz w:val="21"/>
                <w:szCs w:val="21"/>
                <w:highlight w:val="none"/>
                <w:u w:val="single"/>
                <w:lang w:val="en-US" w:eastAsia="zh-CN"/>
              </w:rPr>
              <w:t>1</w:t>
            </w:r>
          </w:p>
        </w:tc>
        <w:tc>
          <w:tcPr>
            <w:tcW w:w="247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bCs/>
                <w:color w:val="auto"/>
                <w:kern w:val="0"/>
                <w:sz w:val="21"/>
                <w:szCs w:val="21"/>
                <w:highlight w:val="none"/>
                <w:u w:val="single"/>
                <w:lang w:val="en-US" w:eastAsia="zh-CN"/>
              </w:rPr>
              <w:t>22</w:t>
            </w:r>
          </w:p>
        </w:tc>
        <w:tc>
          <w:tcPr>
            <w:tcW w:w="1494"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颚式</w:t>
            </w:r>
            <w:r>
              <w:rPr>
                <w:rFonts w:ascii="Times New Roman" w:hAnsi="Times New Roman" w:eastAsia="宋体"/>
                <w:bCs/>
                <w:color w:val="auto"/>
                <w:kern w:val="0"/>
                <w:sz w:val="21"/>
                <w:szCs w:val="21"/>
                <w:highlight w:val="none"/>
                <w:u w:val="single"/>
              </w:rPr>
              <w:t>破碎机</w:t>
            </w:r>
          </w:p>
        </w:tc>
        <w:tc>
          <w:tcPr>
            <w:tcW w:w="2909"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PE900</w:t>
            </w:r>
            <w:r>
              <w:rPr>
                <w:rFonts w:ascii="Times New Roman" w:hAnsi="Times New Roman" w:eastAsia="宋体"/>
                <w:bCs/>
                <w:color w:val="auto"/>
                <w:kern w:val="0"/>
                <w:sz w:val="21"/>
                <w:szCs w:val="21"/>
                <w:highlight w:val="none"/>
                <w:u w:val="single"/>
              </w:rPr>
              <w:t>×</w:t>
            </w:r>
            <w:r>
              <w:rPr>
                <w:rFonts w:hint="eastAsia" w:ascii="Times New Roman" w:hAnsi="Times New Roman" w:eastAsia="宋体"/>
                <w:bCs/>
                <w:color w:val="auto"/>
                <w:kern w:val="0"/>
                <w:sz w:val="21"/>
                <w:szCs w:val="21"/>
                <w:highlight w:val="none"/>
                <w:u w:val="single"/>
              </w:rPr>
              <w:t>1200，120t/h</w:t>
            </w:r>
          </w:p>
        </w:tc>
        <w:tc>
          <w:tcPr>
            <w:tcW w:w="71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rPr>
            </w:pPr>
            <w:r>
              <w:rPr>
                <w:rFonts w:ascii="Times New Roman" w:hAnsi="Times New Roman" w:eastAsia="宋体"/>
                <w:bCs/>
                <w:color w:val="auto"/>
                <w:kern w:val="0"/>
                <w:sz w:val="21"/>
                <w:szCs w:val="21"/>
                <w:highlight w:val="none"/>
                <w:u w:val="single"/>
              </w:rPr>
              <w:t>台</w:t>
            </w:r>
          </w:p>
        </w:tc>
        <w:tc>
          <w:tcPr>
            <w:tcW w:w="773"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lang w:eastAsia="zh-CN"/>
              </w:rPr>
            </w:pPr>
            <w:r>
              <w:rPr>
                <w:rFonts w:hint="eastAsia"/>
                <w:color w:val="auto"/>
                <w:sz w:val="21"/>
                <w:szCs w:val="21"/>
                <w:highlight w:val="none"/>
                <w:u w:val="single"/>
                <w:lang w:val="en-US" w:eastAsia="zh-CN"/>
              </w:rPr>
              <w:t>1</w:t>
            </w:r>
          </w:p>
        </w:tc>
        <w:tc>
          <w:tcPr>
            <w:tcW w:w="247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bCs/>
                <w:color w:val="auto"/>
                <w:kern w:val="0"/>
                <w:sz w:val="21"/>
                <w:szCs w:val="21"/>
                <w:highlight w:val="none"/>
                <w:u w:val="single"/>
                <w:lang w:val="en-US" w:eastAsia="zh-CN"/>
              </w:rPr>
              <w:t>23</w:t>
            </w:r>
          </w:p>
        </w:tc>
        <w:tc>
          <w:tcPr>
            <w:tcW w:w="1494"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反击</w:t>
            </w:r>
            <w:r>
              <w:rPr>
                <w:rFonts w:ascii="Times New Roman" w:hAnsi="Times New Roman" w:eastAsia="宋体"/>
                <w:bCs/>
                <w:color w:val="auto"/>
                <w:kern w:val="0"/>
                <w:sz w:val="21"/>
                <w:szCs w:val="21"/>
                <w:highlight w:val="none"/>
                <w:u w:val="single"/>
              </w:rPr>
              <w:t>破碎机</w:t>
            </w:r>
          </w:p>
        </w:tc>
        <w:tc>
          <w:tcPr>
            <w:tcW w:w="2909"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PFW，200</w:t>
            </w:r>
            <w:r>
              <w:rPr>
                <w:rFonts w:ascii="Times New Roman" w:hAnsi="Times New Roman" w:eastAsia="宋体"/>
                <w:bCs/>
                <w:color w:val="auto"/>
                <w:kern w:val="0"/>
                <w:sz w:val="21"/>
                <w:szCs w:val="21"/>
                <w:highlight w:val="none"/>
                <w:u w:val="single"/>
              </w:rPr>
              <w:t>~</w:t>
            </w:r>
            <w:r>
              <w:rPr>
                <w:rFonts w:hint="eastAsia" w:ascii="Times New Roman" w:hAnsi="Times New Roman" w:eastAsia="宋体"/>
                <w:bCs/>
                <w:color w:val="auto"/>
                <w:kern w:val="0"/>
                <w:sz w:val="21"/>
                <w:szCs w:val="21"/>
                <w:highlight w:val="none"/>
                <w:u w:val="single"/>
              </w:rPr>
              <w:t>300t/h</w:t>
            </w:r>
          </w:p>
        </w:tc>
        <w:tc>
          <w:tcPr>
            <w:tcW w:w="71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rPr>
            </w:pPr>
            <w:r>
              <w:rPr>
                <w:rFonts w:ascii="Times New Roman" w:hAnsi="Times New Roman" w:eastAsia="宋体"/>
                <w:bCs/>
                <w:color w:val="auto"/>
                <w:kern w:val="0"/>
                <w:sz w:val="21"/>
                <w:szCs w:val="21"/>
                <w:highlight w:val="none"/>
                <w:u w:val="single"/>
              </w:rPr>
              <w:t>台</w:t>
            </w:r>
          </w:p>
        </w:tc>
        <w:tc>
          <w:tcPr>
            <w:tcW w:w="773"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rPr>
            </w:pPr>
            <w:r>
              <w:rPr>
                <w:rFonts w:hint="eastAsia" w:ascii="Times New Roman" w:hAnsi="Times New Roman" w:eastAsia="宋体"/>
                <w:color w:val="auto"/>
                <w:sz w:val="21"/>
                <w:szCs w:val="21"/>
                <w:highlight w:val="none"/>
                <w:u w:val="single"/>
              </w:rPr>
              <w:t>2</w:t>
            </w:r>
          </w:p>
        </w:tc>
        <w:tc>
          <w:tcPr>
            <w:tcW w:w="2472" w:type="dxa"/>
            <w:noWrap w:val="0"/>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vAlign w:val="center"/>
          </w:tcPr>
          <w:p>
            <w:pPr>
              <w:pStyle w:val="69"/>
              <w:adjustRightInd w:val="0"/>
              <w:snapToGrid w:val="0"/>
              <w:spacing w:line="240" w:lineRule="auto"/>
              <w:ind w:firstLine="0" w:firstLineChars="0"/>
              <w:jc w:val="center"/>
              <w:rPr>
                <w:rFonts w:hint="default" w:ascii="Times New Roman" w:hAnsi="Times New Roman" w:eastAsia="宋体"/>
                <w:bCs/>
                <w:color w:val="auto"/>
                <w:kern w:val="0"/>
                <w:sz w:val="21"/>
                <w:szCs w:val="21"/>
                <w:highlight w:val="none"/>
                <w:u w:val="single"/>
                <w:lang w:val="en-US" w:eastAsia="zh-CN"/>
              </w:rPr>
            </w:pPr>
            <w:bookmarkStart w:id="81" w:name="_Toc501376294"/>
            <w:bookmarkStart w:id="82" w:name="_Toc501458003"/>
            <w:r>
              <w:rPr>
                <w:rFonts w:hint="eastAsia"/>
                <w:bCs/>
                <w:color w:val="auto"/>
                <w:kern w:val="0"/>
                <w:sz w:val="21"/>
                <w:szCs w:val="21"/>
                <w:highlight w:val="none"/>
                <w:u w:val="single"/>
                <w:lang w:val="en-US" w:eastAsia="zh-CN"/>
              </w:rPr>
              <w:t>24</w:t>
            </w:r>
          </w:p>
        </w:tc>
        <w:tc>
          <w:tcPr>
            <w:tcW w:w="1494" w:type="dxa"/>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color w:val="auto"/>
                <w:sz w:val="21"/>
                <w:szCs w:val="21"/>
                <w:highlight w:val="none"/>
                <w:u w:val="single"/>
              </w:rPr>
              <w:t>圆锥机</w:t>
            </w:r>
          </w:p>
        </w:tc>
        <w:tc>
          <w:tcPr>
            <w:tcW w:w="2909" w:type="dxa"/>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HPC1750，120</w:t>
            </w:r>
            <w:r>
              <w:rPr>
                <w:rFonts w:ascii="Times New Roman" w:hAnsi="Times New Roman" w:eastAsia="宋体"/>
                <w:bCs/>
                <w:color w:val="auto"/>
                <w:kern w:val="0"/>
                <w:sz w:val="21"/>
                <w:szCs w:val="21"/>
                <w:highlight w:val="none"/>
                <w:u w:val="single"/>
              </w:rPr>
              <w:t>~</w:t>
            </w:r>
            <w:r>
              <w:rPr>
                <w:rFonts w:hint="eastAsia" w:ascii="Times New Roman" w:hAnsi="Times New Roman" w:eastAsia="宋体"/>
                <w:bCs/>
                <w:color w:val="auto"/>
                <w:kern w:val="0"/>
                <w:sz w:val="21"/>
                <w:szCs w:val="21"/>
                <w:highlight w:val="none"/>
                <w:u w:val="single"/>
              </w:rPr>
              <w:t>150t/h</w:t>
            </w:r>
          </w:p>
        </w:tc>
        <w:tc>
          <w:tcPr>
            <w:tcW w:w="712" w:type="dxa"/>
            <w:vAlign w:val="center"/>
          </w:tcPr>
          <w:p>
            <w:pPr>
              <w:pStyle w:val="69"/>
              <w:adjustRightInd w:val="0"/>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rPr>
            </w:pPr>
            <w:r>
              <w:rPr>
                <w:rFonts w:ascii="Times New Roman" w:hAnsi="Times New Roman" w:eastAsia="宋体"/>
                <w:bCs/>
                <w:color w:val="auto"/>
                <w:kern w:val="0"/>
                <w:sz w:val="21"/>
                <w:szCs w:val="21"/>
                <w:highlight w:val="none"/>
                <w:u w:val="single"/>
              </w:rPr>
              <w:t>台</w:t>
            </w:r>
          </w:p>
        </w:tc>
        <w:tc>
          <w:tcPr>
            <w:tcW w:w="773" w:type="dxa"/>
            <w:vAlign w:val="center"/>
          </w:tcPr>
          <w:p>
            <w:pPr>
              <w:pStyle w:val="69"/>
              <w:adjustRightInd w:val="0"/>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rPr>
            </w:pPr>
            <w:r>
              <w:rPr>
                <w:rFonts w:hint="eastAsia" w:ascii="Times New Roman" w:hAnsi="Times New Roman" w:eastAsia="宋体"/>
                <w:color w:val="auto"/>
                <w:sz w:val="21"/>
                <w:szCs w:val="21"/>
                <w:highlight w:val="none"/>
                <w:u w:val="single"/>
              </w:rPr>
              <w:t>1</w:t>
            </w:r>
          </w:p>
        </w:tc>
        <w:tc>
          <w:tcPr>
            <w:tcW w:w="2472" w:type="dxa"/>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vAlign w:val="center"/>
          </w:tcPr>
          <w:p>
            <w:pPr>
              <w:pStyle w:val="69"/>
              <w:adjustRightInd w:val="0"/>
              <w:snapToGrid w:val="0"/>
              <w:spacing w:line="240" w:lineRule="auto"/>
              <w:ind w:firstLine="0" w:firstLineChars="0"/>
              <w:jc w:val="center"/>
              <w:rPr>
                <w:rFonts w:hint="default" w:ascii="Times New Roman" w:hAnsi="Times New Roman" w:eastAsia="宋体"/>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25</w:t>
            </w:r>
          </w:p>
        </w:tc>
        <w:tc>
          <w:tcPr>
            <w:tcW w:w="1494" w:type="dxa"/>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振动筛</w:t>
            </w:r>
          </w:p>
        </w:tc>
        <w:tc>
          <w:tcPr>
            <w:tcW w:w="2909" w:type="dxa"/>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100</w:t>
            </w:r>
            <w:r>
              <w:rPr>
                <w:rFonts w:ascii="Times New Roman" w:hAnsi="Times New Roman" w:eastAsia="宋体"/>
                <w:bCs/>
                <w:color w:val="auto"/>
                <w:kern w:val="0"/>
                <w:sz w:val="21"/>
                <w:szCs w:val="21"/>
                <w:highlight w:val="none"/>
                <w:u w:val="single"/>
              </w:rPr>
              <w:t>~</w:t>
            </w:r>
            <w:r>
              <w:rPr>
                <w:rFonts w:hint="eastAsia" w:ascii="Times New Roman" w:hAnsi="Times New Roman" w:eastAsia="宋体"/>
                <w:bCs/>
                <w:color w:val="auto"/>
                <w:kern w:val="0"/>
                <w:sz w:val="21"/>
                <w:szCs w:val="21"/>
                <w:highlight w:val="none"/>
                <w:u w:val="single"/>
              </w:rPr>
              <w:t>120t/h</w:t>
            </w:r>
          </w:p>
        </w:tc>
        <w:tc>
          <w:tcPr>
            <w:tcW w:w="712" w:type="dxa"/>
            <w:vAlign w:val="center"/>
          </w:tcPr>
          <w:p>
            <w:pPr>
              <w:pStyle w:val="69"/>
              <w:adjustRightInd w:val="0"/>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rPr>
            </w:pPr>
            <w:r>
              <w:rPr>
                <w:rFonts w:ascii="Times New Roman" w:hAnsi="Times New Roman" w:eastAsia="宋体"/>
                <w:bCs/>
                <w:color w:val="auto"/>
                <w:kern w:val="0"/>
                <w:sz w:val="21"/>
                <w:szCs w:val="21"/>
                <w:highlight w:val="none"/>
                <w:u w:val="single"/>
              </w:rPr>
              <w:t>台</w:t>
            </w:r>
          </w:p>
        </w:tc>
        <w:tc>
          <w:tcPr>
            <w:tcW w:w="773" w:type="dxa"/>
            <w:vAlign w:val="center"/>
          </w:tcPr>
          <w:p>
            <w:pPr>
              <w:pStyle w:val="69"/>
              <w:adjustRightInd w:val="0"/>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lang w:eastAsia="zh-CN"/>
              </w:rPr>
            </w:pPr>
            <w:r>
              <w:rPr>
                <w:rFonts w:hint="eastAsia"/>
                <w:bCs/>
                <w:color w:val="auto"/>
                <w:kern w:val="0"/>
                <w:sz w:val="21"/>
                <w:szCs w:val="21"/>
                <w:highlight w:val="none"/>
                <w:u w:val="single"/>
                <w:lang w:val="en-US" w:eastAsia="zh-CN"/>
              </w:rPr>
              <w:t>5</w:t>
            </w:r>
          </w:p>
        </w:tc>
        <w:tc>
          <w:tcPr>
            <w:tcW w:w="2472" w:type="dxa"/>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lang w:eastAsia="zh-CN"/>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vAlign w:val="center"/>
          </w:tcPr>
          <w:p>
            <w:pPr>
              <w:pStyle w:val="69"/>
              <w:adjustRightInd w:val="0"/>
              <w:snapToGrid w:val="0"/>
              <w:spacing w:line="240" w:lineRule="auto"/>
              <w:ind w:firstLine="0" w:firstLineChars="0"/>
              <w:jc w:val="center"/>
              <w:rPr>
                <w:rFonts w:hint="default" w:ascii="Times New Roman" w:hAnsi="Times New Roman" w:eastAsia="宋体"/>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26</w:t>
            </w:r>
          </w:p>
        </w:tc>
        <w:tc>
          <w:tcPr>
            <w:tcW w:w="1494" w:type="dxa"/>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泥</w:t>
            </w:r>
            <w:r>
              <w:rPr>
                <w:rFonts w:ascii="Times New Roman" w:hAnsi="Times New Roman" w:eastAsia="宋体"/>
                <w:bCs/>
                <w:color w:val="auto"/>
                <w:kern w:val="0"/>
                <w:sz w:val="21"/>
                <w:szCs w:val="21"/>
                <w:highlight w:val="none"/>
                <w:u w:val="single"/>
              </w:rPr>
              <w:t>筛</w:t>
            </w:r>
          </w:p>
        </w:tc>
        <w:tc>
          <w:tcPr>
            <w:tcW w:w="2909" w:type="dxa"/>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150</w:t>
            </w:r>
            <w:r>
              <w:rPr>
                <w:rFonts w:ascii="Times New Roman" w:hAnsi="Times New Roman" w:eastAsia="宋体"/>
                <w:bCs/>
                <w:color w:val="auto"/>
                <w:kern w:val="0"/>
                <w:sz w:val="21"/>
                <w:szCs w:val="21"/>
                <w:highlight w:val="none"/>
                <w:u w:val="single"/>
              </w:rPr>
              <w:t>~</w:t>
            </w:r>
            <w:r>
              <w:rPr>
                <w:rFonts w:hint="eastAsia" w:ascii="Times New Roman" w:hAnsi="Times New Roman" w:eastAsia="宋体"/>
                <w:bCs/>
                <w:color w:val="auto"/>
                <w:kern w:val="0"/>
                <w:sz w:val="21"/>
                <w:szCs w:val="21"/>
                <w:highlight w:val="none"/>
                <w:u w:val="single"/>
              </w:rPr>
              <w:t>200t/h</w:t>
            </w:r>
          </w:p>
        </w:tc>
        <w:tc>
          <w:tcPr>
            <w:tcW w:w="712" w:type="dxa"/>
            <w:vAlign w:val="center"/>
          </w:tcPr>
          <w:p>
            <w:pPr>
              <w:pStyle w:val="69"/>
              <w:adjustRightInd w:val="0"/>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rPr>
            </w:pPr>
            <w:r>
              <w:rPr>
                <w:rFonts w:ascii="Times New Roman" w:hAnsi="Times New Roman" w:eastAsia="宋体"/>
                <w:bCs/>
                <w:color w:val="auto"/>
                <w:kern w:val="0"/>
                <w:sz w:val="21"/>
                <w:szCs w:val="21"/>
                <w:highlight w:val="none"/>
                <w:u w:val="single"/>
              </w:rPr>
              <w:t>台</w:t>
            </w:r>
          </w:p>
        </w:tc>
        <w:tc>
          <w:tcPr>
            <w:tcW w:w="773" w:type="dxa"/>
            <w:vAlign w:val="center"/>
          </w:tcPr>
          <w:p>
            <w:pPr>
              <w:pStyle w:val="69"/>
              <w:adjustRightInd w:val="0"/>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lang w:eastAsia="zh-CN"/>
              </w:rPr>
            </w:pPr>
            <w:r>
              <w:rPr>
                <w:rFonts w:hint="eastAsia"/>
                <w:color w:val="auto"/>
                <w:sz w:val="21"/>
                <w:szCs w:val="21"/>
                <w:highlight w:val="none"/>
                <w:u w:val="single"/>
                <w:lang w:val="en-US" w:eastAsia="zh-CN"/>
              </w:rPr>
              <w:t>1</w:t>
            </w:r>
          </w:p>
        </w:tc>
        <w:tc>
          <w:tcPr>
            <w:tcW w:w="2472" w:type="dxa"/>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vAlign w:val="center"/>
          </w:tcPr>
          <w:p>
            <w:pPr>
              <w:pStyle w:val="69"/>
              <w:adjustRightInd w:val="0"/>
              <w:snapToGrid w:val="0"/>
              <w:spacing w:line="240" w:lineRule="auto"/>
              <w:ind w:firstLine="0" w:firstLineChars="0"/>
              <w:jc w:val="center"/>
              <w:rPr>
                <w:rFonts w:hint="default" w:ascii="Times New Roman" w:hAnsi="Times New Roman" w:eastAsia="宋体"/>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27</w:t>
            </w:r>
          </w:p>
        </w:tc>
        <w:tc>
          <w:tcPr>
            <w:tcW w:w="1494" w:type="dxa"/>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制沙机</w:t>
            </w:r>
          </w:p>
        </w:tc>
        <w:tc>
          <w:tcPr>
            <w:tcW w:w="2909" w:type="dxa"/>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60</w:t>
            </w:r>
            <w:r>
              <w:rPr>
                <w:rFonts w:ascii="Times New Roman" w:hAnsi="Times New Roman" w:eastAsia="宋体"/>
                <w:bCs/>
                <w:color w:val="auto"/>
                <w:kern w:val="0"/>
                <w:sz w:val="21"/>
                <w:szCs w:val="21"/>
                <w:highlight w:val="none"/>
                <w:u w:val="single"/>
              </w:rPr>
              <w:t>~</w:t>
            </w:r>
            <w:r>
              <w:rPr>
                <w:rFonts w:hint="eastAsia" w:ascii="Times New Roman" w:hAnsi="Times New Roman" w:eastAsia="宋体"/>
                <w:bCs/>
                <w:color w:val="auto"/>
                <w:kern w:val="0"/>
                <w:sz w:val="21"/>
                <w:szCs w:val="21"/>
                <w:highlight w:val="none"/>
                <w:u w:val="single"/>
              </w:rPr>
              <w:t>80t/h</w:t>
            </w:r>
          </w:p>
        </w:tc>
        <w:tc>
          <w:tcPr>
            <w:tcW w:w="712" w:type="dxa"/>
            <w:vAlign w:val="center"/>
          </w:tcPr>
          <w:p>
            <w:pPr>
              <w:pStyle w:val="69"/>
              <w:adjustRightInd w:val="0"/>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rPr>
            </w:pPr>
            <w:r>
              <w:rPr>
                <w:rFonts w:ascii="Times New Roman" w:hAnsi="Times New Roman" w:eastAsia="宋体"/>
                <w:bCs/>
                <w:color w:val="auto"/>
                <w:kern w:val="0"/>
                <w:sz w:val="21"/>
                <w:szCs w:val="21"/>
                <w:highlight w:val="none"/>
                <w:u w:val="single"/>
              </w:rPr>
              <w:t>台</w:t>
            </w:r>
          </w:p>
        </w:tc>
        <w:tc>
          <w:tcPr>
            <w:tcW w:w="773" w:type="dxa"/>
            <w:vAlign w:val="center"/>
          </w:tcPr>
          <w:p>
            <w:pPr>
              <w:pStyle w:val="69"/>
              <w:adjustRightInd w:val="0"/>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rPr>
            </w:pPr>
            <w:r>
              <w:rPr>
                <w:rFonts w:hint="eastAsia" w:ascii="Times New Roman" w:hAnsi="Times New Roman" w:eastAsia="宋体"/>
                <w:color w:val="auto"/>
                <w:sz w:val="21"/>
                <w:szCs w:val="21"/>
                <w:highlight w:val="none"/>
                <w:u w:val="single"/>
              </w:rPr>
              <w:t>1</w:t>
            </w:r>
          </w:p>
        </w:tc>
        <w:tc>
          <w:tcPr>
            <w:tcW w:w="2472" w:type="dxa"/>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vAlign w:val="center"/>
          </w:tcPr>
          <w:p>
            <w:pPr>
              <w:pStyle w:val="69"/>
              <w:adjustRightInd w:val="0"/>
              <w:snapToGrid w:val="0"/>
              <w:spacing w:line="240" w:lineRule="auto"/>
              <w:ind w:firstLine="0" w:firstLineChars="0"/>
              <w:jc w:val="center"/>
              <w:rPr>
                <w:rFonts w:hint="default" w:ascii="Times New Roman" w:hAnsi="Times New Roman" w:eastAsia="宋体"/>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28</w:t>
            </w:r>
          </w:p>
        </w:tc>
        <w:tc>
          <w:tcPr>
            <w:tcW w:w="1494" w:type="dxa"/>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雾炮机</w:t>
            </w:r>
          </w:p>
        </w:tc>
        <w:tc>
          <w:tcPr>
            <w:tcW w:w="2909" w:type="dxa"/>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w:t>
            </w:r>
          </w:p>
        </w:tc>
        <w:tc>
          <w:tcPr>
            <w:tcW w:w="712" w:type="dxa"/>
            <w:vAlign w:val="center"/>
          </w:tcPr>
          <w:p>
            <w:pPr>
              <w:pStyle w:val="69"/>
              <w:adjustRightInd w:val="0"/>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rPr>
            </w:pPr>
            <w:r>
              <w:rPr>
                <w:rFonts w:ascii="Times New Roman" w:hAnsi="Times New Roman" w:eastAsia="宋体"/>
                <w:bCs/>
                <w:color w:val="auto"/>
                <w:kern w:val="0"/>
                <w:sz w:val="21"/>
                <w:szCs w:val="21"/>
                <w:highlight w:val="none"/>
                <w:u w:val="single"/>
              </w:rPr>
              <w:t>台</w:t>
            </w:r>
          </w:p>
        </w:tc>
        <w:tc>
          <w:tcPr>
            <w:tcW w:w="773" w:type="dxa"/>
            <w:vAlign w:val="center"/>
          </w:tcPr>
          <w:p>
            <w:pPr>
              <w:pStyle w:val="69"/>
              <w:adjustRightInd w:val="0"/>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rPr>
            </w:pPr>
            <w:r>
              <w:rPr>
                <w:rFonts w:hint="eastAsia"/>
                <w:bCs/>
                <w:color w:val="auto"/>
                <w:kern w:val="0"/>
                <w:sz w:val="21"/>
                <w:szCs w:val="21"/>
                <w:highlight w:val="none"/>
                <w:u w:val="single"/>
                <w:lang w:val="en-US" w:eastAsia="zh-CN"/>
              </w:rPr>
              <w:t>2</w:t>
            </w:r>
          </w:p>
        </w:tc>
        <w:tc>
          <w:tcPr>
            <w:tcW w:w="2472" w:type="dxa"/>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新增</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vAlign w:val="center"/>
          </w:tcPr>
          <w:p>
            <w:pPr>
              <w:pStyle w:val="69"/>
              <w:adjustRightInd w:val="0"/>
              <w:snapToGrid w:val="0"/>
              <w:spacing w:line="240" w:lineRule="auto"/>
              <w:ind w:firstLine="0" w:firstLineChars="0"/>
              <w:jc w:val="center"/>
              <w:rPr>
                <w:rFonts w:hint="default" w:ascii="Times New Roman" w:hAnsi="Times New Roman" w:eastAsia="宋体"/>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29</w:t>
            </w:r>
          </w:p>
        </w:tc>
        <w:tc>
          <w:tcPr>
            <w:tcW w:w="1494" w:type="dxa"/>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除尘器</w:t>
            </w:r>
          </w:p>
        </w:tc>
        <w:tc>
          <w:tcPr>
            <w:tcW w:w="2909" w:type="dxa"/>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脉冲袋式除尘器</w:t>
            </w:r>
            <w:r>
              <w:rPr>
                <w:rFonts w:ascii="Times New Roman" w:hAnsi="Times New Roman" w:eastAsia="宋体"/>
                <w:color w:val="auto"/>
                <w:sz w:val="21"/>
                <w:szCs w:val="21"/>
                <w:highlight w:val="none"/>
                <w:u w:val="single"/>
              </w:rPr>
              <w:t>MC-56</w:t>
            </w:r>
          </w:p>
        </w:tc>
        <w:tc>
          <w:tcPr>
            <w:tcW w:w="712" w:type="dxa"/>
            <w:vAlign w:val="center"/>
          </w:tcPr>
          <w:p>
            <w:pPr>
              <w:widowControl/>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rPr>
            </w:pPr>
            <w:r>
              <w:rPr>
                <w:rFonts w:ascii="Times New Roman" w:hAnsi="Times New Roman" w:eastAsia="宋体" w:cs="Times New Roman"/>
                <w:bCs/>
                <w:color w:val="auto"/>
                <w:kern w:val="0"/>
                <w:sz w:val="21"/>
                <w:highlight w:val="none"/>
                <w:u w:val="single"/>
              </w:rPr>
              <w:t>台</w:t>
            </w:r>
          </w:p>
        </w:tc>
        <w:tc>
          <w:tcPr>
            <w:tcW w:w="773" w:type="dxa"/>
            <w:vAlign w:val="center"/>
          </w:tcPr>
          <w:p>
            <w:pPr>
              <w:widowControl/>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lang w:eastAsia="zh-CN"/>
              </w:rPr>
            </w:pPr>
            <w:r>
              <w:rPr>
                <w:rFonts w:hint="eastAsia" w:cs="Times New Roman"/>
                <w:bCs/>
                <w:color w:val="auto"/>
                <w:kern w:val="0"/>
                <w:sz w:val="21"/>
                <w:highlight w:val="none"/>
                <w:u w:val="single"/>
                <w:lang w:val="en-US" w:eastAsia="zh-CN"/>
              </w:rPr>
              <w:t>3</w:t>
            </w:r>
          </w:p>
        </w:tc>
        <w:tc>
          <w:tcPr>
            <w:tcW w:w="2472" w:type="dxa"/>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新增</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vAlign w:val="center"/>
          </w:tcPr>
          <w:p>
            <w:pPr>
              <w:pStyle w:val="69"/>
              <w:adjustRightInd w:val="0"/>
              <w:snapToGrid w:val="0"/>
              <w:spacing w:line="240" w:lineRule="auto"/>
              <w:ind w:firstLine="0" w:firstLineChars="0"/>
              <w:jc w:val="center"/>
              <w:rPr>
                <w:rFonts w:hint="default" w:ascii="Times New Roman" w:hAnsi="Times New Roman" w:eastAsia="宋体"/>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30</w:t>
            </w:r>
          </w:p>
        </w:tc>
        <w:tc>
          <w:tcPr>
            <w:tcW w:w="1494" w:type="dxa"/>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水泵</w:t>
            </w:r>
          </w:p>
        </w:tc>
        <w:tc>
          <w:tcPr>
            <w:tcW w:w="2909" w:type="dxa"/>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w:t>
            </w:r>
          </w:p>
        </w:tc>
        <w:tc>
          <w:tcPr>
            <w:tcW w:w="712" w:type="dxa"/>
            <w:vAlign w:val="center"/>
          </w:tcPr>
          <w:p>
            <w:pPr>
              <w:widowControl/>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rPr>
            </w:pPr>
            <w:r>
              <w:rPr>
                <w:rFonts w:ascii="Times New Roman" w:hAnsi="Times New Roman" w:eastAsia="宋体" w:cs="Times New Roman"/>
                <w:bCs/>
                <w:color w:val="auto"/>
                <w:kern w:val="0"/>
                <w:sz w:val="21"/>
                <w:highlight w:val="none"/>
                <w:u w:val="single"/>
              </w:rPr>
              <w:t>台</w:t>
            </w:r>
          </w:p>
        </w:tc>
        <w:tc>
          <w:tcPr>
            <w:tcW w:w="773" w:type="dxa"/>
            <w:vAlign w:val="center"/>
          </w:tcPr>
          <w:p>
            <w:pPr>
              <w:widowControl/>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rPr>
            </w:pPr>
            <w:r>
              <w:rPr>
                <w:rFonts w:hint="eastAsia" w:cs="Times New Roman"/>
                <w:bCs/>
                <w:color w:val="auto"/>
                <w:kern w:val="0"/>
                <w:sz w:val="21"/>
                <w:highlight w:val="none"/>
                <w:u w:val="single"/>
                <w:lang w:val="en-US" w:eastAsia="zh-CN"/>
              </w:rPr>
              <w:t>1</w:t>
            </w:r>
          </w:p>
        </w:tc>
        <w:tc>
          <w:tcPr>
            <w:tcW w:w="2472" w:type="dxa"/>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原有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vAlign w:val="center"/>
          </w:tcPr>
          <w:p>
            <w:pPr>
              <w:pStyle w:val="69"/>
              <w:adjustRightInd w:val="0"/>
              <w:snapToGrid w:val="0"/>
              <w:spacing w:line="240" w:lineRule="auto"/>
              <w:ind w:firstLine="0" w:firstLineChars="0"/>
              <w:jc w:val="center"/>
              <w:rPr>
                <w:rFonts w:hint="default"/>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31</w:t>
            </w:r>
          </w:p>
        </w:tc>
        <w:tc>
          <w:tcPr>
            <w:tcW w:w="1494" w:type="dxa"/>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bCs/>
                <w:color w:val="auto"/>
                <w:kern w:val="0"/>
                <w:sz w:val="21"/>
                <w:szCs w:val="21"/>
                <w:highlight w:val="none"/>
                <w:u w:val="single"/>
                <w:lang w:val="en-US" w:eastAsia="zh-CN"/>
              </w:rPr>
              <w:t>输送带</w:t>
            </w:r>
          </w:p>
        </w:tc>
        <w:tc>
          <w:tcPr>
            <w:tcW w:w="2909" w:type="dxa"/>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bCs/>
                <w:color w:val="auto"/>
                <w:kern w:val="0"/>
                <w:sz w:val="21"/>
                <w:szCs w:val="21"/>
                <w:highlight w:val="none"/>
                <w:u w:val="single"/>
                <w:lang w:val="en-US" w:eastAsia="zh-CN"/>
              </w:rPr>
              <w:t>48m</w:t>
            </w:r>
          </w:p>
        </w:tc>
        <w:tc>
          <w:tcPr>
            <w:tcW w:w="712" w:type="dxa"/>
            <w:vAlign w:val="center"/>
          </w:tcPr>
          <w:p>
            <w:pPr>
              <w:widowControl/>
              <w:snapToGrid w:val="0"/>
              <w:spacing w:line="240" w:lineRule="auto"/>
              <w:ind w:firstLine="0" w:firstLineChars="0"/>
              <w:jc w:val="center"/>
              <w:rPr>
                <w:rFonts w:ascii="Times New Roman" w:hAnsi="Times New Roman" w:eastAsia="宋体" w:cs="Times New Roman"/>
                <w:bCs/>
                <w:color w:val="auto"/>
                <w:kern w:val="0"/>
                <w:sz w:val="21"/>
                <w:highlight w:val="none"/>
                <w:u w:val="single"/>
              </w:rPr>
            </w:pPr>
            <w:r>
              <w:rPr>
                <w:rFonts w:hint="eastAsia" w:cs="Times New Roman"/>
                <w:bCs/>
                <w:color w:val="auto"/>
                <w:kern w:val="0"/>
                <w:sz w:val="21"/>
                <w:highlight w:val="none"/>
                <w:u w:val="single"/>
                <w:lang w:val="en-US" w:eastAsia="zh-CN"/>
              </w:rPr>
              <w:t>条</w:t>
            </w:r>
          </w:p>
        </w:tc>
        <w:tc>
          <w:tcPr>
            <w:tcW w:w="773" w:type="dxa"/>
            <w:vAlign w:val="center"/>
          </w:tcPr>
          <w:p>
            <w:pPr>
              <w:widowControl/>
              <w:snapToGrid w:val="0"/>
              <w:spacing w:line="240" w:lineRule="auto"/>
              <w:ind w:firstLine="0" w:firstLineChars="0"/>
              <w:jc w:val="center"/>
              <w:rPr>
                <w:rFonts w:hint="eastAsia" w:cs="Times New Roman"/>
                <w:bCs/>
                <w:color w:val="auto"/>
                <w:kern w:val="0"/>
                <w:sz w:val="21"/>
                <w:highlight w:val="none"/>
                <w:u w:val="single"/>
                <w:lang w:val="en-US" w:eastAsia="zh-CN"/>
              </w:rPr>
            </w:pPr>
            <w:r>
              <w:rPr>
                <w:rFonts w:hint="eastAsia" w:cs="Times New Roman"/>
                <w:bCs/>
                <w:color w:val="auto"/>
                <w:kern w:val="0"/>
                <w:sz w:val="21"/>
                <w:highlight w:val="none"/>
                <w:u w:val="single"/>
                <w:lang w:val="en-US" w:eastAsia="zh-CN"/>
              </w:rPr>
              <w:t>2</w:t>
            </w:r>
          </w:p>
        </w:tc>
        <w:tc>
          <w:tcPr>
            <w:tcW w:w="2472" w:type="dxa"/>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vAlign w:val="center"/>
          </w:tcPr>
          <w:p>
            <w:pPr>
              <w:pStyle w:val="69"/>
              <w:adjustRightInd w:val="0"/>
              <w:snapToGrid w:val="0"/>
              <w:spacing w:line="240" w:lineRule="auto"/>
              <w:ind w:firstLine="0" w:firstLineChars="0"/>
              <w:jc w:val="center"/>
              <w:rPr>
                <w:rFonts w:hint="default"/>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32</w:t>
            </w:r>
          </w:p>
        </w:tc>
        <w:tc>
          <w:tcPr>
            <w:tcW w:w="1494" w:type="dxa"/>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bCs/>
                <w:color w:val="auto"/>
                <w:kern w:val="0"/>
                <w:sz w:val="21"/>
                <w:szCs w:val="21"/>
                <w:highlight w:val="none"/>
                <w:u w:val="single"/>
                <w:lang w:val="en-US" w:eastAsia="zh-CN"/>
              </w:rPr>
              <w:t>输送带</w:t>
            </w:r>
          </w:p>
        </w:tc>
        <w:tc>
          <w:tcPr>
            <w:tcW w:w="2909" w:type="dxa"/>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bCs/>
                <w:color w:val="auto"/>
                <w:kern w:val="0"/>
                <w:sz w:val="21"/>
                <w:szCs w:val="21"/>
                <w:highlight w:val="none"/>
                <w:u w:val="single"/>
                <w:lang w:val="en-US" w:eastAsia="zh-CN"/>
              </w:rPr>
              <w:t>42m</w:t>
            </w:r>
          </w:p>
        </w:tc>
        <w:tc>
          <w:tcPr>
            <w:tcW w:w="712" w:type="dxa"/>
            <w:vAlign w:val="center"/>
          </w:tcPr>
          <w:p>
            <w:pPr>
              <w:widowControl/>
              <w:snapToGrid w:val="0"/>
              <w:spacing w:line="240" w:lineRule="auto"/>
              <w:ind w:firstLine="0" w:firstLineChars="0"/>
              <w:jc w:val="center"/>
              <w:rPr>
                <w:rFonts w:ascii="Times New Roman" w:hAnsi="Times New Roman" w:eastAsia="宋体" w:cs="Times New Roman"/>
                <w:bCs/>
                <w:color w:val="auto"/>
                <w:kern w:val="0"/>
                <w:sz w:val="21"/>
                <w:highlight w:val="none"/>
                <w:u w:val="single"/>
              </w:rPr>
            </w:pPr>
            <w:r>
              <w:rPr>
                <w:rFonts w:hint="eastAsia" w:cs="Times New Roman"/>
                <w:bCs/>
                <w:color w:val="auto"/>
                <w:kern w:val="0"/>
                <w:sz w:val="21"/>
                <w:highlight w:val="none"/>
                <w:u w:val="single"/>
                <w:lang w:val="en-US" w:eastAsia="zh-CN"/>
              </w:rPr>
              <w:t>条</w:t>
            </w:r>
          </w:p>
        </w:tc>
        <w:tc>
          <w:tcPr>
            <w:tcW w:w="773" w:type="dxa"/>
            <w:vAlign w:val="center"/>
          </w:tcPr>
          <w:p>
            <w:pPr>
              <w:widowControl/>
              <w:snapToGrid w:val="0"/>
              <w:spacing w:line="240" w:lineRule="auto"/>
              <w:ind w:firstLine="0" w:firstLineChars="0"/>
              <w:jc w:val="center"/>
              <w:rPr>
                <w:rFonts w:hint="eastAsia" w:cs="Times New Roman"/>
                <w:bCs/>
                <w:color w:val="auto"/>
                <w:kern w:val="0"/>
                <w:sz w:val="21"/>
                <w:highlight w:val="none"/>
                <w:u w:val="single"/>
                <w:lang w:val="en-US" w:eastAsia="zh-CN"/>
              </w:rPr>
            </w:pPr>
            <w:r>
              <w:rPr>
                <w:rFonts w:hint="eastAsia" w:cs="Times New Roman"/>
                <w:bCs/>
                <w:color w:val="auto"/>
                <w:kern w:val="0"/>
                <w:sz w:val="21"/>
                <w:highlight w:val="none"/>
                <w:u w:val="single"/>
                <w:lang w:val="en-US" w:eastAsia="zh-CN"/>
              </w:rPr>
              <w:t>2</w:t>
            </w:r>
          </w:p>
        </w:tc>
        <w:tc>
          <w:tcPr>
            <w:tcW w:w="2472" w:type="dxa"/>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vAlign w:val="center"/>
          </w:tcPr>
          <w:p>
            <w:pPr>
              <w:pStyle w:val="69"/>
              <w:adjustRightInd w:val="0"/>
              <w:snapToGrid w:val="0"/>
              <w:spacing w:line="240" w:lineRule="auto"/>
              <w:ind w:firstLine="0" w:firstLineChars="0"/>
              <w:jc w:val="center"/>
              <w:rPr>
                <w:rFonts w:hint="default"/>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33</w:t>
            </w:r>
          </w:p>
        </w:tc>
        <w:tc>
          <w:tcPr>
            <w:tcW w:w="1494" w:type="dxa"/>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bCs/>
                <w:color w:val="auto"/>
                <w:kern w:val="0"/>
                <w:sz w:val="21"/>
                <w:szCs w:val="21"/>
                <w:highlight w:val="none"/>
                <w:u w:val="single"/>
                <w:lang w:val="en-US" w:eastAsia="zh-CN"/>
              </w:rPr>
              <w:t>输送带</w:t>
            </w:r>
          </w:p>
        </w:tc>
        <w:tc>
          <w:tcPr>
            <w:tcW w:w="2909" w:type="dxa"/>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bCs/>
                <w:color w:val="auto"/>
                <w:kern w:val="0"/>
                <w:sz w:val="21"/>
                <w:szCs w:val="21"/>
                <w:highlight w:val="none"/>
                <w:u w:val="single"/>
                <w:lang w:val="en-US" w:eastAsia="zh-CN"/>
              </w:rPr>
              <w:t>36m</w:t>
            </w:r>
          </w:p>
        </w:tc>
        <w:tc>
          <w:tcPr>
            <w:tcW w:w="712" w:type="dxa"/>
            <w:vAlign w:val="center"/>
          </w:tcPr>
          <w:p>
            <w:pPr>
              <w:widowControl/>
              <w:snapToGrid w:val="0"/>
              <w:spacing w:line="240" w:lineRule="auto"/>
              <w:ind w:firstLine="0" w:firstLineChars="0"/>
              <w:jc w:val="center"/>
              <w:rPr>
                <w:rFonts w:ascii="Times New Roman" w:hAnsi="Times New Roman" w:eastAsia="宋体" w:cs="Times New Roman"/>
                <w:bCs/>
                <w:color w:val="auto"/>
                <w:kern w:val="0"/>
                <w:sz w:val="21"/>
                <w:highlight w:val="none"/>
                <w:u w:val="single"/>
              </w:rPr>
            </w:pPr>
            <w:r>
              <w:rPr>
                <w:rFonts w:hint="eastAsia" w:cs="Times New Roman"/>
                <w:bCs/>
                <w:color w:val="auto"/>
                <w:kern w:val="0"/>
                <w:sz w:val="21"/>
                <w:highlight w:val="none"/>
                <w:u w:val="single"/>
                <w:lang w:val="en-US" w:eastAsia="zh-CN"/>
              </w:rPr>
              <w:t>条</w:t>
            </w:r>
          </w:p>
        </w:tc>
        <w:tc>
          <w:tcPr>
            <w:tcW w:w="773" w:type="dxa"/>
            <w:vAlign w:val="center"/>
          </w:tcPr>
          <w:p>
            <w:pPr>
              <w:widowControl/>
              <w:snapToGrid w:val="0"/>
              <w:spacing w:line="240" w:lineRule="auto"/>
              <w:ind w:firstLine="0" w:firstLineChars="0"/>
              <w:jc w:val="center"/>
              <w:rPr>
                <w:rFonts w:hint="eastAsia" w:cs="Times New Roman"/>
                <w:bCs/>
                <w:color w:val="auto"/>
                <w:kern w:val="0"/>
                <w:sz w:val="21"/>
                <w:highlight w:val="none"/>
                <w:u w:val="single"/>
                <w:lang w:val="en-US" w:eastAsia="zh-CN"/>
              </w:rPr>
            </w:pPr>
            <w:r>
              <w:rPr>
                <w:rFonts w:hint="eastAsia" w:cs="Times New Roman"/>
                <w:bCs/>
                <w:color w:val="auto"/>
                <w:kern w:val="0"/>
                <w:sz w:val="21"/>
                <w:highlight w:val="none"/>
                <w:u w:val="single"/>
                <w:lang w:val="en-US" w:eastAsia="zh-CN"/>
              </w:rPr>
              <w:t>2</w:t>
            </w:r>
          </w:p>
        </w:tc>
        <w:tc>
          <w:tcPr>
            <w:tcW w:w="2472" w:type="dxa"/>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vAlign w:val="center"/>
          </w:tcPr>
          <w:p>
            <w:pPr>
              <w:pStyle w:val="69"/>
              <w:adjustRightInd w:val="0"/>
              <w:snapToGrid w:val="0"/>
              <w:spacing w:line="240" w:lineRule="auto"/>
              <w:ind w:firstLine="0" w:firstLineChars="0"/>
              <w:jc w:val="center"/>
              <w:rPr>
                <w:rFonts w:hint="default"/>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34</w:t>
            </w:r>
          </w:p>
        </w:tc>
        <w:tc>
          <w:tcPr>
            <w:tcW w:w="1494" w:type="dxa"/>
            <w:vAlign w:val="center"/>
          </w:tcPr>
          <w:p>
            <w:pPr>
              <w:pStyle w:val="69"/>
              <w:snapToGrid w:val="0"/>
              <w:spacing w:line="240" w:lineRule="auto"/>
              <w:ind w:firstLine="0" w:firstLineChars="0"/>
              <w:jc w:val="center"/>
              <w:rPr>
                <w:rFonts w:hint="eastAsia"/>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输送带</w:t>
            </w:r>
          </w:p>
        </w:tc>
        <w:tc>
          <w:tcPr>
            <w:tcW w:w="2909" w:type="dxa"/>
            <w:vAlign w:val="center"/>
          </w:tcPr>
          <w:p>
            <w:pPr>
              <w:pStyle w:val="69"/>
              <w:snapToGrid w:val="0"/>
              <w:spacing w:line="240" w:lineRule="auto"/>
              <w:ind w:firstLine="0" w:firstLineChars="0"/>
              <w:jc w:val="center"/>
              <w:rPr>
                <w:rFonts w:hint="eastAsia"/>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30m</w:t>
            </w:r>
          </w:p>
        </w:tc>
        <w:tc>
          <w:tcPr>
            <w:tcW w:w="712" w:type="dxa"/>
            <w:vAlign w:val="center"/>
          </w:tcPr>
          <w:p>
            <w:pPr>
              <w:widowControl/>
              <w:snapToGrid w:val="0"/>
              <w:spacing w:line="240" w:lineRule="auto"/>
              <w:ind w:firstLine="0" w:firstLineChars="0"/>
              <w:jc w:val="center"/>
              <w:rPr>
                <w:rFonts w:hint="eastAsia" w:cs="Times New Roman"/>
                <w:bCs/>
                <w:color w:val="auto"/>
                <w:kern w:val="0"/>
                <w:sz w:val="21"/>
                <w:highlight w:val="none"/>
                <w:u w:val="single"/>
                <w:lang w:val="en-US" w:eastAsia="zh-CN"/>
              </w:rPr>
            </w:pPr>
            <w:r>
              <w:rPr>
                <w:rFonts w:hint="eastAsia" w:cs="Times New Roman"/>
                <w:bCs/>
                <w:color w:val="auto"/>
                <w:kern w:val="0"/>
                <w:sz w:val="21"/>
                <w:highlight w:val="none"/>
                <w:u w:val="single"/>
                <w:lang w:val="en-US" w:eastAsia="zh-CN"/>
              </w:rPr>
              <w:t>条</w:t>
            </w:r>
          </w:p>
        </w:tc>
        <w:tc>
          <w:tcPr>
            <w:tcW w:w="773" w:type="dxa"/>
            <w:vAlign w:val="center"/>
          </w:tcPr>
          <w:p>
            <w:pPr>
              <w:widowControl/>
              <w:snapToGrid w:val="0"/>
              <w:spacing w:line="240" w:lineRule="auto"/>
              <w:ind w:firstLine="0" w:firstLineChars="0"/>
              <w:jc w:val="center"/>
              <w:rPr>
                <w:rFonts w:hint="eastAsia" w:cs="Times New Roman"/>
                <w:bCs/>
                <w:color w:val="auto"/>
                <w:kern w:val="0"/>
                <w:sz w:val="21"/>
                <w:highlight w:val="none"/>
                <w:u w:val="single"/>
                <w:lang w:val="en-US" w:eastAsia="zh-CN"/>
              </w:rPr>
            </w:pPr>
            <w:r>
              <w:rPr>
                <w:rFonts w:hint="eastAsia" w:cs="Times New Roman"/>
                <w:bCs/>
                <w:color w:val="auto"/>
                <w:kern w:val="0"/>
                <w:sz w:val="21"/>
                <w:highlight w:val="none"/>
                <w:u w:val="single"/>
                <w:lang w:val="en-US" w:eastAsia="zh-CN"/>
              </w:rPr>
              <w:t>9</w:t>
            </w:r>
          </w:p>
        </w:tc>
        <w:tc>
          <w:tcPr>
            <w:tcW w:w="2472" w:type="dxa"/>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vAlign w:val="center"/>
          </w:tcPr>
          <w:p>
            <w:pPr>
              <w:pStyle w:val="69"/>
              <w:adjustRightInd w:val="0"/>
              <w:snapToGrid w:val="0"/>
              <w:spacing w:line="240" w:lineRule="auto"/>
              <w:ind w:firstLine="0" w:firstLineChars="0"/>
              <w:jc w:val="center"/>
              <w:rPr>
                <w:rFonts w:hint="default"/>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35</w:t>
            </w:r>
          </w:p>
        </w:tc>
        <w:tc>
          <w:tcPr>
            <w:tcW w:w="1494" w:type="dxa"/>
            <w:vAlign w:val="center"/>
          </w:tcPr>
          <w:p>
            <w:pPr>
              <w:pStyle w:val="69"/>
              <w:snapToGrid w:val="0"/>
              <w:spacing w:line="240" w:lineRule="auto"/>
              <w:ind w:firstLine="0" w:firstLineChars="0"/>
              <w:jc w:val="center"/>
              <w:rPr>
                <w:rFonts w:hint="eastAsia"/>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输送带</w:t>
            </w:r>
          </w:p>
        </w:tc>
        <w:tc>
          <w:tcPr>
            <w:tcW w:w="2909" w:type="dxa"/>
            <w:vAlign w:val="center"/>
          </w:tcPr>
          <w:p>
            <w:pPr>
              <w:pStyle w:val="69"/>
              <w:snapToGrid w:val="0"/>
              <w:spacing w:line="240" w:lineRule="auto"/>
              <w:ind w:firstLine="0" w:firstLineChars="0"/>
              <w:jc w:val="center"/>
              <w:rPr>
                <w:rFonts w:hint="eastAsia"/>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20m</w:t>
            </w:r>
          </w:p>
        </w:tc>
        <w:tc>
          <w:tcPr>
            <w:tcW w:w="712" w:type="dxa"/>
            <w:vAlign w:val="center"/>
          </w:tcPr>
          <w:p>
            <w:pPr>
              <w:widowControl/>
              <w:snapToGrid w:val="0"/>
              <w:spacing w:line="240" w:lineRule="auto"/>
              <w:ind w:firstLine="0" w:firstLineChars="0"/>
              <w:jc w:val="center"/>
              <w:rPr>
                <w:rFonts w:hint="eastAsia" w:cs="Times New Roman"/>
                <w:bCs/>
                <w:color w:val="auto"/>
                <w:kern w:val="0"/>
                <w:sz w:val="21"/>
                <w:highlight w:val="none"/>
                <w:u w:val="single"/>
                <w:lang w:val="en-US" w:eastAsia="zh-CN"/>
              </w:rPr>
            </w:pPr>
            <w:r>
              <w:rPr>
                <w:rFonts w:hint="eastAsia" w:cs="Times New Roman"/>
                <w:bCs/>
                <w:color w:val="auto"/>
                <w:kern w:val="0"/>
                <w:sz w:val="21"/>
                <w:highlight w:val="none"/>
                <w:u w:val="single"/>
                <w:lang w:val="en-US" w:eastAsia="zh-CN"/>
              </w:rPr>
              <w:t>条</w:t>
            </w:r>
          </w:p>
        </w:tc>
        <w:tc>
          <w:tcPr>
            <w:tcW w:w="773" w:type="dxa"/>
            <w:vAlign w:val="center"/>
          </w:tcPr>
          <w:p>
            <w:pPr>
              <w:widowControl/>
              <w:snapToGrid w:val="0"/>
              <w:spacing w:line="240" w:lineRule="auto"/>
              <w:ind w:firstLine="0" w:firstLineChars="0"/>
              <w:jc w:val="center"/>
              <w:rPr>
                <w:rFonts w:hint="eastAsia" w:cs="Times New Roman"/>
                <w:bCs/>
                <w:color w:val="auto"/>
                <w:kern w:val="0"/>
                <w:sz w:val="21"/>
                <w:highlight w:val="none"/>
                <w:u w:val="single"/>
                <w:lang w:val="en-US" w:eastAsia="zh-CN"/>
              </w:rPr>
            </w:pPr>
            <w:r>
              <w:rPr>
                <w:rFonts w:hint="eastAsia" w:cs="Times New Roman"/>
                <w:bCs/>
                <w:color w:val="auto"/>
                <w:kern w:val="0"/>
                <w:sz w:val="21"/>
                <w:highlight w:val="none"/>
                <w:u w:val="single"/>
                <w:lang w:val="en-US" w:eastAsia="zh-CN"/>
              </w:rPr>
              <w:t>1</w:t>
            </w:r>
          </w:p>
        </w:tc>
        <w:tc>
          <w:tcPr>
            <w:tcW w:w="2472" w:type="dxa"/>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设备更换</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9071" w:type="dxa"/>
            <w:gridSpan w:val="6"/>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lang w:val="en-US" w:eastAsia="zh-CN"/>
              </w:rPr>
            </w:pPr>
            <w:r>
              <w:rPr>
                <w:rFonts w:hint="eastAsia"/>
                <w:b/>
                <w:bCs w:val="0"/>
                <w:color w:val="auto"/>
                <w:kern w:val="0"/>
                <w:sz w:val="21"/>
                <w:szCs w:val="21"/>
                <w:highlight w:val="none"/>
                <w:u w:val="single"/>
                <w:lang w:val="en-US" w:eastAsia="zh-CN"/>
              </w:rPr>
              <w:t>公用设备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vAlign w:val="center"/>
          </w:tcPr>
          <w:p>
            <w:pPr>
              <w:pStyle w:val="69"/>
              <w:adjustRightInd w:val="0"/>
              <w:snapToGrid w:val="0"/>
              <w:spacing w:line="240" w:lineRule="auto"/>
              <w:ind w:firstLine="0" w:firstLineChars="0"/>
              <w:jc w:val="center"/>
              <w:rPr>
                <w:rFonts w:hint="default" w:ascii="Times New Roman" w:hAnsi="Times New Roman" w:eastAsia="宋体"/>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36</w:t>
            </w:r>
          </w:p>
        </w:tc>
        <w:tc>
          <w:tcPr>
            <w:tcW w:w="1494" w:type="dxa"/>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洒水车</w:t>
            </w:r>
          </w:p>
        </w:tc>
        <w:tc>
          <w:tcPr>
            <w:tcW w:w="2909" w:type="dxa"/>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w:t>
            </w:r>
          </w:p>
        </w:tc>
        <w:tc>
          <w:tcPr>
            <w:tcW w:w="712" w:type="dxa"/>
            <w:vAlign w:val="center"/>
          </w:tcPr>
          <w:p>
            <w:pPr>
              <w:pStyle w:val="69"/>
              <w:adjustRightInd w:val="0"/>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rPr>
            </w:pPr>
            <w:r>
              <w:rPr>
                <w:rFonts w:ascii="Times New Roman" w:hAnsi="Times New Roman" w:eastAsia="宋体"/>
                <w:bCs/>
                <w:color w:val="auto"/>
                <w:kern w:val="0"/>
                <w:sz w:val="21"/>
                <w:szCs w:val="21"/>
                <w:highlight w:val="none"/>
                <w:u w:val="single"/>
              </w:rPr>
              <w:t>台</w:t>
            </w:r>
          </w:p>
        </w:tc>
        <w:tc>
          <w:tcPr>
            <w:tcW w:w="773" w:type="dxa"/>
            <w:vAlign w:val="center"/>
          </w:tcPr>
          <w:p>
            <w:pPr>
              <w:pStyle w:val="69"/>
              <w:adjustRightInd w:val="0"/>
              <w:snapToGrid w:val="0"/>
              <w:spacing w:line="240" w:lineRule="auto"/>
              <w:ind w:firstLine="0" w:firstLineChars="0"/>
              <w:jc w:val="center"/>
              <w:rPr>
                <w:rFonts w:hint="eastAsia" w:ascii="Times New Roman" w:hAnsi="Times New Roman" w:eastAsia="宋体" w:cs="Times New Roman"/>
                <w:bCs/>
                <w:color w:val="auto"/>
                <w:kern w:val="0"/>
                <w:sz w:val="21"/>
                <w:highlight w:val="none"/>
                <w:u w:val="single"/>
              </w:rPr>
            </w:pPr>
            <w:r>
              <w:rPr>
                <w:rFonts w:hint="eastAsia" w:ascii="Times New Roman" w:hAnsi="Times New Roman" w:eastAsia="宋体"/>
                <w:bCs/>
                <w:color w:val="auto"/>
                <w:kern w:val="0"/>
                <w:sz w:val="21"/>
                <w:szCs w:val="21"/>
                <w:highlight w:val="none"/>
                <w:u w:val="single"/>
              </w:rPr>
              <w:t>1</w:t>
            </w:r>
          </w:p>
        </w:tc>
        <w:tc>
          <w:tcPr>
            <w:tcW w:w="2472" w:type="dxa"/>
            <w:vAlign w:val="center"/>
          </w:tcPr>
          <w:p>
            <w:pPr>
              <w:pStyle w:val="69"/>
              <w:adjustRightInd w:val="0"/>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新增</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11" w:type="dxa"/>
            <w:vAlign w:val="center"/>
          </w:tcPr>
          <w:p>
            <w:pPr>
              <w:pStyle w:val="69"/>
              <w:adjustRightInd w:val="0"/>
              <w:snapToGrid w:val="0"/>
              <w:spacing w:line="240" w:lineRule="auto"/>
              <w:ind w:firstLine="0" w:firstLineChars="0"/>
              <w:jc w:val="center"/>
              <w:rPr>
                <w:rFonts w:hint="default" w:ascii="Times New Roman" w:hAnsi="Times New Roman" w:eastAsia="宋体"/>
                <w:bCs/>
                <w:color w:val="auto"/>
                <w:kern w:val="0"/>
                <w:sz w:val="21"/>
                <w:szCs w:val="21"/>
                <w:highlight w:val="none"/>
                <w:u w:val="single"/>
                <w:lang w:val="en-US" w:eastAsia="zh-CN"/>
              </w:rPr>
            </w:pPr>
            <w:r>
              <w:rPr>
                <w:rFonts w:hint="eastAsia"/>
                <w:bCs/>
                <w:color w:val="auto"/>
                <w:kern w:val="0"/>
                <w:sz w:val="21"/>
                <w:szCs w:val="21"/>
                <w:highlight w:val="none"/>
                <w:u w:val="single"/>
                <w:lang w:val="en-US" w:eastAsia="zh-CN"/>
              </w:rPr>
              <w:t>37</w:t>
            </w:r>
          </w:p>
        </w:tc>
        <w:tc>
          <w:tcPr>
            <w:tcW w:w="1494" w:type="dxa"/>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变压器</w:t>
            </w:r>
          </w:p>
        </w:tc>
        <w:tc>
          <w:tcPr>
            <w:tcW w:w="2909" w:type="dxa"/>
            <w:vAlign w:val="center"/>
          </w:tcPr>
          <w:p>
            <w:pPr>
              <w:pStyle w:val="69"/>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bCs/>
                <w:color w:val="auto"/>
                <w:kern w:val="0"/>
                <w:sz w:val="21"/>
                <w:szCs w:val="21"/>
                <w:highlight w:val="none"/>
                <w:u w:val="single"/>
              </w:rPr>
              <w:t>63</w:t>
            </w:r>
            <w:r>
              <w:rPr>
                <w:rFonts w:ascii="Times New Roman" w:hAnsi="Times New Roman" w:eastAsia="宋体"/>
                <w:bCs/>
                <w:color w:val="auto"/>
                <w:kern w:val="0"/>
                <w:sz w:val="21"/>
                <w:szCs w:val="21"/>
                <w:highlight w:val="none"/>
                <w:u w:val="single"/>
              </w:rPr>
              <w:t>0KVA</w:t>
            </w:r>
          </w:p>
        </w:tc>
        <w:tc>
          <w:tcPr>
            <w:tcW w:w="712" w:type="dxa"/>
            <w:vAlign w:val="center"/>
          </w:tcPr>
          <w:p>
            <w:pPr>
              <w:widowControl/>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ascii="Times New Roman" w:hAnsi="Times New Roman" w:eastAsia="宋体" w:cs="Times New Roman"/>
                <w:bCs/>
                <w:color w:val="auto"/>
                <w:kern w:val="0"/>
                <w:sz w:val="21"/>
                <w:highlight w:val="none"/>
                <w:u w:val="single"/>
              </w:rPr>
              <w:t>台</w:t>
            </w:r>
          </w:p>
        </w:tc>
        <w:tc>
          <w:tcPr>
            <w:tcW w:w="773" w:type="dxa"/>
            <w:vAlign w:val="center"/>
          </w:tcPr>
          <w:p>
            <w:pPr>
              <w:widowControl/>
              <w:snapToGrid w:val="0"/>
              <w:spacing w:line="240" w:lineRule="auto"/>
              <w:ind w:firstLine="0" w:firstLineChars="0"/>
              <w:jc w:val="center"/>
              <w:rPr>
                <w:rFonts w:hint="eastAsia" w:ascii="Times New Roman" w:hAnsi="Times New Roman" w:eastAsia="宋体"/>
                <w:bCs/>
                <w:color w:val="auto"/>
                <w:kern w:val="0"/>
                <w:sz w:val="21"/>
                <w:szCs w:val="21"/>
                <w:highlight w:val="none"/>
                <w:u w:val="single"/>
              </w:rPr>
            </w:pPr>
            <w:r>
              <w:rPr>
                <w:rFonts w:hint="eastAsia" w:ascii="Times New Roman" w:hAnsi="Times New Roman" w:eastAsia="宋体" w:cs="Times New Roman"/>
                <w:bCs/>
                <w:color w:val="auto"/>
                <w:kern w:val="0"/>
                <w:sz w:val="21"/>
                <w:highlight w:val="none"/>
                <w:u w:val="single"/>
              </w:rPr>
              <w:t>1</w:t>
            </w:r>
          </w:p>
        </w:tc>
        <w:tc>
          <w:tcPr>
            <w:tcW w:w="2472" w:type="dxa"/>
            <w:vAlign w:val="center"/>
          </w:tcPr>
          <w:p>
            <w:pPr>
              <w:pStyle w:val="69"/>
              <w:adjustRightInd w:val="0"/>
              <w:snapToGrid w:val="0"/>
              <w:spacing w:line="240" w:lineRule="auto"/>
              <w:ind w:firstLine="0" w:firstLineChars="0"/>
              <w:jc w:val="center"/>
              <w:rPr>
                <w:rFonts w:ascii="Times New Roman" w:hAnsi="Times New Roman" w:eastAsia="宋体"/>
                <w:bCs/>
                <w:color w:val="auto"/>
                <w:kern w:val="0"/>
                <w:sz w:val="21"/>
                <w:szCs w:val="21"/>
                <w:highlight w:val="none"/>
                <w:u w:val="single"/>
              </w:rPr>
            </w:pPr>
            <w:r>
              <w:rPr>
                <w:rFonts w:ascii="Times New Roman" w:hAnsi="Times New Roman" w:eastAsia="宋体"/>
                <w:bCs/>
                <w:color w:val="auto"/>
                <w:kern w:val="0"/>
                <w:sz w:val="21"/>
                <w:szCs w:val="21"/>
                <w:highlight w:val="none"/>
                <w:u w:val="single"/>
              </w:rPr>
              <w:t>原有</w:t>
            </w:r>
          </w:p>
        </w:tc>
      </w:tr>
    </w:tbl>
    <w:p>
      <w:pPr>
        <w:numPr>
          <w:ilvl w:val="0"/>
          <w:numId w:val="7"/>
        </w:num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矿山生产能力验证</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①验算依据</w:t>
      </w:r>
      <w:bookmarkEnd w:id="81"/>
      <w:bookmarkEnd w:id="82"/>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生产规模：20.83万m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（折合50万t）/年</w:t>
      </w:r>
    </w:p>
    <w:p>
      <w:pPr>
        <w:spacing w:line="46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日剥采矿、岩总量：</w:t>
      </w:r>
      <w:r>
        <w:rPr>
          <w:rFonts w:hint="eastAsia" w:ascii="Times New Roman" w:hAnsi="Times New Roman" w:eastAsia="宋体" w:cs="Times New Roman"/>
          <w:color w:val="auto"/>
          <w:highlight w:val="none"/>
        </w:rPr>
        <w:t>208300</w:t>
      </w:r>
      <w:r>
        <w:rPr>
          <w:rFonts w:ascii="Times New Roman" w:hAnsi="Times New Roman" w:eastAsia="宋体" w:cs="Times New Roman"/>
          <w:color w:val="auto"/>
          <w:highlight w:val="none"/>
        </w:rPr>
        <w:t>/300=6</w:t>
      </w:r>
      <w:r>
        <w:rPr>
          <w:rFonts w:hint="eastAsia" w:ascii="Times New Roman" w:hAnsi="Times New Roman" w:eastAsia="宋体" w:cs="Times New Roman"/>
          <w:color w:val="auto"/>
          <w:highlight w:val="none"/>
        </w:rPr>
        <w:t>94.3</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 xml:space="preserve"> ，折合松方6</w:t>
      </w:r>
      <w:r>
        <w:rPr>
          <w:rFonts w:hint="eastAsia" w:ascii="Times New Roman" w:hAnsi="Times New Roman" w:eastAsia="宋体" w:cs="Times New Roman"/>
          <w:color w:val="auto"/>
          <w:highlight w:val="none"/>
        </w:rPr>
        <w:t>94.3</w:t>
      </w:r>
      <w:r>
        <w:rPr>
          <w:rFonts w:ascii="Times New Roman" w:hAnsi="Times New Roman" w:eastAsia="宋体" w:cs="Times New Roman"/>
          <w:color w:val="auto"/>
          <w:highlight w:val="none"/>
        </w:rPr>
        <w:t>×1.6=1</w:t>
      </w:r>
      <w:r>
        <w:rPr>
          <w:rFonts w:hint="eastAsia" w:ascii="Times New Roman" w:hAnsi="Times New Roman" w:eastAsia="宋体" w:cs="Times New Roman"/>
          <w:color w:val="auto"/>
          <w:highlight w:val="none"/>
        </w:rPr>
        <w:t>110.88</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（矿岩的松散系为1.6）。</w:t>
      </w:r>
    </w:p>
    <w:p>
      <w:pPr>
        <w:ind w:firstLine="480"/>
        <w:rPr>
          <w:rFonts w:hint="eastAsia" w:ascii="Times New Roman" w:hAnsi="Times New Roman" w:eastAsia="宋体"/>
          <w:color w:val="auto"/>
          <w:highlight w:val="none"/>
        </w:rPr>
      </w:pPr>
      <w:bookmarkStart w:id="83" w:name="_Toc501376295"/>
      <w:bookmarkStart w:id="84" w:name="_Toc501458004"/>
      <w:r>
        <w:rPr>
          <w:rFonts w:hint="eastAsia" w:ascii="Times New Roman" w:hAnsi="Times New Roman" w:eastAsia="宋体"/>
          <w:color w:val="auto"/>
          <w:highlight w:val="none"/>
        </w:rPr>
        <w:t>②</w:t>
      </w:r>
      <w:bookmarkEnd w:id="83"/>
      <w:bookmarkEnd w:id="84"/>
      <w:bookmarkStart w:id="85" w:name="_Toc501376296"/>
      <w:bookmarkStart w:id="86" w:name="_Toc501458005"/>
      <w:r>
        <w:rPr>
          <w:rFonts w:hint="eastAsia" w:ascii="Times New Roman" w:hAnsi="Times New Roman" w:eastAsia="宋体"/>
          <w:color w:val="auto"/>
          <w:highlight w:val="none"/>
        </w:rPr>
        <w:t>凿岩设备生产能力</w:t>
      </w:r>
      <w:bookmarkEnd w:id="85"/>
      <w:bookmarkEnd w:id="86"/>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设计凿岩潜孔钻机选用HQF100风动潜孔钻</w:t>
      </w:r>
      <w:r>
        <w:rPr>
          <w:rFonts w:ascii="Times New Roman" w:hAnsi="Times New Roman" w:eastAsia="宋体"/>
          <w:color w:val="auto"/>
          <w:highlight w:val="none"/>
        </w:rPr>
        <w:t>机</w:t>
      </w:r>
      <w:r>
        <w:rPr>
          <w:rFonts w:hint="eastAsia" w:ascii="Times New Roman" w:hAnsi="Times New Roman" w:eastAsia="宋体"/>
          <w:color w:val="auto"/>
          <w:highlight w:val="none"/>
        </w:rPr>
        <w:t>，单台钻机生产能力为48m/班，矿山每6天爆破一次，每次爆破需爆破炮孔总长为288m，1台钻机即可满足钻研需求。凿岩机数量按备用量50%计算，备用1台，即</w:t>
      </w:r>
      <w:r>
        <w:rPr>
          <w:rFonts w:ascii="Times New Roman" w:hAnsi="Times New Roman" w:eastAsia="宋体"/>
          <w:color w:val="auto"/>
          <w:highlight w:val="none"/>
        </w:rPr>
        <w:t>该采</w:t>
      </w:r>
      <w:r>
        <w:rPr>
          <w:rFonts w:hint="eastAsia" w:ascii="Times New Roman" w:hAnsi="Times New Roman" w:eastAsia="宋体"/>
          <w:color w:val="auto"/>
          <w:highlight w:val="none"/>
        </w:rPr>
        <w:t>矿</w:t>
      </w:r>
      <w:r>
        <w:rPr>
          <w:rFonts w:ascii="Times New Roman" w:hAnsi="Times New Roman" w:eastAsia="宋体"/>
          <w:color w:val="auto"/>
          <w:highlight w:val="none"/>
        </w:rPr>
        <w:t>场</w:t>
      </w:r>
      <w:r>
        <w:rPr>
          <w:rFonts w:hint="eastAsia" w:ascii="Times New Roman" w:hAnsi="Times New Roman" w:eastAsia="宋体"/>
          <w:color w:val="auto"/>
          <w:highlight w:val="none"/>
        </w:rPr>
        <w:t>需</w:t>
      </w:r>
      <w:r>
        <w:rPr>
          <w:rFonts w:ascii="Times New Roman" w:hAnsi="Times New Roman" w:eastAsia="宋体"/>
          <w:color w:val="auto"/>
          <w:highlight w:val="none"/>
        </w:rPr>
        <w:t>用</w:t>
      </w:r>
      <w:r>
        <w:rPr>
          <w:rFonts w:hint="eastAsia" w:ascii="Times New Roman" w:hAnsi="Times New Roman" w:eastAsia="宋体"/>
          <w:color w:val="auto"/>
          <w:highlight w:val="none"/>
        </w:rPr>
        <w:t>2</w:t>
      </w:r>
      <w:r>
        <w:rPr>
          <w:rFonts w:ascii="Times New Roman" w:hAnsi="Times New Roman" w:eastAsia="宋体"/>
          <w:color w:val="auto"/>
          <w:highlight w:val="none"/>
        </w:rPr>
        <w:t>台</w:t>
      </w:r>
      <w:r>
        <w:rPr>
          <w:rFonts w:hint="eastAsia" w:ascii="Times New Roman" w:hAnsi="Times New Roman" w:eastAsia="宋体"/>
          <w:color w:val="auto"/>
          <w:highlight w:val="none"/>
        </w:rPr>
        <w:t>HQF100风动潜孔钻</w:t>
      </w:r>
      <w:r>
        <w:rPr>
          <w:rFonts w:ascii="Times New Roman" w:hAnsi="Times New Roman" w:eastAsia="宋体"/>
          <w:color w:val="auto"/>
          <w:highlight w:val="none"/>
        </w:rPr>
        <w:t>机既能全面满足生产要求，又能灵活机动调节钻孔打眼工作安排</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bookmarkStart w:id="87" w:name="_Toc501458006"/>
      <w:bookmarkStart w:id="88" w:name="_Toc501376297"/>
      <w:r>
        <w:rPr>
          <w:rFonts w:hint="eastAsia" w:ascii="Times New Roman" w:hAnsi="Times New Roman" w:eastAsia="宋体"/>
          <w:color w:val="auto"/>
          <w:highlight w:val="none"/>
        </w:rPr>
        <w:t>③矿岩</w:t>
      </w:r>
      <w:r>
        <w:rPr>
          <w:rFonts w:ascii="Times New Roman" w:hAnsi="Times New Roman" w:eastAsia="宋体"/>
          <w:color w:val="auto"/>
          <w:highlight w:val="none"/>
        </w:rPr>
        <w:t>铲装能力</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挖掘机选用神钢SK320-6 挖掘机，神钢SK320-6的铲斗容积为1.4m</w:t>
      </w:r>
      <w:r>
        <w:rPr>
          <w:rFonts w:ascii="Times New Roman" w:hAnsi="Times New Roman" w:eastAsia="宋体" w:cs="Times New Roman"/>
          <w:color w:val="auto"/>
          <w:szCs w:val="24"/>
          <w:highlight w:val="none"/>
          <w:vertAlign w:val="superscript"/>
        </w:rPr>
        <w:t>3</w:t>
      </w:r>
      <w:r>
        <w:rPr>
          <w:rFonts w:ascii="Times New Roman" w:hAnsi="Times New Roman" w:eastAsia="宋体" w:cs="Times New Roman"/>
          <w:color w:val="auto"/>
          <w:szCs w:val="24"/>
          <w:highlight w:val="none"/>
        </w:rPr>
        <w:t>，依据冶金矿山设计参考资料，台班采装效率160～220m</w:t>
      </w:r>
      <w:r>
        <w:rPr>
          <w:rFonts w:ascii="Times New Roman" w:hAnsi="Times New Roman" w:eastAsia="宋体" w:cs="Times New Roman"/>
          <w:color w:val="auto"/>
          <w:szCs w:val="24"/>
          <w:highlight w:val="none"/>
          <w:vertAlign w:val="superscript"/>
        </w:rPr>
        <w:t>3</w:t>
      </w:r>
      <w:r>
        <w:rPr>
          <w:rFonts w:ascii="Times New Roman" w:hAnsi="Times New Roman" w:eastAsia="宋体" w:cs="Times New Roman"/>
          <w:color w:val="auto"/>
          <w:szCs w:val="24"/>
          <w:highlight w:val="none"/>
        </w:rPr>
        <w:t>之间，设计采用挖掘机</w:t>
      </w:r>
      <w:r>
        <w:rPr>
          <w:rFonts w:hint="eastAsia" w:ascii="Times New Roman" w:hAnsi="Times New Roman" w:eastAsia="宋体" w:cs="Times New Roman"/>
          <w:color w:val="auto"/>
          <w:szCs w:val="24"/>
          <w:highlight w:val="none"/>
        </w:rPr>
        <w:t>6</w:t>
      </w:r>
      <w:r>
        <w:rPr>
          <w:rFonts w:ascii="Times New Roman" w:hAnsi="Times New Roman" w:eastAsia="宋体" w:cs="Times New Roman"/>
          <w:color w:val="auto"/>
          <w:szCs w:val="24"/>
          <w:highlight w:val="none"/>
        </w:rPr>
        <w:t>台，</w:t>
      </w:r>
      <w:r>
        <w:rPr>
          <w:rFonts w:hint="eastAsia" w:ascii="Times New Roman" w:hAnsi="Times New Roman" w:eastAsia="宋体" w:cs="Times New Roman"/>
          <w:color w:val="auto"/>
          <w:szCs w:val="24"/>
          <w:highlight w:val="none"/>
        </w:rPr>
        <w:t>采装量可达960</w:t>
      </w:r>
      <w:r>
        <w:rPr>
          <w:rFonts w:ascii="Times New Roman" w:hAnsi="Times New Roman" w:eastAsia="宋体" w:cs="Times New Roman"/>
          <w:color w:val="auto"/>
          <w:szCs w:val="24"/>
          <w:highlight w:val="none"/>
        </w:rPr>
        <w:t>m</w:t>
      </w:r>
      <w:r>
        <w:rPr>
          <w:rFonts w:ascii="Times New Roman" w:hAnsi="Times New Roman" w:eastAsia="宋体" w:cs="Times New Roman"/>
          <w:color w:val="auto"/>
          <w:szCs w:val="24"/>
          <w:highlight w:val="none"/>
          <w:vertAlign w:val="superscript"/>
        </w:rPr>
        <w:t>3</w:t>
      </w:r>
      <w:r>
        <w:rPr>
          <w:rFonts w:hint="eastAsia" w:ascii="Times New Roman" w:hAnsi="Times New Roman" w:eastAsia="宋体" w:cs="Times New Roman"/>
          <w:color w:val="auto"/>
          <w:szCs w:val="24"/>
          <w:highlight w:val="none"/>
        </w:rPr>
        <w:t>/d</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13</w:t>
      </w:r>
      <w:r>
        <w:rPr>
          <w:rFonts w:ascii="Times New Roman" w:hAnsi="Times New Roman" w:eastAsia="宋体" w:cs="Times New Roman"/>
          <w:color w:val="auto"/>
          <w:szCs w:val="24"/>
          <w:highlight w:val="none"/>
        </w:rPr>
        <w:t>20m</w:t>
      </w:r>
      <w:r>
        <w:rPr>
          <w:rFonts w:ascii="Times New Roman" w:hAnsi="Times New Roman" w:eastAsia="宋体" w:cs="Times New Roman"/>
          <w:color w:val="auto"/>
          <w:szCs w:val="24"/>
          <w:highlight w:val="none"/>
          <w:vertAlign w:val="superscript"/>
        </w:rPr>
        <w:t>3</w:t>
      </w:r>
      <w:r>
        <w:rPr>
          <w:rFonts w:hint="eastAsia" w:ascii="Times New Roman" w:hAnsi="Times New Roman" w:eastAsia="宋体" w:cs="Times New Roman"/>
          <w:color w:val="auto"/>
          <w:szCs w:val="24"/>
          <w:highlight w:val="none"/>
        </w:rPr>
        <w:t>/d</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铲装</w:t>
      </w:r>
      <w:r>
        <w:rPr>
          <w:rFonts w:ascii="Times New Roman" w:hAnsi="Times New Roman" w:eastAsia="宋体" w:cs="Times New Roman"/>
          <w:color w:val="auto"/>
          <w:szCs w:val="24"/>
          <w:highlight w:val="none"/>
        </w:rPr>
        <w:t>能力达到生产规模</w:t>
      </w:r>
      <w:r>
        <w:rPr>
          <w:rFonts w:hint="eastAsia" w:ascii="Times New Roman" w:hAnsi="Times New Roman" w:eastAsia="宋体" w:cs="Times New Roman"/>
          <w:color w:val="auto"/>
          <w:szCs w:val="24"/>
          <w:highlight w:val="none"/>
        </w:rPr>
        <w:t>1110.88</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szCs w:val="24"/>
          <w:highlight w:val="none"/>
        </w:rPr>
        <w:t>/d</w:t>
      </w:r>
      <w:r>
        <w:rPr>
          <w:rFonts w:ascii="Times New Roman" w:hAnsi="Times New Roman" w:eastAsia="宋体" w:cs="Times New Roman"/>
          <w:color w:val="auto"/>
          <w:szCs w:val="24"/>
          <w:highlight w:val="none"/>
        </w:rPr>
        <w:t>的要求。</w:t>
      </w:r>
    </w:p>
    <w:p>
      <w:pPr>
        <w:ind w:firstLine="480"/>
        <w:rPr>
          <w:rFonts w:ascii="Times New Roman" w:hAnsi="Times New Roman" w:eastAsia="宋体"/>
          <w:color w:val="auto"/>
          <w:highlight w:val="none"/>
          <w:u w:val="single"/>
        </w:rPr>
      </w:pPr>
      <w:r>
        <w:rPr>
          <w:rFonts w:hint="eastAsia" w:ascii="Times New Roman" w:hAnsi="Times New Roman" w:eastAsia="宋体"/>
          <w:color w:val="auto"/>
          <w:highlight w:val="none"/>
          <w:u w:val="single"/>
        </w:rPr>
        <w:t>④</w:t>
      </w:r>
      <w:r>
        <w:rPr>
          <w:rFonts w:ascii="Times New Roman" w:hAnsi="Times New Roman" w:eastAsia="宋体"/>
          <w:color w:val="auto"/>
          <w:highlight w:val="none"/>
          <w:u w:val="single"/>
        </w:rPr>
        <w:t>汽车运输生产能力</w:t>
      </w:r>
      <w:bookmarkEnd w:id="87"/>
      <w:bookmarkEnd w:id="88"/>
    </w:p>
    <w:p>
      <w:pPr>
        <w:ind w:firstLine="480"/>
        <w:rPr>
          <w:rFonts w:ascii="Times New Roman" w:hAnsi="Times New Roman" w:eastAsia="宋体"/>
          <w:color w:val="auto"/>
          <w:highlight w:val="none"/>
          <w:u w:val="single"/>
        </w:rPr>
      </w:pPr>
      <w:r>
        <w:rPr>
          <w:rFonts w:ascii="Times New Roman" w:hAnsi="Times New Roman" w:eastAsia="宋体"/>
          <w:color w:val="auto"/>
          <w:highlight w:val="none"/>
          <w:u w:val="single"/>
        </w:rPr>
        <w:t>整个矿山日均采矿量</w:t>
      </w:r>
      <w:r>
        <w:rPr>
          <w:rFonts w:hint="eastAsia" w:ascii="Times New Roman" w:hAnsi="Times New Roman" w:eastAsia="宋体"/>
          <w:color w:val="auto"/>
          <w:highlight w:val="none"/>
          <w:u w:val="single"/>
        </w:rPr>
        <w:t>约1</w:t>
      </w:r>
      <w:r>
        <w:rPr>
          <w:rFonts w:ascii="Times New Roman" w:hAnsi="Times New Roman" w:eastAsia="宋体"/>
          <w:color w:val="auto"/>
          <w:highlight w:val="none"/>
          <w:u w:val="single"/>
        </w:rPr>
        <w:t>667</w:t>
      </w:r>
      <w:r>
        <w:rPr>
          <w:rFonts w:hint="eastAsia" w:ascii="Times New Roman" w:hAnsi="Times New Roman" w:eastAsia="宋体"/>
          <w:color w:val="auto"/>
          <w:highlight w:val="none"/>
          <w:u w:val="single"/>
        </w:rPr>
        <w:t>t</w:t>
      </w:r>
      <w:r>
        <w:rPr>
          <w:rFonts w:ascii="Times New Roman" w:hAnsi="Times New Roman" w:eastAsia="宋体"/>
          <w:color w:val="auto"/>
          <w:highlight w:val="none"/>
          <w:u w:val="single"/>
        </w:rPr>
        <w:t>，开采作业面配置</w:t>
      </w:r>
      <w:r>
        <w:rPr>
          <w:rFonts w:hint="eastAsia" w:ascii="Times New Roman" w:hAnsi="Times New Roman" w:eastAsia="宋体"/>
          <w:color w:val="auto"/>
          <w:highlight w:val="none"/>
          <w:u w:val="single"/>
        </w:rPr>
        <w:t>每辆</w:t>
      </w:r>
      <w:r>
        <w:rPr>
          <w:rFonts w:ascii="Times New Roman" w:hAnsi="Times New Roman" w:eastAsia="宋体"/>
          <w:color w:val="auto"/>
          <w:highlight w:val="none"/>
          <w:u w:val="single"/>
        </w:rPr>
        <w:t>载重量为</w:t>
      </w:r>
      <w:r>
        <w:rPr>
          <w:rFonts w:hint="eastAsia" w:ascii="Times New Roman" w:hAnsi="Times New Roman" w:eastAsia="宋体"/>
          <w:color w:val="auto"/>
          <w:highlight w:val="none"/>
          <w:u w:val="single"/>
        </w:rPr>
        <w:t>10t</w:t>
      </w:r>
      <w:r>
        <w:rPr>
          <w:rFonts w:ascii="Times New Roman" w:hAnsi="Times New Roman" w:eastAsia="宋体"/>
          <w:color w:val="auto"/>
          <w:highlight w:val="none"/>
          <w:u w:val="single"/>
        </w:rPr>
        <w:t>的</w:t>
      </w:r>
      <w:r>
        <w:rPr>
          <w:rFonts w:hint="eastAsia" w:ascii="Times New Roman" w:hAnsi="Times New Roman" w:eastAsia="宋体"/>
          <w:color w:val="auto"/>
          <w:highlight w:val="none"/>
          <w:u w:val="single"/>
        </w:rPr>
        <w:t>东风汽车</w:t>
      </w:r>
      <w:r>
        <w:rPr>
          <w:rFonts w:ascii="Times New Roman" w:hAnsi="Times New Roman" w:eastAsia="宋体"/>
          <w:color w:val="auto"/>
          <w:highlight w:val="none"/>
          <w:u w:val="single"/>
        </w:rPr>
        <w:t>作场内短途运输，每个装、运、卸回</w:t>
      </w:r>
      <w:r>
        <w:rPr>
          <w:rFonts w:hint="eastAsia" w:ascii="Times New Roman" w:hAnsi="Times New Roman" w:eastAsia="宋体"/>
          <w:color w:val="auto"/>
          <w:highlight w:val="none"/>
          <w:u w:val="single"/>
        </w:rPr>
        <w:t>转</w:t>
      </w:r>
      <w:r>
        <w:rPr>
          <w:rFonts w:ascii="Times New Roman" w:hAnsi="Times New Roman" w:eastAsia="宋体"/>
          <w:color w:val="auto"/>
          <w:highlight w:val="none"/>
          <w:u w:val="single"/>
        </w:rPr>
        <w:t>时间</w:t>
      </w:r>
      <w:r>
        <w:rPr>
          <w:rFonts w:hint="eastAsia" w:ascii="Times New Roman" w:hAnsi="Times New Roman" w:eastAsia="宋体"/>
          <w:color w:val="auto"/>
          <w:highlight w:val="none"/>
          <w:u w:val="single"/>
        </w:rPr>
        <w:t>约</w:t>
      </w:r>
      <w:r>
        <w:rPr>
          <w:rFonts w:ascii="Times New Roman" w:hAnsi="Times New Roman" w:eastAsia="宋体"/>
          <w:color w:val="auto"/>
          <w:highlight w:val="none"/>
          <w:u w:val="single"/>
        </w:rPr>
        <w:t>为</w:t>
      </w:r>
      <w:r>
        <w:rPr>
          <w:rFonts w:hint="eastAsia" w:ascii="Times New Roman" w:hAnsi="Times New Roman" w:eastAsia="宋体"/>
          <w:color w:val="auto"/>
          <w:highlight w:val="none"/>
          <w:u w:val="single"/>
        </w:rPr>
        <w:t>20</w:t>
      </w:r>
      <w:r>
        <w:rPr>
          <w:rFonts w:ascii="Times New Roman" w:hAnsi="Times New Roman" w:eastAsia="宋体"/>
          <w:color w:val="auto"/>
          <w:highlight w:val="none"/>
          <w:u w:val="single"/>
        </w:rPr>
        <w:t>分钟，即每小时装、运、卸能力为</w:t>
      </w:r>
      <w:r>
        <w:rPr>
          <w:rFonts w:hint="eastAsia" w:ascii="Times New Roman" w:hAnsi="Times New Roman" w:eastAsia="宋体"/>
          <w:color w:val="auto"/>
          <w:highlight w:val="none"/>
          <w:u w:val="single"/>
        </w:rPr>
        <w:t>30t</w:t>
      </w:r>
      <w:r>
        <w:rPr>
          <w:rFonts w:ascii="Times New Roman" w:hAnsi="Times New Roman" w:eastAsia="宋体"/>
          <w:color w:val="auto"/>
          <w:highlight w:val="none"/>
          <w:u w:val="single"/>
        </w:rPr>
        <w:t>，每天（以8小时工作制计）每台</w:t>
      </w:r>
      <w:r>
        <w:rPr>
          <w:rFonts w:hint="eastAsia" w:ascii="Times New Roman" w:hAnsi="Times New Roman" w:eastAsia="宋体"/>
          <w:color w:val="auto"/>
          <w:highlight w:val="none"/>
          <w:u w:val="single"/>
        </w:rPr>
        <w:t>汽车</w:t>
      </w:r>
      <w:r>
        <w:rPr>
          <w:rFonts w:ascii="Times New Roman" w:hAnsi="Times New Roman" w:eastAsia="宋体"/>
          <w:color w:val="auto"/>
          <w:highlight w:val="none"/>
          <w:u w:val="single"/>
        </w:rPr>
        <w:t>可搬运矿石量为</w:t>
      </w:r>
      <w:r>
        <w:rPr>
          <w:rFonts w:hint="eastAsia" w:ascii="Times New Roman" w:hAnsi="Times New Roman" w:eastAsia="宋体"/>
          <w:color w:val="auto"/>
          <w:highlight w:val="none"/>
          <w:u w:val="single"/>
        </w:rPr>
        <w:t>240t/班。矿山</w:t>
      </w:r>
      <w:r>
        <w:rPr>
          <w:rFonts w:ascii="Times New Roman" w:hAnsi="Times New Roman" w:eastAsia="宋体"/>
          <w:color w:val="auto"/>
          <w:highlight w:val="none"/>
          <w:u w:val="single"/>
        </w:rPr>
        <w:t>配置</w:t>
      </w:r>
      <w:r>
        <w:rPr>
          <w:rFonts w:hint="eastAsia" w:ascii="Times New Roman" w:hAnsi="Times New Roman" w:eastAsia="宋体"/>
          <w:color w:val="auto"/>
          <w:highlight w:val="none"/>
          <w:u w:val="single"/>
        </w:rPr>
        <w:t>8辆</w:t>
      </w:r>
      <w:r>
        <w:rPr>
          <w:rFonts w:ascii="Times New Roman" w:hAnsi="Times New Roman" w:eastAsia="宋体"/>
          <w:color w:val="auto"/>
          <w:highlight w:val="none"/>
          <w:u w:val="single"/>
        </w:rPr>
        <w:t>载重量为</w:t>
      </w:r>
      <w:r>
        <w:rPr>
          <w:rFonts w:hint="eastAsia" w:ascii="Times New Roman" w:hAnsi="Times New Roman" w:eastAsia="宋体"/>
          <w:color w:val="auto"/>
          <w:highlight w:val="none"/>
          <w:u w:val="single"/>
        </w:rPr>
        <w:t>10t</w:t>
      </w:r>
      <w:r>
        <w:rPr>
          <w:rFonts w:ascii="Times New Roman" w:hAnsi="Times New Roman" w:eastAsia="宋体"/>
          <w:color w:val="auto"/>
          <w:highlight w:val="none"/>
          <w:u w:val="single"/>
        </w:rPr>
        <w:t>的</w:t>
      </w:r>
      <w:r>
        <w:rPr>
          <w:rFonts w:hint="eastAsia" w:ascii="Times New Roman" w:hAnsi="Times New Roman" w:eastAsia="宋体"/>
          <w:color w:val="auto"/>
          <w:highlight w:val="none"/>
          <w:u w:val="single"/>
        </w:rPr>
        <w:t>东风汽车</w:t>
      </w:r>
      <w:r>
        <w:rPr>
          <w:rFonts w:ascii="Times New Roman" w:hAnsi="Times New Roman" w:eastAsia="宋体"/>
          <w:color w:val="auto"/>
          <w:highlight w:val="none"/>
          <w:u w:val="single"/>
        </w:rPr>
        <w:t>，</w:t>
      </w:r>
      <w:r>
        <w:rPr>
          <w:rFonts w:hint="eastAsia" w:ascii="Times New Roman" w:hAnsi="Times New Roman" w:eastAsia="宋体"/>
          <w:color w:val="auto"/>
          <w:highlight w:val="none"/>
          <w:u w:val="single"/>
        </w:rPr>
        <w:t>可搬运矿石总量1920t/d，</w:t>
      </w:r>
      <w:r>
        <w:rPr>
          <w:rFonts w:ascii="Times New Roman" w:hAnsi="Times New Roman" w:eastAsia="宋体"/>
          <w:color w:val="auto"/>
          <w:highlight w:val="none"/>
          <w:u w:val="single"/>
        </w:rPr>
        <w:t>满足场内短途运输需要。</w:t>
      </w:r>
    </w:p>
    <w:p>
      <w:pPr>
        <w:ind w:firstLine="480"/>
        <w:rPr>
          <w:rFonts w:hint="default" w:ascii="Times New Roman" w:hAnsi="Times New Roman" w:eastAsia="宋体"/>
          <w:color w:val="auto"/>
          <w:highlight w:val="none"/>
          <w:u w:val="single"/>
          <w:lang w:val="en-US" w:eastAsia="zh-CN"/>
        </w:rPr>
      </w:pPr>
      <w:r>
        <w:rPr>
          <w:rFonts w:hint="eastAsia"/>
          <w:color w:val="auto"/>
          <w:highlight w:val="none"/>
          <w:u w:val="single"/>
          <w:lang w:val="en-US" w:eastAsia="zh-CN"/>
        </w:rPr>
        <w:t>矿山对外运输主要由大型货车装运，装载量可达60t/辆，日常生产过程</w:t>
      </w:r>
      <w:r>
        <w:rPr>
          <w:rFonts w:ascii="Times New Roman" w:hAnsi="Times New Roman" w:eastAsia="宋体" w:cs="Times New Roman"/>
          <w:color w:val="auto"/>
          <w:highlight w:val="none"/>
          <w:u w:val="single"/>
        </w:rPr>
        <w:t>运输量</w:t>
      </w:r>
      <w:r>
        <w:rPr>
          <w:rFonts w:hint="eastAsia" w:cs="Times New Roman"/>
          <w:color w:val="auto"/>
          <w:highlight w:val="none"/>
          <w:u w:val="single"/>
          <w:lang w:val="en-US" w:eastAsia="zh-CN"/>
        </w:rPr>
        <w:t>28</w:t>
      </w:r>
      <w:r>
        <w:rPr>
          <w:rFonts w:ascii="Times New Roman" w:hAnsi="Times New Roman" w:eastAsia="宋体" w:cs="Times New Roman"/>
          <w:color w:val="auto"/>
          <w:highlight w:val="none"/>
          <w:u w:val="single"/>
        </w:rPr>
        <w:t>辆次/天</w:t>
      </w:r>
      <w:r>
        <w:rPr>
          <w:rFonts w:hint="eastAsia" w:cs="Times New Roman"/>
          <w:color w:val="auto"/>
          <w:highlight w:val="none"/>
          <w:u w:val="single"/>
          <w:lang w:eastAsia="zh-CN"/>
        </w:rPr>
        <w:t>，</w:t>
      </w:r>
      <w:r>
        <w:rPr>
          <w:rFonts w:hint="eastAsia" w:cs="Times New Roman"/>
          <w:color w:val="auto"/>
          <w:highlight w:val="none"/>
          <w:u w:val="single"/>
          <w:lang w:val="en-US" w:eastAsia="zh-CN"/>
        </w:rPr>
        <w:t>主要在白天进行</w:t>
      </w:r>
      <w:r>
        <w:rPr>
          <w:rFonts w:hint="eastAsia" w:ascii="Times New Roman" w:hAnsi="Times New Roman" w:cs="Times New Roman"/>
          <w:color w:val="auto"/>
          <w:highlight w:val="none"/>
          <w:u w:val="single"/>
          <w:lang w:eastAsia="zh-CN"/>
        </w:rPr>
        <w:t>。</w:t>
      </w:r>
      <w:r>
        <w:rPr>
          <w:rFonts w:hint="eastAsia" w:ascii="Times New Roman" w:hAnsi="Times New Roman" w:cs="Times New Roman"/>
          <w:color w:val="auto"/>
          <w:highlight w:val="none"/>
          <w:u w:val="single"/>
          <w:lang w:val="en-US" w:eastAsia="zh-CN"/>
        </w:rPr>
        <w:t>大型货车由</w:t>
      </w:r>
      <w:r>
        <w:rPr>
          <w:rFonts w:hint="eastAsia" w:cs="Times New Roman"/>
          <w:color w:val="auto"/>
          <w:highlight w:val="none"/>
          <w:u w:val="single"/>
          <w:lang w:val="en-US" w:eastAsia="zh-CN"/>
        </w:rPr>
        <w:t>客户自备</w:t>
      </w:r>
      <w:r>
        <w:rPr>
          <w:rFonts w:ascii="Times New Roman" w:hAnsi="Times New Roman" w:eastAsia="宋体" w:cs="Times New Roman"/>
          <w:color w:val="auto"/>
          <w:highlight w:val="none"/>
          <w:u w:val="single"/>
        </w:rPr>
        <w:t>。</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⑤破碎筛分能力验证</w:t>
      </w:r>
    </w:p>
    <w:p>
      <w:pPr>
        <w:ind w:firstLine="480"/>
        <w:jc w:val="both"/>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u w:val="single"/>
        </w:rPr>
        <w:t>整合后矿山布置2个</w:t>
      </w:r>
      <w:r>
        <w:rPr>
          <w:rFonts w:hint="eastAsia" w:cs="Times New Roman"/>
          <w:color w:val="auto"/>
          <w:szCs w:val="24"/>
          <w:highlight w:val="none"/>
          <w:u w:val="single"/>
          <w:lang w:val="en-US" w:eastAsia="zh-CN"/>
        </w:rPr>
        <w:t>破碎场并</w:t>
      </w:r>
      <w:r>
        <w:rPr>
          <w:rFonts w:ascii="Times New Roman" w:hAnsi="Times New Roman" w:eastAsia="宋体" w:cs="Times New Roman"/>
          <w:color w:val="auto"/>
          <w:szCs w:val="24"/>
          <w:highlight w:val="none"/>
          <w:u w:val="single"/>
        </w:rPr>
        <w:t>分别布设破碎筛分生产线</w:t>
      </w:r>
      <w:r>
        <w:rPr>
          <w:rFonts w:ascii="Times New Roman" w:hAnsi="Times New Roman" w:eastAsia="宋体" w:cs="Times New Roman"/>
          <w:color w:val="auto"/>
          <w:szCs w:val="24"/>
          <w:highlight w:val="none"/>
        </w:rPr>
        <w:t>，其中</w:t>
      </w:r>
      <w:r>
        <w:rPr>
          <w:rFonts w:hint="eastAsia" w:cs="Times New Roman"/>
          <w:color w:val="auto"/>
          <w:szCs w:val="24"/>
          <w:highlight w:val="none"/>
          <w:u w:val="single"/>
          <w:lang w:eastAsia="zh-CN"/>
        </w:rPr>
        <w:t>破碎场①</w:t>
      </w:r>
      <w:r>
        <w:rPr>
          <w:rFonts w:ascii="Times New Roman" w:hAnsi="Times New Roman" w:eastAsia="宋体" w:cs="Times New Roman"/>
          <w:color w:val="auto"/>
          <w:szCs w:val="24"/>
          <w:highlight w:val="none"/>
        </w:rPr>
        <w:t>主要设备为1台泥筛、1台振动给料机、1台 PE900×1200颚式破碎机、3台圆锥机和5个振动筛，主要生产工艺为石料泥筛筛选后由振动给料机上料至颚式破碎机进行一次破碎，破碎后送至圆锥机进行二次破碎得到半成品，半成品送至料仓暂存，半成品送至圆锥机进行三次破碎后送至2台筛分机并联筛分，上部大颗粒返回圆锥机进行再破碎，筛分底部碎石经二次筛分后得到成品。</w:t>
      </w:r>
      <w:r>
        <w:rPr>
          <w:rFonts w:hint="eastAsia" w:cs="Times New Roman"/>
          <w:color w:val="auto"/>
          <w:szCs w:val="24"/>
          <w:highlight w:val="none"/>
          <w:u w:val="single"/>
          <w:lang w:eastAsia="zh-CN"/>
        </w:rPr>
        <w:t>破碎场②</w:t>
      </w:r>
      <w:r>
        <w:rPr>
          <w:rFonts w:ascii="Times New Roman" w:hAnsi="Times New Roman" w:eastAsia="宋体" w:cs="Times New Roman"/>
          <w:color w:val="auto"/>
          <w:szCs w:val="24"/>
          <w:highlight w:val="none"/>
        </w:rPr>
        <w:t>主要设备为1台泥筛、1台振动给料机、1台 PE900×1200颚式破碎机、1台圆锥机、2台反击破碎机机、5个振动筛和1台制沙机，主要生产工艺为石料泥筛筛选后由振动给料机上料至颚式破碎机进行一次破碎，破碎后半成品送至料仓暂存，半成品送至圆锥机和反击破碎机进行二次破碎，破碎后送至2台筛分机并联筛分，上部大颗粒返回</w:t>
      </w:r>
      <w:r>
        <w:rPr>
          <w:rFonts w:hint="eastAsia" w:ascii="Times New Roman" w:hAnsi="Times New Roman" w:eastAsia="宋体" w:cs="Times New Roman"/>
          <w:color w:val="auto"/>
          <w:szCs w:val="24"/>
          <w:highlight w:val="none"/>
        </w:rPr>
        <w:t>反击破碎机</w:t>
      </w:r>
      <w:r>
        <w:rPr>
          <w:rFonts w:ascii="Times New Roman" w:hAnsi="Times New Roman" w:eastAsia="宋体" w:cs="Times New Roman"/>
          <w:color w:val="auto"/>
          <w:szCs w:val="24"/>
          <w:highlight w:val="none"/>
        </w:rPr>
        <w:t>进行再破碎，筛分底部碎石经二次筛分后得到</w:t>
      </w:r>
      <w:r>
        <w:rPr>
          <w:rFonts w:hint="eastAsia" w:ascii="Times New Roman" w:hAnsi="Times New Roman" w:eastAsia="宋体" w:cs="Times New Roman"/>
          <w:color w:val="auto"/>
          <w:szCs w:val="24"/>
          <w:highlight w:val="none"/>
        </w:rPr>
        <w:t>部分</w:t>
      </w:r>
      <w:r>
        <w:rPr>
          <w:rFonts w:ascii="Times New Roman" w:hAnsi="Times New Roman" w:eastAsia="宋体" w:cs="Times New Roman"/>
          <w:color w:val="auto"/>
          <w:szCs w:val="24"/>
          <w:highlight w:val="none"/>
        </w:rPr>
        <w:t>成品</w:t>
      </w:r>
      <w:r>
        <w:rPr>
          <w:rFonts w:hint="eastAsia" w:ascii="Times New Roman" w:hAnsi="Times New Roman" w:eastAsia="宋体" w:cs="Times New Roman"/>
          <w:color w:val="auto"/>
          <w:szCs w:val="24"/>
          <w:highlight w:val="none"/>
        </w:rPr>
        <w:t>，少量小颗粒物料送至制沙机，三次破碎筛分后得到石粉</w:t>
      </w:r>
      <w:r>
        <w:rPr>
          <w:rFonts w:ascii="Times New Roman" w:hAnsi="Times New Roman" w:eastAsia="宋体" w:cs="Times New Roman"/>
          <w:color w:val="auto"/>
          <w:szCs w:val="24"/>
          <w:highlight w:val="none"/>
        </w:rPr>
        <w:t>。</w:t>
      </w:r>
    </w:p>
    <w:p>
      <w:pPr>
        <w:ind w:firstLine="480"/>
        <w:jc w:val="both"/>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 xml:space="preserve">振动给料机ZG1300×6000生产能力为150t/h，则每台给料机年生产能力可达Q=150×8×300=36.0万t。 </w:t>
      </w:r>
    </w:p>
    <w:p>
      <w:pPr>
        <w:ind w:firstLine="480"/>
        <w:jc w:val="both"/>
        <w:rPr>
          <w:rFonts w:ascii="Times New Roman" w:hAnsi="Times New Roman" w:eastAsia="宋体" w:cs="Times New Roman"/>
          <w:color w:val="auto"/>
          <w:szCs w:val="24"/>
          <w:highlight w:val="none"/>
        </w:rPr>
      </w:pPr>
      <w:r>
        <w:rPr>
          <w:rFonts w:ascii="Times New Roman" w:hAnsi="Times New Roman" w:eastAsia="宋体" w:cs="Times New Roman"/>
          <w:bCs/>
          <w:color w:val="auto"/>
          <w:kern w:val="0"/>
          <w:szCs w:val="24"/>
          <w:highlight w:val="none"/>
        </w:rPr>
        <w:t>颚式破碎机PE900×1200</w:t>
      </w:r>
      <w:r>
        <w:rPr>
          <w:rFonts w:ascii="Times New Roman" w:hAnsi="Times New Roman" w:eastAsia="宋体" w:cs="Times New Roman"/>
          <w:color w:val="auto"/>
          <w:szCs w:val="24"/>
          <w:highlight w:val="none"/>
        </w:rPr>
        <w:t>生产能力为120t/h，则每台破碎机年生产能力可达Q=120×8×300=28.8万t。</w:t>
      </w:r>
    </w:p>
    <w:p>
      <w:pPr>
        <w:ind w:firstLine="480"/>
        <w:jc w:val="both"/>
        <w:rPr>
          <w:rFonts w:ascii="Times New Roman" w:hAnsi="Times New Roman" w:eastAsia="宋体" w:cs="Times New Roman"/>
          <w:color w:val="auto"/>
          <w:szCs w:val="24"/>
          <w:highlight w:val="none"/>
        </w:rPr>
      </w:pPr>
      <w:r>
        <w:rPr>
          <w:rFonts w:ascii="Times New Roman" w:hAnsi="Times New Roman" w:eastAsia="宋体" w:cs="Times New Roman"/>
          <w:bCs/>
          <w:color w:val="auto"/>
          <w:kern w:val="0"/>
          <w:szCs w:val="24"/>
          <w:highlight w:val="none"/>
        </w:rPr>
        <w:t>反击破碎机</w:t>
      </w:r>
      <w:r>
        <w:rPr>
          <w:rFonts w:ascii="Times New Roman" w:hAnsi="Times New Roman" w:eastAsia="宋体" w:cs="Times New Roman"/>
          <w:color w:val="auto"/>
          <w:szCs w:val="24"/>
          <w:highlight w:val="none"/>
        </w:rPr>
        <w:t xml:space="preserve">生产能力为200t/h，则每台年生产能力为Q=200×8×300=48.0万t </w:t>
      </w:r>
    </w:p>
    <w:p>
      <w:pPr>
        <w:ind w:firstLine="480"/>
        <w:jc w:val="both"/>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圆锥机生产能力为120t/h，则每台圆锥机年生产能力可达Q=120×8×300=28.8万t。</w:t>
      </w:r>
    </w:p>
    <w:p>
      <w:pPr>
        <w:ind w:firstLine="480"/>
        <w:jc w:val="both"/>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振动筛生产能力为100t/h，则每台振动筛年生产能力可达Q=100×8×300=24万t。</w:t>
      </w:r>
    </w:p>
    <w:p>
      <w:pPr>
        <w:ind w:firstLine="480"/>
        <w:jc w:val="both"/>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泥筛生产能力为150t/h，则每台泥筛年生产能力可达Q=150×8×300=36万t。</w:t>
      </w:r>
    </w:p>
    <w:p>
      <w:pPr>
        <w:ind w:firstLine="480"/>
        <w:jc w:val="both"/>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项目布设2条破碎筛分生产线，</w:t>
      </w:r>
      <w:r>
        <w:rPr>
          <w:rFonts w:hint="eastAsia" w:cs="Times New Roman"/>
          <w:color w:val="auto"/>
          <w:szCs w:val="24"/>
          <w:highlight w:val="none"/>
          <w:u w:val="single"/>
          <w:lang w:eastAsia="zh-CN"/>
        </w:rPr>
        <w:t>破碎场①</w:t>
      </w:r>
      <w:r>
        <w:rPr>
          <w:rFonts w:hint="eastAsia" w:ascii="Times New Roman" w:hAnsi="Times New Roman" w:eastAsia="宋体" w:cs="Times New Roman"/>
          <w:color w:val="auto"/>
          <w:szCs w:val="24"/>
          <w:highlight w:val="none"/>
        </w:rPr>
        <w:t>产能25万t/a，筛选破碎</w:t>
      </w:r>
      <w:r>
        <w:rPr>
          <w:rFonts w:hint="eastAsia" w:ascii="Times New Roman" w:hAnsi="Times New Roman" w:eastAsia="宋体"/>
          <w:color w:val="auto"/>
          <w:szCs w:val="24"/>
          <w:highlight w:val="none"/>
        </w:rPr>
        <w:t>①</w:t>
      </w:r>
      <w:r>
        <w:rPr>
          <w:rFonts w:hint="eastAsia" w:ascii="Times New Roman" w:hAnsi="Times New Roman" w:eastAsia="宋体" w:cs="Times New Roman"/>
          <w:color w:val="auto"/>
          <w:szCs w:val="24"/>
          <w:highlight w:val="none"/>
        </w:rPr>
        <w:t>配置1台泥筛、1台</w:t>
      </w:r>
      <w:r>
        <w:rPr>
          <w:rFonts w:ascii="Times New Roman" w:hAnsi="Times New Roman" w:eastAsia="宋体" w:cs="Times New Roman"/>
          <w:color w:val="auto"/>
          <w:szCs w:val="24"/>
          <w:highlight w:val="none"/>
        </w:rPr>
        <w:t>振动给料机</w:t>
      </w:r>
      <w:r>
        <w:rPr>
          <w:rFonts w:hint="eastAsia" w:ascii="Times New Roman" w:hAnsi="Times New Roman" w:eastAsia="宋体" w:cs="Times New Roman"/>
          <w:color w:val="auto"/>
          <w:szCs w:val="24"/>
          <w:highlight w:val="none"/>
        </w:rPr>
        <w:t>和1台颚式破碎机，二级破碎</w:t>
      </w:r>
      <w:r>
        <w:rPr>
          <w:rFonts w:hint="eastAsia" w:ascii="Times New Roman" w:hAnsi="Times New Roman" w:eastAsia="宋体"/>
          <w:color w:val="auto"/>
          <w:szCs w:val="24"/>
          <w:highlight w:val="none"/>
        </w:rPr>
        <w:t>②</w:t>
      </w:r>
      <w:r>
        <w:rPr>
          <w:rFonts w:hint="eastAsia" w:ascii="Times New Roman" w:hAnsi="Times New Roman" w:eastAsia="宋体" w:cs="Times New Roman"/>
          <w:color w:val="auto"/>
          <w:szCs w:val="24"/>
          <w:highlight w:val="none"/>
        </w:rPr>
        <w:t>配置1台圆锥机，三级破碎筛分</w:t>
      </w:r>
      <w:r>
        <w:rPr>
          <w:rFonts w:hint="eastAsia" w:ascii="Times New Roman" w:hAnsi="Times New Roman" w:eastAsia="宋体"/>
          <w:color w:val="auto"/>
          <w:szCs w:val="24"/>
          <w:highlight w:val="none"/>
        </w:rPr>
        <w:t>①</w:t>
      </w:r>
      <w:r>
        <w:rPr>
          <w:rFonts w:hint="eastAsia" w:ascii="Times New Roman" w:hAnsi="Times New Roman" w:eastAsia="宋体" w:cs="Times New Roman"/>
          <w:color w:val="auto"/>
          <w:szCs w:val="24"/>
          <w:highlight w:val="none"/>
        </w:rPr>
        <w:t>配置2台圆锥机和5台振动筛，可</w:t>
      </w:r>
      <w:r>
        <w:rPr>
          <w:rFonts w:ascii="Times New Roman" w:hAnsi="Times New Roman" w:eastAsia="宋体" w:cs="Times New Roman"/>
          <w:color w:val="auto"/>
          <w:szCs w:val="24"/>
          <w:highlight w:val="none"/>
        </w:rPr>
        <w:t>满足</w:t>
      </w:r>
      <w:r>
        <w:rPr>
          <w:rFonts w:hint="eastAsia" w:ascii="Times New Roman" w:hAnsi="Times New Roman" w:eastAsia="宋体" w:cs="Times New Roman"/>
          <w:color w:val="auto"/>
          <w:szCs w:val="24"/>
          <w:highlight w:val="none"/>
        </w:rPr>
        <w:t>破碎筛分生产线</w:t>
      </w:r>
      <w:r>
        <w:rPr>
          <w:rFonts w:ascii="Times New Roman" w:hAnsi="Times New Roman" w:eastAsia="宋体" w:cs="Times New Roman"/>
          <w:color w:val="auto"/>
          <w:szCs w:val="24"/>
          <w:highlight w:val="none"/>
        </w:rPr>
        <w:t>产能要求</w:t>
      </w:r>
      <w:r>
        <w:rPr>
          <w:rFonts w:hint="eastAsia" w:ascii="Times New Roman" w:hAnsi="Times New Roman" w:eastAsia="宋体" w:cs="Times New Roman"/>
          <w:color w:val="auto"/>
          <w:szCs w:val="24"/>
          <w:highlight w:val="none"/>
        </w:rPr>
        <w:t>。</w:t>
      </w:r>
      <w:r>
        <w:rPr>
          <w:rFonts w:hint="eastAsia" w:cs="Times New Roman"/>
          <w:color w:val="auto"/>
          <w:szCs w:val="24"/>
          <w:highlight w:val="none"/>
          <w:u w:val="single"/>
          <w:lang w:eastAsia="zh-CN"/>
        </w:rPr>
        <w:t>破碎场②</w:t>
      </w:r>
      <w:r>
        <w:rPr>
          <w:rFonts w:hint="eastAsia" w:ascii="Times New Roman" w:hAnsi="Times New Roman" w:eastAsia="宋体" w:cs="Times New Roman"/>
          <w:color w:val="auto"/>
          <w:szCs w:val="24"/>
          <w:highlight w:val="none"/>
        </w:rPr>
        <w:t>产能25万t/a，筛选破碎</w:t>
      </w:r>
      <w:r>
        <w:rPr>
          <w:rFonts w:hint="eastAsia" w:ascii="Times New Roman" w:hAnsi="Times New Roman" w:eastAsia="宋体"/>
          <w:color w:val="auto"/>
          <w:szCs w:val="24"/>
          <w:highlight w:val="none"/>
        </w:rPr>
        <w:t>②</w:t>
      </w:r>
      <w:r>
        <w:rPr>
          <w:rFonts w:hint="eastAsia" w:ascii="Times New Roman" w:hAnsi="Times New Roman" w:eastAsia="宋体" w:cs="Times New Roman"/>
          <w:color w:val="auto"/>
          <w:szCs w:val="24"/>
          <w:highlight w:val="none"/>
        </w:rPr>
        <w:t>配置1台泥筛、1台</w:t>
      </w:r>
      <w:r>
        <w:rPr>
          <w:rFonts w:ascii="Times New Roman" w:hAnsi="Times New Roman" w:eastAsia="宋体" w:cs="Times New Roman"/>
          <w:color w:val="auto"/>
          <w:szCs w:val="24"/>
          <w:highlight w:val="none"/>
        </w:rPr>
        <w:t>振动给料机</w:t>
      </w:r>
      <w:r>
        <w:rPr>
          <w:rFonts w:hint="eastAsia" w:ascii="Times New Roman" w:hAnsi="Times New Roman" w:eastAsia="宋体" w:cs="Times New Roman"/>
          <w:color w:val="auto"/>
          <w:szCs w:val="24"/>
          <w:highlight w:val="none"/>
        </w:rPr>
        <w:t>和1台颚式破碎机，二级破碎筛分</w:t>
      </w:r>
      <w:r>
        <w:rPr>
          <w:rFonts w:hint="eastAsia" w:ascii="Times New Roman" w:hAnsi="Times New Roman" w:eastAsia="宋体"/>
          <w:color w:val="auto"/>
          <w:szCs w:val="24"/>
          <w:highlight w:val="none"/>
        </w:rPr>
        <w:t>②</w:t>
      </w:r>
      <w:r>
        <w:rPr>
          <w:rFonts w:hint="eastAsia" w:ascii="Times New Roman" w:hAnsi="Times New Roman" w:eastAsia="宋体" w:cs="Times New Roman"/>
          <w:color w:val="auto"/>
          <w:szCs w:val="24"/>
          <w:highlight w:val="none"/>
        </w:rPr>
        <w:t>配置1台圆锥机、2台反击破碎机和4台振动筛，三级破碎筛分</w:t>
      </w:r>
      <w:r>
        <w:rPr>
          <w:rFonts w:hint="eastAsia" w:ascii="Times New Roman" w:hAnsi="Times New Roman" w:eastAsia="宋体"/>
          <w:color w:val="auto"/>
          <w:szCs w:val="24"/>
          <w:highlight w:val="none"/>
        </w:rPr>
        <w:t>②</w:t>
      </w:r>
      <w:r>
        <w:rPr>
          <w:rFonts w:hint="eastAsia" w:ascii="Times New Roman" w:hAnsi="Times New Roman" w:eastAsia="宋体" w:cs="Times New Roman"/>
          <w:color w:val="auto"/>
          <w:szCs w:val="24"/>
          <w:highlight w:val="none"/>
        </w:rPr>
        <w:t>配置2台制沙机和1台振动筛，可</w:t>
      </w:r>
      <w:r>
        <w:rPr>
          <w:rFonts w:ascii="Times New Roman" w:hAnsi="Times New Roman" w:eastAsia="宋体" w:cs="Times New Roman"/>
          <w:color w:val="auto"/>
          <w:szCs w:val="24"/>
          <w:highlight w:val="none"/>
        </w:rPr>
        <w:t>满足</w:t>
      </w:r>
      <w:r>
        <w:rPr>
          <w:rFonts w:hint="eastAsia" w:ascii="Times New Roman" w:hAnsi="Times New Roman" w:eastAsia="宋体" w:cs="Times New Roman"/>
          <w:color w:val="auto"/>
          <w:szCs w:val="24"/>
          <w:highlight w:val="none"/>
        </w:rPr>
        <w:t>破碎筛分生产线</w:t>
      </w:r>
      <w:r>
        <w:rPr>
          <w:rFonts w:ascii="Times New Roman" w:hAnsi="Times New Roman" w:eastAsia="宋体" w:cs="Times New Roman"/>
          <w:color w:val="auto"/>
          <w:szCs w:val="24"/>
          <w:highlight w:val="none"/>
        </w:rPr>
        <w:t>产能要求。</w:t>
      </w:r>
    </w:p>
    <w:p>
      <w:pPr>
        <w:pStyle w:val="5"/>
        <w:rPr>
          <w:rFonts w:ascii="Times New Roman" w:hAnsi="Times New Roman" w:eastAsia="宋体"/>
          <w:color w:val="auto"/>
          <w:highlight w:val="none"/>
        </w:rPr>
      </w:pPr>
      <w:r>
        <w:rPr>
          <w:rFonts w:hint="eastAsia" w:ascii="Times New Roman" w:hAnsi="Times New Roman" w:eastAsia="宋体"/>
          <w:color w:val="auto"/>
          <w:highlight w:val="none"/>
        </w:rPr>
        <w:t>2.3</w:t>
      </w:r>
      <w:r>
        <w:rPr>
          <w:rFonts w:ascii="Times New Roman" w:hAnsi="Times New Roman" w:eastAsia="宋体"/>
          <w:color w:val="auto"/>
          <w:highlight w:val="none"/>
        </w:rPr>
        <w:t>.4 主要原辅材料及产品方案</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整合</w:t>
      </w:r>
      <w:r>
        <w:rPr>
          <w:rFonts w:ascii="Times New Roman" w:hAnsi="Times New Roman" w:eastAsia="宋体"/>
          <w:color w:val="auto"/>
          <w:highlight w:val="none"/>
        </w:rPr>
        <w:t>项目主要原辅材料消耗量见表2.</w:t>
      </w:r>
      <w:r>
        <w:rPr>
          <w:rFonts w:hint="eastAsia" w:ascii="Times New Roman" w:hAnsi="Times New Roman" w:eastAsia="宋体"/>
          <w:color w:val="auto"/>
          <w:highlight w:val="none"/>
        </w:rPr>
        <w:t>3-5</w:t>
      </w:r>
      <w:r>
        <w:rPr>
          <w:rFonts w:ascii="Times New Roman" w:hAnsi="Times New Roman" w:eastAsia="宋体"/>
          <w:color w:val="auto"/>
          <w:highlight w:val="none"/>
        </w:rPr>
        <w:t>。</w:t>
      </w:r>
    </w:p>
    <w:p>
      <w:pPr>
        <w:pStyle w:val="13"/>
        <w:rPr>
          <w:rFonts w:ascii="Times New Roman" w:hAnsi="Times New Roman" w:eastAsia="宋体"/>
          <w:color w:val="auto"/>
          <w:highlight w:val="none"/>
        </w:rPr>
      </w:pPr>
      <w:r>
        <w:rPr>
          <w:rFonts w:ascii="Times New Roman" w:hAnsi="Times New Roman" w:eastAsia="宋体"/>
          <w:color w:val="auto"/>
          <w:highlight w:val="none"/>
        </w:rPr>
        <w:t>表2.</w:t>
      </w:r>
      <w:r>
        <w:rPr>
          <w:rFonts w:hint="eastAsia" w:ascii="Times New Roman" w:hAnsi="Times New Roman" w:eastAsia="宋体"/>
          <w:color w:val="auto"/>
          <w:highlight w:val="none"/>
        </w:rPr>
        <w:t>3-5</w:t>
      </w:r>
      <w:r>
        <w:rPr>
          <w:rFonts w:ascii="Times New Roman" w:hAnsi="Times New Roman" w:eastAsia="宋体"/>
          <w:color w:val="auto"/>
          <w:highlight w:val="none"/>
        </w:rPr>
        <w:t xml:space="preserve"> 项目主要原辅材料用量消耗、来源表</w:t>
      </w:r>
    </w:p>
    <w:tbl>
      <w:tblPr>
        <w:tblStyle w:val="48"/>
        <w:tblW w:w="9071" w:type="dxa"/>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
      <w:tblGrid>
        <w:gridCol w:w="659"/>
        <w:gridCol w:w="1101"/>
        <w:gridCol w:w="1931"/>
        <w:gridCol w:w="1465"/>
        <w:gridCol w:w="1035"/>
        <w:gridCol w:w="2880"/>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trPr>
        <w:tc>
          <w:tcPr>
            <w:tcW w:w="659"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序号</w:t>
            </w:r>
          </w:p>
        </w:tc>
        <w:tc>
          <w:tcPr>
            <w:tcW w:w="1101"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名称</w:t>
            </w:r>
          </w:p>
        </w:tc>
        <w:tc>
          <w:tcPr>
            <w:tcW w:w="1931" w:type="dxa"/>
            <w:noWrap w:val="0"/>
            <w:vAlign w:val="center"/>
          </w:tcPr>
          <w:p>
            <w:pPr>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b/>
                <w:color w:val="auto"/>
                <w:sz w:val="21"/>
                <w:highlight w:val="none"/>
              </w:rPr>
              <w:t>规格，成分</w:t>
            </w:r>
          </w:p>
        </w:tc>
        <w:tc>
          <w:tcPr>
            <w:tcW w:w="1465"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年耗量(t)</w:t>
            </w:r>
          </w:p>
        </w:tc>
        <w:tc>
          <w:tcPr>
            <w:tcW w:w="1035"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存储方式</w:t>
            </w:r>
          </w:p>
        </w:tc>
        <w:tc>
          <w:tcPr>
            <w:tcW w:w="2880"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来源</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trPr>
        <w:tc>
          <w:tcPr>
            <w:tcW w:w="65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10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乳化</w:t>
            </w:r>
            <w:r>
              <w:rPr>
                <w:rFonts w:ascii="Times New Roman" w:hAnsi="Times New Roman" w:eastAsia="宋体" w:cs="Times New Roman"/>
                <w:color w:val="auto"/>
                <w:sz w:val="21"/>
                <w:highlight w:val="none"/>
              </w:rPr>
              <w:t>炸药</w:t>
            </w:r>
          </w:p>
        </w:tc>
        <w:tc>
          <w:tcPr>
            <w:tcW w:w="1931" w:type="dxa"/>
            <w:noWrap w:val="0"/>
            <w:vAlign w:val="center"/>
          </w:tcPr>
          <w:p>
            <w:pPr>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主要成分为</w:t>
            </w:r>
            <w:r>
              <w:rPr>
                <w:rFonts w:ascii="Times New Roman" w:hAnsi="Times New Roman" w:eastAsia="宋体" w:cs="Times New Roman"/>
                <w:color w:val="auto"/>
                <w:sz w:val="21"/>
                <w:highlight w:val="none"/>
              </w:rPr>
              <w:t>硝酸铵</w:t>
            </w:r>
          </w:p>
        </w:tc>
        <w:tc>
          <w:tcPr>
            <w:tcW w:w="1465"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15.2</w:t>
            </w:r>
          </w:p>
        </w:tc>
        <w:tc>
          <w:tcPr>
            <w:tcW w:w="1035"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2880" w:type="dxa"/>
            <w:noWrap w:val="0"/>
            <w:vAlign w:val="center"/>
          </w:tcPr>
          <w:p>
            <w:pPr>
              <w:snapToGrid w:val="0"/>
              <w:spacing w:line="240" w:lineRule="auto"/>
              <w:ind w:firstLine="0" w:firstLineChars="0"/>
              <w:jc w:val="left"/>
              <w:rPr>
                <w:rFonts w:ascii="Times New Roman" w:hAnsi="Times New Roman" w:eastAsia="宋体" w:cs="Times New Roman"/>
                <w:color w:val="auto"/>
                <w:sz w:val="21"/>
                <w:highlight w:val="none"/>
                <w:lang w:bidi="ar"/>
              </w:rPr>
            </w:pPr>
            <w:r>
              <w:rPr>
                <w:rFonts w:ascii="Times New Roman" w:hAnsi="Times New Roman" w:eastAsia="宋体" w:cs="Times New Roman"/>
                <w:color w:val="auto"/>
                <w:sz w:val="21"/>
                <w:highlight w:val="none"/>
              </w:rPr>
              <w:t>不设炸药库，由安爆公司配送</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trPr>
        <w:tc>
          <w:tcPr>
            <w:tcW w:w="65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110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position w:val="-2"/>
                <w:sz w:val="21"/>
                <w:highlight w:val="none"/>
              </w:rPr>
              <w:t>水</w:t>
            </w:r>
          </w:p>
        </w:tc>
        <w:tc>
          <w:tcPr>
            <w:tcW w:w="1931" w:type="dxa"/>
            <w:noWrap w:val="0"/>
            <w:vAlign w:val="center"/>
          </w:tcPr>
          <w:p>
            <w:pPr>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465" w:type="dxa"/>
            <w:noWrap w:val="0"/>
            <w:vAlign w:val="center"/>
          </w:tcPr>
          <w:p>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u w:val="single"/>
              </w:rPr>
              <w:t>1</w:t>
            </w:r>
            <w:r>
              <w:rPr>
                <w:rFonts w:hint="eastAsia" w:cs="Times New Roman"/>
                <w:color w:val="auto"/>
                <w:sz w:val="21"/>
                <w:highlight w:val="none"/>
                <w:u w:val="single"/>
                <w:lang w:val="en-US" w:eastAsia="zh-CN"/>
              </w:rPr>
              <w:t>7572.5</w:t>
            </w:r>
          </w:p>
        </w:tc>
        <w:tc>
          <w:tcPr>
            <w:tcW w:w="1035"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288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山泉</w:t>
            </w:r>
            <w:r>
              <w:rPr>
                <w:rFonts w:ascii="Times New Roman" w:hAnsi="Times New Roman" w:eastAsia="宋体" w:cs="Times New Roman"/>
                <w:color w:val="auto"/>
                <w:sz w:val="21"/>
                <w:highlight w:val="none"/>
              </w:rPr>
              <w:t>水</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trPr>
        <w:tc>
          <w:tcPr>
            <w:tcW w:w="65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110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position w:val="-2"/>
                <w:sz w:val="21"/>
                <w:highlight w:val="none"/>
              </w:rPr>
              <w:t>电</w:t>
            </w:r>
          </w:p>
        </w:tc>
        <w:tc>
          <w:tcPr>
            <w:tcW w:w="1931" w:type="dxa"/>
            <w:noWrap w:val="0"/>
            <w:vAlign w:val="center"/>
          </w:tcPr>
          <w:p>
            <w:pPr>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465"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2</w:t>
            </w:r>
            <w:r>
              <w:rPr>
                <w:rFonts w:ascii="Times New Roman" w:hAnsi="Times New Roman" w:eastAsia="宋体" w:cs="Times New Roman"/>
                <w:color w:val="auto"/>
                <w:sz w:val="21"/>
                <w:highlight w:val="none"/>
              </w:rPr>
              <w:t>0</w:t>
            </w:r>
            <w:r>
              <w:rPr>
                <w:rFonts w:ascii="Times New Roman" w:hAnsi="Times New Roman" w:eastAsia="宋体" w:cs="Times New Roman"/>
                <w:color w:val="auto"/>
                <w:position w:val="-1"/>
                <w:sz w:val="21"/>
                <w:highlight w:val="none"/>
              </w:rPr>
              <w:t>万</w:t>
            </w:r>
            <w:r>
              <w:rPr>
                <w:rFonts w:ascii="Times New Roman" w:hAnsi="Times New Roman" w:eastAsia="宋体" w:cs="Times New Roman"/>
                <w:color w:val="auto"/>
                <w:spacing w:val="-4"/>
                <w:position w:val="-1"/>
                <w:sz w:val="21"/>
                <w:highlight w:val="none"/>
              </w:rPr>
              <w:t>k</w:t>
            </w:r>
            <w:r>
              <w:rPr>
                <w:rFonts w:ascii="Times New Roman" w:hAnsi="Times New Roman" w:eastAsia="宋体" w:cs="Times New Roman"/>
                <w:color w:val="auto"/>
                <w:position w:val="-1"/>
                <w:sz w:val="21"/>
                <w:highlight w:val="none"/>
              </w:rPr>
              <w:t>W·h</w:t>
            </w:r>
            <w:r>
              <w:rPr>
                <w:rFonts w:ascii="Times New Roman" w:hAnsi="Times New Roman" w:eastAsia="宋体" w:cs="Times New Roman"/>
                <w:color w:val="auto"/>
                <w:spacing w:val="-1"/>
                <w:position w:val="-1"/>
                <w:sz w:val="21"/>
                <w:highlight w:val="none"/>
              </w:rPr>
              <w:t>/</w:t>
            </w:r>
            <w:r>
              <w:rPr>
                <w:rFonts w:ascii="Times New Roman" w:hAnsi="Times New Roman" w:eastAsia="宋体" w:cs="Times New Roman"/>
                <w:color w:val="auto"/>
                <w:position w:val="-1"/>
                <w:sz w:val="21"/>
                <w:highlight w:val="none"/>
              </w:rPr>
              <w:t>a</w:t>
            </w:r>
          </w:p>
        </w:tc>
        <w:tc>
          <w:tcPr>
            <w:tcW w:w="1035"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288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由供电管网供给</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trPr>
        <w:tc>
          <w:tcPr>
            <w:tcW w:w="65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10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position w:val="-2"/>
                <w:sz w:val="21"/>
                <w:highlight w:val="none"/>
              </w:rPr>
              <w:t>柴油</w:t>
            </w:r>
          </w:p>
        </w:tc>
        <w:tc>
          <w:tcPr>
            <w:tcW w:w="1931" w:type="dxa"/>
            <w:noWrap w:val="0"/>
            <w:vAlign w:val="center"/>
          </w:tcPr>
          <w:p>
            <w:pPr>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position w:val="-2"/>
                <w:sz w:val="21"/>
                <w:highlight w:val="none"/>
              </w:rPr>
              <w:t>/</w:t>
            </w:r>
          </w:p>
        </w:tc>
        <w:tc>
          <w:tcPr>
            <w:tcW w:w="1465"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w:t>
            </w:r>
            <w:r>
              <w:rPr>
                <w:rFonts w:ascii="Times New Roman" w:hAnsi="Times New Roman" w:eastAsia="宋体" w:cs="Times New Roman"/>
                <w:color w:val="auto"/>
                <w:sz w:val="21"/>
                <w:highlight w:val="none"/>
              </w:rPr>
              <w:t>0</w:t>
            </w:r>
          </w:p>
        </w:tc>
        <w:tc>
          <w:tcPr>
            <w:tcW w:w="1035"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储罐</w:t>
            </w:r>
          </w:p>
        </w:tc>
        <w:tc>
          <w:tcPr>
            <w:tcW w:w="288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position w:val="-2"/>
                <w:sz w:val="21"/>
                <w:highlight w:val="none"/>
              </w:rPr>
              <w:t>外购，汽运</w:t>
            </w:r>
          </w:p>
        </w:tc>
      </w:tr>
    </w:tbl>
    <w:p>
      <w:pPr>
        <w:pStyle w:val="12"/>
        <w:ind w:firstLine="480"/>
        <w:rPr>
          <w:rFonts w:ascii="Times New Roman" w:hAnsi="Times New Roman" w:eastAsia="宋体"/>
          <w:color w:val="auto"/>
          <w:highlight w:val="none"/>
        </w:rPr>
      </w:pPr>
      <w:r>
        <w:rPr>
          <w:rFonts w:ascii="Times New Roman" w:hAnsi="Times New Roman" w:eastAsia="宋体"/>
          <w:color w:val="auto"/>
          <w:highlight w:val="none"/>
        </w:rPr>
        <w:t>拟建项目主要产品为冶金及建筑用</w:t>
      </w:r>
      <w:r>
        <w:rPr>
          <w:rFonts w:hint="eastAsia" w:ascii="Times New Roman" w:hAnsi="Times New Roman" w:eastAsia="宋体"/>
          <w:color w:val="auto"/>
          <w:highlight w:val="none"/>
        </w:rPr>
        <w:t>硅质岩</w:t>
      </w:r>
      <w:r>
        <w:rPr>
          <w:rFonts w:ascii="Times New Roman" w:hAnsi="Times New Roman" w:eastAsia="宋体"/>
          <w:color w:val="auto"/>
          <w:highlight w:val="none"/>
        </w:rPr>
        <w:t>碎石及</w:t>
      </w:r>
      <w:r>
        <w:rPr>
          <w:rFonts w:hint="eastAsia" w:ascii="Times New Roman" w:hAnsi="Times New Roman" w:eastAsia="宋体"/>
          <w:color w:val="auto"/>
          <w:highlight w:val="none"/>
        </w:rPr>
        <w:t>石粉</w:t>
      </w:r>
      <w:r>
        <w:rPr>
          <w:rFonts w:ascii="Times New Roman" w:hAnsi="Times New Roman" w:eastAsia="宋体"/>
          <w:color w:val="auto"/>
          <w:highlight w:val="none"/>
        </w:rPr>
        <w:t>。产品方案见表2.</w:t>
      </w:r>
      <w:r>
        <w:rPr>
          <w:rFonts w:hint="eastAsia" w:ascii="Times New Roman" w:hAnsi="Times New Roman" w:eastAsia="宋体"/>
          <w:color w:val="auto"/>
          <w:highlight w:val="none"/>
        </w:rPr>
        <w:t>3-6</w:t>
      </w:r>
      <w:r>
        <w:rPr>
          <w:rFonts w:ascii="Times New Roman" w:hAnsi="Times New Roman" w:eastAsia="宋体"/>
          <w:color w:val="auto"/>
          <w:highlight w:val="none"/>
        </w:rPr>
        <w:t>所示。</w:t>
      </w:r>
    </w:p>
    <w:p>
      <w:pPr>
        <w:tabs>
          <w:tab w:val="left" w:pos="1418"/>
        </w:tabs>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表2.</w:t>
      </w:r>
      <w:r>
        <w:rPr>
          <w:rFonts w:hint="eastAsia" w:ascii="Times New Roman" w:hAnsi="Times New Roman" w:eastAsia="宋体" w:cs="Times New Roman"/>
          <w:b/>
          <w:bCs/>
          <w:color w:val="auto"/>
          <w:highlight w:val="none"/>
        </w:rPr>
        <w:t>3-6</w:t>
      </w:r>
      <w:r>
        <w:rPr>
          <w:rFonts w:ascii="Times New Roman" w:hAnsi="Times New Roman" w:eastAsia="宋体" w:cs="Times New Roman"/>
          <w:b/>
          <w:bCs/>
          <w:color w:val="auto"/>
          <w:highlight w:val="none"/>
        </w:rPr>
        <w:t xml:space="preserve"> 拟建工程产品方案一览表</w:t>
      </w:r>
    </w:p>
    <w:tbl>
      <w:tblPr>
        <w:tblStyle w:val="48"/>
        <w:tblW w:w="9071" w:type="dxa"/>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1996"/>
        <w:gridCol w:w="4079"/>
        <w:gridCol w:w="1386"/>
        <w:gridCol w:w="1610"/>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996" w:type="dxa"/>
            <w:noWrap w:val="0"/>
            <w:vAlign w:val="center"/>
          </w:tcPr>
          <w:p>
            <w:pPr>
              <w:keepNext w:val="0"/>
              <w:keepLines w:val="0"/>
              <w:pageBreakBefore w:val="0"/>
              <w:widowControl w:val="0"/>
              <w:kinsoku/>
              <w:wordWrap/>
              <w:overflowPunct/>
              <w:topLinePunct w:val="0"/>
              <w:autoSpaceDE/>
              <w:bidi w:val="0"/>
              <w:snapToGrid w:val="0"/>
              <w:spacing w:line="240" w:lineRule="auto"/>
              <w:ind w:firstLine="0" w:firstLineChars="0"/>
              <w:jc w:val="center"/>
              <w:textAlignment w:val="auto"/>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产品名称</w:t>
            </w:r>
          </w:p>
        </w:tc>
        <w:tc>
          <w:tcPr>
            <w:tcW w:w="4079" w:type="dxa"/>
            <w:noWrap w:val="0"/>
            <w:vAlign w:val="center"/>
          </w:tcPr>
          <w:p>
            <w:pPr>
              <w:keepNext w:val="0"/>
              <w:keepLines w:val="0"/>
              <w:pageBreakBefore w:val="0"/>
              <w:widowControl w:val="0"/>
              <w:kinsoku/>
              <w:wordWrap/>
              <w:overflowPunct/>
              <w:topLinePunct w:val="0"/>
              <w:autoSpaceDE/>
              <w:bidi w:val="0"/>
              <w:snapToGrid w:val="0"/>
              <w:spacing w:line="240" w:lineRule="auto"/>
              <w:ind w:firstLine="0" w:firstLineChars="0"/>
              <w:jc w:val="center"/>
              <w:textAlignment w:val="auto"/>
              <w:rPr>
                <w:rFonts w:ascii="Times New Roman" w:hAnsi="Times New Roman" w:eastAsia="宋体" w:cs="Times New Roman"/>
                <w:color w:val="auto"/>
                <w:highlight w:val="none"/>
              </w:rPr>
            </w:pPr>
            <w:r>
              <w:rPr>
                <w:rFonts w:ascii="Times New Roman" w:hAnsi="Times New Roman" w:eastAsia="宋体" w:cs="Times New Roman"/>
                <w:b/>
                <w:color w:val="auto"/>
                <w:sz w:val="21"/>
                <w:highlight w:val="none"/>
              </w:rPr>
              <w:t>规格</w:t>
            </w:r>
          </w:p>
        </w:tc>
        <w:tc>
          <w:tcPr>
            <w:tcW w:w="1386" w:type="dxa"/>
            <w:noWrap w:val="0"/>
            <w:vAlign w:val="center"/>
          </w:tcPr>
          <w:p>
            <w:pPr>
              <w:keepNext w:val="0"/>
              <w:keepLines w:val="0"/>
              <w:pageBreakBefore w:val="0"/>
              <w:widowControl w:val="0"/>
              <w:kinsoku/>
              <w:wordWrap/>
              <w:overflowPunct/>
              <w:topLinePunct w:val="0"/>
              <w:autoSpaceDE/>
              <w:bidi w:val="0"/>
              <w:snapToGrid w:val="0"/>
              <w:spacing w:line="240" w:lineRule="auto"/>
              <w:ind w:firstLine="0" w:firstLineChars="0"/>
              <w:jc w:val="center"/>
              <w:textAlignment w:val="auto"/>
              <w:rPr>
                <w:rFonts w:hint="eastAsia" w:ascii="Times New Roman" w:hAnsi="Times New Roman" w:eastAsia="宋体" w:cs="Times New Roman"/>
                <w:color w:val="auto"/>
                <w:highlight w:val="none"/>
              </w:rPr>
            </w:pPr>
            <w:r>
              <w:rPr>
                <w:rFonts w:ascii="Times New Roman" w:hAnsi="Times New Roman" w:eastAsia="宋体" w:cs="Times New Roman"/>
                <w:b/>
                <w:color w:val="auto"/>
                <w:sz w:val="21"/>
                <w:highlight w:val="none"/>
              </w:rPr>
              <w:t>产量</w:t>
            </w:r>
            <w:r>
              <w:rPr>
                <w:rFonts w:hint="eastAsia" w:ascii="Times New Roman" w:hAnsi="Times New Roman" w:eastAsia="宋体" w:cs="Times New Roman"/>
                <w:b/>
                <w:color w:val="auto"/>
                <w:sz w:val="21"/>
                <w:highlight w:val="none"/>
              </w:rPr>
              <w:t>（万t/a）</w:t>
            </w:r>
          </w:p>
        </w:tc>
        <w:tc>
          <w:tcPr>
            <w:tcW w:w="1610" w:type="dxa"/>
            <w:noWrap w:val="0"/>
            <w:vAlign w:val="center"/>
          </w:tcPr>
          <w:p>
            <w:pPr>
              <w:keepNext w:val="0"/>
              <w:keepLines w:val="0"/>
              <w:pageBreakBefore w:val="0"/>
              <w:widowControl w:val="0"/>
              <w:kinsoku/>
              <w:wordWrap/>
              <w:overflowPunct/>
              <w:topLinePunct w:val="0"/>
              <w:autoSpaceDE/>
              <w:bidi w:val="0"/>
              <w:snapToGrid w:val="0"/>
              <w:spacing w:line="240" w:lineRule="auto"/>
              <w:ind w:firstLine="0" w:firstLineChars="0"/>
              <w:jc w:val="center"/>
              <w:textAlignment w:val="auto"/>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去向</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996" w:type="dxa"/>
            <w:noWrap w:val="0"/>
            <w:vAlign w:val="center"/>
          </w:tcPr>
          <w:p>
            <w:pPr>
              <w:keepNext w:val="0"/>
              <w:keepLines w:val="0"/>
              <w:pageBreakBefore w:val="0"/>
              <w:widowControl w:val="0"/>
              <w:kinsoku/>
              <w:wordWrap/>
              <w:overflowPunct/>
              <w:topLinePunct w:val="0"/>
              <w:autoSpaceDE/>
              <w:bidi w:val="0"/>
              <w:snapToGrid w:val="0"/>
              <w:spacing w:line="240" w:lineRule="auto"/>
              <w:ind w:firstLine="0" w:firstLineChars="0"/>
              <w:jc w:val="center"/>
              <w:textAlignment w:val="auto"/>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碎石</w:t>
            </w:r>
          </w:p>
        </w:tc>
        <w:tc>
          <w:tcPr>
            <w:tcW w:w="4079" w:type="dxa"/>
            <w:noWrap w:val="0"/>
            <w:vAlign w:val="center"/>
          </w:tcPr>
          <w:p>
            <w:pPr>
              <w:keepNext w:val="0"/>
              <w:keepLines w:val="0"/>
              <w:pageBreakBefore w:val="0"/>
              <w:widowControl w:val="0"/>
              <w:kinsoku/>
              <w:wordWrap/>
              <w:overflowPunct/>
              <w:topLinePunct w:val="0"/>
              <w:autoSpaceDE/>
              <w:bidi w:val="0"/>
              <w:snapToGrid w:val="0"/>
              <w:spacing w:line="240" w:lineRule="auto"/>
              <w:ind w:firstLine="0" w:firstLineChars="0"/>
              <w:jc w:val="center"/>
              <w:textAlignment w:val="auto"/>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2.0</w:t>
            </w: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3.0cm</w:t>
            </w:r>
          </w:p>
        </w:tc>
        <w:tc>
          <w:tcPr>
            <w:tcW w:w="1386" w:type="dxa"/>
            <w:noWrap w:val="0"/>
            <w:vAlign w:val="center"/>
          </w:tcPr>
          <w:p>
            <w:pPr>
              <w:pStyle w:val="134"/>
              <w:keepNext w:val="0"/>
              <w:keepLines w:val="0"/>
              <w:pageBreakBefore w:val="0"/>
              <w:widowControl w:val="0"/>
              <w:kinsoku/>
              <w:wordWrap/>
              <w:overflowPunct/>
              <w:topLinePunct w:val="0"/>
              <w:autoSpaceDE/>
              <w:bidi w:val="0"/>
              <w:snapToGrid w:val="0"/>
              <w:spacing w:before="0" w:after="0" w:line="240" w:lineRule="auto"/>
              <w:ind w:firstLine="0" w:firstLineChars="0"/>
              <w:jc w:val="center"/>
              <w:textAlignment w:val="auto"/>
              <w:rPr>
                <w:rFonts w:ascii="Times New Roman" w:hAnsi="Times New Roman" w:eastAsia="宋体" w:cs="Times New Roman"/>
                <w:color w:val="auto"/>
                <w:highlight w:val="none"/>
                <w:lang w:val="en-US"/>
              </w:rPr>
            </w:pPr>
            <w:r>
              <w:rPr>
                <w:rFonts w:hint="eastAsia" w:ascii="Times New Roman" w:hAnsi="Times New Roman" w:eastAsia="宋体" w:cs="Times New Roman"/>
                <w:color w:val="auto"/>
                <w:kern w:val="2"/>
                <w:sz w:val="21"/>
                <w:szCs w:val="21"/>
                <w:highlight w:val="none"/>
                <w:lang w:val="en-US" w:eastAsia="zh-CN"/>
              </w:rPr>
              <w:t>20</w:t>
            </w:r>
          </w:p>
        </w:tc>
        <w:tc>
          <w:tcPr>
            <w:tcW w:w="1610" w:type="dxa"/>
            <w:noWrap w:val="0"/>
            <w:vAlign w:val="center"/>
          </w:tcPr>
          <w:p>
            <w:pPr>
              <w:pStyle w:val="134"/>
              <w:keepNext w:val="0"/>
              <w:keepLines w:val="0"/>
              <w:pageBreakBefore w:val="0"/>
              <w:widowControl w:val="0"/>
              <w:kinsoku/>
              <w:wordWrap/>
              <w:overflowPunct/>
              <w:topLinePunct w:val="0"/>
              <w:autoSpaceDE/>
              <w:bidi w:val="0"/>
              <w:snapToGrid w:val="0"/>
              <w:spacing w:before="0" w:after="0"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rPr>
            </w:pPr>
            <w:r>
              <w:rPr>
                <w:rFonts w:ascii="Times New Roman" w:hAnsi="Times New Roman" w:eastAsia="宋体" w:cs="Times New Roman"/>
                <w:color w:val="auto"/>
                <w:kern w:val="2"/>
                <w:sz w:val="21"/>
                <w:szCs w:val="21"/>
                <w:highlight w:val="none"/>
                <w:lang w:val="en-US" w:eastAsia="zh-CN"/>
              </w:rPr>
              <w:t>装车外卖</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996" w:type="dxa"/>
            <w:noWrap w:val="0"/>
            <w:vAlign w:val="center"/>
          </w:tcPr>
          <w:p>
            <w:pPr>
              <w:keepNext w:val="0"/>
              <w:keepLines w:val="0"/>
              <w:pageBreakBefore w:val="0"/>
              <w:widowControl w:val="0"/>
              <w:kinsoku/>
              <w:wordWrap/>
              <w:overflowPunct/>
              <w:topLinePunct w:val="0"/>
              <w:autoSpaceDE/>
              <w:bidi w:val="0"/>
              <w:snapToGrid w:val="0"/>
              <w:spacing w:line="240" w:lineRule="auto"/>
              <w:ind w:firstLine="0" w:firstLineChars="0"/>
              <w:jc w:val="center"/>
              <w:textAlignment w:val="auto"/>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碎石</w:t>
            </w:r>
          </w:p>
        </w:tc>
        <w:tc>
          <w:tcPr>
            <w:tcW w:w="4079" w:type="dxa"/>
            <w:noWrap w:val="0"/>
            <w:vAlign w:val="center"/>
          </w:tcPr>
          <w:p>
            <w:pPr>
              <w:keepNext w:val="0"/>
              <w:keepLines w:val="0"/>
              <w:pageBreakBefore w:val="0"/>
              <w:widowControl w:val="0"/>
              <w:kinsoku/>
              <w:wordWrap/>
              <w:overflowPunct/>
              <w:topLinePunct w:val="0"/>
              <w:autoSpaceDE/>
              <w:bidi w:val="0"/>
              <w:snapToGrid w:val="0"/>
              <w:spacing w:line="240" w:lineRule="auto"/>
              <w:ind w:firstLine="0" w:firstLineChars="0"/>
              <w:jc w:val="center"/>
              <w:textAlignment w:val="auto"/>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2.0cm</w:t>
            </w:r>
          </w:p>
        </w:tc>
        <w:tc>
          <w:tcPr>
            <w:tcW w:w="1386" w:type="dxa"/>
            <w:noWrap w:val="0"/>
            <w:vAlign w:val="center"/>
          </w:tcPr>
          <w:p>
            <w:pPr>
              <w:pStyle w:val="134"/>
              <w:keepNext w:val="0"/>
              <w:keepLines w:val="0"/>
              <w:pageBreakBefore w:val="0"/>
              <w:widowControl w:val="0"/>
              <w:kinsoku/>
              <w:wordWrap/>
              <w:overflowPunct/>
              <w:topLinePunct w:val="0"/>
              <w:autoSpaceDE/>
              <w:bidi w:val="0"/>
              <w:snapToGrid w:val="0"/>
              <w:spacing w:before="0" w:after="0"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15</w:t>
            </w:r>
          </w:p>
        </w:tc>
        <w:tc>
          <w:tcPr>
            <w:tcW w:w="1610" w:type="dxa"/>
            <w:noWrap w:val="0"/>
            <w:vAlign w:val="center"/>
          </w:tcPr>
          <w:p>
            <w:pPr>
              <w:pStyle w:val="134"/>
              <w:keepNext w:val="0"/>
              <w:keepLines w:val="0"/>
              <w:pageBreakBefore w:val="0"/>
              <w:widowControl w:val="0"/>
              <w:kinsoku/>
              <w:wordWrap/>
              <w:overflowPunct/>
              <w:topLinePunct w:val="0"/>
              <w:autoSpaceDE/>
              <w:bidi w:val="0"/>
              <w:snapToGrid w:val="0"/>
              <w:spacing w:before="0" w:after="0"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rPr>
            </w:pPr>
            <w:r>
              <w:rPr>
                <w:rFonts w:ascii="Times New Roman" w:hAnsi="Times New Roman" w:eastAsia="宋体" w:cs="Times New Roman"/>
                <w:color w:val="auto"/>
                <w:kern w:val="2"/>
                <w:sz w:val="21"/>
                <w:szCs w:val="21"/>
                <w:highlight w:val="none"/>
                <w:lang w:val="en-US" w:eastAsia="zh-CN"/>
              </w:rPr>
              <w:t>装车外卖</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996" w:type="dxa"/>
            <w:noWrap w:val="0"/>
            <w:vAlign w:val="center"/>
          </w:tcPr>
          <w:p>
            <w:pPr>
              <w:keepNext w:val="0"/>
              <w:keepLines w:val="0"/>
              <w:pageBreakBefore w:val="0"/>
              <w:widowControl w:val="0"/>
              <w:kinsoku/>
              <w:wordWrap/>
              <w:overflowPunct/>
              <w:topLinePunct w:val="0"/>
              <w:autoSpaceDE/>
              <w:bidi w:val="0"/>
              <w:snapToGrid w:val="0"/>
              <w:spacing w:line="240" w:lineRule="auto"/>
              <w:ind w:firstLine="0" w:firstLineChars="0"/>
              <w:jc w:val="center"/>
              <w:textAlignment w:val="auto"/>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碎石</w:t>
            </w:r>
          </w:p>
        </w:tc>
        <w:tc>
          <w:tcPr>
            <w:tcW w:w="4079" w:type="dxa"/>
            <w:noWrap w:val="0"/>
            <w:vAlign w:val="center"/>
          </w:tcPr>
          <w:p>
            <w:pPr>
              <w:keepNext w:val="0"/>
              <w:keepLines w:val="0"/>
              <w:pageBreakBefore w:val="0"/>
              <w:widowControl w:val="0"/>
              <w:kinsoku/>
              <w:wordWrap/>
              <w:overflowPunct/>
              <w:topLinePunct w:val="0"/>
              <w:autoSpaceDE/>
              <w:bidi w:val="0"/>
              <w:snapToGrid w:val="0"/>
              <w:spacing w:line="240" w:lineRule="auto"/>
              <w:ind w:firstLine="0" w:firstLineChars="0"/>
              <w:jc w:val="center"/>
              <w:textAlignment w:val="auto"/>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0.5</w:t>
            </w: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1.0cm</w:t>
            </w:r>
          </w:p>
        </w:tc>
        <w:tc>
          <w:tcPr>
            <w:tcW w:w="1386" w:type="dxa"/>
            <w:noWrap w:val="0"/>
            <w:vAlign w:val="center"/>
          </w:tcPr>
          <w:p>
            <w:pPr>
              <w:pStyle w:val="134"/>
              <w:keepNext w:val="0"/>
              <w:keepLines w:val="0"/>
              <w:pageBreakBefore w:val="0"/>
              <w:widowControl w:val="0"/>
              <w:kinsoku/>
              <w:wordWrap/>
              <w:overflowPunct/>
              <w:topLinePunct w:val="0"/>
              <w:autoSpaceDE/>
              <w:bidi w:val="0"/>
              <w:snapToGrid w:val="0"/>
              <w:spacing w:before="0" w:after="0"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10</w:t>
            </w:r>
          </w:p>
        </w:tc>
        <w:tc>
          <w:tcPr>
            <w:tcW w:w="1610" w:type="dxa"/>
            <w:noWrap w:val="0"/>
            <w:vAlign w:val="center"/>
          </w:tcPr>
          <w:p>
            <w:pPr>
              <w:pStyle w:val="134"/>
              <w:keepNext w:val="0"/>
              <w:keepLines w:val="0"/>
              <w:pageBreakBefore w:val="0"/>
              <w:widowControl w:val="0"/>
              <w:kinsoku/>
              <w:wordWrap/>
              <w:overflowPunct/>
              <w:topLinePunct w:val="0"/>
              <w:autoSpaceDE/>
              <w:bidi w:val="0"/>
              <w:snapToGrid w:val="0"/>
              <w:spacing w:before="0" w:after="0"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rPr>
            </w:pPr>
            <w:r>
              <w:rPr>
                <w:rFonts w:ascii="Times New Roman" w:hAnsi="Times New Roman" w:eastAsia="宋体" w:cs="Times New Roman"/>
                <w:color w:val="auto"/>
                <w:kern w:val="2"/>
                <w:sz w:val="21"/>
                <w:szCs w:val="21"/>
                <w:highlight w:val="none"/>
                <w:lang w:val="en-US" w:eastAsia="zh-CN"/>
              </w:rPr>
              <w:t>装车外卖</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996" w:type="dxa"/>
            <w:noWrap w:val="0"/>
            <w:vAlign w:val="center"/>
          </w:tcPr>
          <w:p>
            <w:pPr>
              <w:keepNext w:val="0"/>
              <w:keepLines w:val="0"/>
              <w:pageBreakBefore w:val="0"/>
              <w:widowControl w:val="0"/>
              <w:kinsoku/>
              <w:wordWrap/>
              <w:overflowPunct/>
              <w:topLinePunct w:val="0"/>
              <w:autoSpaceDE/>
              <w:bidi w:val="0"/>
              <w:snapToGrid w:val="0"/>
              <w:spacing w:line="240" w:lineRule="auto"/>
              <w:ind w:firstLine="0" w:firstLineChars="0"/>
              <w:jc w:val="center"/>
              <w:textAlignment w:val="auto"/>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石粉</w:t>
            </w:r>
          </w:p>
        </w:tc>
        <w:tc>
          <w:tcPr>
            <w:tcW w:w="4079" w:type="dxa"/>
            <w:noWrap w:val="0"/>
            <w:vAlign w:val="center"/>
          </w:tcPr>
          <w:p>
            <w:pPr>
              <w:keepNext w:val="0"/>
              <w:keepLines w:val="0"/>
              <w:pageBreakBefore w:val="0"/>
              <w:widowControl w:val="0"/>
              <w:kinsoku/>
              <w:wordWrap/>
              <w:overflowPunct/>
              <w:topLinePunct w:val="0"/>
              <w:autoSpaceDE/>
              <w:bidi w:val="0"/>
              <w:snapToGrid w:val="0"/>
              <w:spacing w:line="240" w:lineRule="auto"/>
              <w:ind w:firstLine="0" w:firstLineChars="0"/>
              <w:jc w:val="center"/>
              <w:textAlignment w:val="auto"/>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0.5cm</w:t>
            </w:r>
          </w:p>
        </w:tc>
        <w:tc>
          <w:tcPr>
            <w:tcW w:w="1386" w:type="dxa"/>
            <w:noWrap w:val="0"/>
            <w:vAlign w:val="center"/>
          </w:tcPr>
          <w:p>
            <w:pPr>
              <w:pStyle w:val="134"/>
              <w:keepNext w:val="0"/>
              <w:keepLines w:val="0"/>
              <w:pageBreakBefore w:val="0"/>
              <w:widowControl w:val="0"/>
              <w:kinsoku/>
              <w:wordWrap/>
              <w:overflowPunct/>
              <w:topLinePunct w:val="0"/>
              <w:autoSpaceDE/>
              <w:bidi w:val="0"/>
              <w:snapToGrid w:val="0"/>
              <w:spacing w:before="0" w:after="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u w:val="single"/>
                <w:lang w:val="en-US" w:eastAsia="zh-CN"/>
              </w:rPr>
              <w:t>1.7923</w:t>
            </w:r>
          </w:p>
        </w:tc>
        <w:tc>
          <w:tcPr>
            <w:tcW w:w="1610" w:type="dxa"/>
            <w:noWrap w:val="0"/>
            <w:vAlign w:val="center"/>
          </w:tcPr>
          <w:p>
            <w:pPr>
              <w:pStyle w:val="134"/>
              <w:keepNext w:val="0"/>
              <w:keepLines w:val="0"/>
              <w:pageBreakBefore w:val="0"/>
              <w:widowControl w:val="0"/>
              <w:kinsoku/>
              <w:wordWrap/>
              <w:overflowPunct/>
              <w:topLinePunct w:val="0"/>
              <w:autoSpaceDE/>
              <w:bidi w:val="0"/>
              <w:snapToGrid w:val="0"/>
              <w:spacing w:before="0" w:after="0"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rPr>
            </w:pPr>
            <w:r>
              <w:rPr>
                <w:rFonts w:ascii="Times New Roman" w:hAnsi="Times New Roman" w:eastAsia="宋体" w:cs="Times New Roman"/>
                <w:color w:val="auto"/>
                <w:kern w:val="2"/>
                <w:sz w:val="21"/>
                <w:szCs w:val="21"/>
                <w:highlight w:val="none"/>
                <w:lang w:val="en-US" w:eastAsia="zh-CN"/>
              </w:rPr>
              <w:t>装车外卖</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996" w:type="dxa"/>
            <w:noWrap w:val="0"/>
            <w:vAlign w:val="center"/>
          </w:tcPr>
          <w:p>
            <w:pPr>
              <w:keepNext w:val="0"/>
              <w:keepLines w:val="0"/>
              <w:pageBreakBefore w:val="0"/>
              <w:widowControl w:val="0"/>
              <w:kinsoku/>
              <w:wordWrap/>
              <w:overflowPunct/>
              <w:topLinePunct w:val="0"/>
              <w:autoSpaceDE/>
              <w:bidi w:val="0"/>
              <w:snapToGrid w:val="0"/>
              <w:spacing w:line="240" w:lineRule="auto"/>
              <w:ind w:firstLine="0" w:firstLineChars="0"/>
              <w:jc w:val="center"/>
              <w:textAlignment w:val="auto"/>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人工砂</w:t>
            </w:r>
          </w:p>
        </w:tc>
        <w:tc>
          <w:tcPr>
            <w:tcW w:w="4079" w:type="dxa"/>
            <w:noWrap w:val="0"/>
            <w:vAlign w:val="center"/>
          </w:tcPr>
          <w:p>
            <w:pPr>
              <w:keepNext w:val="0"/>
              <w:keepLines w:val="0"/>
              <w:pageBreakBefore w:val="0"/>
              <w:widowControl w:val="0"/>
              <w:kinsoku/>
              <w:wordWrap/>
              <w:overflowPunct/>
              <w:topLinePunct w:val="0"/>
              <w:autoSpaceDE/>
              <w:bidi w:val="0"/>
              <w:snapToGrid w:val="0"/>
              <w:spacing w:line="240" w:lineRule="auto"/>
              <w:ind w:firstLine="0" w:firstLineChars="0"/>
              <w:jc w:val="center"/>
              <w:textAlignment w:val="auto"/>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0.5cm</w:t>
            </w:r>
          </w:p>
        </w:tc>
        <w:tc>
          <w:tcPr>
            <w:tcW w:w="1386" w:type="dxa"/>
            <w:noWrap w:val="0"/>
            <w:vAlign w:val="center"/>
          </w:tcPr>
          <w:p>
            <w:pPr>
              <w:pStyle w:val="134"/>
              <w:keepNext w:val="0"/>
              <w:keepLines w:val="0"/>
              <w:pageBreakBefore w:val="0"/>
              <w:widowControl w:val="0"/>
              <w:kinsoku/>
              <w:wordWrap/>
              <w:overflowPunct/>
              <w:topLinePunct w:val="0"/>
              <w:autoSpaceDE/>
              <w:bidi w:val="0"/>
              <w:snapToGrid w:val="0"/>
              <w:spacing w:before="0" w:after="0"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2.5</w:t>
            </w:r>
          </w:p>
        </w:tc>
        <w:tc>
          <w:tcPr>
            <w:tcW w:w="1610" w:type="dxa"/>
            <w:noWrap w:val="0"/>
            <w:vAlign w:val="center"/>
          </w:tcPr>
          <w:p>
            <w:pPr>
              <w:pStyle w:val="134"/>
              <w:keepNext w:val="0"/>
              <w:keepLines w:val="0"/>
              <w:pageBreakBefore w:val="0"/>
              <w:widowControl w:val="0"/>
              <w:kinsoku/>
              <w:wordWrap/>
              <w:overflowPunct/>
              <w:topLinePunct w:val="0"/>
              <w:autoSpaceDE/>
              <w:bidi w:val="0"/>
              <w:snapToGrid w:val="0"/>
              <w:spacing w:before="0" w:after="0" w:line="240" w:lineRule="auto"/>
              <w:ind w:firstLine="0" w:firstLineChars="0"/>
              <w:jc w:val="center"/>
              <w:textAlignment w:val="auto"/>
              <w:rPr>
                <w:rFonts w:ascii="Times New Roman" w:hAnsi="Times New Roman" w:eastAsia="宋体" w:cs="Times New Roman"/>
                <w:color w:val="auto"/>
                <w:kern w:val="2"/>
                <w:sz w:val="21"/>
                <w:szCs w:val="21"/>
                <w:highlight w:val="none"/>
                <w:lang w:val="en-US" w:eastAsia="zh-CN"/>
              </w:rPr>
            </w:pPr>
            <w:r>
              <w:rPr>
                <w:rFonts w:ascii="Times New Roman" w:hAnsi="Times New Roman" w:eastAsia="宋体" w:cs="Times New Roman"/>
                <w:color w:val="auto"/>
                <w:kern w:val="2"/>
                <w:sz w:val="21"/>
                <w:szCs w:val="21"/>
                <w:highlight w:val="none"/>
                <w:lang w:val="en-US" w:eastAsia="zh-CN"/>
              </w:rPr>
              <w:t>装车外卖</w:t>
            </w:r>
          </w:p>
        </w:tc>
      </w:tr>
    </w:tbl>
    <w:p>
      <w:pPr>
        <w:pStyle w:val="5"/>
        <w:rPr>
          <w:rFonts w:ascii="Times New Roman" w:hAnsi="Times New Roman" w:eastAsia="宋体"/>
          <w:color w:val="auto"/>
          <w:highlight w:val="none"/>
        </w:rPr>
      </w:pPr>
      <w:r>
        <w:rPr>
          <w:rFonts w:hint="eastAsia" w:ascii="Times New Roman" w:hAnsi="Times New Roman" w:eastAsia="宋体"/>
          <w:color w:val="auto"/>
          <w:highlight w:val="none"/>
        </w:rPr>
        <w:t>2.3</w:t>
      </w:r>
      <w:r>
        <w:rPr>
          <w:rFonts w:ascii="Times New Roman" w:hAnsi="Times New Roman" w:eastAsia="宋体"/>
          <w:color w:val="auto"/>
          <w:highlight w:val="none"/>
        </w:rPr>
        <w:t>.5 公用工程</w:t>
      </w:r>
    </w:p>
    <w:p>
      <w:pPr>
        <w:ind w:firstLine="0" w:firstLineChars="0"/>
        <w:rPr>
          <w:rFonts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    1、供水</w:t>
      </w:r>
    </w:p>
    <w:p>
      <w:pPr>
        <w:ind w:firstLine="0" w:firstLineChars="0"/>
        <w:rPr>
          <w:rFonts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    拟建工程用水主要为生产用水和生活用水。其中，生产用水包括喷淋用水、洒水降尘用水和车辆清洗用水。</w:t>
      </w:r>
      <w:r>
        <w:rPr>
          <w:rFonts w:ascii="Times New Roman" w:hAnsi="Times New Roman" w:eastAsia="宋体" w:cs="Times New Roman"/>
          <w:color w:val="auto"/>
          <w:highlight w:val="none"/>
          <w:u w:val="single"/>
        </w:rPr>
        <w:t>生产和生活总用水量</w:t>
      </w:r>
      <w:r>
        <w:rPr>
          <w:rFonts w:hint="eastAsia" w:ascii="Times New Roman" w:hAnsi="Times New Roman" w:eastAsia="宋体" w:cs="Times New Roman"/>
          <w:color w:val="auto"/>
          <w:highlight w:val="none"/>
          <w:u w:val="single"/>
        </w:rPr>
        <w:t>1</w:t>
      </w:r>
      <w:r>
        <w:rPr>
          <w:rFonts w:hint="eastAsia" w:cs="Times New Roman"/>
          <w:color w:val="auto"/>
          <w:highlight w:val="none"/>
          <w:u w:val="single"/>
          <w:lang w:val="en-US" w:eastAsia="zh-CN"/>
        </w:rPr>
        <w:t>7572</w:t>
      </w:r>
      <w:r>
        <w:rPr>
          <w:rFonts w:hint="eastAsia" w:ascii="Times New Roman" w:hAnsi="Times New Roman" w:eastAsia="宋体" w:cs="Times New Roman"/>
          <w:color w:val="auto"/>
          <w:highlight w:val="none"/>
          <w:u w:val="single"/>
        </w:rPr>
        <w:t>.5</w:t>
      </w:r>
      <w:r>
        <w:rPr>
          <w:rFonts w:ascii="Times New Roman" w:hAnsi="Times New Roman" w:eastAsia="宋体" w:cs="Times New Roman"/>
          <w:color w:val="auto"/>
          <w:highlight w:val="none"/>
          <w:u w:val="single"/>
        </w:rPr>
        <w:t>m</w:t>
      </w:r>
      <w:r>
        <w:rPr>
          <w:rFonts w:ascii="Times New Roman" w:hAnsi="Times New Roman" w:eastAsia="宋体" w:cs="Times New Roman"/>
          <w:color w:val="auto"/>
          <w:highlight w:val="none"/>
          <w:u w:val="single"/>
          <w:vertAlign w:val="superscript"/>
        </w:rPr>
        <w:t>3</w:t>
      </w:r>
      <w:r>
        <w:rPr>
          <w:rFonts w:ascii="Times New Roman" w:hAnsi="Times New Roman" w:eastAsia="宋体" w:cs="Times New Roman"/>
          <w:color w:val="auto"/>
          <w:highlight w:val="none"/>
          <w:u w:val="single"/>
        </w:rPr>
        <w:t>/a，</w:t>
      </w:r>
      <w:r>
        <w:rPr>
          <w:rFonts w:hint="eastAsia" w:ascii="Times New Roman" w:hAnsi="Times New Roman" w:eastAsia="宋体" w:cs="Times New Roman"/>
          <w:color w:val="auto"/>
          <w:highlight w:val="none"/>
          <w:u w:val="single"/>
        </w:rPr>
        <w:t>均取自山泉水</w:t>
      </w:r>
      <w:r>
        <w:rPr>
          <w:rFonts w:hint="eastAsia" w:cs="Times New Roman"/>
          <w:color w:val="auto"/>
          <w:highlight w:val="none"/>
          <w:u w:val="single"/>
          <w:lang w:eastAsia="zh-CN"/>
        </w:rPr>
        <w:t>，</w:t>
      </w:r>
      <w:r>
        <w:rPr>
          <w:rFonts w:hint="eastAsia" w:cs="Times New Roman"/>
          <w:color w:val="auto"/>
          <w:highlight w:val="none"/>
          <w:u w:val="single"/>
          <w:lang w:val="en-US" w:eastAsia="zh-CN"/>
        </w:rPr>
        <w:t>由东坪村管网接入</w:t>
      </w:r>
      <w:r>
        <w:rPr>
          <w:rFonts w:ascii="Times New Roman" w:hAnsi="Times New Roman" w:eastAsia="宋体" w:cs="Times New Roman"/>
          <w:color w:val="auto"/>
          <w:highlight w:val="none"/>
        </w:rPr>
        <w:t>。</w:t>
      </w:r>
    </w:p>
    <w:p>
      <w:pPr>
        <w:ind w:firstLine="0" w:firstLineChars="0"/>
        <w:rPr>
          <w:rFonts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    2、排水</w:t>
      </w:r>
    </w:p>
    <w:p>
      <w:pPr>
        <w:ind w:firstLine="0" w:firstLineChars="0"/>
        <w:rPr>
          <w:rFonts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    拟建工程矿山露天开采最低平台标高+</w:t>
      </w:r>
      <w:r>
        <w:rPr>
          <w:rFonts w:hint="eastAsia" w:ascii="Times New Roman" w:hAnsi="Times New Roman" w:eastAsia="宋体" w:cs="Times New Roman"/>
          <w:color w:val="auto"/>
          <w:highlight w:val="none"/>
        </w:rPr>
        <w:t>227</w:t>
      </w:r>
      <w:r>
        <w:rPr>
          <w:rFonts w:ascii="Times New Roman" w:hAnsi="Times New Roman" w:eastAsia="宋体" w:cs="Times New Roman"/>
          <w:color w:val="auto"/>
          <w:highlight w:val="none"/>
        </w:rPr>
        <w:t>m，无地下涌水产生，生产过程喷淋和洒水降尘废水均自然损耗，不外排；</w:t>
      </w:r>
      <w:r>
        <w:rPr>
          <w:rFonts w:hint="eastAsia" w:ascii="Times New Roman" w:hAnsi="Times New Roman" w:eastAsia="宋体" w:cs="Times New Roman"/>
          <w:color w:val="auto"/>
          <w:highlight w:val="none"/>
        </w:rPr>
        <w:t>洗砂废水循环使用，不外排；</w:t>
      </w:r>
      <w:r>
        <w:rPr>
          <w:rFonts w:ascii="Times New Roman" w:hAnsi="Times New Roman" w:eastAsia="宋体" w:cs="Times New Roman"/>
          <w:color w:val="auto"/>
          <w:highlight w:val="none"/>
        </w:rPr>
        <w:t>车辆清洗废水循环使用，不外排；本项目</w:t>
      </w:r>
      <w:r>
        <w:rPr>
          <w:rFonts w:ascii="Times New Roman" w:hAnsi="Times New Roman" w:eastAsia="宋体" w:cs="Times New Roman"/>
          <w:color w:val="auto"/>
          <w:szCs w:val="24"/>
          <w:highlight w:val="none"/>
        </w:rPr>
        <w:t>隔油后的厨房废水与</w:t>
      </w:r>
      <w:r>
        <w:rPr>
          <w:rFonts w:ascii="Times New Roman" w:hAnsi="Times New Roman" w:eastAsia="宋体" w:cs="Times New Roman"/>
          <w:bCs/>
          <w:color w:val="auto"/>
          <w:highlight w:val="none"/>
        </w:rPr>
        <w:t>生活污水经化粪池处理后用于周边旱地施肥</w:t>
      </w:r>
      <w:r>
        <w:rPr>
          <w:rFonts w:ascii="Times New Roman" w:hAnsi="Times New Roman" w:eastAsia="宋体" w:cs="Times New Roman"/>
          <w:color w:val="auto"/>
          <w:highlight w:val="none"/>
        </w:rPr>
        <w:t>，不外排。</w:t>
      </w:r>
    </w:p>
    <w:p>
      <w:pPr>
        <w:ind w:firstLine="0" w:firstLineChars="0"/>
        <w:rPr>
          <w:rFonts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    3、供电</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拟建工程用电量约120万kW·h/a，</w:t>
      </w:r>
      <w:r>
        <w:rPr>
          <w:rFonts w:ascii="Times New Roman" w:hAnsi="Times New Roman" w:eastAsia="宋体" w:cs="Times New Roman"/>
          <w:color w:val="auto"/>
          <w:szCs w:val="24"/>
          <w:highlight w:val="none"/>
        </w:rPr>
        <w:t>电源来自</w:t>
      </w:r>
      <w:r>
        <w:rPr>
          <w:rFonts w:hint="eastAsia" w:ascii="Times New Roman" w:hAnsi="Times New Roman" w:eastAsia="宋体" w:cs="Times New Roman"/>
          <w:color w:val="auto"/>
          <w:szCs w:val="24"/>
          <w:highlight w:val="none"/>
        </w:rPr>
        <w:t>斗江</w:t>
      </w:r>
      <w:r>
        <w:rPr>
          <w:rFonts w:ascii="Times New Roman" w:hAnsi="Times New Roman" w:eastAsia="宋体" w:cs="Times New Roman"/>
          <w:color w:val="auto"/>
          <w:szCs w:val="24"/>
          <w:highlight w:val="none"/>
        </w:rPr>
        <w:t>镇</w:t>
      </w:r>
      <w:r>
        <w:rPr>
          <w:rFonts w:hint="eastAsia" w:ascii="Times New Roman" w:hAnsi="Times New Roman" w:eastAsia="宋体" w:cs="Times New Roman"/>
          <w:color w:val="auto"/>
          <w:szCs w:val="24"/>
          <w:highlight w:val="none"/>
        </w:rPr>
        <w:t>供电线路</w:t>
      </w:r>
      <w:r>
        <w:rPr>
          <w:rFonts w:ascii="Times New Roman" w:hAnsi="Times New Roman" w:eastAsia="宋体" w:cs="Times New Roman"/>
          <w:color w:val="auto"/>
          <w:highlight w:val="none"/>
        </w:rPr>
        <w:t>。</w:t>
      </w:r>
    </w:p>
    <w:p>
      <w:pPr>
        <w:pStyle w:val="5"/>
        <w:rPr>
          <w:rFonts w:ascii="Times New Roman" w:hAnsi="Times New Roman" w:eastAsia="宋体"/>
          <w:color w:val="auto"/>
          <w:highlight w:val="none"/>
        </w:rPr>
      </w:pPr>
      <w:r>
        <w:rPr>
          <w:rFonts w:hint="eastAsia" w:ascii="Times New Roman" w:hAnsi="Times New Roman" w:eastAsia="宋体"/>
          <w:color w:val="auto"/>
          <w:highlight w:val="none"/>
        </w:rPr>
        <w:t>2.3</w:t>
      </w:r>
      <w:r>
        <w:rPr>
          <w:rFonts w:ascii="Times New Roman" w:hAnsi="Times New Roman" w:eastAsia="宋体"/>
          <w:color w:val="auto"/>
          <w:highlight w:val="none"/>
        </w:rPr>
        <w:t>.6 环保工程</w:t>
      </w:r>
    </w:p>
    <w:p>
      <w:pPr>
        <w:adjustRightInd w:val="0"/>
        <w:ind w:firstLine="480"/>
        <w:rPr>
          <w:rFonts w:ascii="Times New Roman" w:hAnsi="Times New Roman" w:eastAsia="宋体"/>
          <w:color w:val="auto"/>
          <w:highlight w:val="none"/>
        </w:rPr>
      </w:pPr>
      <w:r>
        <w:rPr>
          <w:rFonts w:ascii="Times New Roman" w:hAnsi="Times New Roman" w:eastAsia="宋体"/>
          <w:color w:val="auto"/>
          <w:highlight w:val="none"/>
        </w:rPr>
        <w:t>1、污水处理工程</w:t>
      </w:r>
    </w:p>
    <w:p>
      <w:pPr>
        <w:adjustRightInd w:val="0"/>
        <w:ind w:firstLine="480"/>
        <w:rPr>
          <w:rFonts w:ascii="Times New Roman" w:hAnsi="Times New Roman" w:eastAsia="宋体"/>
          <w:color w:val="auto"/>
          <w:highlight w:val="none"/>
        </w:rPr>
      </w:pPr>
      <w:r>
        <w:rPr>
          <w:rFonts w:ascii="Times New Roman" w:hAnsi="Times New Roman" w:eastAsia="宋体"/>
          <w:color w:val="auto"/>
          <w:highlight w:val="none"/>
        </w:rPr>
        <w:t>拟建工程隔油后的厨房废水与生活污水经化粪池处理后用于周边旱地施肥。喷淋和洒水降尘使用新鲜水全部自然蒸发</w:t>
      </w:r>
      <w:r>
        <w:rPr>
          <w:rFonts w:hint="eastAsia" w:ascii="Times New Roman" w:hAnsi="Times New Roman" w:eastAsia="宋体"/>
          <w:color w:val="auto"/>
          <w:highlight w:val="none"/>
        </w:rPr>
        <w:t>；车辆清洗废水和</w:t>
      </w:r>
      <w:r>
        <w:rPr>
          <w:rFonts w:hint="eastAsia" w:ascii="Times New Roman" w:hAnsi="Times New Roman" w:eastAsia="宋体" w:cs="Times New Roman"/>
          <w:color w:val="auto"/>
          <w:highlight w:val="none"/>
        </w:rPr>
        <w:t>洗砂废水循环使用，不外排；</w:t>
      </w:r>
      <w:r>
        <w:rPr>
          <w:rFonts w:ascii="Times New Roman" w:hAnsi="Times New Roman" w:eastAsia="宋体"/>
          <w:color w:val="auto"/>
          <w:highlight w:val="none"/>
        </w:rPr>
        <w:t>初期雨水经排水沟流入沉砂池，沉淀后回用于矿区洒水降尘，不外排。</w:t>
      </w:r>
    </w:p>
    <w:p>
      <w:pPr>
        <w:adjustRightInd w:val="0"/>
        <w:ind w:firstLine="480"/>
        <w:rPr>
          <w:rFonts w:ascii="Times New Roman" w:hAnsi="Times New Roman" w:eastAsia="宋体"/>
          <w:color w:val="auto"/>
          <w:highlight w:val="none"/>
        </w:rPr>
      </w:pPr>
      <w:r>
        <w:rPr>
          <w:rFonts w:ascii="Times New Roman" w:hAnsi="Times New Roman" w:eastAsia="宋体"/>
          <w:color w:val="auto"/>
          <w:highlight w:val="none"/>
        </w:rPr>
        <w:t>2、废气治理工程</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u w:val="single"/>
          <w:lang w:eastAsia="zh-CN"/>
        </w:rPr>
        <w:t>破碎场①</w:t>
      </w:r>
      <w:r>
        <w:rPr>
          <w:rFonts w:hint="eastAsia"/>
          <w:color w:val="auto"/>
          <w:highlight w:val="none"/>
          <w:u w:val="single"/>
          <w:lang w:val="en-US" w:eastAsia="zh-CN"/>
        </w:rPr>
        <w:t>和</w:t>
      </w:r>
      <w:r>
        <w:rPr>
          <w:rFonts w:hint="eastAsia"/>
          <w:color w:val="auto"/>
          <w:highlight w:val="none"/>
          <w:u w:val="single"/>
          <w:lang w:eastAsia="zh-CN"/>
        </w:rPr>
        <w:t>破碎场②</w:t>
      </w:r>
      <w:r>
        <w:rPr>
          <w:rFonts w:hint="eastAsia" w:ascii="Times New Roman" w:hAnsi="Times New Roman" w:eastAsia="宋体"/>
          <w:color w:val="auto"/>
          <w:highlight w:val="none"/>
        </w:rPr>
        <w:t>筛选</w:t>
      </w:r>
      <w:r>
        <w:rPr>
          <w:rFonts w:ascii="Times New Roman" w:hAnsi="Times New Roman" w:eastAsia="宋体"/>
          <w:color w:val="auto"/>
          <w:highlight w:val="none"/>
        </w:rPr>
        <w:t>破碎、</w:t>
      </w:r>
      <w:r>
        <w:rPr>
          <w:rFonts w:hint="eastAsia" w:ascii="Times New Roman" w:hAnsi="Times New Roman" w:eastAsia="宋体"/>
          <w:color w:val="auto"/>
          <w:highlight w:val="none"/>
        </w:rPr>
        <w:t>二级破碎筛分</w:t>
      </w:r>
      <w:r>
        <w:rPr>
          <w:rFonts w:ascii="Times New Roman" w:hAnsi="Times New Roman" w:eastAsia="宋体"/>
          <w:color w:val="auto"/>
          <w:highlight w:val="none"/>
        </w:rPr>
        <w:t>、</w:t>
      </w:r>
      <w:r>
        <w:rPr>
          <w:rFonts w:hint="eastAsia" w:ascii="Times New Roman" w:hAnsi="Times New Roman" w:eastAsia="宋体"/>
          <w:color w:val="auto"/>
          <w:highlight w:val="none"/>
        </w:rPr>
        <w:t>三级破碎筛分</w:t>
      </w:r>
      <w:r>
        <w:rPr>
          <w:rFonts w:ascii="Times New Roman" w:hAnsi="Times New Roman" w:eastAsia="宋体"/>
          <w:color w:val="auto"/>
          <w:highlight w:val="none"/>
        </w:rPr>
        <w:t>工序均分别设置</w:t>
      </w:r>
      <w:r>
        <w:rPr>
          <w:rFonts w:hint="eastAsia" w:ascii="Times New Roman" w:hAnsi="Times New Roman" w:eastAsia="宋体"/>
          <w:color w:val="auto"/>
          <w:highlight w:val="none"/>
        </w:rPr>
        <w:t>1套</w:t>
      </w:r>
      <w:r>
        <w:rPr>
          <w:rFonts w:hint="eastAsia" w:ascii="Times New Roman" w:hAnsi="Times New Roman" w:eastAsia="宋体"/>
          <w:color w:val="auto"/>
          <w:highlight w:val="none"/>
          <w:lang w:val="en-US" w:eastAsia="zh-CN"/>
        </w:rPr>
        <w:t>喷淋</w:t>
      </w:r>
      <w:r>
        <w:rPr>
          <w:rFonts w:hint="eastAsia" w:ascii="Times New Roman" w:hAnsi="Times New Roman" w:eastAsia="宋体"/>
          <w:color w:val="auto"/>
          <w:highlight w:val="none"/>
        </w:rPr>
        <w:t>+封闭+负压收集</w:t>
      </w:r>
      <w:r>
        <w:rPr>
          <w:rFonts w:ascii="Times New Roman" w:hAnsi="Times New Roman" w:eastAsia="宋体"/>
          <w:color w:val="auto"/>
          <w:highlight w:val="none"/>
        </w:rPr>
        <w:t>+袋式除尘</w:t>
      </w:r>
      <w:r>
        <w:rPr>
          <w:rFonts w:hint="eastAsia" w:ascii="Times New Roman" w:hAnsi="Times New Roman" w:eastAsia="宋体"/>
          <w:color w:val="auto"/>
          <w:highlight w:val="none"/>
        </w:rPr>
        <w:t>器除尘设施</w:t>
      </w:r>
      <w:r>
        <w:rPr>
          <w:rFonts w:ascii="Times New Roman" w:hAnsi="Times New Roman" w:eastAsia="宋体"/>
          <w:color w:val="auto"/>
          <w:highlight w:val="none"/>
        </w:rPr>
        <w:t>，颗粒物经</w:t>
      </w:r>
      <w:r>
        <w:rPr>
          <w:rFonts w:hint="eastAsia" w:ascii="Times New Roman" w:hAnsi="Times New Roman" w:eastAsia="宋体"/>
          <w:color w:val="auto"/>
          <w:highlight w:val="none"/>
        </w:rPr>
        <w:t>收集</w:t>
      </w:r>
      <w:r>
        <w:rPr>
          <w:rFonts w:ascii="Times New Roman" w:hAnsi="Times New Roman" w:eastAsia="宋体"/>
          <w:color w:val="auto"/>
          <w:highlight w:val="none"/>
        </w:rPr>
        <w:t>处理后由15m排气筒排放。</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凿岩钻孔、爆破、采装、装卸等工序均采取洒水方式降尘</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szCs w:val="24"/>
          <w:highlight w:val="none"/>
        </w:rPr>
        <w:t>输送过程密闭处理并在输送带两端设置喷淋和帘布、落料上堆增加可伸缩斜槽</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szCs w:val="24"/>
          <w:highlight w:val="none"/>
        </w:rPr>
        <w:t>运输道路地面硬化处理、进出厂车辆设置车辆清洗池，</w:t>
      </w:r>
      <w:r>
        <w:rPr>
          <w:rFonts w:ascii="Times New Roman" w:hAnsi="Times New Roman" w:eastAsia="宋体" w:cs="Times New Roman"/>
          <w:color w:val="auto"/>
          <w:highlight w:val="none"/>
        </w:rPr>
        <w:t>道路定期洒水降尘</w:t>
      </w:r>
      <w:r>
        <w:rPr>
          <w:rFonts w:hint="eastAsia" w:ascii="Times New Roman" w:hAnsi="Times New Roman" w:eastAsia="宋体" w:cs="Times New Roman"/>
          <w:color w:val="auto"/>
          <w:highlight w:val="none"/>
        </w:rPr>
        <w:t>；石粉堆料场设置厂棚，</w:t>
      </w:r>
      <w:r>
        <w:rPr>
          <w:rFonts w:hint="eastAsia" w:ascii="Times New Roman" w:hAnsi="Times New Roman" w:eastAsia="宋体" w:cs="Times New Roman"/>
          <w:color w:val="auto"/>
          <w:szCs w:val="24"/>
          <w:highlight w:val="none"/>
        </w:rPr>
        <w:t>堆料场覆盖防尘网，临时排土场设置</w:t>
      </w:r>
      <w:r>
        <w:rPr>
          <w:rFonts w:ascii="Times New Roman" w:hAnsi="Times New Roman" w:eastAsia="宋体" w:cs="Times New Roman"/>
          <w:color w:val="auto"/>
          <w:szCs w:val="24"/>
          <w:highlight w:val="none"/>
        </w:rPr>
        <w:t>围挡</w:t>
      </w:r>
      <w:r>
        <w:rPr>
          <w:rFonts w:hint="eastAsia" w:ascii="Times New Roman" w:hAnsi="Times New Roman" w:eastAsia="宋体" w:cs="Times New Roman"/>
          <w:color w:val="auto"/>
          <w:szCs w:val="24"/>
          <w:highlight w:val="none"/>
        </w:rPr>
        <w:t>和导流沟，并覆盖防尘网，定时洒水降尘；</w:t>
      </w:r>
      <w:r>
        <w:rPr>
          <w:rFonts w:ascii="Times New Roman" w:hAnsi="Times New Roman" w:eastAsia="宋体" w:cs="Times New Roman"/>
          <w:color w:val="auto"/>
          <w:highlight w:val="none"/>
        </w:rPr>
        <w:t>油烟经油烟净化器处理后排放。</w:t>
      </w:r>
    </w:p>
    <w:p>
      <w:pPr>
        <w:ind w:firstLine="480"/>
        <w:rPr>
          <w:rFonts w:ascii="Times New Roman" w:hAnsi="Times New Roman" w:eastAsia="宋体"/>
          <w:color w:val="auto"/>
          <w:highlight w:val="none"/>
        </w:rPr>
      </w:pPr>
      <w:r>
        <w:rPr>
          <w:rFonts w:ascii="Times New Roman" w:hAnsi="Times New Roman" w:eastAsia="宋体"/>
          <w:color w:val="auto"/>
          <w:highlight w:val="none"/>
        </w:rPr>
        <w:t>3、噪声治理工程</w:t>
      </w:r>
    </w:p>
    <w:p>
      <w:pPr>
        <w:ind w:firstLine="480"/>
        <w:rPr>
          <w:rFonts w:ascii="Times New Roman" w:hAnsi="Times New Roman" w:eastAsia="宋体"/>
          <w:color w:val="auto"/>
          <w:highlight w:val="none"/>
        </w:rPr>
      </w:pPr>
      <w:r>
        <w:rPr>
          <w:rFonts w:ascii="Times New Roman" w:hAnsi="Times New Roman" w:eastAsia="宋体"/>
          <w:color w:val="auto"/>
          <w:highlight w:val="none"/>
        </w:rPr>
        <w:t>拟建工程噪声主要来自于各类生产设备产生的噪声，主要通过采取选择低噪设备，并对空压机等噪声较高的设备采取减震基座、设置专门的设备间等措施，降低设备噪声源强。</w:t>
      </w:r>
    </w:p>
    <w:p>
      <w:pPr>
        <w:ind w:firstLine="480"/>
        <w:rPr>
          <w:rFonts w:ascii="Times New Roman" w:hAnsi="Times New Roman" w:eastAsia="宋体"/>
          <w:color w:val="auto"/>
          <w:highlight w:val="none"/>
        </w:rPr>
      </w:pPr>
      <w:r>
        <w:rPr>
          <w:rFonts w:ascii="Times New Roman" w:hAnsi="Times New Roman" w:eastAsia="宋体"/>
          <w:color w:val="auto"/>
          <w:highlight w:val="none"/>
        </w:rPr>
        <w:t>4、固体废物治理工程</w:t>
      </w:r>
    </w:p>
    <w:p>
      <w:pPr>
        <w:ind w:firstLine="480"/>
        <w:rPr>
          <w:rFonts w:ascii="Times New Roman" w:hAnsi="Times New Roman" w:eastAsia="宋体" w:cs="Times New Roman"/>
          <w:color w:val="auto"/>
          <w:highlight w:val="none"/>
        </w:rPr>
      </w:pPr>
      <w:r>
        <w:rPr>
          <w:rFonts w:ascii="Times New Roman" w:hAnsi="Times New Roman" w:eastAsia="宋体"/>
          <w:color w:val="auto"/>
          <w:highlight w:val="none"/>
        </w:rPr>
        <w:t>拟建工程生产过程中产生的表土临时堆放于</w:t>
      </w:r>
      <w:r>
        <w:rPr>
          <w:rFonts w:hint="eastAsia" w:ascii="Times New Roman" w:hAnsi="Times New Roman" w:eastAsia="宋体"/>
          <w:color w:val="auto"/>
          <w:highlight w:val="none"/>
        </w:rPr>
        <w:t>临时排土场</w:t>
      </w:r>
      <w:r>
        <w:rPr>
          <w:rFonts w:ascii="Times New Roman" w:hAnsi="Times New Roman" w:eastAsia="宋体"/>
          <w:color w:val="auto"/>
          <w:highlight w:val="none"/>
        </w:rPr>
        <w:t>，用做分期恢复植被表层覆土；</w:t>
      </w:r>
      <w:r>
        <w:rPr>
          <w:rFonts w:hint="eastAsia" w:ascii="Times New Roman" w:hAnsi="Times New Roman" w:eastAsia="宋体"/>
          <w:color w:val="auto"/>
          <w:highlight w:val="none"/>
        </w:rPr>
        <w:t>废土石渣经外卖</w:t>
      </w:r>
      <w:r>
        <w:rPr>
          <w:rFonts w:ascii="Times New Roman" w:hAnsi="Times New Roman" w:eastAsia="宋体"/>
          <w:color w:val="auto"/>
          <w:highlight w:val="none"/>
        </w:rPr>
        <w:t>用于</w:t>
      </w:r>
      <w:r>
        <w:rPr>
          <w:rFonts w:hint="eastAsia" w:ascii="Times New Roman" w:hAnsi="Times New Roman" w:eastAsia="宋体"/>
          <w:color w:val="auto"/>
          <w:highlight w:val="none"/>
        </w:rPr>
        <w:t>周边</w:t>
      </w:r>
      <w:r>
        <w:rPr>
          <w:rFonts w:ascii="Times New Roman" w:hAnsi="Times New Roman" w:eastAsia="宋体"/>
          <w:color w:val="auto"/>
          <w:highlight w:val="none"/>
        </w:rPr>
        <w:t>道路</w:t>
      </w:r>
      <w:r>
        <w:rPr>
          <w:rFonts w:hint="eastAsia" w:ascii="Times New Roman" w:hAnsi="Times New Roman" w:eastAsia="宋体"/>
          <w:color w:val="auto"/>
          <w:highlight w:val="none"/>
        </w:rPr>
        <w:t>建设</w:t>
      </w:r>
      <w:r>
        <w:rPr>
          <w:rFonts w:ascii="Times New Roman" w:hAnsi="Times New Roman" w:eastAsia="宋体"/>
          <w:color w:val="auto"/>
          <w:highlight w:val="none"/>
        </w:rPr>
        <w:t>；</w:t>
      </w:r>
      <w:r>
        <w:rPr>
          <w:rFonts w:hint="eastAsia" w:ascii="Times New Roman" w:hAnsi="Times New Roman" w:eastAsia="宋体"/>
          <w:color w:val="auto"/>
          <w:highlight w:val="none"/>
        </w:rPr>
        <w:t>初期雨水</w:t>
      </w:r>
      <w:r>
        <w:rPr>
          <w:rFonts w:ascii="Times New Roman" w:hAnsi="Times New Roman" w:eastAsia="宋体"/>
          <w:color w:val="auto"/>
          <w:highlight w:val="none"/>
        </w:rPr>
        <w:t>沉砂池泥渣</w:t>
      </w:r>
      <w:r>
        <w:rPr>
          <w:rFonts w:hint="eastAsia" w:ascii="Times New Roman" w:hAnsi="Times New Roman" w:eastAsia="宋体"/>
          <w:color w:val="auto"/>
          <w:highlight w:val="none"/>
        </w:rPr>
        <w:t>用于矿区道路平整，洗砂泥饼收集后外卖砖厂</w:t>
      </w:r>
      <w:r>
        <w:rPr>
          <w:rFonts w:ascii="Times New Roman" w:hAnsi="Times New Roman" w:eastAsia="宋体"/>
          <w:color w:val="auto"/>
          <w:highlight w:val="none"/>
        </w:rPr>
        <w:t>；</w:t>
      </w:r>
      <w:r>
        <w:rPr>
          <w:rFonts w:ascii="Times New Roman" w:hAnsi="Times New Roman" w:eastAsia="宋体"/>
          <w:color w:val="auto"/>
          <w:highlight w:val="none"/>
          <w:u w:val="single"/>
        </w:rPr>
        <w:t>废机油委托有资质的单位处理</w:t>
      </w:r>
      <w:r>
        <w:rPr>
          <w:rFonts w:ascii="Times New Roman" w:hAnsi="Times New Roman" w:eastAsia="宋体"/>
          <w:color w:val="auto"/>
          <w:highlight w:val="none"/>
        </w:rPr>
        <w:t>；废零件统一收集后外卖；</w:t>
      </w:r>
      <w:r>
        <w:rPr>
          <w:rFonts w:ascii="Times New Roman" w:hAnsi="Times New Roman" w:eastAsia="宋体"/>
          <w:color w:val="auto"/>
          <w:highlight w:val="none"/>
          <w:u w:val="single"/>
        </w:rPr>
        <w:t>生活垃圾</w:t>
      </w:r>
      <w:r>
        <w:rPr>
          <w:rFonts w:hint="eastAsia"/>
          <w:color w:val="auto"/>
          <w:highlight w:val="none"/>
          <w:u w:val="single"/>
          <w:lang w:val="en-US" w:eastAsia="zh-CN"/>
        </w:rPr>
        <w:t>和</w:t>
      </w:r>
      <w:r>
        <w:rPr>
          <w:rFonts w:hint="eastAsia" w:ascii="Times New Roman" w:hAnsi="Times New Roman" w:eastAsia="宋体"/>
          <w:color w:val="auto"/>
          <w:highlight w:val="none"/>
          <w:u w:val="single"/>
        </w:rPr>
        <w:t>废含油抹布</w:t>
      </w:r>
      <w:r>
        <w:rPr>
          <w:rFonts w:ascii="Times New Roman" w:hAnsi="Times New Roman" w:eastAsia="宋体"/>
          <w:color w:val="auto"/>
          <w:highlight w:val="none"/>
          <w:u w:val="single"/>
        </w:rPr>
        <w:t>收集后由环卫部门处理。</w:t>
      </w:r>
    </w:p>
    <w:p>
      <w:pPr>
        <w:pStyle w:val="5"/>
        <w:rPr>
          <w:rFonts w:ascii="Times New Roman" w:hAnsi="Times New Roman" w:eastAsia="宋体"/>
          <w:color w:val="auto"/>
          <w:highlight w:val="none"/>
        </w:rPr>
      </w:pPr>
      <w:r>
        <w:rPr>
          <w:rFonts w:hint="eastAsia" w:ascii="Times New Roman" w:hAnsi="Times New Roman" w:eastAsia="宋体"/>
          <w:color w:val="auto"/>
          <w:highlight w:val="none"/>
        </w:rPr>
        <w:t>2.3</w:t>
      </w:r>
      <w:r>
        <w:rPr>
          <w:rFonts w:ascii="Times New Roman" w:hAnsi="Times New Roman" w:eastAsia="宋体"/>
          <w:color w:val="auto"/>
          <w:highlight w:val="none"/>
        </w:rPr>
        <w:t xml:space="preserve">.7 总平面布置 </w:t>
      </w:r>
    </w:p>
    <w:p>
      <w:pPr>
        <w:ind w:firstLine="480"/>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u w:val="single"/>
        </w:rPr>
        <w:t>拟建项目原有矿山水电</w:t>
      </w:r>
      <w:r>
        <w:rPr>
          <w:rFonts w:hint="eastAsia" w:ascii="Times New Roman" w:hAnsi="Times New Roman" w:eastAsia="宋体" w:cs="Times New Roman"/>
          <w:color w:val="auto"/>
          <w:highlight w:val="none"/>
          <w:u w:val="single"/>
        </w:rPr>
        <w:t>、办公生活</w:t>
      </w:r>
      <w:r>
        <w:rPr>
          <w:rFonts w:ascii="Times New Roman" w:hAnsi="Times New Roman" w:eastAsia="宋体" w:cs="Times New Roman"/>
          <w:color w:val="auto"/>
          <w:highlight w:val="none"/>
          <w:u w:val="single"/>
        </w:rPr>
        <w:t>设施较齐全。</w:t>
      </w:r>
      <w:r>
        <w:rPr>
          <w:rFonts w:hint="eastAsia" w:ascii="Times New Roman" w:hAnsi="Times New Roman" w:eastAsia="宋体" w:cs="Times New Roman"/>
          <w:color w:val="auto"/>
          <w:highlight w:val="none"/>
          <w:u w:val="single"/>
        </w:rPr>
        <w:t>整合后</w:t>
      </w:r>
      <w:r>
        <w:rPr>
          <w:rFonts w:ascii="Times New Roman" w:hAnsi="Times New Roman" w:eastAsia="宋体" w:cs="Times New Roman"/>
          <w:color w:val="auto"/>
          <w:highlight w:val="none"/>
          <w:u w:val="single"/>
        </w:rPr>
        <w:t>继续沿用矿山原有部分的</w:t>
      </w:r>
      <w:r>
        <w:rPr>
          <w:rFonts w:hint="eastAsia" w:ascii="Times New Roman" w:hAnsi="Times New Roman" w:eastAsia="宋体" w:cs="Times New Roman"/>
          <w:color w:val="auto"/>
          <w:highlight w:val="none"/>
          <w:u w:val="single"/>
        </w:rPr>
        <w:t>生产</w:t>
      </w:r>
      <w:r>
        <w:rPr>
          <w:rFonts w:ascii="Times New Roman" w:hAnsi="Times New Roman" w:eastAsia="宋体" w:cs="Times New Roman"/>
          <w:color w:val="auto"/>
          <w:highlight w:val="none"/>
          <w:u w:val="single"/>
        </w:rPr>
        <w:t>设施及设备、</w:t>
      </w:r>
      <w:r>
        <w:rPr>
          <w:rFonts w:hint="eastAsia" w:ascii="Times New Roman" w:hAnsi="Times New Roman" w:eastAsia="宋体" w:cs="Times New Roman"/>
          <w:color w:val="auto"/>
          <w:highlight w:val="none"/>
          <w:u w:val="single"/>
        </w:rPr>
        <w:t>办公生活</w:t>
      </w:r>
      <w:r>
        <w:rPr>
          <w:rFonts w:ascii="Times New Roman" w:hAnsi="Times New Roman" w:eastAsia="宋体" w:cs="Times New Roman"/>
          <w:color w:val="auto"/>
          <w:highlight w:val="none"/>
          <w:u w:val="single"/>
        </w:rPr>
        <w:t>设施</w:t>
      </w:r>
      <w:r>
        <w:rPr>
          <w:rFonts w:hint="eastAsia" w:ascii="Times New Roman" w:hAnsi="Times New Roman" w:eastAsia="宋体" w:cs="Times New Roman"/>
          <w:color w:val="auto"/>
          <w:highlight w:val="none"/>
          <w:u w:val="single"/>
        </w:rPr>
        <w:t>、</w:t>
      </w:r>
      <w:r>
        <w:rPr>
          <w:rFonts w:ascii="Times New Roman" w:hAnsi="Times New Roman" w:eastAsia="宋体" w:cs="Times New Roman"/>
          <w:color w:val="auto"/>
          <w:highlight w:val="none"/>
          <w:u w:val="single"/>
        </w:rPr>
        <w:t>破碎</w:t>
      </w:r>
      <w:r>
        <w:rPr>
          <w:rFonts w:hint="eastAsia" w:ascii="Times New Roman" w:hAnsi="Times New Roman" w:eastAsia="宋体" w:cs="Times New Roman"/>
          <w:color w:val="auto"/>
          <w:highlight w:val="none"/>
          <w:u w:val="single"/>
        </w:rPr>
        <w:t>筛分</w:t>
      </w:r>
      <w:r>
        <w:rPr>
          <w:rFonts w:ascii="Times New Roman" w:hAnsi="Times New Roman" w:eastAsia="宋体" w:cs="Times New Roman"/>
          <w:color w:val="auto"/>
          <w:highlight w:val="none"/>
          <w:u w:val="single"/>
        </w:rPr>
        <w:t>场及工业加工场地。设计</w:t>
      </w:r>
      <w:r>
        <w:rPr>
          <w:rFonts w:hint="eastAsia" w:cs="Times New Roman"/>
          <w:color w:val="auto"/>
          <w:highlight w:val="none"/>
          <w:u w:val="single"/>
          <w:lang w:eastAsia="zh-CN"/>
        </w:rPr>
        <w:t>破碎场①</w:t>
      </w:r>
      <w:r>
        <w:rPr>
          <w:rFonts w:hint="eastAsia" w:ascii="Times New Roman" w:hAnsi="Times New Roman" w:eastAsia="宋体" w:cs="Times New Roman"/>
          <w:color w:val="auto"/>
          <w:highlight w:val="none"/>
          <w:u w:val="single"/>
        </w:rPr>
        <w:t>和</w:t>
      </w:r>
      <w:r>
        <w:rPr>
          <w:rFonts w:hint="eastAsia" w:cs="Times New Roman"/>
          <w:color w:val="auto"/>
          <w:highlight w:val="none"/>
          <w:u w:val="single"/>
          <w:lang w:eastAsia="zh-CN"/>
        </w:rPr>
        <w:t>破碎场②</w:t>
      </w:r>
      <w:r>
        <w:rPr>
          <w:rFonts w:ascii="Times New Roman" w:hAnsi="Times New Roman" w:eastAsia="宋体" w:cs="Times New Roman"/>
          <w:color w:val="auto"/>
          <w:highlight w:val="none"/>
          <w:u w:val="single"/>
        </w:rPr>
        <w:t>仍使用原有</w:t>
      </w:r>
      <w:r>
        <w:rPr>
          <w:rFonts w:hint="eastAsia" w:cs="Times New Roman"/>
          <w:color w:val="auto"/>
          <w:highlight w:val="none"/>
          <w:u w:val="single"/>
          <w:lang w:val="en-US" w:eastAsia="zh-CN"/>
        </w:rPr>
        <w:t>场地进行建设</w:t>
      </w:r>
      <w:r>
        <w:rPr>
          <w:rFonts w:ascii="Times New Roman" w:hAnsi="Times New Roman" w:eastAsia="宋体" w:cs="Times New Roman"/>
          <w:color w:val="auto"/>
          <w:highlight w:val="none"/>
          <w:u w:val="single"/>
        </w:rPr>
        <w:t>，</w:t>
      </w:r>
      <w:r>
        <w:rPr>
          <w:rFonts w:hint="eastAsia" w:cs="Times New Roman"/>
          <w:color w:val="auto"/>
          <w:highlight w:val="none"/>
          <w:u w:val="single"/>
          <w:lang w:val="en-US" w:eastAsia="zh-CN"/>
        </w:rPr>
        <w:t>设置1个首采平台，位于矿区北面</w:t>
      </w:r>
      <w:r>
        <w:rPr>
          <w:rFonts w:hint="eastAsia" w:ascii="Times New Roman" w:hAnsi="Times New Roman" w:eastAsia="宋体" w:cs="Times New Roman"/>
          <w:color w:val="auto"/>
          <w:highlight w:val="none"/>
          <w:u w:val="single"/>
        </w:rPr>
        <w:t>，</w:t>
      </w:r>
      <w:r>
        <w:rPr>
          <w:rFonts w:ascii="Times New Roman" w:hAnsi="Times New Roman" w:eastAsia="宋体" w:cs="Times New Roman"/>
          <w:color w:val="auto"/>
          <w:highlight w:val="none"/>
          <w:u w:val="single"/>
        </w:rPr>
        <w:t>采矿自上而下逐个台阶进行开采</w:t>
      </w:r>
      <w:r>
        <w:rPr>
          <w:rFonts w:hint="eastAsia" w:ascii="Times New Roman" w:hAnsi="Times New Roman" w:eastAsia="宋体" w:cs="Times New Roman"/>
          <w:color w:val="auto"/>
          <w:highlight w:val="none"/>
          <w:u w:val="single"/>
        </w:rPr>
        <w:t>，破碎筛分生产线</w:t>
      </w:r>
      <w:r>
        <w:rPr>
          <w:rFonts w:hint="eastAsia" w:ascii="Times New Roman" w:hAnsi="Times New Roman" w:eastAsia="宋体"/>
          <w:color w:val="auto"/>
          <w:highlight w:val="none"/>
          <w:u w:val="single"/>
        </w:rPr>
        <w:t>①</w:t>
      </w:r>
      <w:r>
        <w:rPr>
          <w:rFonts w:hint="eastAsia" w:ascii="Times New Roman" w:hAnsi="Times New Roman" w:eastAsia="宋体" w:cs="Times New Roman"/>
          <w:color w:val="auto"/>
          <w:highlight w:val="none"/>
          <w:u w:val="single"/>
        </w:rPr>
        <w:t>布设于矿区东侧，自北向南流水线布置，临时排土场</w:t>
      </w:r>
      <w:r>
        <w:rPr>
          <w:rFonts w:hint="eastAsia" w:ascii="Times New Roman" w:hAnsi="Times New Roman" w:eastAsia="宋体"/>
          <w:color w:val="auto"/>
          <w:highlight w:val="none"/>
          <w:u w:val="single"/>
        </w:rPr>
        <w:t>①</w:t>
      </w:r>
      <w:r>
        <w:rPr>
          <w:rFonts w:hint="eastAsia" w:ascii="Times New Roman" w:hAnsi="Times New Roman" w:eastAsia="宋体" w:cs="Times New Roman"/>
          <w:color w:val="auto"/>
          <w:highlight w:val="none"/>
          <w:u w:val="single"/>
        </w:rPr>
        <w:t>位于</w:t>
      </w:r>
      <w:r>
        <w:rPr>
          <w:rFonts w:hint="eastAsia" w:cs="Times New Roman"/>
          <w:color w:val="auto"/>
          <w:highlight w:val="none"/>
          <w:u w:val="single"/>
          <w:lang w:eastAsia="zh-CN"/>
        </w:rPr>
        <w:t>破碎场①</w:t>
      </w:r>
      <w:r>
        <w:rPr>
          <w:rFonts w:hint="eastAsia" w:ascii="Times New Roman" w:hAnsi="Times New Roman" w:eastAsia="宋体" w:cs="Times New Roman"/>
          <w:color w:val="auto"/>
          <w:highlight w:val="none"/>
          <w:u w:val="single"/>
        </w:rPr>
        <w:t>中部，堆料场靠近破碎筛分区，洗砂区位于矿区</w:t>
      </w:r>
      <w:r>
        <w:rPr>
          <w:rFonts w:hint="eastAsia" w:ascii="Times New Roman" w:hAnsi="Times New Roman" w:eastAsia="宋体" w:cs="Times New Roman"/>
          <w:color w:val="auto"/>
          <w:highlight w:val="none"/>
          <w:u w:val="single"/>
          <w:lang w:val="en-US" w:eastAsia="zh-CN"/>
        </w:rPr>
        <w:t>东</w:t>
      </w:r>
      <w:r>
        <w:rPr>
          <w:rFonts w:hint="eastAsia" w:ascii="Times New Roman" w:hAnsi="Times New Roman" w:eastAsia="宋体" w:cs="Times New Roman"/>
          <w:color w:val="auto"/>
          <w:highlight w:val="none"/>
          <w:u w:val="single"/>
        </w:rPr>
        <w:t>南侧，办公生活区位于矿区东南角靠近</w:t>
      </w:r>
      <w:r>
        <w:rPr>
          <w:rFonts w:hint="eastAsia" w:cs="Times New Roman"/>
          <w:color w:val="auto"/>
          <w:highlight w:val="none"/>
          <w:u w:val="single"/>
          <w:lang w:eastAsia="zh-CN"/>
        </w:rPr>
        <w:t>破碎场①</w:t>
      </w:r>
      <w:r>
        <w:rPr>
          <w:rFonts w:hint="eastAsia" w:ascii="Times New Roman" w:hAnsi="Times New Roman" w:eastAsia="宋体" w:cs="Times New Roman"/>
          <w:color w:val="auto"/>
          <w:highlight w:val="none"/>
          <w:u w:val="single"/>
        </w:rPr>
        <w:t>进口处。</w:t>
      </w:r>
      <w:r>
        <w:rPr>
          <w:rFonts w:hint="eastAsia" w:cs="Times New Roman"/>
          <w:color w:val="auto"/>
          <w:highlight w:val="none"/>
          <w:u w:val="single"/>
          <w:lang w:eastAsia="zh-CN"/>
        </w:rPr>
        <w:t>破碎场①</w:t>
      </w:r>
      <w:r>
        <w:rPr>
          <w:rFonts w:hint="eastAsia" w:ascii="Times New Roman" w:hAnsi="Times New Roman" w:eastAsia="宋体" w:cs="Times New Roman"/>
          <w:color w:val="auto"/>
          <w:highlight w:val="none"/>
          <w:u w:val="single"/>
        </w:rPr>
        <w:t>导流管上部沿着</w:t>
      </w:r>
      <w:r>
        <w:rPr>
          <w:rFonts w:hint="eastAsia" w:ascii="Times New Roman" w:hAnsi="Times New Roman" w:eastAsia="宋体" w:cs="Times New Roman"/>
          <w:color w:val="auto"/>
          <w:highlight w:val="none"/>
          <w:u w:val="single"/>
          <w:lang w:eastAsia="zh-CN"/>
        </w:rPr>
        <w:t>导流管</w:t>
      </w:r>
      <w:r>
        <w:rPr>
          <w:rFonts w:hint="eastAsia" w:ascii="Times New Roman" w:hAnsi="Times New Roman" w:eastAsia="宋体" w:cs="Times New Roman"/>
          <w:color w:val="auto"/>
          <w:highlight w:val="none"/>
          <w:u w:val="single"/>
        </w:rPr>
        <w:t>建设长150m、宽1m、高1m的泄洪通道，上覆盖板，确保行洪安全。</w:t>
      </w:r>
      <w:r>
        <w:rPr>
          <w:rFonts w:hint="eastAsia" w:cs="Times New Roman"/>
          <w:color w:val="auto"/>
          <w:highlight w:val="none"/>
          <w:u w:val="single"/>
          <w:lang w:eastAsia="zh-CN"/>
        </w:rPr>
        <w:t>破碎场②</w:t>
      </w:r>
      <w:r>
        <w:rPr>
          <w:rFonts w:hint="eastAsia" w:ascii="Times New Roman" w:hAnsi="Times New Roman" w:eastAsia="宋体" w:cs="Times New Roman"/>
          <w:color w:val="auto"/>
          <w:highlight w:val="none"/>
          <w:u w:val="single"/>
        </w:rPr>
        <w:t>位于矿区西侧，破碎筛分生产线呈北向南走向，堆料场靠近筛分传送带，</w:t>
      </w:r>
      <w:r>
        <w:rPr>
          <w:rFonts w:hint="eastAsia"/>
          <w:color w:val="auto"/>
          <w:highlight w:val="none"/>
          <w:u w:val="single"/>
          <w:lang w:eastAsia="zh-CN"/>
        </w:rPr>
        <w:t>破碎场②</w:t>
      </w:r>
      <w:r>
        <w:rPr>
          <w:rFonts w:hint="eastAsia"/>
          <w:highlight w:val="none"/>
          <w:u w:val="single"/>
          <w:lang w:val="en-US" w:eastAsia="zh-CN"/>
        </w:rPr>
        <w:t>加工场地分上、下两个台阶，产品堆场分别设在上、下两个台阶。</w:t>
      </w:r>
      <w:r>
        <w:rPr>
          <w:rFonts w:hint="eastAsia" w:ascii="Times New Roman" w:hAnsi="Times New Roman" w:eastAsia="宋体" w:cs="Times New Roman"/>
          <w:color w:val="auto"/>
          <w:highlight w:val="none"/>
          <w:u w:val="single"/>
        </w:rPr>
        <w:t>临时排土场</w:t>
      </w:r>
      <w:r>
        <w:rPr>
          <w:rFonts w:hint="eastAsia" w:ascii="Times New Roman" w:hAnsi="Times New Roman" w:eastAsia="宋体"/>
          <w:color w:val="auto"/>
          <w:highlight w:val="none"/>
          <w:u w:val="single"/>
        </w:rPr>
        <w:t>②</w:t>
      </w:r>
      <w:r>
        <w:rPr>
          <w:rFonts w:hint="eastAsia" w:ascii="Times New Roman" w:hAnsi="Times New Roman" w:eastAsia="宋体" w:cs="Times New Roman"/>
          <w:color w:val="auto"/>
          <w:highlight w:val="none"/>
          <w:u w:val="single"/>
        </w:rPr>
        <w:t>位于矿区西面，办公生活区位于矿区西南角，靠近</w:t>
      </w:r>
      <w:r>
        <w:rPr>
          <w:rFonts w:hint="eastAsia" w:cs="Times New Roman"/>
          <w:color w:val="auto"/>
          <w:highlight w:val="none"/>
          <w:u w:val="single"/>
          <w:lang w:eastAsia="zh-CN"/>
        </w:rPr>
        <w:t>破碎场②</w:t>
      </w:r>
      <w:r>
        <w:rPr>
          <w:rFonts w:hint="eastAsia" w:ascii="Times New Roman" w:hAnsi="Times New Roman" w:eastAsia="宋体" w:cs="Times New Roman"/>
          <w:color w:val="auto"/>
          <w:highlight w:val="none"/>
          <w:u w:val="single"/>
        </w:rPr>
        <w:t>矿山进口。整合后矿</w:t>
      </w:r>
      <w:r>
        <w:rPr>
          <w:rFonts w:hint="eastAsia" w:cs="Times New Roman"/>
          <w:color w:val="auto"/>
          <w:highlight w:val="none"/>
          <w:u w:val="single"/>
          <w:lang w:val="en-US" w:eastAsia="zh-CN"/>
        </w:rPr>
        <w:t>区红线范围面积0.1598km</w:t>
      </w:r>
      <w:r>
        <w:rPr>
          <w:rFonts w:hint="eastAsia" w:cs="Times New Roman"/>
          <w:color w:val="auto"/>
          <w:highlight w:val="none"/>
          <w:u w:val="single"/>
          <w:vertAlign w:val="superscript"/>
          <w:lang w:val="en-US" w:eastAsia="zh-CN"/>
        </w:rPr>
        <w:t>2</w:t>
      </w:r>
      <w:r>
        <w:rPr>
          <w:rFonts w:hint="eastAsia" w:cs="Times New Roman"/>
          <w:color w:val="auto"/>
          <w:highlight w:val="none"/>
          <w:u w:val="single"/>
          <w:lang w:val="en-US" w:eastAsia="zh-CN"/>
        </w:rPr>
        <w:t>，破碎场</w:t>
      </w:r>
      <w:r>
        <w:rPr>
          <w:rFonts w:hint="eastAsia" w:cs="Times New Roman"/>
          <w:color w:val="auto"/>
          <w:highlight w:val="none"/>
          <w:u w:val="single"/>
          <w:lang w:eastAsia="zh-CN"/>
        </w:rPr>
        <w:t>①</w:t>
      </w:r>
      <w:r>
        <w:rPr>
          <w:rFonts w:hint="eastAsia" w:cs="Times New Roman"/>
          <w:color w:val="auto"/>
          <w:highlight w:val="none"/>
          <w:u w:val="single"/>
          <w:lang w:val="en-US" w:eastAsia="zh-CN"/>
        </w:rPr>
        <w:t>占用临时用地1面积11481.4m</w:t>
      </w:r>
      <w:r>
        <w:rPr>
          <w:rFonts w:hint="eastAsia" w:cs="Times New Roman"/>
          <w:color w:val="auto"/>
          <w:highlight w:val="none"/>
          <w:u w:val="single"/>
          <w:vertAlign w:val="superscript"/>
          <w:lang w:val="en-US" w:eastAsia="zh-CN"/>
        </w:rPr>
        <w:t>2</w:t>
      </w:r>
      <w:r>
        <w:rPr>
          <w:rFonts w:hint="eastAsia" w:cs="Times New Roman"/>
          <w:color w:val="auto"/>
          <w:highlight w:val="none"/>
          <w:u w:val="single"/>
          <w:vertAlign w:val="baseline"/>
          <w:lang w:val="en-US" w:eastAsia="zh-CN"/>
        </w:rPr>
        <w:t>（附图3-2）</w:t>
      </w:r>
      <w:r>
        <w:rPr>
          <w:rFonts w:hint="eastAsia" w:cs="Times New Roman"/>
          <w:color w:val="auto"/>
          <w:highlight w:val="none"/>
          <w:u w:val="single"/>
          <w:lang w:val="en-US" w:eastAsia="zh-CN"/>
        </w:rPr>
        <w:t>，破碎场</w:t>
      </w:r>
      <w:r>
        <w:rPr>
          <w:rFonts w:hint="eastAsia" w:cs="Times New Roman"/>
          <w:color w:val="auto"/>
          <w:highlight w:val="none"/>
          <w:u w:val="single"/>
          <w:lang w:eastAsia="zh-CN"/>
        </w:rPr>
        <w:t>①</w:t>
      </w:r>
      <w:r>
        <w:rPr>
          <w:rFonts w:hint="eastAsia" w:cs="Times New Roman"/>
          <w:color w:val="auto"/>
          <w:highlight w:val="none"/>
          <w:u w:val="single"/>
          <w:lang w:val="en-US" w:eastAsia="zh-CN"/>
        </w:rPr>
        <w:t>占用临时用地2面积5803.79m</w:t>
      </w:r>
      <w:r>
        <w:rPr>
          <w:rFonts w:hint="eastAsia" w:cs="Times New Roman"/>
          <w:color w:val="auto"/>
          <w:highlight w:val="none"/>
          <w:u w:val="single"/>
          <w:vertAlign w:val="superscript"/>
          <w:lang w:val="en-US" w:eastAsia="zh-CN"/>
        </w:rPr>
        <w:t>2</w:t>
      </w:r>
      <w:r>
        <w:rPr>
          <w:rFonts w:hint="eastAsia" w:cs="Times New Roman"/>
          <w:color w:val="auto"/>
          <w:highlight w:val="none"/>
          <w:u w:val="single"/>
          <w:vertAlign w:val="baseline"/>
          <w:lang w:val="en-US" w:eastAsia="zh-CN"/>
        </w:rPr>
        <w:t>（附图3-3）</w:t>
      </w:r>
      <w:r>
        <w:rPr>
          <w:rFonts w:hint="eastAsia" w:cs="Times New Roman"/>
          <w:color w:val="auto"/>
          <w:highlight w:val="none"/>
          <w:u w:val="single"/>
          <w:lang w:val="en-US" w:eastAsia="zh-CN"/>
        </w:rPr>
        <w:t>，</w:t>
      </w:r>
      <w:r>
        <w:rPr>
          <w:rFonts w:hint="eastAsia" w:cs="Times New Roman"/>
          <w:color w:val="auto"/>
          <w:highlight w:val="none"/>
          <w:u w:val="single"/>
          <w:lang w:eastAsia="zh-CN"/>
        </w:rPr>
        <w:t>破碎场②</w:t>
      </w:r>
      <w:r>
        <w:rPr>
          <w:rFonts w:hint="eastAsia" w:cs="Times New Roman"/>
          <w:color w:val="auto"/>
          <w:highlight w:val="none"/>
          <w:u w:val="single"/>
          <w:lang w:val="en-US" w:eastAsia="zh-CN"/>
        </w:rPr>
        <w:t>占用临时用地面积14378.7m</w:t>
      </w:r>
      <w:r>
        <w:rPr>
          <w:rFonts w:hint="eastAsia" w:cs="Times New Roman"/>
          <w:color w:val="auto"/>
          <w:highlight w:val="none"/>
          <w:u w:val="single"/>
          <w:vertAlign w:val="superscript"/>
          <w:lang w:val="en-US" w:eastAsia="zh-CN"/>
        </w:rPr>
        <w:t>2</w:t>
      </w:r>
      <w:r>
        <w:rPr>
          <w:rFonts w:hint="eastAsia" w:cs="Times New Roman"/>
          <w:color w:val="auto"/>
          <w:highlight w:val="none"/>
          <w:u w:val="single"/>
          <w:vertAlign w:val="baseline"/>
          <w:lang w:val="en-US" w:eastAsia="zh-CN"/>
        </w:rPr>
        <w:t>（附图3-4）</w:t>
      </w:r>
      <w:r>
        <w:rPr>
          <w:rFonts w:hint="eastAsia" w:cs="Times New Roman"/>
          <w:color w:val="auto"/>
          <w:highlight w:val="none"/>
          <w:u w:val="single"/>
          <w:lang w:val="en-US" w:eastAsia="zh-CN"/>
        </w:rPr>
        <w:t>，矿区占用临时用地面积合计31663.89m</w:t>
      </w:r>
      <w:r>
        <w:rPr>
          <w:rFonts w:hint="eastAsia" w:cs="Times New Roman"/>
          <w:color w:val="auto"/>
          <w:highlight w:val="none"/>
          <w:u w:val="single"/>
          <w:vertAlign w:val="superscript"/>
          <w:lang w:val="en-US" w:eastAsia="zh-CN"/>
        </w:rPr>
        <w:t>2</w:t>
      </w:r>
      <w:r>
        <w:rPr>
          <w:rFonts w:hint="eastAsia" w:cs="Times New Roman"/>
          <w:color w:val="auto"/>
          <w:highlight w:val="none"/>
          <w:u w:val="single"/>
          <w:lang w:val="en-US" w:eastAsia="zh-CN"/>
        </w:rPr>
        <w:t>。项目矿山</w:t>
      </w:r>
      <w:r>
        <w:rPr>
          <w:rFonts w:ascii="Times New Roman" w:hAnsi="Times New Roman" w:eastAsia="宋体" w:cs="Times New Roman"/>
          <w:color w:val="auto"/>
          <w:highlight w:val="none"/>
          <w:u w:val="single"/>
        </w:rPr>
        <w:t>总平面布置</w:t>
      </w:r>
      <w:r>
        <w:rPr>
          <w:rFonts w:hint="eastAsia" w:cs="Times New Roman"/>
          <w:color w:val="auto"/>
          <w:highlight w:val="none"/>
          <w:u w:val="single"/>
          <w:lang w:val="en-US" w:eastAsia="zh-CN"/>
        </w:rPr>
        <w:t>及占地情况</w:t>
      </w:r>
      <w:r>
        <w:rPr>
          <w:rFonts w:hint="eastAsia" w:ascii="Times New Roman" w:hAnsi="Times New Roman" w:eastAsia="宋体" w:cs="Times New Roman"/>
          <w:color w:val="auto"/>
          <w:highlight w:val="none"/>
          <w:u w:val="single"/>
        </w:rPr>
        <w:t>见</w:t>
      </w:r>
      <w:r>
        <w:rPr>
          <w:rFonts w:ascii="Times New Roman" w:hAnsi="Times New Roman" w:eastAsia="宋体" w:cs="Times New Roman"/>
          <w:color w:val="auto"/>
          <w:highlight w:val="none"/>
          <w:u w:val="single"/>
        </w:rPr>
        <w:t>附图3</w:t>
      </w:r>
      <w:r>
        <w:rPr>
          <w:rFonts w:hint="eastAsia" w:cs="Times New Roman"/>
          <w:color w:val="auto"/>
          <w:highlight w:val="none"/>
          <w:u w:val="single"/>
          <w:lang w:val="en-US" w:eastAsia="zh-CN"/>
        </w:rPr>
        <w:t>-1</w:t>
      </w:r>
      <w:r>
        <w:rPr>
          <w:rFonts w:hint="default" w:ascii="Times New Roman" w:hAnsi="Times New Roman" w:cs="Times New Roman"/>
          <w:color w:val="auto"/>
          <w:highlight w:val="none"/>
          <w:u w:val="single"/>
          <w:lang w:val="en-US" w:eastAsia="zh-CN"/>
        </w:rPr>
        <w:t>~</w:t>
      </w:r>
      <w:r>
        <w:rPr>
          <w:rFonts w:ascii="Times New Roman" w:hAnsi="Times New Roman" w:eastAsia="宋体" w:cs="Times New Roman"/>
          <w:color w:val="auto"/>
          <w:highlight w:val="none"/>
          <w:u w:val="single"/>
        </w:rPr>
        <w:t>附图3</w:t>
      </w:r>
      <w:r>
        <w:rPr>
          <w:rFonts w:hint="eastAsia" w:cs="Times New Roman"/>
          <w:color w:val="auto"/>
          <w:highlight w:val="none"/>
          <w:u w:val="single"/>
          <w:lang w:val="en-US" w:eastAsia="zh-CN"/>
        </w:rPr>
        <w:t>-4</w:t>
      </w:r>
      <w:r>
        <w:rPr>
          <w:rFonts w:ascii="Times New Roman" w:hAnsi="Times New Roman" w:eastAsia="宋体" w:cs="Times New Roman"/>
          <w:color w:val="auto"/>
          <w:highlight w:val="none"/>
          <w:u w:val="single"/>
        </w:rPr>
        <w:t>。</w:t>
      </w:r>
    </w:p>
    <w:p>
      <w:pPr>
        <w:numPr>
          <w:ilvl w:val="0"/>
          <w:numId w:val="8"/>
        </w:numPr>
        <w:ind w:firstLine="482"/>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临时排土场选址合理性分析</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本项目表土属于第Ⅰ类一般工业固体废弃物，可按《一般工业固体废弃物贮存、处置场污染控制标准》（GB</w:t>
      </w:r>
      <w:r>
        <w:rPr>
          <w:rFonts w:hint="eastAsia" w:ascii="Times New Roman" w:hAnsi="Times New Roman" w:eastAsia="宋体"/>
          <w:color w:val="auto"/>
          <w:highlight w:val="none"/>
          <w:lang w:val="en-US" w:eastAsia="zh-CN"/>
        </w:rPr>
        <w:t xml:space="preserve"> </w:t>
      </w:r>
      <w:r>
        <w:rPr>
          <w:rFonts w:ascii="Times New Roman" w:hAnsi="Times New Roman" w:eastAsia="宋体"/>
          <w:color w:val="auto"/>
          <w:highlight w:val="none"/>
        </w:rPr>
        <w:t>18599-2001）及修改单进行处置。表土需用于矿区复垦，</w:t>
      </w:r>
      <w:r>
        <w:rPr>
          <w:rFonts w:hint="eastAsia" w:ascii="Times New Roman" w:hAnsi="Times New Roman" w:eastAsia="宋体"/>
          <w:color w:val="auto"/>
          <w:highlight w:val="none"/>
        </w:rPr>
        <w:t>废土石渣外卖</w:t>
      </w:r>
      <w:r>
        <w:rPr>
          <w:rFonts w:ascii="Times New Roman" w:hAnsi="Times New Roman" w:eastAsia="宋体"/>
          <w:color w:val="auto"/>
          <w:highlight w:val="none"/>
        </w:rPr>
        <w:t>用于道路</w:t>
      </w:r>
      <w:r>
        <w:rPr>
          <w:rFonts w:hint="eastAsia" w:ascii="Times New Roman" w:hAnsi="Times New Roman" w:eastAsia="宋体"/>
          <w:color w:val="auto"/>
          <w:highlight w:val="none"/>
        </w:rPr>
        <w:t>建设</w:t>
      </w:r>
      <w:r>
        <w:rPr>
          <w:rFonts w:ascii="Times New Roman" w:hAnsi="Times New Roman" w:eastAsia="宋体"/>
          <w:color w:val="auto"/>
          <w:highlight w:val="none"/>
        </w:rPr>
        <w:t>。</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highlight w:val="none"/>
        </w:rPr>
        <w:t>项目</w:t>
      </w:r>
      <w:r>
        <w:rPr>
          <w:rFonts w:hint="eastAsia" w:ascii="Times New Roman" w:hAnsi="Times New Roman" w:eastAsia="宋体" w:cs="Times New Roman"/>
          <w:color w:val="auto"/>
          <w:highlight w:val="none"/>
        </w:rPr>
        <w:t>总用地</w:t>
      </w:r>
      <w:r>
        <w:rPr>
          <w:rFonts w:ascii="Times New Roman" w:hAnsi="Times New Roman" w:eastAsia="宋体" w:cs="Times New Roman"/>
          <w:color w:val="auto"/>
          <w:highlight w:val="none"/>
        </w:rPr>
        <w:t>面积</w:t>
      </w:r>
      <w:r>
        <w:rPr>
          <w:rFonts w:hint="eastAsia" w:ascii="Times New Roman" w:hAnsi="Times New Roman" w:eastAsia="宋体" w:cs="Times New Roman"/>
          <w:color w:val="auto"/>
          <w:highlight w:val="none"/>
        </w:rPr>
        <w:t>为19.6085</w:t>
      </w:r>
      <w:r>
        <w:rPr>
          <w:rFonts w:ascii="Times New Roman" w:hAnsi="Times New Roman" w:eastAsia="宋体" w:cs="Times New Roman"/>
          <w:color w:val="auto"/>
          <w:highlight w:val="none"/>
        </w:rPr>
        <w:t>hm</w:t>
      </w:r>
      <w:r>
        <w:rPr>
          <w:rFonts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rPr>
        <w:t>，其中划定矿区占地15.98hm</w:t>
      </w:r>
      <w:r>
        <w:rPr>
          <w:rFonts w:hint="eastAsia"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rPr>
        <w:t>，临时占地3.6285hm</w:t>
      </w:r>
      <w:r>
        <w:rPr>
          <w:rFonts w:hint="eastAsia"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rPr>
        <w:t>，用地类型为建设用地。</w:t>
      </w:r>
      <w:r>
        <w:rPr>
          <w:rFonts w:hint="eastAsia" w:cs="Times New Roman"/>
          <w:color w:val="auto"/>
          <w:kern w:val="0"/>
          <w:szCs w:val="24"/>
          <w:highlight w:val="none"/>
          <w:u w:val="single"/>
          <w:lang w:eastAsia="zh-CN"/>
        </w:rPr>
        <w:t>破碎场①</w:t>
      </w:r>
      <w:r>
        <w:rPr>
          <w:rFonts w:hint="eastAsia" w:ascii="Times New Roman" w:hAnsi="Times New Roman" w:eastAsia="宋体" w:cs="Times New Roman"/>
          <w:color w:val="auto"/>
          <w:kern w:val="0"/>
          <w:szCs w:val="24"/>
          <w:highlight w:val="none"/>
        </w:rPr>
        <w:t>中部设置1个临时排土场</w:t>
      </w:r>
      <w:r>
        <w:rPr>
          <w:rFonts w:hint="eastAsia" w:ascii="Times New Roman" w:hAnsi="Times New Roman" w:eastAsia="宋体" w:cs="宋体"/>
          <w:color w:val="auto"/>
          <w:kern w:val="0"/>
          <w:szCs w:val="24"/>
          <w:highlight w:val="none"/>
        </w:rPr>
        <w:t>①</w:t>
      </w:r>
      <w:r>
        <w:rPr>
          <w:rFonts w:hint="eastAsia" w:ascii="Times New Roman" w:hAnsi="Times New Roman" w:eastAsia="宋体" w:cs="Times New Roman"/>
          <w:color w:val="auto"/>
          <w:kern w:val="0"/>
          <w:szCs w:val="24"/>
          <w:highlight w:val="none"/>
        </w:rPr>
        <w:t>，占地面积2</w:t>
      </w:r>
      <w:r>
        <w:rPr>
          <w:rFonts w:ascii="Times New Roman" w:hAnsi="Times New Roman" w:eastAsia="宋体" w:cs="Times New Roman"/>
          <w:color w:val="auto"/>
          <w:kern w:val="0"/>
          <w:szCs w:val="24"/>
          <w:highlight w:val="none"/>
        </w:rPr>
        <w:t>000m</w:t>
      </w:r>
      <w:r>
        <w:rPr>
          <w:rFonts w:ascii="Times New Roman" w:hAnsi="Times New Roman" w:eastAsia="宋体" w:cs="Times New Roman"/>
          <w:color w:val="auto"/>
          <w:kern w:val="0"/>
          <w:szCs w:val="24"/>
          <w:highlight w:val="none"/>
          <w:vertAlign w:val="superscript"/>
        </w:rPr>
        <w:t>2</w:t>
      </w:r>
      <w:r>
        <w:rPr>
          <w:rFonts w:ascii="Times New Roman" w:hAnsi="Times New Roman" w:eastAsia="宋体" w:cs="Times New Roman"/>
          <w:color w:val="auto"/>
          <w:kern w:val="0"/>
          <w:szCs w:val="24"/>
          <w:highlight w:val="none"/>
        </w:rPr>
        <w:t>，</w:t>
      </w:r>
      <w:r>
        <w:rPr>
          <w:rFonts w:hint="eastAsia" w:ascii="Times New Roman" w:hAnsi="Times New Roman" w:eastAsia="宋体" w:cs="Times New Roman"/>
          <w:color w:val="auto"/>
          <w:kern w:val="0"/>
          <w:szCs w:val="24"/>
          <w:highlight w:val="none"/>
          <w:lang w:val="en-US" w:eastAsia="zh-CN"/>
        </w:rPr>
        <w:t>其中堆存表土占地</w:t>
      </w:r>
      <w:r>
        <w:rPr>
          <w:rFonts w:hint="eastAsia" w:ascii="Times New Roman" w:hAnsi="Times New Roman" w:eastAsia="宋体" w:cs="Times New Roman"/>
          <w:color w:val="auto"/>
          <w:kern w:val="0"/>
          <w:szCs w:val="24"/>
          <w:highlight w:val="none"/>
        </w:rPr>
        <w:t>面积</w:t>
      </w:r>
      <w:r>
        <w:rPr>
          <w:rFonts w:hint="eastAsia" w:ascii="Times New Roman" w:hAnsi="Times New Roman" w:eastAsia="宋体" w:cs="Times New Roman"/>
          <w:color w:val="auto"/>
          <w:kern w:val="0"/>
          <w:szCs w:val="24"/>
          <w:highlight w:val="none"/>
          <w:lang w:val="en-US" w:eastAsia="zh-CN"/>
        </w:rPr>
        <w:t>1000m</w:t>
      </w:r>
      <w:r>
        <w:rPr>
          <w:rFonts w:hint="eastAsia" w:ascii="Times New Roman" w:hAnsi="Times New Roman" w:eastAsia="宋体" w:cs="Times New Roman"/>
          <w:color w:val="auto"/>
          <w:kern w:val="0"/>
          <w:szCs w:val="24"/>
          <w:highlight w:val="none"/>
          <w:vertAlign w:val="superscript"/>
          <w:lang w:val="en-US" w:eastAsia="zh-CN"/>
        </w:rPr>
        <w:t>2</w:t>
      </w:r>
      <w:r>
        <w:rPr>
          <w:rFonts w:hint="eastAsia" w:ascii="Times New Roman" w:hAnsi="Times New Roman" w:eastAsia="宋体" w:cs="Times New Roman"/>
          <w:color w:val="auto"/>
          <w:kern w:val="0"/>
          <w:szCs w:val="24"/>
          <w:highlight w:val="none"/>
          <w:lang w:val="en-US" w:eastAsia="zh-CN"/>
        </w:rPr>
        <w:t>，</w:t>
      </w:r>
      <w:r>
        <w:rPr>
          <w:rFonts w:hint="eastAsia" w:ascii="Times New Roman" w:hAnsi="Times New Roman" w:eastAsia="宋体" w:cs="Times New Roman"/>
          <w:color w:val="auto"/>
          <w:kern w:val="0"/>
          <w:szCs w:val="24"/>
          <w:highlight w:val="none"/>
        </w:rPr>
        <w:t>周边建设挡土墙和截排水沟；</w:t>
      </w:r>
      <w:r>
        <w:rPr>
          <w:rFonts w:hint="eastAsia" w:cs="Times New Roman"/>
          <w:color w:val="auto"/>
          <w:kern w:val="0"/>
          <w:szCs w:val="24"/>
          <w:highlight w:val="none"/>
          <w:u w:val="single"/>
          <w:lang w:eastAsia="zh-CN"/>
        </w:rPr>
        <w:t>破碎场②</w:t>
      </w:r>
      <w:r>
        <w:rPr>
          <w:rFonts w:hint="eastAsia" w:ascii="Times New Roman" w:hAnsi="Times New Roman" w:eastAsia="宋体" w:cs="Times New Roman"/>
          <w:color w:val="auto"/>
          <w:kern w:val="0"/>
          <w:szCs w:val="24"/>
          <w:highlight w:val="none"/>
        </w:rPr>
        <w:t>西侧山坳设置1个临时排土场</w:t>
      </w:r>
      <w:r>
        <w:rPr>
          <w:rFonts w:hint="eastAsia" w:ascii="Times New Roman" w:hAnsi="Times New Roman" w:eastAsia="宋体" w:cs="宋体"/>
          <w:color w:val="auto"/>
          <w:kern w:val="0"/>
          <w:szCs w:val="24"/>
          <w:highlight w:val="none"/>
        </w:rPr>
        <w:t>②</w:t>
      </w:r>
      <w:r>
        <w:rPr>
          <w:rFonts w:hint="eastAsia" w:ascii="Times New Roman" w:hAnsi="Times New Roman" w:eastAsia="宋体" w:cs="Times New Roman"/>
          <w:color w:val="auto"/>
          <w:kern w:val="0"/>
          <w:szCs w:val="24"/>
          <w:highlight w:val="none"/>
        </w:rPr>
        <w:t>，占地面积2</w:t>
      </w:r>
      <w:r>
        <w:rPr>
          <w:rFonts w:ascii="Times New Roman" w:hAnsi="Times New Roman" w:eastAsia="宋体" w:cs="Times New Roman"/>
          <w:color w:val="auto"/>
          <w:kern w:val="0"/>
          <w:szCs w:val="24"/>
          <w:highlight w:val="none"/>
        </w:rPr>
        <w:t>000m</w:t>
      </w:r>
      <w:r>
        <w:rPr>
          <w:rFonts w:ascii="Times New Roman" w:hAnsi="Times New Roman" w:eastAsia="宋体" w:cs="Times New Roman"/>
          <w:color w:val="auto"/>
          <w:kern w:val="0"/>
          <w:szCs w:val="24"/>
          <w:highlight w:val="none"/>
          <w:vertAlign w:val="superscript"/>
        </w:rPr>
        <w:t>2</w:t>
      </w:r>
      <w:r>
        <w:rPr>
          <w:rFonts w:ascii="Times New Roman" w:hAnsi="Times New Roman" w:eastAsia="宋体" w:cs="Times New Roman"/>
          <w:color w:val="auto"/>
          <w:kern w:val="0"/>
          <w:szCs w:val="24"/>
          <w:highlight w:val="none"/>
        </w:rPr>
        <w:t>，</w:t>
      </w:r>
      <w:r>
        <w:rPr>
          <w:rFonts w:hint="eastAsia" w:ascii="Times New Roman" w:hAnsi="Times New Roman" w:eastAsia="宋体" w:cs="Times New Roman"/>
          <w:color w:val="auto"/>
          <w:kern w:val="0"/>
          <w:szCs w:val="24"/>
          <w:highlight w:val="none"/>
          <w:lang w:val="en-US" w:eastAsia="zh-CN"/>
        </w:rPr>
        <w:t>其中堆存表土占地</w:t>
      </w:r>
      <w:r>
        <w:rPr>
          <w:rFonts w:hint="eastAsia" w:ascii="Times New Roman" w:hAnsi="Times New Roman" w:eastAsia="宋体" w:cs="Times New Roman"/>
          <w:color w:val="auto"/>
          <w:kern w:val="0"/>
          <w:szCs w:val="24"/>
          <w:highlight w:val="none"/>
        </w:rPr>
        <w:t>面积</w:t>
      </w:r>
      <w:r>
        <w:rPr>
          <w:rFonts w:hint="eastAsia" w:ascii="Times New Roman" w:hAnsi="Times New Roman" w:eastAsia="宋体" w:cs="Times New Roman"/>
          <w:color w:val="auto"/>
          <w:kern w:val="0"/>
          <w:szCs w:val="24"/>
          <w:highlight w:val="none"/>
          <w:lang w:val="en-US" w:eastAsia="zh-CN"/>
        </w:rPr>
        <w:t>1000m</w:t>
      </w:r>
      <w:r>
        <w:rPr>
          <w:rFonts w:hint="eastAsia" w:ascii="Times New Roman" w:hAnsi="Times New Roman" w:eastAsia="宋体" w:cs="Times New Roman"/>
          <w:color w:val="auto"/>
          <w:kern w:val="0"/>
          <w:szCs w:val="24"/>
          <w:highlight w:val="none"/>
          <w:vertAlign w:val="superscript"/>
          <w:lang w:val="en-US" w:eastAsia="zh-CN"/>
        </w:rPr>
        <w:t>2</w:t>
      </w:r>
      <w:r>
        <w:rPr>
          <w:rFonts w:hint="eastAsia" w:ascii="Times New Roman" w:hAnsi="Times New Roman" w:eastAsia="宋体" w:cs="Times New Roman"/>
          <w:color w:val="auto"/>
          <w:kern w:val="0"/>
          <w:szCs w:val="24"/>
          <w:highlight w:val="none"/>
          <w:lang w:val="en-US" w:eastAsia="zh-CN"/>
        </w:rPr>
        <w:t>，</w:t>
      </w:r>
      <w:r>
        <w:rPr>
          <w:rFonts w:hint="eastAsia" w:ascii="Times New Roman" w:hAnsi="Times New Roman" w:eastAsia="宋体" w:cs="Times New Roman"/>
          <w:color w:val="auto"/>
          <w:kern w:val="0"/>
          <w:szCs w:val="24"/>
          <w:highlight w:val="none"/>
        </w:rPr>
        <w:t>西面建设挡土墙和截排水沟</w:t>
      </w:r>
      <w:r>
        <w:rPr>
          <w:rFonts w:ascii="Times New Roman" w:hAnsi="Times New Roman" w:eastAsia="宋体" w:cs="Times New Roman"/>
          <w:color w:val="auto"/>
          <w:szCs w:val="24"/>
          <w:highlight w:val="none"/>
        </w:rPr>
        <w:t>，土地类别为</w:t>
      </w:r>
      <w:r>
        <w:rPr>
          <w:rFonts w:hint="eastAsia" w:ascii="Times New Roman" w:hAnsi="Times New Roman" w:eastAsia="宋体" w:cs="Times New Roman"/>
          <w:color w:val="auto"/>
          <w:szCs w:val="24"/>
          <w:highlight w:val="none"/>
        </w:rPr>
        <w:t>临时</w:t>
      </w:r>
      <w:r>
        <w:rPr>
          <w:rFonts w:ascii="Times New Roman" w:hAnsi="Times New Roman" w:eastAsia="宋体" w:cs="Times New Roman"/>
          <w:color w:val="auto"/>
          <w:szCs w:val="24"/>
          <w:highlight w:val="none"/>
        </w:rPr>
        <w:t>用地。最近的敏感点</w:t>
      </w:r>
      <w:r>
        <w:rPr>
          <w:rFonts w:hint="eastAsia" w:ascii="Times New Roman" w:hAnsi="Times New Roman" w:eastAsia="宋体" w:cs="Times New Roman"/>
          <w:color w:val="auto"/>
          <w:szCs w:val="24"/>
          <w:highlight w:val="none"/>
        </w:rPr>
        <w:t>东恒</w:t>
      </w:r>
      <w:r>
        <w:rPr>
          <w:rFonts w:ascii="Times New Roman" w:hAnsi="Times New Roman" w:eastAsia="宋体" w:cs="Times New Roman"/>
          <w:color w:val="auto"/>
          <w:szCs w:val="24"/>
          <w:highlight w:val="none"/>
        </w:rPr>
        <w:t>屯距厂界</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00m，距</w:t>
      </w:r>
      <w:r>
        <w:rPr>
          <w:rFonts w:hint="eastAsia" w:ascii="Times New Roman" w:hAnsi="Times New Roman" w:eastAsia="宋体" w:cs="Times New Roman"/>
          <w:color w:val="auto"/>
          <w:szCs w:val="24"/>
          <w:highlight w:val="none"/>
        </w:rPr>
        <w:t>最近临时排土场</w:t>
      </w:r>
      <w:r>
        <w:rPr>
          <w:rFonts w:ascii="Times New Roman" w:hAnsi="Times New Roman" w:eastAsia="宋体" w:cs="Times New Roman"/>
          <w:color w:val="auto"/>
          <w:szCs w:val="24"/>
          <w:highlight w:val="none"/>
        </w:rPr>
        <w:t>为</w:t>
      </w:r>
      <w:r>
        <w:rPr>
          <w:rFonts w:hint="eastAsia" w:ascii="Times New Roman" w:hAnsi="Times New Roman" w:eastAsia="宋体" w:cs="Times New Roman"/>
          <w:color w:val="auto"/>
          <w:szCs w:val="24"/>
          <w:highlight w:val="none"/>
        </w:rPr>
        <w:t>6</w:t>
      </w:r>
      <w:r>
        <w:rPr>
          <w:rFonts w:ascii="Times New Roman" w:hAnsi="Times New Roman" w:eastAsia="宋体" w:cs="Times New Roman"/>
          <w:color w:val="auto"/>
          <w:szCs w:val="24"/>
          <w:highlight w:val="none"/>
        </w:rPr>
        <w:t>00m。</w:t>
      </w:r>
      <w:r>
        <w:rPr>
          <w:rFonts w:hint="eastAsia" w:ascii="Times New Roman" w:hAnsi="Times New Roman" w:eastAsia="宋体" w:cs="Times New Roman"/>
          <w:color w:val="auto"/>
          <w:szCs w:val="24"/>
          <w:highlight w:val="none"/>
        </w:rPr>
        <w:t>排</w:t>
      </w:r>
      <w:r>
        <w:rPr>
          <w:rFonts w:ascii="Times New Roman" w:hAnsi="Times New Roman" w:eastAsia="宋体" w:cs="Times New Roman"/>
          <w:color w:val="auto"/>
          <w:szCs w:val="24"/>
          <w:highlight w:val="none"/>
        </w:rPr>
        <w:t>土场选址合理性分析见表2.</w:t>
      </w:r>
      <w:r>
        <w:rPr>
          <w:rFonts w:hint="eastAsia" w:ascii="Times New Roman" w:hAnsi="Times New Roman" w:eastAsia="宋体" w:cs="Times New Roman"/>
          <w:color w:val="auto"/>
          <w:szCs w:val="24"/>
          <w:highlight w:val="none"/>
        </w:rPr>
        <w:t>3-7</w:t>
      </w:r>
      <w:r>
        <w:rPr>
          <w:rFonts w:ascii="Times New Roman" w:hAnsi="Times New Roman" w:eastAsia="宋体" w:cs="Times New Roman"/>
          <w:color w:val="auto"/>
          <w:szCs w:val="24"/>
          <w:highlight w:val="none"/>
        </w:rPr>
        <w:t>。</w:t>
      </w:r>
    </w:p>
    <w:p>
      <w:pPr>
        <w:tabs>
          <w:tab w:val="left" w:pos="1418"/>
        </w:tabs>
        <w:spacing w:line="240" w:lineRule="auto"/>
        <w:ind w:firstLine="482"/>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表2.</w:t>
      </w:r>
      <w:r>
        <w:rPr>
          <w:rFonts w:hint="eastAsia" w:ascii="Times New Roman" w:hAnsi="Times New Roman" w:eastAsia="宋体" w:cs="Times New Roman"/>
          <w:b/>
          <w:bCs/>
          <w:color w:val="auto"/>
          <w:highlight w:val="none"/>
        </w:rPr>
        <w:t>3-7</w:t>
      </w:r>
      <w:r>
        <w:rPr>
          <w:rFonts w:ascii="Times New Roman" w:hAnsi="Times New Roman" w:eastAsia="宋体" w:cs="Times New Roman"/>
          <w:b/>
          <w:bCs/>
          <w:color w:val="auto"/>
          <w:highlight w:val="none"/>
        </w:rPr>
        <w:t xml:space="preserve"> </w:t>
      </w:r>
      <w:r>
        <w:rPr>
          <w:rFonts w:hint="eastAsia" w:ascii="Times New Roman" w:hAnsi="Times New Roman" w:eastAsia="宋体" w:cs="Times New Roman"/>
          <w:b/>
          <w:bCs/>
          <w:color w:val="auto"/>
          <w:highlight w:val="none"/>
        </w:rPr>
        <w:t>临时排土场</w:t>
      </w:r>
      <w:r>
        <w:rPr>
          <w:rFonts w:ascii="Times New Roman" w:hAnsi="Times New Roman" w:eastAsia="宋体" w:cs="Times New Roman"/>
          <w:b/>
          <w:bCs/>
          <w:color w:val="auto"/>
          <w:highlight w:val="none"/>
        </w:rPr>
        <w:t>选址合理性分析</w:t>
      </w:r>
    </w:p>
    <w:tbl>
      <w:tblPr>
        <w:tblStyle w:val="48"/>
        <w:tblW w:w="9093"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
      <w:tblGrid>
        <w:gridCol w:w="576"/>
        <w:gridCol w:w="4035"/>
        <w:gridCol w:w="3435"/>
        <w:gridCol w:w="104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306" w:hRule="atLeast"/>
        </w:trPr>
        <w:tc>
          <w:tcPr>
            <w:tcW w:w="576"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序号</w:t>
            </w:r>
          </w:p>
        </w:tc>
        <w:tc>
          <w:tcPr>
            <w:tcW w:w="4035"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（GB</w:t>
            </w:r>
            <w:r>
              <w:rPr>
                <w:rFonts w:hint="eastAsia" w:ascii="Times New Roman" w:hAnsi="Times New Roman" w:eastAsia="宋体" w:cs="Times New Roman"/>
                <w:b/>
                <w:color w:val="auto"/>
                <w:sz w:val="21"/>
                <w:highlight w:val="none"/>
                <w:lang w:val="en-US" w:eastAsia="zh-CN"/>
              </w:rPr>
              <w:t xml:space="preserve"> </w:t>
            </w:r>
            <w:r>
              <w:rPr>
                <w:rFonts w:ascii="Times New Roman" w:hAnsi="Times New Roman" w:eastAsia="宋体" w:cs="Times New Roman"/>
                <w:b/>
                <w:color w:val="auto"/>
                <w:sz w:val="21"/>
                <w:highlight w:val="none"/>
              </w:rPr>
              <w:t>18599-2001）Ⅰ类一般工业固体废弃物</w:t>
            </w:r>
          </w:p>
        </w:tc>
        <w:tc>
          <w:tcPr>
            <w:tcW w:w="3435"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拟建项目</w:t>
            </w:r>
            <w:r>
              <w:rPr>
                <w:rFonts w:hint="eastAsia" w:ascii="Times New Roman" w:hAnsi="Times New Roman" w:eastAsia="宋体" w:cs="Times New Roman"/>
                <w:b/>
                <w:color w:val="auto"/>
                <w:sz w:val="21"/>
                <w:highlight w:val="none"/>
              </w:rPr>
              <w:t>临时排土场</w:t>
            </w:r>
            <w:r>
              <w:rPr>
                <w:rFonts w:ascii="Times New Roman" w:hAnsi="Times New Roman" w:eastAsia="宋体" w:cs="Times New Roman"/>
                <w:b/>
                <w:color w:val="auto"/>
                <w:sz w:val="21"/>
                <w:highlight w:val="none"/>
              </w:rPr>
              <w:t>情况</w:t>
            </w:r>
          </w:p>
        </w:tc>
        <w:tc>
          <w:tcPr>
            <w:tcW w:w="1047"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是否符合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306" w:hRule="atLeast"/>
        </w:trPr>
        <w:tc>
          <w:tcPr>
            <w:tcW w:w="576" w:type="dxa"/>
            <w:noWrap w:val="0"/>
            <w:vAlign w:val="center"/>
          </w:tcPr>
          <w:p>
            <w:pPr>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1</w:t>
            </w:r>
          </w:p>
        </w:tc>
        <w:tc>
          <w:tcPr>
            <w:tcW w:w="4035" w:type="dxa"/>
            <w:noWrap w:val="0"/>
            <w:vAlign w:val="center"/>
          </w:tcPr>
          <w:p>
            <w:pPr>
              <w:spacing w:line="240" w:lineRule="auto"/>
              <w:ind w:firstLine="0" w:firstLineChars="0"/>
              <w:jc w:val="left"/>
              <w:rPr>
                <w:rFonts w:ascii="Times New Roman" w:hAnsi="Times New Roman" w:eastAsia="宋体" w:cs="Times New Roman"/>
                <w:bCs/>
                <w:color w:val="auto"/>
                <w:sz w:val="21"/>
                <w:highlight w:val="none"/>
              </w:rPr>
            </w:pPr>
            <w:r>
              <w:rPr>
                <w:rFonts w:hint="eastAsia" w:ascii="Times New Roman" w:hAnsi="Times New Roman" w:eastAsia="宋体" w:cs="Arial"/>
                <w:i w:val="0"/>
                <w:caps w:val="0"/>
                <w:color w:val="auto"/>
                <w:spacing w:val="0"/>
                <w:sz w:val="21"/>
                <w:szCs w:val="21"/>
                <w:highlight w:val="none"/>
                <w:shd w:val="clear" w:color="auto" w:fill="FFFFFF"/>
              </w:rPr>
              <w:t>所选场址应符合当地城乡建设总体规划要求</w:t>
            </w:r>
          </w:p>
        </w:tc>
        <w:tc>
          <w:tcPr>
            <w:tcW w:w="3435" w:type="dxa"/>
            <w:noWrap w:val="0"/>
            <w:vAlign w:val="center"/>
          </w:tcPr>
          <w:p>
            <w:pPr>
              <w:spacing w:line="240" w:lineRule="auto"/>
              <w:ind w:firstLine="0" w:firstLineChars="0"/>
              <w:jc w:val="left"/>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矿区距离城镇较远，符合规划，不在城镇建设区</w:t>
            </w:r>
          </w:p>
        </w:tc>
        <w:tc>
          <w:tcPr>
            <w:tcW w:w="1047" w:type="dxa"/>
            <w:noWrap w:val="0"/>
            <w:vAlign w:val="center"/>
          </w:tcPr>
          <w:p>
            <w:pPr>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306" w:hRule="atLeast"/>
        </w:trPr>
        <w:tc>
          <w:tcPr>
            <w:tcW w:w="576" w:type="dxa"/>
            <w:noWrap w:val="0"/>
            <w:vAlign w:val="center"/>
          </w:tcPr>
          <w:p>
            <w:pPr>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2</w:t>
            </w:r>
          </w:p>
        </w:tc>
        <w:tc>
          <w:tcPr>
            <w:tcW w:w="4035" w:type="dxa"/>
            <w:noWrap w:val="0"/>
            <w:vAlign w:val="center"/>
          </w:tcPr>
          <w:p>
            <w:pPr>
              <w:spacing w:line="240" w:lineRule="auto"/>
              <w:ind w:firstLine="0" w:firstLineChars="0"/>
              <w:jc w:val="left"/>
              <w:rPr>
                <w:rFonts w:ascii="Times New Roman" w:hAnsi="Times New Roman" w:eastAsia="宋体" w:cs="Times New Roman"/>
                <w:bCs/>
                <w:color w:val="auto"/>
                <w:sz w:val="21"/>
                <w:highlight w:val="none"/>
              </w:rPr>
            </w:pPr>
            <w:r>
              <w:rPr>
                <w:rFonts w:hint="eastAsia" w:ascii="Times New Roman" w:hAnsi="Times New Roman" w:eastAsia="宋体" w:cs="Times New Roman"/>
                <w:bCs/>
                <w:color w:val="auto"/>
                <w:sz w:val="21"/>
                <w:highlight w:val="none"/>
              </w:rPr>
              <w:t>应依据环境影响评价结论确定场址的位置及其与周围人群的距离，并经具有审批权的环境保护行政主管部门批准，并可作为规划控制的依据</w:t>
            </w:r>
          </w:p>
        </w:tc>
        <w:tc>
          <w:tcPr>
            <w:tcW w:w="3435" w:type="dxa"/>
            <w:noWrap w:val="0"/>
            <w:vAlign w:val="center"/>
          </w:tcPr>
          <w:p>
            <w:pPr>
              <w:spacing w:line="240" w:lineRule="auto"/>
              <w:ind w:firstLine="0" w:firstLineChars="0"/>
              <w:jc w:val="left"/>
              <w:rPr>
                <w:rFonts w:ascii="Times New Roman" w:hAnsi="Times New Roman" w:eastAsia="宋体" w:cs="Times New Roman"/>
                <w:bCs/>
                <w:color w:val="auto"/>
                <w:sz w:val="21"/>
                <w:highlight w:val="none"/>
              </w:rPr>
            </w:pPr>
            <w:r>
              <w:rPr>
                <w:rFonts w:hint="eastAsia" w:ascii="Times New Roman" w:hAnsi="Times New Roman" w:eastAsia="宋体" w:cs="Times New Roman"/>
                <w:bCs/>
                <w:color w:val="auto"/>
                <w:sz w:val="21"/>
                <w:highlight w:val="none"/>
                <w:lang w:val="en-US" w:eastAsia="zh-CN"/>
              </w:rPr>
              <w:t>项目</w:t>
            </w:r>
            <w:r>
              <w:rPr>
                <w:rFonts w:hint="eastAsia" w:ascii="Times New Roman" w:hAnsi="Times New Roman" w:eastAsia="宋体" w:cs="Times New Roman"/>
                <w:bCs/>
                <w:color w:val="auto"/>
                <w:sz w:val="21"/>
                <w:highlight w:val="none"/>
              </w:rPr>
              <w:t>临时排土场</w:t>
            </w:r>
            <w:r>
              <w:rPr>
                <w:rFonts w:hint="eastAsia" w:ascii="Times New Roman" w:hAnsi="Times New Roman" w:eastAsia="宋体" w:cs="Times New Roman"/>
                <w:bCs/>
                <w:color w:val="auto"/>
                <w:sz w:val="21"/>
                <w:highlight w:val="none"/>
                <w:lang w:val="en-US" w:eastAsia="zh-CN"/>
              </w:rPr>
              <w:t>距最近敏感点东恒屯距离为600m，满足建设要求</w:t>
            </w:r>
          </w:p>
        </w:tc>
        <w:tc>
          <w:tcPr>
            <w:tcW w:w="1047" w:type="dxa"/>
            <w:noWrap w:val="0"/>
            <w:vAlign w:val="center"/>
          </w:tcPr>
          <w:p>
            <w:pPr>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306" w:hRule="atLeast"/>
        </w:trPr>
        <w:tc>
          <w:tcPr>
            <w:tcW w:w="576" w:type="dxa"/>
            <w:noWrap w:val="0"/>
            <w:vAlign w:val="center"/>
          </w:tcPr>
          <w:p>
            <w:pPr>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3</w:t>
            </w:r>
          </w:p>
        </w:tc>
        <w:tc>
          <w:tcPr>
            <w:tcW w:w="4035" w:type="dxa"/>
            <w:noWrap w:val="0"/>
            <w:vAlign w:val="center"/>
          </w:tcPr>
          <w:p>
            <w:pPr>
              <w:spacing w:line="240" w:lineRule="auto"/>
              <w:ind w:firstLine="0" w:firstLineChars="0"/>
              <w:jc w:val="left"/>
              <w:rPr>
                <w:rFonts w:ascii="Times New Roman" w:hAnsi="Times New Roman" w:eastAsia="宋体" w:cs="Times New Roman"/>
                <w:bCs/>
                <w:color w:val="auto"/>
                <w:sz w:val="21"/>
                <w:highlight w:val="none"/>
              </w:rPr>
            </w:pPr>
            <w:r>
              <w:rPr>
                <w:rFonts w:hint="eastAsia" w:ascii="Times New Roman" w:hAnsi="Times New Roman" w:eastAsia="宋体" w:cs="Arial"/>
                <w:i w:val="0"/>
                <w:caps w:val="0"/>
                <w:color w:val="auto"/>
                <w:spacing w:val="0"/>
                <w:sz w:val="21"/>
                <w:szCs w:val="21"/>
                <w:highlight w:val="none"/>
                <w:shd w:val="clear" w:color="auto" w:fill="FFFFFF"/>
              </w:rPr>
              <w:t>应选在满足承载力要求的地基上，以避免地基下沉的影响，特别是不均匀或局部下沉的影响</w:t>
            </w:r>
          </w:p>
        </w:tc>
        <w:tc>
          <w:tcPr>
            <w:tcW w:w="3435" w:type="dxa"/>
            <w:noWrap w:val="0"/>
            <w:vAlign w:val="center"/>
          </w:tcPr>
          <w:p>
            <w:pPr>
              <w:spacing w:line="240" w:lineRule="auto"/>
              <w:ind w:firstLine="0" w:firstLineChars="0"/>
              <w:jc w:val="left"/>
              <w:rPr>
                <w:rFonts w:ascii="Times New Roman" w:hAnsi="Times New Roman" w:eastAsia="宋体" w:cs="Times New Roman"/>
                <w:bCs/>
                <w:color w:val="auto"/>
                <w:sz w:val="21"/>
                <w:highlight w:val="none"/>
              </w:rPr>
            </w:pPr>
            <w:r>
              <w:rPr>
                <w:rFonts w:hint="eastAsia" w:ascii="Times New Roman" w:hAnsi="Times New Roman" w:eastAsia="宋体" w:cs="Times New Roman"/>
                <w:bCs/>
                <w:color w:val="auto"/>
                <w:sz w:val="21"/>
                <w:highlight w:val="none"/>
              </w:rPr>
              <w:t>临时排土场</w:t>
            </w:r>
            <w:r>
              <w:rPr>
                <w:rFonts w:ascii="Times New Roman" w:hAnsi="Times New Roman" w:eastAsia="宋体" w:cs="Times New Roman"/>
                <w:bCs/>
                <w:color w:val="auto"/>
                <w:sz w:val="21"/>
                <w:highlight w:val="none"/>
              </w:rPr>
              <w:t>地基稳定，无滑坡、塌陷，满足承载力要求，具有良好的防渗性能</w:t>
            </w:r>
          </w:p>
        </w:tc>
        <w:tc>
          <w:tcPr>
            <w:tcW w:w="1047" w:type="dxa"/>
            <w:noWrap w:val="0"/>
            <w:vAlign w:val="center"/>
          </w:tcPr>
          <w:p>
            <w:pPr>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306" w:hRule="atLeast"/>
        </w:trPr>
        <w:tc>
          <w:tcPr>
            <w:tcW w:w="576" w:type="dxa"/>
            <w:noWrap w:val="0"/>
            <w:vAlign w:val="center"/>
          </w:tcPr>
          <w:p>
            <w:pPr>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4</w:t>
            </w:r>
          </w:p>
        </w:tc>
        <w:tc>
          <w:tcPr>
            <w:tcW w:w="4035" w:type="dxa"/>
            <w:noWrap w:val="0"/>
            <w:vAlign w:val="center"/>
          </w:tcPr>
          <w:p>
            <w:pPr>
              <w:spacing w:line="240" w:lineRule="auto"/>
              <w:ind w:firstLine="0" w:firstLineChars="0"/>
              <w:jc w:val="left"/>
              <w:rPr>
                <w:rFonts w:ascii="Times New Roman" w:hAnsi="Times New Roman" w:eastAsia="宋体" w:cs="Times New Roman"/>
                <w:bCs/>
                <w:color w:val="auto"/>
                <w:sz w:val="21"/>
                <w:highlight w:val="none"/>
              </w:rPr>
            </w:pPr>
            <w:r>
              <w:rPr>
                <w:rFonts w:hint="eastAsia" w:ascii="Times New Roman" w:hAnsi="Times New Roman" w:eastAsia="宋体" w:cs="Arial"/>
                <w:i w:val="0"/>
                <w:caps w:val="0"/>
                <w:color w:val="auto"/>
                <w:spacing w:val="0"/>
                <w:sz w:val="21"/>
                <w:szCs w:val="21"/>
                <w:highlight w:val="none"/>
                <w:shd w:val="clear" w:color="auto" w:fill="FFFFFF"/>
              </w:rPr>
              <w:t>应避开断层、断层破碎带、溶洞区，以及天然滑坡或泥石流影响区</w:t>
            </w:r>
          </w:p>
        </w:tc>
        <w:tc>
          <w:tcPr>
            <w:tcW w:w="3435" w:type="dxa"/>
            <w:noWrap w:val="0"/>
            <w:vAlign w:val="center"/>
          </w:tcPr>
          <w:p>
            <w:pPr>
              <w:spacing w:line="240" w:lineRule="auto"/>
              <w:ind w:firstLine="0" w:firstLineChars="0"/>
              <w:jc w:val="left"/>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场地没有断层、断层破碎带、溶洞区，也没有天然滑坡或泥石流影响区</w:t>
            </w:r>
          </w:p>
        </w:tc>
        <w:tc>
          <w:tcPr>
            <w:tcW w:w="1047" w:type="dxa"/>
            <w:noWrap w:val="0"/>
            <w:vAlign w:val="center"/>
          </w:tcPr>
          <w:p>
            <w:pPr>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306" w:hRule="atLeast"/>
        </w:trPr>
        <w:tc>
          <w:tcPr>
            <w:tcW w:w="576" w:type="dxa"/>
            <w:noWrap w:val="0"/>
            <w:vAlign w:val="center"/>
          </w:tcPr>
          <w:p>
            <w:pPr>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5</w:t>
            </w:r>
          </w:p>
        </w:tc>
        <w:tc>
          <w:tcPr>
            <w:tcW w:w="4035" w:type="dxa"/>
            <w:noWrap w:val="0"/>
            <w:vAlign w:val="center"/>
          </w:tcPr>
          <w:p>
            <w:pPr>
              <w:spacing w:line="240" w:lineRule="auto"/>
              <w:ind w:firstLine="0" w:firstLineChars="0"/>
              <w:jc w:val="left"/>
              <w:rPr>
                <w:rFonts w:ascii="Times New Roman" w:hAnsi="Times New Roman" w:eastAsia="宋体" w:cs="Times New Roman"/>
                <w:bCs/>
                <w:color w:val="auto"/>
                <w:sz w:val="21"/>
                <w:highlight w:val="none"/>
              </w:rPr>
            </w:pPr>
            <w:r>
              <w:rPr>
                <w:rFonts w:hint="eastAsia" w:ascii="Times New Roman" w:hAnsi="Times New Roman" w:eastAsia="宋体" w:cs="Times New Roman"/>
                <w:bCs/>
                <w:color w:val="auto"/>
                <w:sz w:val="21"/>
                <w:highlight w:val="none"/>
              </w:rPr>
              <w:t>禁止选在江河、湖泊、水库最高</w:t>
            </w:r>
            <w:r>
              <w:rPr>
                <w:rFonts w:hint="default" w:ascii="Times New Roman" w:hAnsi="Times New Roman" w:eastAsia="宋体" w:cs="Times New Roman"/>
                <w:bCs/>
                <w:color w:val="auto"/>
                <w:sz w:val="21"/>
                <w:highlight w:val="none"/>
              </w:rPr>
              <w:fldChar w:fldCharType="begin"/>
            </w:r>
            <w:r>
              <w:rPr>
                <w:rFonts w:hint="default" w:ascii="Times New Roman" w:hAnsi="Times New Roman" w:eastAsia="宋体" w:cs="Times New Roman"/>
                <w:bCs/>
                <w:color w:val="auto"/>
                <w:sz w:val="21"/>
                <w:highlight w:val="none"/>
              </w:rPr>
              <w:instrText xml:space="preserve"> HYPERLINK "https://baike.baidu.com/item/%E6%B0%B4%E4%BD%8D%E7%BA%BF" \t "https://baike.baidu.com/item/%E4%B8%80%E8%88%AC%E5%B7%A5%E4%B8%9A%E5%9B%BA%E4%BD%93%E5%BA%9F%E7%89%A9%E8%B4%AE%E5%AD%98%E3%80%81%E5%A4%84%E7%BD%AE%E5%9C%BA%E6%B1%A1%E6%9F%93%E6%8E%A7%E5%88%B6%E6%A0%87%E5%87%86/_blank" </w:instrText>
            </w:r>
            <w:r>
              <w:rPr>
                <w:rFonts w:hint="default" w:ascii="Times New Roman" w:hAnsi="Times New Roman" w:eastAsia="宋体" w:cs="Times New Roman"/>
                <w:bCs/>
                <w:color w:val="auto"/>
                <w:sz w:val="21"/>
                <w:highlight w:val="none"/>
              </w:rPr>
              <w:fldChar w:fldCharType="separate"/>
            </w:r>
            <w:r>
              <w:rPr>
                <w:rFonts w:hint="default" w:ascii="Times New Roman" w:hAnsi="Times New Roman" w:eastAsia="宋体" w:cs="Times New Roman"/>
                <w:bCs/>
                <w:color w:val="auto"/>
                <w:sz w:val="21"/>
                <w:highlight w:val="none"/>
              </w:rPr>
              <w:t>水位线</w:t>
            </w:r>
            <w:r>
              <w:rPr>
                <w:rFonts w:hint="default" w:ascii="Times New Roman" w:hAnsi="Times New Roman" w:eastAsia="宋体" w:cs="Times New Roman"/>
                <w:bCs/>
                <w:color w:val="auto"/>
                <w:sz w:val="21"/>
                <w:highlight w:val="none"/>
              </w:rPr>
              <w:fldChar w:fldCharType="end"/>
            </w:r>
            <w:r>
              <w:rPr>
                <w:rFonts w:hint="default" w:ascii="Times New Roman" w:hAnsi="Times New Roman" w:eastAsia="宋体" w:cs="Times New Roman"/>
                <w:bCs/>
                <w:color w:val="auto"/>
                <w:sz w:val="21"/>
                <w:highlight w:val="none"/>
              </w:rPr>
              <w:t>以下的滩地和</w:t>
            </w:r>
            <w:r>
              <w:rPr>
                <w:rFonts w:hint="default" w:ascii="Times New Roman" w:hAnsi="Times New Roman" w:eastAsia="宋体" w:cs="Times New Roman"/>
                <w:bCs/>
                <w:color w:val="auto"/>
                <w:sz w:val="21"/>
                <w:highlight w:val="none"/>
              </w:rPr>
              <w:fldChar w:fldCharType="begin"/>
            </w:r>
            <w:r>
              <w:rPr>
                <w:rFonts w:hint="default" w:ascii="Times New Roman" w:hAnsi="Times New Roman" w:eastAsia="宋体" w:cs="Times New Roman"/>
                <w:bCs/>
                <w:color w:val="auto"/>
                <w:sz w:val="21"/>
                <w:highlight w:val="none"/>
              </w:rPr>
              <w:instrText xml:space="preserve"> HYPERLINK "https://baike.baidu.com/item/%E6%B4%AA%E6%B3%9B%E5%8C%BA" \t "https://baike.baidu.com/item/%E4%B8%80%E8%88%AC%E5%B7%A5%E4%B8%9A%E5%9B%BA%E4%BD%93%E5%BA%9F%E7%89%A9%E8%B4%AE%E5%AD%98%E3%80%81%E5%A4%84%E7%BD%AE%E5%9C%BA%E6%B1%A1%E6%9F%93%E6%8E%A7%E5%88%B6%E6%A0%87%E5%87%86/_blank" </w:instrText>
            </w:r>
            <w:r>
              <w:rPr>
                <w:rFonts w:hint="default" w:ascii="Times New Roman" w:hAnsi="Times New Roman" w:eastAsia="宋体" w:cs="Times New Roman"/>
                <w:bCs/>
                <w:color w:val="auto"/>
                <w:sz w:val="21"/>
                <w:highlight w:val="none"/>
              </w:rPr>
              <w:fldChar w:fldCharType="separate"/>
            </w:r>
            <w:r>
              <w:rPr>
                <w:rFonts w:hint="default" w:ascii="Times New Roman" w:hAnsi="Times New Roman" w:eastAsia="宋体" w:cs="Times New Roman"/>
                <w:bCs/>
                <w:color w:val="auto"/>
                <w:sz w:val="21"/>
                <w:highlight w:val="none"/>
              </w:rPr>
              <w:t>洪泛区</w:t>
            </w:r>
            <w:r>
              <w:rPr>
                <w:rFonts w:hint="default" w:ascii="Times New Roman" w:hAnsi="Times New Roman" w:eastAsia="宋体" w:cs="Times New Roman"/>
                <w:bCs/>
                <w:color w:val="auto"/>
                <w:sz w:val="21"/>
                <w:highlight w:val="none"/>
              </w:rPr>
              <w:fldChar w:fldCharType="end"/>
            </w:r>
          </w:p>
        </w:tc>
        <w:tc>
          <w:tcPr>
            <w:tcW w:w="3435" w:type="dxa"/>
            <w:noWrap w:val="0"/>
            <w:vAlign w:val="center"/>
          </w:tcPr>
          <w:p>
            <w:pPr>
              <w:spacing w:line="240" w:lineRule="auto"/>
              <w:ind w:firstLine="0" w:firstLineChars="0"/>
              <w:jc w:val="left"/>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高于当地河流洪水水位，周边设置截洪沟防止洪水冲刷</w:t>
            </w:r>
          </w:p>
        </w:tc>
        <w:tc>
          <w:tcPr>
            <w:tcW w:w="1047" w:type="dxa"/>
            <w:noWrap w:val="0"/>
            <w:vAlign w:val="center"/>
          </w:tcPr>
          <w:p>
            <w:pPr>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306" w:hRule="atLeast"/>
        </w:trPr>
        <w:tc>
          <w:tcPr>
            <w:tcW w:w="576" w:type="dxa"/>
            <w:noWrap w:val="0"/>
            <w:vAlign w:val="center"/>
          </w:tcPr>
          <w:p>
            <w:pPr>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6</w:t>
            </w:r>
          </w:p>
        </w:tc>
        <w:tc>
          <w:tcPr>
            <w:tcW w:w="4035" w:type="dxa"/>
            <w:noWrap w:val="0"/>
            <w:vAlign w:val="center"/>
          </w:tcPr>
          <w:p>
            <w:pPr>
              <w:spacing w:line="240" w:lineRule="auto"/>
              <w:ind w:firstLine="0" w:firstLineChars="0"/>
              <w:jc w:val="left"/>
              <w:rPr>
                <w:rFonts w:ascii="Times New Roman" w:hAnsi="Times New Roman" w:eastAsia="宋体" w:cs="Times New Roman"/>
                <w:bCs/>
                <w:color w:val="auto"/>
                <w:sz w:val="21"/>
                <w:highlight w:val="none"/>
              </w:rPr>
            </w:pPr>
            <w:r>
              <w:rPr>
                <w:rFonts w:hint="eastAsia" w:ascii="Times New Roman" w:hAnsi="Times New Roman" w:eastAsia="宋体" w:cs="Arial"/>
                <w:i w:val="0"/>
                <w:caps w:val="0"/>
                <w:color w:val="auto"/>
                <w:spacing w:val="0"/>
                <w:sz w:val="21"/>
                <w:szCs w:val="21"/>
                <w:highlight w:val="none"/>
                <w:shd w:val="clear" w:color="auto" w:fill="FFFFFF"/>
              </w:rPr>
              <w:t>禁止选在自然保护区、风景名胜区和其它需要特别保护的区域</w:t>
            </w:r>
          </w:p>
        </w:tc>
        <w:tc>
          <w:tcPr>
            <w:tcW w:w="3435" w:type="dxa"/>
            <w:noWrap w:val="0"/>
            <w:vAlign w:val="center"/>
          </w:tcPr>
          <w:p>
            <w:pPr>
              <w:spacing w:line="240" w:lineRule="auto"/>
              <w:ind w:firstLine="0" w:firstLineChars="0"/>
              <w:jc w:val="left"/>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项目区不在自然保护区、风景名胜区和其他需要特别保护的区域范围</w:t>
            </w:r>
          </w:p>
        </w:tc>
        <w:tc>
          <w:tcPr>
            <w:tcW w:w="1047" w:type="dxa"/>
            <w:noWrap w:val="0"/>
            <w:vAlign w:val="center"/>
          </w:tcPr>
          <w:p>
            <w:pPr>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符合</w:t>
            </w:r>
          </w:p>
        </w:tc>
      </w:tr>
    </w:tbl>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根据上表分析，项目临时排土场选址合理。</w:t>
      </w:r>
    </w:p>
    <w:p>
      <w:pPr>
        <w:numPr>
          <w:ilvl w:val="0"/>
          <w:numId w:val="8"/>
        </w:numPr>
        <w:ind w:firstLine="482"/>
        <w:rPr>
          <w:rFonts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临时排土场大小合理性分析</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本项目表土产生量1000t/a（416.7m</w:t>
      </w:r>
      <w:r>
        <w:rPr>
          <w:rFonts w:hint="eastAsia"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rPr>
        <w:t>/a），表土堆放于临时排土场，用于后期矿山复垦，本项目不设置永久排土场。临时排土场总占地面积约</w:t>
      </w:r>
      <w:r>
        <w:rPr>
          <w:rFonts w:hint="eastAsia" w:ascii="Times New Roman" w:hAnsi="Times New Roman" w:eastAsia="宋体" w:cs="Times New Roman"/>
          <w:color w:val="auto"/>
          <w:highlight w:val="none"/>
          <w:lang w:val="en-US" w:eastAsia="zh-CN"/>
        </w:rPr>
        <w:t>4</w:t>
      </w:r>
      <w:r>
        <w:rPr>
          <w:rFonts w:hint="eastAsia" w:ascii="Times New Roman" w:hAnsi="Times New Roman" w:eastAsia="宋体" w:cs="Times New Roman"/>
          <w:color w:val="auto"/>
          <w:highlight w:val="none"/>
        </w:rPr>
        <w:t>000m</w:t>
      </w:r>
      <w:r>
        <w:rPr>
          <w:rFonts w:hint="eastAsia"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其中</w:t>
      </w:r>
      <w:r>
        <w:rPr>
          <w:rFonts w:hint="eastAsia" w:ascii="Times New Roman" w:hAnsi="Times New Roman" w:eastAsia="宋体" w:cs="Times New Roman"/>
          <w:color w:val="auto"/>
          <w:kern w:val="0"/>
          <w:szCs w:val="24"/>
          <w:highlight w:val="none"/>
          <w:lang w:val="en-US" w:eastAsia="zh-CN"/>
        </w:rPr>
        <w:t>堆存表土总占地面积2000m</w:t>
      </w:r>
      <w:r>
        <w:rPr>
          <w:rFonts w:hint="eastAsia" w:ascii="Times New Roman" w:hAnsi="Times New Roman" w:eastAsia="宋体" w:cs="Times New Roman"/>
          <w:color w:val="auto"/>
          <w:kern w:val="0"/>
          <w:szCs w:val="24"/>
          <w:highlight w:val="none"/>
          <w:vertAlign w:val="superscript"/>
          <w:lang w:val="en-US" w:eastAsia="zh-CN"/>
        </w:rPr>
        <w:t>2</w:t>
      </w:r>
      <w:r>
        <w:rPr>
          <w:rFonts w:hint="eastAsia" w:ascii="Times New Roman" w:hAnsi="Times New Roman" w:eastAsia="宋体" w:cs="Times New Roman"/>
          <w:color w:val="auto"/>
          <w:kern w:val="0"/>
          <w:szCs w:val="24"/>
          <w:highlight w:val="none"/>
          <w:lang w:val="en-US" w:eastAsia="zh-CN"/>
        </w:rPr>
        <w:t>。</w:t>
      </w:r>
      <w:r>
        <w:rPr>
          <w:rFonts w:hint="eastAsia" w:ascii="Times New Roman" w:hAnsi="Times New Roman" w:eastAsia="宋体" w:cs="Times New Roman"/>
          <w:color w:val="auto"/>
          <w:highlight w:val="none"/>
        </w:rPr>
        <w:t>临时排土场</w:t>
      </w:r>
      <w:r>
        <w:rPr>
          <w:rFonts w:ascii="Times New Roman" w:hAnsi="Times New Roman" w:eastAsia="宋体" w:cs="Times New Roman"/>
          <w:color w:val="auto"/>
          <w:szCs w:val="24"/>
          <w:highlight w:val="none"/>
        </w:rPr>
        <w:t>周边建设约</w:t>
      </w:r>
      <w:r>
        <w:rPr>
          <w:rFonts w:hint="eastAsia" w:ascii="Times New Roman" w:hAnsi="Times New Roman" w:eastAsia="宋体" w:cs="Times New Roman"/>
          <w:color w:val="auto"/>
          <w:szCs w:val="24"/>
          <w:highlight w:val="none"/>
          <w:lang w:val="en-US" w:eastAsia="zh-CN"/>
        </w:rPr>
        <w:t>3</w:t>
      </w:r>
      <w:r>
        <w:rPr>
          <w:rFonts w:ascii="Times New Roman" w:hAnsi="Times New Roman" w:eastAsia="宋体" w:cs="Times New Roman"/>
          <w:color w:val="auto"/>
          <w:szCs w:val="24"/>
          <w:highlight w:val="none"/>
        </w:rPr>
        <w:t>m高挡土墙，</w:t>
      </w:r>
      <w:r>
        <w:rPr>
          <w:rFonts w:hint="eastAsia" w:ascii="Times New Roman" w:hAnsi="Times New Roman" w:eastAsia="宋体" w:cs="Times New Roman"/>
          <w:color w:val="auto"/>
          <w:szCs w:val="24"/>
          <w:highlight w:val="none"/>
        </w:rPr>
        <w:t>可容纳</w:t>
      </w:r>
      <w:r>
        <w:rPr>
          <w:rFonts w:hint="eastAsia" w:ascii="Times New Roman" w:hAnsi="Times New Roman" w:eastAsia="宋体" w:cs="Times New Roman"/>
          <w:color w:val="auto"/>
          <w:szCs w:val="24"/>
          <w:highlight w:val="none"/>
          <w:lang w:val="en-US" w:eastAsia="zh-CN"/>
        </w:rPr>
        <w:t>约</w:t>
      </w:r>
      <w:r>
        <w:rPr>
          <w:rFonts w:hint="eastAsia" w:ascii="Times New Roman" w:hAnsi="Times New Roman" w:eastAsia="宋体" w:cs="Times New Roman"/>
          <w:color w:val="auto"/>
          <w:szCs w:val="24"/>
          <w:highlight w:val="none"/>
        </w:rPr>
        <w:t>1.</w:t>
      </w:r>
      <w:r>
        <w:rPr>
          <w:rFonts w:hint="eastAsia" w:ascii="Times New Roman" w:hAnsi="Times New Roman" w:eastAsia="宋体" w:cs="Times New Roman"/>
          <w:color w:val="auto"/>
          <w:szCs w:val="24"/>
          <w:highlight w:val="none"/>
          <w:lang w:val="en-US" w:eastAsia="zh-CN"/>
        </w:rPr>
        <w:t>44</w:t>
      </w:r>
      <w:r>
        <w:rPr>
          <w:rFonts w:hint="eastAsia" w:ascii="Times New Roman" w:hAnsi="Times New Roman" w:eastAsia="宋体" w:cs="Times New Roman"/>
          <w:color w:val="auto"/>
          <w:szCs w:val="24"/>
          <w:highlight w:val="none"/>
        </w:rPr>
        <w:t>万t（</w:t>
      </w:r>
      <w:r>
        <w:rPr>
          <w:rFonts w:hint="eastAsia" w:ascii="Times New Roman" w:hAnsi="Times New Roman" w:eastAsia="宋体" w:cs="Times New Roman"/>
          <w:color w:val="auto"/>
          <w:szCs w:val="24"/>
          <w:highlight w:val="none"/>
          <w:lang w:val="en-US" w:eastAsia="zh-CN"/>
        </w:rPr>
        <w:t>6</w:t>
      </w:r>
      <w:r>
        <w:rPr>
          <w:rFonts w:hint="eastAsia" w:ascii="Times New Roman" w:hAnsi="Times New Roman" w:eastAsia="宋体" w:cs="Times New Roman"/>
          <w:color w:val="auto"/>
          <w:szCs w:val="24"/>
          <w:highlight w:val="none"/>
        </w:rPr>
        <w:t>000m</w:t>
      </w:r>
      <w:r>
        <w:rPr>
          <w:rFonts w:hint="eastAsia" w:ascii="Times New Roman" w:hAnsi="Times New Roman" w:eastAsia="宋体" w:cs="Times New Roman"/>
          <w:color w:val="auto"/>
          <w:szCs w:val="24"/>
          <w:highlight w:val="none"/>
          <w:vertAlign w:val="superscript"/>
        </w:rPr>
        <w:t>3</w:t>
      </w:r>
      <w:r>
        <w:rPr>
          <w:rFonts w:hint="eastAsia" w:ascii="Times New Roman" w:hAnsi="Times New Roman" w:eastAsia="宋体" w:cs="Times New Roman"/>
          <w:color w:val="auto"/>
          <w:szCs w:val="24"/>
          <w:highlight w:val="none"/>
        </w:rPr>
        <w:t>）表土，表土堆场容量可满足项目开采</w:t>
      </w:r>
      <w:r>
        <w:rPr>
          <w:rFonts w:hint="eastAsia" w:ascii="Times New Roman" w:hAnsi="Times New Roman" w:eastAsia="宋体" w:cs="Times New Roman"/>
          <w:color w:val="auto"/>
          <w:szCs w:val="24"/>
          <w:highlight w:val="none"/>
          <w:lang w:val="en-US" w:eastAsia="zh-CN"/>
        </w:rPr>
        <w:t>14</w:t>
      </w:r>
      <w:r>
        <w:rPr>
          <w:rFonts w:hint="eastAsia" w:ascii="Times New Roman" w:hAnsi="Times New Roman" w:eastAsia="宋体" w:cs="Times New Roman"/>
          <w:color w:val="auto"/>
          <w:szCs w:val="24"/>
          <w:highlight w:val="none"/>
        </w:rPr>
        <w:t>年，项目实行边开采边复垦计划，表土堆场</w:t>
      </w:r>
      <w:r>
        <w:rPr>
          <w:rFonts w:hint="eastAsia" w:ascii="Times New Roman" w:hAnsi="Times New Roman" w:eastAsia="宋体" w:cs="Times New Roman"/>
          <w:color w:val="auto"/>
          <w:highlight w:val="none"/>
        </w:rPr>
        <w:t>可满足开采期产生表土的堆存需求。</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项目废土石渣产生量4000t/a（1666.7m</w:t>
      </w:r>
      <w:r>
        <w:rPr>
          <w:rFonts w:hint="eastAsia"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rPr>
        <w:t>/a），</w:t>
      </w:r>
      <w:r>
        <w:rPr>
          <w:rFonts w:hint="eastAsia" w:ascii="Times New Roman" w:hAnsi="Times New Roman" w:eastAsia="宋体" w:cs="Times New Roman"/>
          <w:color w:val="auto"/>
          <w:highlight w:val="none"/>
          <w:lang w:val="en-US" w:eastAsia="zh-CN"/>
        </w:rPr>
        <w:t>可临时堆存于</w:t>
      </w:r>
      <w:r>
        <w:rPr>
          <w:rFonts w:hint="eastAsia" w:ascii="Times New Roman" w:hAnsi="Times New Roman" w:eastAsia="宋体" w:cs="Times New Roman"/>
          <w:color w:val="auto"/>
          <w:highlight w:val="none"/>
        </w:rPr>
        <w:t>废土石渣</w:t>
      </w:r>
      <w:r>
        <w:rPr>
          <w:rFonts w:hint="eastAsia" w:ascii="Times New Roman" w:hAnsi="Times New Roman" w:eastAsia="宋体" w:cs="Times New Roman"/>
          <w:color w:val="auto"/>
          <w:highlight w:val="none"/>
          <w:lang w:val="en-US" w:eastAsia="zh-CN"/>
        </w:rPr>
        <w:t>堆场。</w:t>
      </w:r>
      <w:r>
        <w:rPr>
          <w:rFonts w:hint="eastAsia" w:ascii="Times New Roman" w:hAnsi="Times New Roman" w:eastAsia="宋体" w:cs="Times New Roman"/>
          <w:color w:val="auto"/>
          <w:highlight w:val="none"/>
        </w:rPr>
        <w:t>废土石渣</w:t>
      </w:r>
      <w:r>
        <w:rPr>
          <w:rFonts w:hint="eastAsia" w:ascii="Times New Roman" w:hAnsi="Times New Roman" w:eastAsia="宋体" w:cs="Times New Roman"/>
          <w:color w:val="auto"/>
          <w:highlight w:val="none"/>
          <w:lang w:val="en-US" w:eastAsia="zh-CN"/>
        </w:rPr>
        <w:t>堆场总占地面积2</w:t>
      </w:r>
      <w:r>
        <w:rPr>
          <w:rFonts w:hint="eastAsia" w:ascii="Times New Roman" w:hAnsi="Times New Roman" w:eastAsia="宋体" w:cs="Times New Roman"/>
          <w:color w:val="auto"/>
          <w:highlight w:val="none"/>
        </w:rPr>
        <w:t>000m</w:t>
      </w:r>
      <w:r>
        <w:rPr>
          <w:rFonts w:hint="eastAsia"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szCs w:val="24"/>
          <w:highlight w:val="none"/>
        </w:rPr>
        <w:t>可容纳</w:t>
      </w:r>
      <w:r>
        <w:rPr>
          <w:rFonts w:hint="eastAsia" w:ascii="Times New Roman" w:hAnsi="Times New Roman" w:eastAsia="宋体" w:cs="Times New Roman"/>
          <w:color w:val="auto"/>
          <w:szCs w:val="24"/>
          <w:highlight w:val="none"/>
          <w:lang w:val="en-US" w:eastAsia="zh-CN"/>
        </w:rPr>
        <w:t>约</w:t>
      </w:r>
      <w:r>
        <w:rPr>
          <w:rFonts w:hint="eastAsia" w:ascii="Times New Roman" w:hAnsi="Times New Roman" w:eastAsia="宋体" w:cs="Times New Roman"/>
          <w:color w:val="auto"/>
          <w:szCs w:val="24"/>
          <w:highlight w:val="none"/>
        </w:rPr>
        <w:t>1.</w:t>
      </w:r>
      <w:r>
        <w:rPr>
          <w:rFonts w:hint="eastAsia" w:ascii="Times New Roman" w:hAnsi="Times New Roman" w:eastAsia="宋体" w:cs="Times New Roman"/>
          <w:color w:val="auto"/>
          <w:szCs w:val="24"/>
          <w:highlight w:val="none"/>
          <w:lang w:val="en-US" w:eastAsia="zh-CN"/>
        </w:rPr>
        <w:t>44</w:t>
      </w:r>
      <w:r>
        <w:rPr>
          <w:rFonts w:hint="eastAsia" w:ascii="Times New Roman" w:hAnsi="Times New Roman" w:eastAsia="宋体" w:cs="Times New Roman"/>
          <w:color w:val="auto"/>
          <w:szCs w:val="24"/>
          <w:highlight w:val="none"/>
        </w:rPr>
        <w:t>万t（</w:t>
      </w:r>
      <w:r>
        <w:rPr>
          <w:rFonts w:hint="eastAsia" w:ascii="Times New Roman" w:hAnsi="Times New Roman" w:eastAsia="宋体" w:cs="Times New Roman"/>
          <w:color w:val="auto"/>
          <w:szCs w:val="24"/>
          <w:highlight w:val="none"/>
          <w:lang w:val="en-US" w:eastAsia="zh-CN"/>
        </w:rPr>
        <w:t>6</w:t>
      </w:r>
      <w:r>
        <w:rPr>
          <w:rFonts w:hint="eastAsia" w:ascii="Times New Roman" w:hAnsi="Times New Roman" w:eastAsia="宋体" w:cs="Times New Roman"/>
          <w:color w:val="auto"/>
          <w:szCs w:val="24"/>
          <w:highlight w:val="none"/>
        </w:rPr>
        <w:t>000m</w:t>
      </w:r>
      <w:r>
        <w:rPr>
          <w:rFonts w:hint="eastAsia" w:ascii="Times New Roman" w:hAnsi="Times New Roman" w:eastAsia="宋体" w:cs="Times New Roman"/>
          <w:color w:val="auto"/>
          <w:szCs w:val="24"/>
          <w:highlight w:val="none"/>
          <w:vertAlign w:val="superscript"/>
        </w:rPr>
        <w:t>3</w:t>
      </w:r>
      <w:r>
        <w:rPr>
          <w:rFonts w:hint="eastAsia"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lang w:val="en-US" w:eastAsia="zh-CN"/>
        </w:rPr>
        <w:t>废土石渣</w:t>
      </w:r>
      <w:r>
        <w:rPr>
          <w:rFonts w:hint="eastAsia"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lang w:val="en-US" w:eastAsia="zh-CN"/>
        </w:rPr>
        <w:t>可满足废土石渣堆存3.6</w:t>
      </w:r>
      <w:r>
        <w:rPr>
          <w:rFonts w:hint="eastAsia" w:ascii="Times New Roman" w:hAnsi="Times New Roman" w:eastAsia="宋体" w:cs="Times New Roman"/>
          <w:color w:val="auto"/>
          <w:szCs w:val="24"/>
          <w:highlight w:val="none"/>
        </w:rPr>
        <w:t>年</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rPr>
        <w:t>矿区周边道路和村屯建设需要大量固体基料，</w:t>
      </w:r>
      <w:r>
        <w:rPr>
          <w:rFonts w:hint="eastAsia" w:ascii="Times New Roman" w:hAnsi="Times New Roman" w:eastAsia="宋体"/>
          <w:color w:val="auto"/>
          <w:highlight w:val="none"/>
        </w:rPr>
        <w:t>废土石渣外卖</w:t>
      </w:r>
      <w:r>
        <w:rPr>
          <w:rFonts w:ascii="Times New Roman" w:hAnsi="Times New Roman" w:eastAsia="宋体"/>
          <w:color w:val="auto"/>
          <w:highlight w:val="none"/>
        </w:rPr>
        <w:t>用于道路</w:t>
      </w:r>
      <w:r>
        <w:rPr>
          <w:rFonts w:hint="eastAsia" w:ascii="Times New Roman" w:hAnsi="Times New Roman" w:eastAsia="宋体"/>
          <w:color w:val="auto"/>
          <w:highlight w:val="none"/>
        </w:rPr>
        <w:t>建设，</w:t>
      </w:r>
      <w:r>
        <w:rPr>
          <w:rFonts w:hint="eastAsia" w:ascii="Times New Roman" w:hAnsi="Times New Roman" w:eastAsia="宋体" w:cs="Times New Roman"/>
          <w:color w:val="auto"/>
          <w:highlight w:val="none"/>
        </w:rPr>
        <w:t>可保证项目废土石渣得到综合利用。</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从平面布置图可以看出，在总图布置中充分考虑工艺流程顺畅、运输及物流合理、生产管理方便的同时，以尽量发挥设备作用，最大限度节约土地，合理紧凑布置。厂区生产设备、物料转运布置合理，石料加工转运线路短、便捷。同时考虑场地自然条件，布局合理。</w:t>
      </w:r>
    </w:p>
    <w:p>
      <w:pPr>
        <w:pStyle w:val="4"/>
        <w:rPr>
          <w:rFonts w:hint="eastAsia" w:ascii="Times New Roman" w:hAnsi="Times New Roman" w:eastAsia="宋体"/>
          <w:color w:val="auto"/>
          <w:highlight w:val="none"/>
        </w:rPr>
      </w:pPr>
      <w:bookmarkStart w:id="89" w:name="_Toc7857"/>
      <w:r>
        <w:rPr>
          <w:rFonts w:hint="eastAsia" w:ascii="Times New Roman" w:hAnsi="Times New Roman" w:eastAsia="宋体"/>
          <w:color w:val="auto"/>
          <w:highlight w:val="none"/>
        </w:rPr>
        <w:t>2.4 整合后矿山情况</w:t>
      </w:r>
      <w:bookmarkEnd w:id="89"/>
    </w:p>
    <w:p>
      <w:pPr>
        <w:bidi w:val="0"/>
        <w:rPr>
          <w:rFonts w:hint="default" w:eastAsia="宋体"/>
          <w:color w:val="auto"/>
          <w:highlight w:val="none"/>
          <w:lang w:val="en-US" w:eastAsia="zh-CN"/>
        </w:rPr>
      </w:pPr>
      <w:r>
        <w:rPr>
          <w:rFonts w:hint="eastAsia"/>
          <w:color w:val="auto"/>
          <w:highlight w:val="none"/>
          <w:u w:val="single"/>
          <w:lang w:val="en-US" w:eastAsia="zh-CN"/>
        </w:rPr>
        <w:t>根据</w:t>
      </w:r>
      <w:r>
        <w:rPr>
          <w:rFonts w:ascii="Times New Roman" w:hAnsi="Times New Roman" w:eastAsia="宋体" w:cs="Times New Roman"/>
          <w:color w:val="auto"/>
          <w:szCs w:val="24"/>
          <w:highlight w:val="none"/>
          <w:u w:val="single"/>
        </w:rPr>
        <w:t>《三江县宏源采石场硅质岩矿矿产资源开发利用方案》</w:t>
      </w:r>
      <w:r>
        <w:rPr>
          <w:rFonts w:hint="eastAsia" w:cs="Times New Roman"/>
          <w:color w:val="auto"/>
          <w:szCs w:val="24"/>
          <w:highlight w:val="none"/>
          <w:u w:val="single"/>
          <w:lang w:val="en-US" w:eastAsia="zh-CN"/>
        </w:rPr>
        <w:t>及评审意见书，</w:t>
      </w:r>
      <w:r>
        <w:rPr>
          <w:rFonts w:ascii="Times New Roman" w:hAnsi="Times New Roman" w:eastAsia="宋体" w:cs="Times New Roman"/>
          <w:color w:val="auto"/>
          <w:szCs w:val="24"/>
          <w:highlight w:val="none"/>
          <w:u w:val="single"/>
        </w:rPr>
        <w:t>三江县宏源采石场</w:t>
      </w:r>
      <w:r>
        <w:rPr>
          <w:rFonts w:hint="eastAsia" w:cs="Times New Roman"/>
          <w:color w:val="auto"/>
          <w:szCs w:val="24"/>
          <w:highlight w:val="none"/>
          <w:u w:val="single"/>
          <w:lang w:val="en-US" w:eastAsia="zh-CN"/>
        </w:rPr>
        <w:t>概况及开拓方案如下：</w:t>
      </w:r>
    </w:p>
    <w:p>
      <w:pPr>
        <w:pStyle w:val="5"/>
        <w:rPr>
          <w:rFonts w:hint="eastAsia" w:ascii="Times New Roman" w:hAnsi="Times New Roman" w:eastAsia="宋体"/>
          <w:color w:val="auto"/>
          <w:highlight w:val="none"/>
        </w:rPr>
      </w:pPr>
      <w:r>
        <w:rPr>
          <w:rFonts w:hint="eastAsia" w:ascii="Times New Roman" w:hAnsi="Times New Roman" w:eastAsia="宋体"/>
          <w:color w:val="auto"/>
          <w:highlight w:val="none"/>
        </w:rPr>
        <w:t>2.4.1</w:t>
      </w:r>
      <w:r>
        <w:rPr>
          <w:rFonts w:ascii="Times New Roman" w:hAnsi="Times New Roman" w:eastAsia="宋体"/>
          <w:color w:val="auto"/>
          <w:highlight w:val="none"/>
        </w:rPr>
        <w:t xml:space="preserve"> </w:t>
      </w:r>
      <w:r>
        <w:rPr>
          <w:rFonts w:hint="eastAsia" w:ascii="Times New Roman" w:hAnsi="Times New Roman" w:eastAsia="宋体"/>
          <w:color w:val="auto"/>
          <w:highlight w:val="none"/>
        </w:rPr>
        <w:t>矿区总体概况</w:t>
      </w:r>
    </w:p>
    <w:p>
      <w:pPr>
        <w:pStyle w:val="6"/>
        <w:rPr>
          <w:rFonts w:hint="eastAsia" w:ascii="Times New Roman" w:hAnsi="Times New Roman" w:eastAsia="宋体"/>
          <w:color w:val="auto"/>
          <w:highlight w:val="none"/>
        </w:rPr>
      </w:pPr>
      <w:bookmarkStart w:id="90" w:name="_Toc501457970"/>
      <w:bookmarkStart w:id="91" w:name="_Toc501376261"/>
      <w:r>
        <w:rPr>
          <w:rFonts w:hint="eastAsia" w:ascii="Times New Roman" w:hAnsi="Times New Roman" w:eastAsia="宋体"/>
          <w:color w:val="auto"/>
          <w:highlight w:val="none"/>
        </w:rPr>
        <w:t>2.4.1.1 矿区总体规划情况</w:t>
      </w:r>
      <w:bookmarkEnd w:id="90"/>
      <w:bookmarkEnd w:id="91"/>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为了满足建筑石料的需求及带动当地经济发展，根据矿山业主的申请，该矿区</w:t>
      </w:r>
      <w:r>
        <w:rPr>
          <w:rFonts w:hint="eastAsia" w:ascii="Times New Roman" w:hAnsi="Times New Roman" w:eastAsia="宋体"/>
          <w:color w:val="auto"/>
          <w:spacing w:val="-4"/>
          <w:highlight w:val="none"/>
        </w:rPr>
        <w:t>硅质岩</w:t>
      </w:r>
      <w:r>
        <w:rPr>
          <w:rFonts w:hint="eastAsia" w:ascii="Times New Roman" w:hAnsi="Times New Roman" w:eastAsia="宋体"/>
          <w:color w:val="auto"/>
          <w:highlight w:val="none"/>
        </w:rPr>
        <w:t>矿开采符合《三江县矿产资源规划</w:t>
      </w:r>
      <w:r>
        <w:rPr>
          <w:rFonts w:ascii="Times New Roman" w:hAnsi="Times New Roman" w:eastAsia="宋体" w:cs="Times New Roman"/>
          <w:color w:val="auto"/>
          <w:kern w:val="0"/>
          <w:highlight w:val="none"/>
        </w:rPr>
        <w:t>（2016-2020年）</w:t>
      </w:r>
      <w:r>
        <w:rPr>
          <w:rFonts w:hint="eastAsia" w:ascii="Times New Roman" w:hAnsi="Times New Roman" w:eastAsia="宋体"/>
          <w:color w:val="auto"/>
          <w:highlight w:val="none"/>
        </w:rPr>
        <w:t>》的要求，矿权的设置不存在矿业权纠纷问题。</w:t>
      </w:r>
    </w:p>
    <w:p>
      <w:pPr>
        <w:pStyle w:val="6"/>
        <w:rPr>
          <w:rFonts w:hint="eastAsia" w:ascii="Times New Roman" w:hAnsi="Times New Roman" w:eastAsia="宋体"/>
          <w:color w:val="auto"/>
          <w:highlight w:val="none"/>
        </w:rPr>
      </w:pPr>
      <w:bookmarkStart w:id="92" w:name="_Toc501376262"/>
      <w:bookmarkStart w:id="93" w:name="_Toc501457971"/>
      <w:r>
        <w:rPr>
          <w:rFonts w:hint="eastAsia" w:ascii="Times New Roman" w:hAnsi="Times New Roman" w:eastAsia="宋体"/>
          <w:color w:val="auto"/>
          <w:highlight w:val="none"/>
        </w:rPr>
        <w:t>2.4.1.2 矿区矿产资源概况</w:t>
      </w:r>
      <w:bookmarkEnd w:id="92"/>
      <w:bookmarkEnd w:id="93"/>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2017年11月，中国冶金地质总局广西地质勘查院对三江县宏源采石场硅质岩矿进行了储量简测，提交了《三江县宏源采石场硅质岩矿矿产资源储量简测报告》，该地质工作对矿区范围内硅质岩资源储量进行估算。估算矿区内矿体资源储量为推断的内蕴经济资源量(333) 962.19万m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(折合2309.26万t)。</w:t>
      </w:r>
    </w:p>
    <w:p>
      <w:pPr>
        <w:pStyle w:val="5"/>
        <w:rPr>
          <w:rFonts w:ascii="Times New Roman" w:hAnsi="Times New Roman" w:eastAsia="宋体"/>
          <w:color w:val="auto"/>
          <w:highlight w:val="none"/>
        </w:rPr>
      </w:pPr>
      <w:r>
        <w:rPr>
          <w:rFonts w:hint="eastAsia" w:ascii="Times New Roman" w:hAnsi="Times New Roman" w:eastAsia="宋体"/>
          <w:color w:val="auto"/>
          <w:highlight w:val="none"/>
        </w:rPr>
        <w:t xml:space="preserve">2.4.2 </w:t>
      </w:r>
      <w:r>
        <w:rPr>
          <w:rFonts w:ascii="Times New Roman" w:hAnsi="Times New Roman" w:eastAsia="宋体"/>
          <w:color w:val="auto"/>
          <w:highlight w:val="none"/>
        </w:rPr>
        <w:t xml:space="preserve">矿山资源概况 </w:t>
      </w:r>
    </w:p>
    <w:p>
      <w:pPr>
        <w:pStyle w:val="6"/>
        <w:rPr>
          <w:rFonts w:hint="eastAsia" w:ascii="Times New Roman" w:hAnsi="Times New Roman" w:eastAsia="宋体"/>
          <w:color w:val="auto"/>
          <w:highlight w:val="none"/>
        </w:rPr>
      </w:pPr>
      <w:r>
        <w:rPr>
          <w:rFonts w:hint="eastAsia" w:ascii="Times New Roman" w:hAnsi="Times New Roman" w:eastAsia="宋体"/>
          <w:color w:val="auto"/>
          <w:highlight w:val="none"/>
        </w:rPr>
        <w:t>2.4.2</w:t>
      </w:r>
      <w:r>
        <w:rPr>
          <w:rFonts w:ascii="Times New Roman" w:hAnsi="Times New Roman" w:eastAsia="宋体"/>
          <w:color w:val="auto"/>
          <w:highlight w:val="none"/>
        </w:rPr>
        <w:t xml:space="preserve">.1 </w:t>
      </w:r>
      <w:bookmarkStart w:id="94" w:name="_Toc501376264"/>
      <w:bookmarkStart w:id="95" w:name="_Toc501457973"/>
      <w:r>
        <w:rPr>
          <w:rFonts w:hint="eastAsia" w:ascii="Times New Roman" w:hAnsi="Times New Roman" w:eastAsia="宋体"/>
          <w:color w:val="auto"/>
          <w:highlight w:val="none"/>
        </w:rPr>
        <w:t>地层</w:t>
      </w:r>
      <w:bookmarkEnd w:id="94"/>
      <w:bookmarkEnd w:id="95"/>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矿区出露地层主要为震旦系老堡组及第四系，简述如下：</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r>
        <w:rPr>
          <w:rFonts w:ascii="Times New Roman" w:hAnsi="Times New Roman" w:eastAsia="宋体" w:cs="Times New Roman"/>
          <w:color w:val="auto"/>
          <w:highlight w:val="none"/>
        </w:rPr>
        <w:t>)震旦系老堡组（Z</w:t>
      </w:r>
      <w:r>
        <w:rPr>
          <w:rFonts w:ascii="Times New Roman" w:hAnsi="Times New Roman" w:eastAsia="宋体" w:cs="Times New Roman"/>
          <w:color w:val="auto"/>
          <w:highlight w:val="none"/>
          <w:vertAlign w:val="subscript"/>
        </w:rPr>
        <w:t>2</w:t>
      </w:r>
      <w:r>
        <w:rPr>
          <w:rFonts w:ascii="Times New Roman" w:hAnsi="Times New Roman" w:eastAsia="宋体" w:cs="Times New Roman"/>
          <w:color w:val="auto"/>
          <w:highlight w:val="none"/>
        </w:rPr>
        <w:t>l）：主要为灰—灰白色、少许深灰色薄—厚层状石英硅质岩。上、下部以薄层者为主，色较深</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倾角26°，倾向180°</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区域厚度约37m～131m。</w:t>
      </w:r>
    </w:p>
    <w:p>
      <w:pPr>
        <w:ind w:firstLine="480"/>
        <w:rPr>
          <w:rFonts w:ascii="Times New Roman" w:hAnsi="Times New Roman" w:eastAsia="宋体" w:cs="Times New Roman"/>
          <w:color w:val="auto"/>
          <w:spacing w:val="-4"/>
          <w:highlight w:val="none"/>
        </w:rPr>
      </w:pPr>
      <w:r>
        <w:rPr>
          <w:rFonts w:ascii="Times New Roman" w:hAnsi="Times New Roman" w:eastAsia="宋体" w:cs="Times New Roman"/>
          <w:color w:val="auto"/>
          <w:highlight w:val="none"/>
        </w:rPr>
        <w:t>2)第四系残坡积（Q）：为黄—褐黄色亚粘土夹硅质岩碎片，硅质岩碎片含量一般在20%以下，局部因地形含量较多，主要分布于沟谷低凹地带，厚度0.3m～2.5m。</w:t>
      </w:r>
    </w:p>
    <w:p>
      <w:pPr>
        <w:pStyle w:val="6"/>
        <w:rPr>
          <w:rFonts w:hint="eastAsia" w:ascii="Times New Roman" w:hAnsi="Times New Roman" w:eastAsia="宋体"/>
          <w:color w:val="auto"/>
          <w:highlight w:val="none"/>
        </w:rPr>
      </w:pPr>
      <w:bookmarkStart w:id="96" w:name="_Toc501457974"/>
      <w:bookmarkStart w:id="97" w:name="_Toc501376265"/>
      <w:r>
        <w:rPr>
          <w:rFonts w:hint="eastAsia" w:ascii="Times New Roman" w:hAnsi="Times New Roman" w:eastAsia="宋体"/>
          <w:color w:val="auto"/>
          <w:highlight w:val="none"/>
        </w:rPr>
        <w:t>2.4.2.2 构造</w:t>
      </w:r>
      <w:bookmarkEnd w:id="96"/>
      <w:bookmarkEnd w:id="97"/>
    </w:p>
    <w:p>
      <w:pPr>
        <w:ind w:firstLine="480"/>
        <w:rPr>
          <w:rFonts w:hint="eastAsia" w:ascii="Times New Roman" w:hAnsi="Times New Roman" w:eastAsia="宋体"/>
          <w:color w:val="auto"/>
          <w:spacing w:val="-4"/>
          <w:highlight w:val="none"/>
        </w:rPr>
      </w:pPr>
      <w:bookmarkStart w:id="98" w:name="_Toc373325172"/>
      <w:r>
        <w:rPr>
          <w:rFonts w:ascii="Times New Roman" w:hAnsi="Times New Roman" w:eastAsia="宋体" w:cs="Times New Roman"/>
          <w:color w:val="auto"/>
          <w:highlight w:val="none"/>
        </w:rPr>
        <w:t>矿区位于龙胜褶断带西南角，三江—融安断裂带东侧，构造线总体呈南北走向，岩层倾角26°，倾向180°。矿区内未见有规模的断裂构造，岩石节理裂隙发育中等。</w:t>
      </w:r>
      <w:r>
        <w:rPr>
          <w:rFonts w:ascii="Times New Roman" w:hAnsi="Times New Roman" w:eastAsia="宋体" w:cs="Times New Roman"/>
          <w:color w:val="auto"/>
          <w:spacing w:val="-4"/>
          <w:highlight w:val="none"/>
        </w:rPr>
        <w:t xml:space="preserve"> </w:t>
      </w:r>
    </w:p>
    <w:p>
      <w:pPr>
        <w:pStyle w:val="6"/>
        <w:rPr>
          <w:rFonts w:hint="eastAsia" w:ascii="Times New Roman" w:hAnsi="Times New Roman" w:eastAsia="宋体"/>
          <w:color w:val="auto"/>
          <w:highlight w:val="none"/>
        </w:rPr>
      </w:pPr>
      <w:bookmarkStart w:id="99" w:name="_Toc501457975"/>
      <w:bookmarkStart w:id="100" w:name="_Toc501376266"/>
      <w:r>
        <w:rPr>
          <w:rFonts w:hint="eastAsia" w:ascii="Times New Roman" w:hAnsi="Times New Roman" w:eastAsia="宋体"/>
          <w:color w:val="auto"/>
          <w:highlight w:val="none"/>
        </w:rPr>
        <w:t>2.4.2.3 岩浆岩</w:t>
      </w:r>
      <w:bookmarkEnd w:id="98"/>
      <w:bookmarkEnd w:id="99"/>
      <w:bookmarkEnd w:id="100"/>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矿区内未见有岩浆岩出露。</w:t>
      </w:r>
    </w:p>
    <w:p>
      <w:pPr>
        <w:pStyle w:val="6"/>
        <w:rPr>
          <w:rFonts w:hint="eastAsia" w:ascii="Times New Roman" w:hAnsi="Times New Roman" w:eastAsia="宋体"/>
          <w:color w:val="auto"/>
          <w:highlight w:val="none"/>
        </w:rPr>
      </w:pPr>
      <w:bookmarkStart w:id="101" w:name="_Toc373325173"/>
      <w:bookmarkStart w:id="102" w:name="_Toc501457976"/>
      <w:bookmarkStart w:id="103" w:name="_Toc501376267"/>
      <w:r>
        <w:rPr>
          <w:rFonts w:hint="eastAsia" w:ascii="Times New Roman" w:hAnsi="Times New Roman" w:eastAsia="宋体"/>
          <w:color w:val="auto"/>
          <w:highlight w:val="none"/>
        </w:rPr>
        <w:t>2.4.2.4 矿体特征</w:t>
      </w:r>
      <w:bookmarkEnd w:id="101"/>
      <w:bookmarkEnd w:id="102"/>
      <w:bookmarkEnd w:id="103"/>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区矿床为沉积型老堡组硅质岩，矿体由深灰色、灰白色石英硅质岩和同生理砾状(肾状)硅质岩组成，呈层状产出，单层厚度2～20cm，倾角26°，倾向180°。矿区范围内矿体底面以准采标高227.0m为限，东西长约600m，南北宽约500m。在平面上大致呈椭圆状，剖面上呈塔锥状。其表层大多有厚约0.2～0.5m的残破积物覆盖，成分为黄—黄褐色亚粘土夹硅质岩碎块。</w:t>
      </w:r>
    </w:p>
    <w:p>
      <w:pPr>
        <w:pStyle w:val="6"/>
        <w:rPr>
          <w:rFonts w:hint="eastAsia" w:ascii="Times New Roman" w:hAnsi="Times New Roman" w:eastAsia="宋体"/>
          <w:color w:val="auto"/>
          <w:highlight w:val="none"/>
        </w:rPr>
      </w:pPr>
      <w:bookmarkStart w:id="104" w:name="_Toc373325174"/>
      <w:bookmarkStart w:id="105" w:name="_Toc501457977"/>
      <w:bookmarkStart w:id="106" w:name="_Toc501376268"/>
      <w:r>
        <w:rPr>
          <w:rFonts w:hint="eastAsia" w:ascii="Times New Roman" w:hAnsi="Times New Roman" w:eastAsia="宋体"/>
          <w:color w:val="auto"/>
          <w:highlight w:val="none"/>
        </w:rPr>
        <w:t>2.4.2.5 矿石</w:t>
      </w:r>
      <w:bookmarkEnd w:id="104"/>
      <w:r>
        <w:rPr>
          <w:rFonts w:hint="eastAsia" w:ascii="Times New Roman" w:hAnsi="Times New Roman" w:eastAsia="宋体"/>
          <w:color w:val="auto"/>
          <w:highlight w:val="none"/>
        </w:rPr>
        <w:t>特征</w:t>
      </w:r>
      <w:bookmarkEnd w:id="105"/>
      <w:bookmarkEnd w:id="106"/>
    </w:p>
    <w:p>
      <w:pPr>
        <w:ind w:firstLine="480"/>
        <w:rPr>
          <w:rFonts w:ascii="Times New Roman" w:hAnsi="Times New Roman" w:eastAsia="宋体" w:cs="Times New Roman"/>
          <w:color w:val="auto"/>
          <w:spacing w:val="-4"/>
          <w:highlight w:val="none"/>
        </w:rPr>
      </w:pPr>
      <w:bookmarkStart w:id="107" w:name="_Toc373325175"/>
      <w:r>
        <w:rPr>
          <w:rFonts w:ascii="Times New Roman" w:hAnsi="Times New Roman" w:eastAsia="宋体" w:cs="Times New Roman"/>
          <w:color w:val="auto"/>
          <w:highlight w:val="none"/>
        </w:rPr>
        <w:t>硅质岩矿石呈深灰色、灰白色，具块状、薄层状、透镜状或结核状结构构造。硅质岩矿石的主要化学成份为SiO</w:t>
      </w:r>
      <w:r>
        <w:rPr>
          <w:rFonts w:ascii="Times New Roman" w:hAnsi="Times New Roman" w:eastAsia="宋体" w:cs="Times New Roman"/>
          <w:color w:val="auto"/>
          <w:highlight w:val="none"/>
          <w:vertAlign w:val="subscript"/>
        </w:rPr>
        <w:t>2</w:t>
      </w:r>
      <w:r>
        <w:rPr>
          <w:rFonts w:ascii="Times New Roman" w:hAnsi="Times New Roman" w:eastAsia="宋体" w:cs="Times New Roman"/>
          <w:color w:val="auto"/>
          <w:highlight w:val="none"/>
        </w:rPr>
        <w:t>，矿区硅质岩矿石的矿物成份主要是蛋白石、玉髓、少量石英、常混入粘土、碳酸盐等杂质，含少量白云石及其它微量矿物。矿区的硅质岩矿石属硬级别，按坚固性分级属Ⅲa，普氏系数f=8～12，密度p=2.</w:t>
      </w:r>
      <w:r>
        <w:rPr>
          <w:rFonts w:hint="eastAsia" w:ascii="Times New Roman" w:hAnsi="Times New Roman" w:eastAsia="宋体" w:cs="Times New Roman"/>
          <w:color w:val="auto"/>
          <w:highlight w:val="none"/>
        </w:rPr>
        <w:t>4</w:t>
      </w:r>
      <w:r>
        <w:rPr>
          <w:rFonts w:ascii="Times New Roman" w:hAnsi="Times New Roman" w:eastAsia="宋体" w:cs="Times New Roman"/>
          <w:color w:val="auto"/>
          <w:highlight w:val="none"/>
        </w:rPr>
        <w:t>0g/cm³，抗压强度Rc=88.3～92.9MPa，抗拉强度h=5.8～6.5MPa，软化系数K=0.95，粘聚力C=23KPa，松散系数K=1.6。硅质岩矿石为致密结构，岩石稳固性好，但受外力作用破碎后一般呈不规则块状</w:t>
      </w:r>
      <w:r>
        <w:rPr>
          <w:rFonts w:ascii="Times New Roman" w:hAnsi="Times New Roman" w:eastAsia="宋体" w:cs="Times New Roman"/>
          <w:color w:val="auto"/>
          <w:spacing w:val="-4"/>
          <w:highlight w:val="none"/>
        </w:rPr>
        <w:t>。</w:t>
      </w:r>
    </w:p>
    <w:p>
      <w:pPr>
        <w:pStyle w:val="6"/>
        <w:rPr>
          <w:rFonts w:hint="eastAsia" w:ascii="Times New Roman" w:hAnsi="Times New Roman" w:eastAsia="宋体"/>
          <w:color w:val="auto"/>
          <w:highlight w:val="none"/>
        </w:rPr>
      </w:pPr>
      <w:bookmarkStart w:id="108" w:name="_Toc501376269"/>
      <w:bookmarkStart w:id="109" w:name="_Toc501457978"/>
      <w:r>
        <w:rPr>
          <w:rFonts w:hint="eastAsia" w:ascii="Times New Roman" w:hAnsi="Times New Roman" w:eastAsia="宋体"/>
          <w:color w:val="auto"/>
          <w:highlight w:val="none"/>
        </w:rPr>
        <w:t>2.4.2.6</w:t>
      </w:r>
      <w:bookmarkEnd w:id="107"/>
      <w:r>
        <w:rPr>
          <w:rFonts w:hint="eastAsia" w:ascii="Times New Roman" w:hAnsi="Times New Roman" w:eastAsia="宋体"/>
          <w:color w:val="auto"/>
          <w:highlight w:val="none"/>
        </w:rPr>
        <w:t xml:space="preserve"> 矿石的化学成分</w:t>
      </w:r>
      <w:bookmarkEnd w:id="108"/>
      <w:bookmarkEnd w:id="109"/>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硅质岩矿石呈深灰色、灰白色，具块状、薄层状、透镜状或结核状构造。硅质岩矿石的主要化学成份为SiO</w:t>
      </w:r>
      <w:r>
        <w:rPr>
          <w:rFonts w:ascii="Times New Roman" w:hAnsi="Times New Roman" w:eastAsia="宋体" w:cs="Times New Roman"/>
          <w:color w:val="auto"/>
          <w:highlight w:val="none"/>
          <w:vertAlign w:val="subscript"/>
        </w:rPr>
        <w:t>2</w:t>
      </w:r>
      <w:r>
        <w:rPr>
          <w:rFonts w:ascii="Times New Roman" w:hAnsi="Times New Roman" w:eastAsia="宋体" w:cs="Times New Roman"/>
          <w:color w:val="auto"/>
          <w:highlight w:val="none"/>
        </w:rPr>
        <w:t>，矿区硅质岩矿石的矿物成份主要是蛋白石、玉髓、少量石英、常混入粘土、碳酸盐等杂质，含少量白云石及其它微量矿物，</w:t>
      </w:r>
      <w:r>
        <w:rPr>
          <w:rFonts w:ascii="Times New Roman" w:hAnsi="Times New Roman" w:eastAsia="宋体" w:cs="Times New Roman"/>
          <w:color w:val="auto"/>
          <w:spacing w:val="-4"/>
          <w:highlight w:val="none"/>
        </w:rPr>
        <w:t>无有毒有害物质和放射性元素，矿石质量好，符合普通建筑石料用要求。</w:t>
      </w:r>
    </w:p>
    <w:p>
      <w:pPr>
        <w:pStyle w:val="6"/>
        <w:rPr>
          <w:rFonts w:hint="eastAsia" w:ascii="Times New Roman" w:hAnsi="Times New Roman" w:eastAsia="宋体"/>
          <w:color w:val="auto"/>
          <w:highlight w:val="none"/>
        </w:rPr>
      </w:pPr>
      <w:bookmarkStart w:id="110" w:name="_Toc501376270"/>
      <w:bookmarkStart w:id="111" w:name="_Toc501457979"/>
      <w:bookmarkStart w:id="112" w:name="_Toc353872669"/>
      <w:r>
        <w:rPr>
          <w:rFonts w:hint="eastAsia" w:ascii="Times New Roman" w:hAnsi="Times New Roman" w:eastAsia="宋体"/>
          <w:color w:val="auto"/>
          <w:highlight w:val="none"/>
        </w:rPr>
        <w:t>2.4.2.7 矿石的物理性能</w:t>
      </w:r>
      <w:bookmarkEnd w:id="110"/>
      <w:bookmarkEnd w:id="111"/>
    </w:p>
    <w:bookmarkEnd w:id="112"/>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矿区的硅质岩矿石属硬级别，按坚固性分级属Ⅲa，普氏系数f=8～12，密度p=2.</w:t>
      </w:r>
      <w:r>
        <w:rPr>
          <w:rFonts w:hint="eastAsia" w:ascii="Times New Roman" w:hAnsi="Times New Roman" w:eastAsia="宋体" w:cs="Times New Roman"/>
          <w:color w:val="auto"/>
          <w:highlight w:val="none"/>
        </w:rPr>
        <w:t>4</w:t>
      </w:r>
      <w:r>
        <w:rPr>
          <w:rFonts w:ascii="Times New Roman" w:hAnsi="Times New Roman" w:eastAsia="宋体" w:cs="Times New Roman"/>
          <w:color w:val="auto"/>
          <w:highlight w:val="none"/>
        </w:rPr>
        <w:t>0g/cm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，抗压强度Rc=88.3～92.9MPa，抗拉强度h=5.8～6.5MPa，软化系数K=0.95，粘聚力C=23KPa，松散系数K=1.6。</w:t>
      </w:r>
    </w:p>
    <w:p>
      <w:pPr>
        <w:pStyle w:val="6"/>
        <w:rPr>
          <w:rFonts w:ascii="Times New Roman" w:hAnsi="Times New Roman" w:eastAsia="宋体"/>
          <w:color w:val="auto"/>
          <w:highlight w:val="none"/>
        </w:rPr>
      </w:pPr>
      <w:bookmarkStart w:id="113" w:name="_Toc501376271"/>
      <w:bookmarkStart w:id="114" w:name="_Toc501457980"/>
      <w:r>
        <w:rPr>
          <w:rFonts w:hint="eastAsia" w:ascii="Times New Roman" w:hAnsi="Times New Roman" w:eastAsia="宋体"/>
          <w:color w:val="auto"/>
          <w:highlight w:val="none"/>
        </w:rPr>
        <w:t xml:space="preserve">2.4.2.8 </w:t>
      </w:r>
      <w:r>
        <w:rPr>
          <w:rFonts w:ascii="Times New Roman" w:hAnsi="Times New Roman" w:eastAsia="宋体"/>
          <w:color w:val="auto"/>
          <w:highlight w:val="none"/>
        </w:rPr>
        <w:t>围岩与夹石</w:t>
      </w:r>
      <w:bookmarkEnd w:id="113"/>
      <w:bookmarkEnd w:id="114"/>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矿区体为硅质岩，矿体地表局部有少量表土覆盖，矿体与围岩属同一地层，产状一致。岩层节理、裂隙较发育，充填物为方解石细脉及少量泥质、铁质。经现场勘查采区工作面，矿体内无其它岩性夹石分布</w:t>
      </w:r>
      <w:r>
        <w:rPr>
          <w:rFonts w:ascii="Times New Roman" w:hAnsi="Times New Roman" w:eastAsia="宋体"/>
          <w:color w:val="auto"/>
          <w:highlight w:val="none"/>
        </w:rPr>
        <w:t>。</w:t>
      </w:r>
    </w:p>
    <w:p>
      <w:pPr>
        <w:pStyle w:val="6"/>
        <w:rPr>
          <w:rFonts w:hint="eastAsia" w:ascii="Times New Roman" w:hAnsi="Times New Roman" w:eastAsia="宋体"/>
          <w:color w:val="auto"/>
          <w:highlight w:val="none"/>
        </w:rPr>
      </w:pPr>
      <w:bookmarkStart w:id="115" w:name="_Toc501457981"/>
      <w:bookmarkStart w:id="116" w:name="_Toc501376272"/>
      <w:r>
        <w:rPr>
          <w:rFonts w:hint="eastAsia" w:ascii="Times New Roman" w:hAnsi="Times New Roman" w:eastAsia="宋体"/>
          <w:color w:val="auto"/>
          <w:highlight w:val="none"/>
        </w:rPr>
        <w:t>2.4.2.9 岩溶情况</w:t>
      </w:r>
      <w:bookmarkEnd w:id="115"/>
      <w:bookmarkEnd w:id="116"/>
    </w:p>
    <w:p>
      <w:pPr>
        <w:spacing w:line="46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矿体中表面垂直充填状溶槽和裂隙较发育，岩溶发育深度10〜20m</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根据现场观察和矿区生产资料，该区岩溶率约为5%。</w:t>
      </w:r>
    </w:p>
    <w:p>
      <w:pPr>
        <w:pStyle w:val="6"/>
        <w:rPr>
          <w:rFonts w:ascii="Times New Roman" w:hAnsi="Times New Roman" w:eastAsia="宋体"/>
          <w:color w:val="auto"/>
          <w:highlight w:val="none"/>
        </w:rPr>
      </w:pPr>
      <w:bookmarkStart w:id="117" w:name="_Toc501457982"/>
      <w:bookmarkStart w:id="118" w:name="_Toc501376273"/>
      <w:r>
        <w:rPr>
          <w:rFonts w:hint="eastAsia" w:ascii="Times New Roman" w:hAnsi="Times New Roman" w:eastAsia="宋体"/>
          <w:color w:val="auto"/>
          <w:highlight w:val="none"/>
        </w:rPr>
        <w:t xml:space="preserve">2.4.2.10 </w:t>
      </w:r>
      <w:r>
        <w:rPr>
          <w:rFonts w:ascii="Times New Roman" w:hAnsi="Times New Roman" w:eastAsia="宋体"/>
          <w:color w:val="auto"/>
          <w:highlight w:val="none"/>
        </w:rPr>
        <w:t>矿床成因</w:t>
      </w:r>
      <w:bookmarkEnd w:id="117"/>
      <w:bookmarkEnd w:id="118"/>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本区的硅质岩矿体为浅海沉积型碳酸盐相矿床。</w:t>
      </w:r>
    </w:p>
    <w:p>
      <w:pPr>
        <w:pStyle w:val="6"/>
        <w:rPr>
          <w:rFonts w:hint="eastAsia" w:ascii="Times New Roman" w:hAnsi="Times New Roman" w:eastAsia="宋体"/>
          <w:color w:val="auto"/>
          <w:highlight w:val="none"/>
        </w:rPr>
      </w:pPr>
      <w:bookmarkStart w:id="119" w:name="_Toc501457983"/>
      <w:bookmarkStart w:id="120" w:name="_Toc501376274"/>
      <w:r>
        <w:rPr>
          <w:rFonts w:hint="eastAsia" w:ascii="Times New Roman" w:hAnsi="Times New Roman" w:eastAsia="宋体"/>
          <w:color w:val="auto"/>
          <w:highlight w:val="none"/>
        </w:rPr>
        <w:t>2.4.2.11 矿床开采技术条件</w:t>
      </w:r>
      <w:bookmarkEnd w:id="119"/>
      <w:bookmarkEnd w:id="120"/>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1、水文地质条件</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区一带属中低山地貌，地势大体呈北高南低，矿区南侧进场道路边有小溪流过，矿山开采深范围高于历年最高洪水水位，且高于当地的最低侵蚀基准面之上，地表水体的倾向补给对矿山的开采没有任何影响。矿区内大部分区域有基岩出露，无富水含水层，其导水、储水能力较弱，地下水类型主要为碎屑岩基岩裂隙水，其充水来源主要为大气降水，因此矿床开采不受地下水的影响。本矿山为一个山坡露天矿，平均地表坡度20°～50°，雨季地表径流可自行排泄，自然疏干条件较好，无形成洪水的条件。矿体无含水层和隔水层。该区水文地质条件属简单类型。</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2、工程地质条件</w:t>
      </w:r>
    </w:p>
    <w:p>
      <w:pPr>
        <w:ind w:firstLine="480"/>
        <w:rPr>
          <w:rFonts w:hint="eastAsia" w:ascii="Times New Roman" w:hAnsi="Times New Roman" w:eastAsia="宋体"/>
          <w:color w:val="auto"/>
          <w:highlight w:val="none"/>
        </w:rPr>
      </w:pPr>
      <w:r>
        <w:rPr>
          <w:rFonts w:ascii="Times New Roman" w:hAnsi="Times New Roman" w:eastAsia="宋体" w:cs="Times New Roman"/>
          <w:color w:val="auto"/>
          <w:highlight w:val="none"/>
        </w:rPr>
        <w:t>矿区一带属中低山地貌，矿岩自上而下强～弱风化，属硬质岩，但结合较好，在自然状态下岩体结构较紧密。抗压强度约88.3～92.9Ma，普氏坚固度f值8～12，坚固性强。据类似条件矿山生产实践证明，开采工作面台阶坡面角应不大于70°，开采边坡角不应大于60°，露天开采后边坡均较稳固，不易坍塌，可直接使用大型机械进行剥采，不用凿岩爆破，适宜采用机械化露天开采方式。本区工程地质条件属简单类型。</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3、环境地质条件</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该采石场周围300m范围无公路干线、高等级供电线路，矿山开采没有对周边居民人畜饮水水源造成污染，只产生少量粉尘、噪音，其对周边环境影响小。少量废碴用于修路及平整场地，矿山工业加工场地占有少量耕地，未来可进行土地恢复。采石场及周边未发现有泥石流、滑坡、崩塌、山体移动等地质灾害发生，本矿区最低开采标高(227.0m)高于当地侵蚀基准面，本矿山为一个山坡露天矿，采坑内不存在积水，排水简单易行，不会形成积水洼地，也不会造成山体开裂、地表塌陷区域、地下水位下降和泥石流等地质灾害。本矿山也不用选矿。因此矿床开采对周边环境造成的影响较小，矿区环境地质条件属简单类型。</w:t>
      </w:r>
    </w:p>
    <w:p>
      <w:pPr>
        <w:pStyle w:val="5"/>
        <w:rPr>
          <w:rFonts w:hint="eastAsia" w:ascii="Times New Roman" w:hAnsi="Times New Roman" w:eastAsia="宋体"/>
          <w:color w:val="auto"/>
          <w:highlight w:val="none"/>
        </w:rPr>
      </w:pPr>
      <w:bookmarkStart w:id="121" w:name="_Toc501457984"/>
      <w:bookmarkStart w:id="122" w:name="_Toc373325177"/>
      <w:bookmarkStart w:id="123" w:name="_Toc501376275"/>
      <w:r>
        <w:rPr>
          <w:rFonts w:hint="eastAsia" w:ascii="Times New Roman" w:hAnsi="Times New Roman" w:eastAsia="宋体"/>
          <w:color w:val="auto"/>
          <w:highlight w:val="none"/>
        </w:rPr>
        <w:t>2.4.3 矿山资源储量</w:t>
      </w:r>
      <w:r>
        <w:rPr>
          <w:rFonts w:hint="eastAsia"/>
          <w:color w:val="auto"/>
          <w:highlight w:val="none"/>
          <w:lang w:val="en-US" w:eastAsia="zh-CN"/>
        </w:rPr>
        <w:t>及服务年限</w:t>
      </w:r>
      <w:bookmarkEnd w:id="121"/>
      <w:bookmarkEnd w:id="122"/>
      <w:bookmarkEnd w:id="123"/>
    </w:p>
    <w:p>
      <w:pPr>
        <w:pStyle w:val="6"/>
        <w:bidi w:val="0"/>
        <w:rPr>
          <w:rFonts w:hint="eastAsia"/>
          <w:color w:val="auto"/>
          <w:highlight w:val="none"/>
          <w:lang w:val="en-US" w:eastAsia="zh-CN"/>
        </w:rPr>
      </w:pPr>
      <w:r>
        <w:rPr>
          <w:rFonts w:hint="eastAsia"/>
          <w:color w:val="auto"/>
          <w:highlight w:val="none"/>
          <w:lang w:val="en-US" w:eastAsia="zh-CN"/>
        </w:rPr>
        <w:t>2.4.3.1 资源储量</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根据2017年11月中国冶金地质总局广西地质勘查院提交的《三江县宏源采石场硅质岩矿矿产资源储量简测报告》，拟设矿区范围保有资源储量为推断的内蕴经济资源量(333) 962.19万m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(折合2309.26万t)</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其中保有（333）可利用硅质岩矿资源量939.53万m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(合2254.87万t)。</w:t>
      </w:r>
    </w:p>
    <w:p>
      <w:pPr>
        <w:pStyle w:val="6"/>
        <w:bidi w:val="0"/>
        <w:rPr>
          <w:rFonts w:hint="eastAsia"/>
          <w:color w:val="auto"/>
          <w:highlight w:val="none"/>
          <w:u w:val="single"/>
          <w:lang w:val="en-US" w:eastAsia="zh-CN"/>
        </w:rPr>
      </w:pPr>
      <w:r>
        <w:rPr>
          <w:rFonts w:hint="eastAsia"/>
          <w:color w:val="auto"/>
          <w:highlight w:val="none"/>
          <w:u w:val="single"/>
          <w:lang w:val="en-US" w:eastAsia="zh-CN"/>
        </w:rPr>
        <w:t>2.4.3.2 服务年限</w:t>
      </w:r>
    </w:p>
    <w:p>
      <w:pPr>
        <w:spacing w:beforeLines="0" w:afterLines="0"/>
        <w:jc w:val="both"/>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根据矿区资源情况，本矿山设计生产建设规模为年产硅质岩</w:t>
      </w:r>
      <w:r>
        <w:rPr>
          <w:rFonts w:hint="default" w:ascii="Times New Roman" w:hAnsi="Times New Roman" w:eastAsia="TimesNewRomanPSMT" w:cs="Times New Roman"/>
          <w:color w:val="auto"/>
          <w:sz w:val="24"/>
          <w:szCs w:val="24"/>
          <w:highlight w:val="none"/>
          <w:u w:val="single"/>
        </w:rPr>
        <w:t>50.0</w:t>
      </w:r>
      <w:r>
        <w:rPr>
          <w:rFonts w:hint="default" w:ascii="Times New Roman" w:hAnsi="Times New Roman" w:eastAsia="宋体" w:cs="Times New Roman"/>
          <w:color w:val="auto"/>
          <w:sz w:val="24"/>
          <w:szCs w:val="24"/>
          <w:highlight w:val="none"/>
          <w:u w:val="single"/>
        </w:rPr>
        <w:t>万</w:t>
      </w:r>
      <w:r>
        <w:rPr>
          <w:rFonts w:hint="default" w:ascii="Times New Roman" w:hAnsi="Times New Roman" w:eastAsia="TimesNewRomanPSMT" w:cs="Times New Roman"/>
          <w:color w:val="auto"/>
          <w:sz w:val="24"/>
          <w:szCs w:val="24"/>
          <w:highlight w:val="none"/>
          <w:u w:val="single"/>
        </w:rPr>
        <w:t>t</w:t>
      </w:r>
      <w:r>
        <w:rPr>
          <w:rFonts w:hint="default" w:ascii="Times New Roman" w:hAnsi="Times New Roman" w:eastAsia="宋体" w:cs="Times New Roman"/>
          <w:color w:val="auto"/>
          <w:sz w:val="24"/>
          <w:szCs w:val="24"/>
          <w:highlight w:val="none"/>
          <w:u w:val="single"/>
        </w:rPr>
        <w:t>（折合</w:t>
      </w:r>
      <w:r>
        <w:rPr>
          <w:rFonts w:hint="default" w:ascii="Times New Roman" w:hAnsi="Times New Roman" w:eastAsia="TimesNewRomanPSMT" w:cs="Times New Roman"/>
          <w:color w:val="auto"/>
          <w:sz w:val="24"/>
          <w:szCs w:val="24"/>
          <w:highlight w:val="none"/>
          <w:u w:val="single"/>
        </w:rPr>
        <w:t>19.23</w:t>
      </w:r>
      <w:r>
        <w:rPr>
          <w:rFonts w:hint="default" w:ascii="Times New Roman" w:hAnsi="Times New Roman" w:eastAsia="宋体" w:cs="Times New Roman"/>
          <w:color w:val="auto"/>
          <w:sz w:val="24"/>
          <w:szCs w:val="24"/>
          <w:highlight w:val="none"/>
          <w:u w:val="single"/>
        </w:rPr>
        <w:t>万</w:t>
      </w:r>
      <w:r>
        <w:rPr>
          <w:rFonts w:hint="default" w:ascii="Times New Roman" w:hAnsi="Times New Roman" w:eastAsia="TimesNewRomanPSMT" w:cs="Times New Roman"/>
          <w:color w:val="auto"/>
          <w:sz w:val="24"/>
          <w:szCs w:val="24"/>
          <w:highlight w:val="none"/>
          <w:u w:val="single"/>
        </w:rPr>
        <w:t>m</w:t>
      </w:r>
      <w:r>
        <w:rPr>
          <w:rFonts w:hint="default" w:ascii="Times New Roman" w:hAnsi="Times New Roman" w:eastAsia="TimesNewRomanPSMT" w:cs="Times New Roman"/>
          <w:color w:val="auto"/>
          <w:sz w:val="24"/>
          <w:szCs w:val="24"/>
          <w:highlight w:val="none"/>
          <w:u w:val="single"/>
          <w:vertAlign w:val="superscript"/>
        </w:rPr>
        <w:t>3</w:t>
      </w:r>
      <w:r>
        <w:rPr>
          <w:rFonts w:hint="default" w:ascii="Times New Roman" w:hAnsi="Times New Roman" w:eastAsia="宋体" w:cs="Times New Roman"/>
          <w:color w:val="auto"/>
          <w:sz w:val="24"/>
          <w:szCs w:val="24"/>
          <w:highlight w:val="none"/>
          <w:u w:val="single"/>
        </w:rPr>
        <w:t>），根据矿山地形地质条件及开采技术条件，整个矿山矿石回采率取</w:t>
      </w:r>
      <w:r>
        <w:rPr>
          <w:rFonts w:hint="default" w:ascii="Times New Roman" w:hAnsi="Times New Roman" w:eastAsia="TimesNewRomanPSMT" w:cs="Times New Roman"/>
          <w:color w:val="auto"/>
          <w:sz w:val="24"/>
          <w:szCs w:val="24"/>
          <w:highlight w:val="none"/>
          <w:u w:val="single"/>
        </w:rPr>
        <w:t>90%</w:t>
      </w:r>
      <w:r>
        <w:rPr>
          <w:rFonts w:hint="default" w:ascii="Times New Roman" w:hAnsi="Times New Roman" w:eastAsia="宋体" w:cs="Times New Roman"/>
          <w:color w:val="auto"/>
          <w:sz w:val="24"/>
          <w:szCs w:val="24"/>
          <w:highlight w:val="none"/>
          <w:u w:val="single"/>
        </w:rPr>
        <w:t>，则矿山总服务年限为：</w:t>
      </w:r>
    </w:p>
    <w:p>
      <w:pPr>
        <w:keepNext w:val="0"/>
        <w:keepLines w:val="0"/>
        <w:pageBreakBefore w:val="0"/>
        <w:widowControl w:val="0"/>
        <w:kinsoku/>
        <w:wordWrap/>
        <w:overflowPunct/>
        <w:topLinePunct w:val="0"/>
        <w:autoSpaceDE/>
        <w:autoSpaceDN/>
        <w:bidi w:val="0"/>
        <w:adjustRightInd/>
        <w:snapToGrid/>
        <w:spacing w:beforeLines="0" w:afterLines="0"/>
        <w:ind w:firstLine="0" w:firstLineChars="0"/>
        <w:jc w:val="center"/>
        <w:textAlignment w:val="auto"/>
        <w:rPr>
          <w:rFonts w:hint="default" w:ascii="Times New Roman" w:hAnsi="Times New Roman" w:eastAsia="宋体" w:cs="Times New Roman"/>
          <w:color w:val="auto"/>
          <w:sz w:val="24"/>
          <w:szCs w:val="24"/>
          <w:highlight w:val="none"/>
          <w:u w:val="single"/>
        </w:rPr>
      </w:pPr>
      <w:r>
        <w:rPr>
          <w:rFonts w:hint="default" w:ascii="Times New Roman" w:hAnsi="Times New Roman" w:eastAsia="TimesNewRomanPSMT" w:cs="Times New Roman"/>
          <w:color w:val="auto"/>
          <w:sz w:val="24"/>
          <w:szCs w:val="24"/>
          <w:highlight w:val="none"/>
          <w:u w:val="single"/>
        </w:rPr>
        <w:t>T=QK/A=(</w:t>
      </w:r>
      <w:r>
        <w:rPr>
          <w:rFonts w:hint="default" w:ascii="Times New Roman" w:hAnsi="Times New Roman" w:eastAsia="宋体" w:cs="Times New Roman"/>
          <w:color w:val="auto"/>
          <w:sz w:val="24"/>
          <w:szCs w:val="24"/>
          <w:highlight w:val="none"/>
          <w:u w:val="single"/>
        </w:rPr>
        <w:t>1578.41×</w:t>
      </w:r>
      <w:r>
        <w:rPr>
          <w:rFonts w:hint="default" w:ascii="Times New Roman" w:hAnsi="Times New Roman" w:eastAsia="TimesNewRomanPSMT" w:cs="Times New Roman"/>
          <w:color w:val="auto"/>
          <w:sz w:val="24"/>
          <w:szCs w:val="24"/>
          <w:highlight w:val="none"/>
          <w:u w:val="single"/>
        </w:rPr>
        <w:t>90%)/50</w:t>
      </w:r>
      <w:r>
        <w:rPr>
          <w:rFonts w:hint="default" w:ascii="Times New Roman" w:hAnsi="Times New Roman" w:eastAsia="宋体" w:cs="Times New Roman"/>
          <w:color w:val="auto"/>
          <w:sz w:val="24"/>
          <w:szCs w:val="24"/>
          <w:highlight w:val="none"/>
          <w:u w:val="single"/>
        </w:rPr>
        <w:t>≈</w:t>
      </w:r>
      <w:r>
        <w:rPr>
          <w:rFonts w:hint="default" w:ascii="Times New Roman" w:hAnsi="Times New Roman" w:eastAsia="TimesNewRomanPSMT" w:cs="Times New Roman"/>
          <w:color w:val="auto"/>
          <w:sz w:val="24"/>
          <w:szCs w:val="24"/>
          <w:highlight w:val="none"/>
          <w:u w:val="single"/>
        </w:rPr>
        <w:t>28</w:t>
      </w:r>
      <w:r>
        <w:rPr>
          <w:rFonts w:hint="default" w:ascii="Times New Roman" w:hAnsi="Times New Roman" w:eastAsia="宋体" w:cs="Times New Roman"/>
          <w:color w:val="auto"/>
          <w:sz w:val="24"/>
          <w:szCs w:val="24"/>
          <w:highlight w:val="none"/>
          <w:u w:val="single"/>
        </w:rPr>
        <w:t>年</w:t>
      </w:r>
    </w:p>
    <w:p>
      <w:pPr>
        <w:spacing w:beforeLines="0" w:afterLines="0"/>
        <w:jc w:val="both"/>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式中：</w:t>
      </w:r>
      <w:r>
        <w:rPr>
          <w:rFonts w:hint="default" w:ascii="Times New Roman" w:hAnsi="Times New Roman" w:eastAsia="TimesNewRomanPSMT" w:cs="Times New Roman"/>
          <w:color w:val="auto"/>
          <w:sz w:val="24"/>
          <w:szCs w:val="24"/>
          <w:highlight w:val="none"/>
          <w:u w:val="single"/>
        </w:rPr>
        <w:t>T</w:t>
      </w:r>
      <w:r>
        <w:rPr>
          <w:rFonts w:hint="default" w:ascii="Times New Roman" w:hAnsi="Times New Roman" w:eastAsia="宋体" w:cs="Times New Roman"/>
          <w:color w:val="auto"/>
          <w:sz w:val="24"/>
          <w:szCs w:val="24"/>
          <w:highlight w:val="none"/>
          <w:u w:val="single"/>
        </w:rPr>
        <w:t>——矿山服务年限，年；</w:t>
      </w:r>
    </w:p>
    <w:p>
      <w:pPr>
        <w:spacing w:beforeLines="0" w:afterLines="0"/>
        <w:jc w:val="both"/>
        <w:rPr>
          <w:rFonts w:hint="default" w:ascii="Times New Roman" w:hAnsi="Times New Roman" w:eastAsia="宋体" w:cs="Times New Roman"/>
          <w:color w:val="auto"/>
          <w:sz w:val="24"/>
          <w:szCs w:val="24"/>
          <w:highlight w:val="none"/>
          <w:u w:val="single"/>
        </w:rPr>
      </w:pPr>
      <w:r>
        <w:rPr>
          <w:rFonts w:hint="default" w:ascii="Times New Roman" w:hAnsi="Times New Roman" w:eastAsia="TimesNewRomanPSMT" w:cs="Times New Roman"/>
          <w:color w:val="auto"/>
          <w:sz w:val="24"/>
          <w:szCs w:val="24"/>
          <w:highlight w:val="none"/>
          <w:u w:val="single"/>
        </w:rPr>
        <w:t>Q</w:t>
      </w:r>
      <w:r>
        <w:rPr>
          <w:rFonts w:hint="default" w:ascii="Times New Roman" w:hAnsi="Times New Roman" w:eastAsia="宋体" w:cs="Times New Roman"/>
          <w:color w:val="auto"/>
          <w:sz w:val="24"/>
          <w:szCs w:val="24"/>
          <w:highlight w:val="none"/>
          <w:u w:val="single"/>
        </w:rPr>
        <w:t>——设计利用储量，</w:t>
      </w:r>
      <w:r>
        <w:rPr>
          <w:rFonts w:hint="default" w:ascii="Times New Roman" w:hAnsi="Times New Roman" w:eastAsia="TimesNewRomanPSMT" w:cs="Times New Roman"/>
          <w:color w:val="auto"/>
          <w:sz w:val="24"/>
          <w:szCs w:val="24"/>
          <w:highlight w:val="none"/>
          <w:u w:val="single"/>
        </w:rPr>
        <w:t>Q=</w:t>
      </w:r>
      <w:r>
        <w:rPr>
          <w:rFonts w:hint="default" w:ascii="Times New Roman" w:hAnsi="Times New Roman" w:eastAsia="宋体" w:cs="Times New Roman"/>
          <w:color w:val="auto"/>
          <w:sz w:val="24"/>
          <w:szCs w:val="24"/>
          <w:highlight w:val="none"/>
          <w:u w:val="single"/>
        </w:rPr>
        <w:t>1578.41万吨；</w:t>
      </w:r>
    </w:p>
    <w:p>
      <w:pPr>
        <w:spacing w:beforeLines="0" w:afterLines="0"/>
        <w:jc w:val="both"/>
        <w:rPr>
          <w:rFonts w:hint="default" w:ascii="Times New Roman" w:hAnsi="Times New Roman" w:eastAsia="宋体" w:cs="Times New Roman"/>
          <w:color w:val="auto"/>
          <w:sz w:val="24"/>
          <w:szCs w:val="24"/>
          <w:highlight w:val="none"/>
          <w:u w:val="single"/>
        </w:rPr>
      </w:pPr>
      <w:r>
        <w:rPr>
          <w:rFonts w:hint="default" w:ascii="Times New Roman" w:hAnsi="Times New Roman" w:eastAsia="TimesNewRomanPSMT" w:cs="Times New Roman"/>
          <w:color w:val="auto"/>
          <w:sz w:val="24"/>
          <w:szCs w:val="24"/>
          <w:highlight w:val="none"/>
          <w:u w:val="single"/>
        </w:rPr>
        <w:t>K</w:t>
      </w:r>
      <w:r>
        <w:rPr>
          <w:rFonts w:hint="default" w:ascii="Times New Roman" w:hAnsi="Times New Roman" w:eastAsia="宋体" w:cs="Times New Roman"/>
          <w:color w:val="auto"/>
          <w:sz w:val="24"/>
          <w:szCs w:val="24"/>
          <w:highlight w:val="none"/>
          <w:u w:val="single"/>
        </w:rPr>
        <w:t>——采矿回采率，</w:t>
      </w:r>
      <w:r>
        <w:rPr>
          <w:rFonts w:hint="default" w:ascii="Times New Roman" w:hAnsi="Times New Roman" w:eastAsia="TimesNewRomanPSMT" w:cs="Times New Roman"/>
          <w:color w:val="auto"/>
          <w:sz w:val="24"/>
          <w:szCs w:val="24"/>
          <w:highlight w:val="none"/>
          <w:u w:val="single"/>
        </w:rPr>
        <w:t>K= 90%</w:t>
      </w:r>
      <w:r>
        <w:rPr>
          <w:rFonts w:hint="default" w:ascii="Times New Roman" w:hAnsi="Times New Roman" w:eastAsia="宋体" w:cs="Times New Roman"/>
          <w:color w:val="auto"/>
          <w:sz w:val="24"/>
          <w:szCs w:val="24"/>
          <w:highlight w:val="none"/>
          <w:u w:val="single"/>
        </w:rPr>
        <w:t>；</w:t>
      </w:r>
    </w:p>
    <w:p>
      <w:pPr>
        <w:spacing w:beforeLines="0" w:afterLines="0"/>
        <w:jc w:val="both"/>
        <w:rPr>
          <w:rFonts w:hint="default" w:ascii="Times New Roman" w:hAnsi="Times New Roman" w:eastAsia="宋体" w:cs="Times New Roman"/>
          <w:color w:val="auto"/>
          <w:sz w:val="24"/>
          <w:szCs w:val="24"/>
          <w:highlight w:val="none"/>
          <w:u w:val="single"/>
        </w:rPr>
      </w:pPr>
      <w:r>
        <w:rPr>
          <w:rFonts w:hint="default" w:ascii="Times New Roman" w:hAnsi="Times New Roman" w:eastAsia="TimesNewRomanPSMT" w:cs="Times New Roman"/>
          <w:color w:val="auto"/>
          <w:sz w:val="24"/>
          <w:szCs w:val="24"/>
          <w:highlight w:val="none"/>
          <w:u w:val="single"/>
        </w:rPr>
        <w:t>A</w:t>
      </w:r>
      <w:r>
        <w:rPr>
          <w:rFonts w:hint="default" w:ascii="Times New Roman" w:hAnsi="Times New Roman" w:eastAsia="宋体" w:cs="Times New Roman"/>
          <w:color w:val="auto"/>
          <w:sz w:val="24"/>
          <w:szCs w:val="24"/>
          <w:highlight w:val="none"/>
          <w:u w:val="single"/>
        </w:rPr>
        <w:t>——矿山年开采量，</w:t>
      </w:r>
      <w:r>
        <w:rPr>
          <w:rFonts w:hint="default" w:ascii="Times New Roman" w:hAnsi="Times New Roman" w:eastAsia="TimesNewRomanPSMT" w:cs="Times New Roman"/>
          <w:color w:val="auto"/>
          <w:sz w:val="24"/>
          <w:szCs w:val="24"/>
          <w:highlight w:val="none"/>
          <w:u w:val="single"/>
        </w:rPr>
        <w:t>A=50.0</w:t>
      </w:r>
      <w:r>
        <w:rPr>
          <w:rFonts w:hint="default" w:ascii="Times New Roman" w:hAnsi="Times New Roman" w:eastAsia="宋体" w:cs="Times New Roman"/>
          <w:color w:val="auto"/>
          <w:sz w:val="24"/>
          <w:szCs w:val="24"/>
          <w:highlight w:val="none"/>
          <w:u w:val="single"/>
        </w:rPr>
        <w:t>万吨</w:t>
      </w:r>
      <w:r>
        <w:rPr>
          <w:rFonts w:hint="default" w:ascii="Times New Roman" w:hAnsi="Times New Roman" w:eastAsia="TimesNewRomanPSMT" w:cs="Times New Roman"/>
          <w:color w:val="auto"/>
          <w:sz w:val="24"/>
          <w:szCs w:val="24"/>
          <w:highlight w:val="none"/>
          <w:u w:val="single"/>
        </w:rPr>
        <w:t>/</w:t>
      </w:r>
      <w:r>
        <w:rPr>
          <w:rFonts w:hint="default" w:ascii="Times New Roman" w:hAnsi="Times New Roman" w:eastAsia="宋体" w:cs="Times New Roman"/>
          <w:color w:val="auto"/>
          <w:sz w:val="24"/>
          <w:szCs w:val="24"/>
          <w:highlight w:val="none"/>
          <w:u w:val="single"/>
        </w:rPr>
        <w:t>年（折合</w:t>
      </w:r>
      <w:r>
        <w:rPr>
          <w:rFonts w:hint="default" w:ascii="Times New Roman" w:hAnsi="Times New Roman" w:eastAsia="TimesNewRomanPSMT" w:cs="Times New Roman"/>
          <w:color w:val="auto"/>
          <w:sz w:val="24"/>
          <w:szCs w:val="24"/>
          <w:highlight w:val="none"/>
          <w:u w:val="single"/>
        </w:rPr>
        <w:t xml:space="preserve">19.23 </w:t>
      </w:r>
      <w:r>
        <w:rPr>
          <w:rFonts w:hint="default" w:ascii="Times New Roman" w:hAnsi="Times New Roman" w:eastAsia="宋体" w:cs="Times New Roman"/>
          <w:color w:val="auto"/>
          <w:sz w:val="24"/>
          <w:szCs w:val="24"/>
          <w:highlight w:val="none"/>
          <w:u w:val="single"/>
        </w:rPr>
        <w:t>万</w:t>
      </w:r>
      <w:r>
        <w:rPr>
          <w:rFonts w:hint="default" w:ascii="Times New Roman" w:hAnsi="Times New Roman" w:eastAsia="TimesNewRomanPSMT" w:cs="Times New Roman"/>
          <w:color w:val="auto"/>
          <w:sz w:val="24"/>
          <w:szCs w:val="24"/>
          <w:highlight w:val="none"/>
          <w:u w:val="single"/>
        </w:rPr>
        <w:t>m</w:t>
      </w:r>
      <w:r>
        <w:rPr>
          <w:rFonts w:hint="default" w:ascii="Times New Roman" w:hAnsi="Times New Roman" w:eastAsia="TimesNewRomanPSMT" w:cs="Times New Roman"/>
          <w:color w:val="auto"/>
          <w:sz w:val="24"/>
          <w:szCs w:val="24"/>
          <w:highlight w:val="none"/>
          <w:u w:val="single"/>
          <w:vertAlign w:val="superscript"/>
        </w:rPr>
        <w:t>3</w:t>
      </w:r>
      <w:r>
        <w:rPr>
          <w:rFonts w:hint="default" w:ascii="Times New Roman" w:hAnsi="Times New Roman" w:eastAsia="宋体" w:cs="Times New Roman"/>
          <w:color w:val="auto"/>
          <w:sz w:val="24"/>
          <w:szCs w:val="24"/>
          <w:highlight w:val="none"/>
          <w:u w:val="single"/>
        </w:rPr>
        <w:t>）。</w:t>
      </w:r>
    </w:p>
    <w:p>
      <w:pPr>
        <w:ind w:firstLine="480"/>
        <w:jc w:val="both"/>
        <w:rPr>
          <w:rFonts w:hint="default" w:ascii="Times New Roman" w:hAnsi="Times New Roman"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rPr>
        <w:t>因此整个矿山的总开采年限为</w:t>
      </w:r>
      <w:r>
        <w:rPr>
          <w:rFonts w:hint="default" w:ascii="Times New Roman" w:hAnsi="Times New Roman" w:eastAsia="TimesNewRomanPSMT" w:cs="Times New Roman"/>
          <w:color w:val="auto"/>
          <w:sz w:val="24"/>
          <w:szCs w:val="24"/>
          <w:highlight w:val="none"/>
          <w:u w:val="single"/>
        </w:rPr>
        <w:t xml:space="preserve">28 </w:t>
      </w:r>
      <w:r>
        <w:rPr>
          <w:rFonts w:hint="default" w:ascii="Times New Roman" w:hAnsi="Times New Roman" w:eastAsia="宋体" w:cs="Times New Roman"/>
          <w:color w:val="auto"/>
          <w:sz w:val="24"/>
          <w:szCs w:val="24"/>
          <w:highlight w:val="none"/>
          <w:u w:val="single"/>
        </w:rPr>
        <w:t>年。</w:t>
      </w:r>
    </w:p>
    <w:p>
      <w:pPr>
        <w:pStyle w:val="5"/>
        <w:bidi w:val="0"/>
        <w:rPr>
          <w:rFonts w:hint="eastAsia" w:ascii="宋体" w:hAnsi="宋体" w:eastAsia="宋体"/>
          <w:color w:val="auto"/>
          <w:sz w:val="32"/>
          <w:highlight w:val="none"/>
          <w:u w:val="single"/>
        </w:rPr>
      </w:pPr>
      <w:r>
        <w:rPr>
          <w:rFonts w:hint="eastAsia" w:cs="Times New Roman"/>
          <w:color w:val="auto"/>
          <w:highlight w:val="none"/>
          <w:u w:val="single"/>
          <w:lang w:val="en-US" w:eastAsia="zh-CN"/>
        </w:rPr>
        <w:t xml:space="preserve">2.4.4 </w:t>
      </w:r>
      <w:r>
        <w:rPr>
          <w:rFonts w:hint="eastAsia" w:ascii="宋体" w:hAnsi="宋体" w:eastAsia="宋体"/>
          <w:color w:val="auto"/>
          <w:sz w:val="32"/>
          <w:highlight w:val="none"/>
          <w:u w:val="single"/>
        </w:rPr>
        <w:t>露天开采境界及开采参数的确定</w:t>
      </w:r>
    </w:p>
    <w:p>
      <w:pPr>
        <w:pStyle w:val="6"/>
        <w:bidi w:val="0"/>
        <w:rPr>
          <w:rFonts w:hint="eastAsia"/>
          <w:color w:val="auto"/>
          <w:highlight w:val="none"/>
          <w:u w:val="single"/>
        </w:rPr>
      </w:pPr>
      <w:r>
        <w:rPr>
          <w:rFonts w:hint="eastAsia"/>
          <w:color w:val="auto"/>
          <w:highlight w:val="none"/>
          <w:u w:val="single"/>
          <w:lang w:val="en-US" w:eastAsia="zh-CN"/>
        </w:rPr>
        <w:t>2.4.4</w:t>
      </w:r>
      <w:r>
        <w:rPr>
          <w:rFonts w:hint="eastAsia"/>
          <w:color w:val="auto"/>
          <w:highlight w:val="none"/>
          <w:u w:val="single"/>
        </w:rPr>
        <w:t>.1 露天开采境界的确定</w:t>
      </w:r>
    </w:p>
    <w:p>
      <w:pPr>
        <w:bidi w:val="0"/>
        <w:jc w:val="both"/>
        <w:rPr>
          <w:rFonts w:hint="default" w:ascii="Times New Roman" w:hAnsi="Times New Roman" w:eastAsia="宋体" w:cs="Times New Roman"/>
          <w:color w:val="auto"/>
          <w:sz w:val="24"/>
          <w:highlight w:val="none"/>
          <w:u w:val="single"/>
        </w:rPr>
      </w:pPr>
      <w:r>
        <w:rPr>
          <w:rFonts w:hint="default" w:ascii="Times New Roman" w:hAnsi="Times New Roman" w:eastAsia="TimesNewRomanPSMT" w:cs="Times New Roman"/>
          <w:color w:val="auto"/>
          <w:sz w:val="24"/>
          <w:highlight w:val="none"/>
          <w:u w:val="single"/>
        </w:rPr>
        <w:t>1</w:t>
      </w:r>
      <w:r>
        <w:rPr>
          <w:rFonts w:hint="default" w:ascii="Times New Roman" w:hAnsi="Times New Roman" w:eastAsia="宋体" w:cs="Times New Roman"/>
          <w:color w:val="auto"/>
          <w:sz w:val="24"/>
          <w:highlight w:val="none"/>
          <w:u w:val="single"/>
        </w:rPr>
        <w:t>、确定露天开采境界的原则</w:t>
      </w:r>
    </w:p>
    <w:p>
      <w:pPr>
        <w:bidi w:val="0"/>
        <w:jc w:val="both"/>
        <w:rPr>
          <w:rFonts w:hint="default" w:ascii="Times New Roman" w:hAnsi="Times New Roman" w:eastAsia="宋体" w:cs="Times New Roman"/>
          <w:color w:val="auto"/>
          <w:sz w:val="24"/>
          <w:highlight w:val="none"/>
          <w:u w:val="single"/>
        </w:rPr>
      </w:pPr>
      <w:r>
        <w:rPr>
          <w:rFonts w:hint="default" w:ascii="Times New Roman" w:hAnsi="Times New Roman" w:cs="Times New Roman"/>
          <w:color w:val="auto"/>
          <w:highlight w:val="none"/>
          <w:u w:val="single"/>
        </w:rPr>
        <w:t>（1）露天开采境界确定的原则：境界剥采比、平均剥采比和最大生产剥采比均不大</w:t>
      </w:r>
      <w:r>
        <w:rPr>
          <w:rFonts w:hint="default" w:ascii="Times New Roman" w:hAnsi="Times New Roman" w:eastAsia="宋体" w:cs="Times New Roman"/>
          <w:color w:val="auto"/>
          <w:sz w:val="24"/>
          <w:highlight w:val="none"/>
          <w:u w:val="single"/>
        </w:rPr>
        <w:t>于经济合理剥采比。</w:t>
      </w:r>
    </w:p>
    <w:p>
      <w:pPr>
        <w:ind w:firstLine="480"/>
        <w:jc w:val="both"/>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sz w:val="24"/>
          <w:highlight w:val="none"/>
          <w:u w:val="single"/>
        </w:rPr>
        <w:t>（2）露天开采境界不超出国土资源主管部门批复的矿区范围及开采标高</w:t>
      </w:r>
      <w:r>
        <w:rPr>
          <w:rFonts w:hint="default" w:ascii="Times New Roman" w:hAnsi="Times New Roman" w:cs="Times New Roman"/>
          <w:color w:val="auto"/>
          <w:sz w:val="24"/>
          <w:highlight w:val="none"/>
          <w:u w:val="single"/>
          <w:lang w:eastAsia="zh-CN"/>
        </w:rPr>
        <w:t>。</w:t>
      </w:r>
    </w:p>
    <w:p>
      <w:pPr>
        <w:spacing w:beforeLines="0" w:afterLines="0"/>
        <w:jc w:val="both"/>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u w:val="single"/>
        </w:rPr>
        <w:t>（3）采场底平面标高高于当地最低侵蚀基准面标高。</w:t>
      </w:r>
    </w:p>
    <w:p>
      <w:pPr>
        <w:spacing w:beforeLines="0" w:afterLines="0"/>
        <w:jc w:val="both"/>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u w:val="single"/>
        </w:rPr>
        <w:t>（4）避免在公路可视范围内圈定。</w:t>
      </w:r>
    </w:p>
    <w:p>
      <w:pPr>
        <w:spacing w:beforeLines="0" w:afterLines="0"/>
        <w:jc w:val="both"/>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u w:val="single"/>
        </w:rPr>
        <w:t>（5）不影响周边基本农田保护区。</w:t>
      </w:r>
    </w:p>
    <w:p>
      <w:pPr>
        <w:spacing w:beforeLines="0" w:afterLines="0"/>
        <w:jc w:val="both"/>
        <w:rPr>
          <w:rFonts w:hint="default" w:ascii="Times New Roman" w:hAnsi="Times New Roman" w:eastAsia="宋体" w:cs="Times New Roman"/>
          <w:color w:val="auto"/>
          <w:sz w:val="24"/>
          <w:highlight w:val="none"/>
          <w:u w:val="single"/>
        </w:rPr>
      </w:pPr>
      <w:r>
        <w:rPr>
          <w:rFonts w:hint="default" w:ascii="Times New Roman" w:hAnsi="Times New Roman" w:eastAsia="TimesNewRomanPSMT" w:cs="Times New Roman"/>
          <w:color w:val="auto"/>
          <w:sz w:val="24"/>
          <w:highlight w:val="none"/>
          <w:u w:val="single"/>
        </w:rPr>
        <w:t>2</w:t>
      </w:r>
      <w:r>
        <w:rPr>
          <w:rFonts w:hint="default" w:ascii="Times New Roman" w:hAnsi="Times New Roman" w:eastAsia="宋体" w:cs="Times New Roman"/>
          <w:color w:val="auto"/>
          <w:sz w:val="24"/>
          <w:highlight w:val="none"/>
          <w:u w:val="single"/>
        </w:rPr>
        <w:t>、剥采比</w:t>
      </w:r>
    </w:p>
    <w:p>
      <w:pPr>
        <w:spacing w:beforeLines="0" w:afterLines="0"/>
        <w:jc w:val="both"/>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u w:val="single"/>
        </w:rPr>
        <w:t>本矿山拟采范围内硅质岩矿体裸露地表，仅局部覆盖些浮土，但浮土层浅薄，矿体风化轻微，且基本限于表部。总体比较，剥采比可忽略不计。</w:t>
      </w:r>
    </w:p>
    <w:p>
      <w:pPr>
        <w:spacing w:beforeLines="0" w:afterLines="0"/>
        <w:jc w:val="both"/>
        <w:rPr>
          <w:rFonts w:hint="default" w:ascii="Times New Roman" w:hAnsi="Times New Roman" w:eastAsia="宋体" w:cs="Times New Roman"/>
          <w:color w:val="auto"/>
          <w:sz w:val="24"/>
          <w:highlight w:val="none"/>
          <w:u w:val="single"/>
        </w:rPr>
      </w:pPr>
      <w:r>
        <w:rPr>
          <w:rFonts w:hint="default" w:ascii="Times New Roman" w:hAnsi="Times New Roman" w:eastAsia="TimesNewRomanPSMT" w:cs="Times New Roman"/>
          <w:color w:val="auto"/>
          <w:sz w:val="24"/>
          <w:highlight w:val="none"/>
          <w:u w:val="single"/>
        </w:rPr>
        <w:t>3</w:t>
      </w:r>
      <w:r>
        <w:rPr>
          <w:rFonts w:hint="default" w:ascii="Times New Roman" w:hAnsi="Times New Roman" w:eastAsia="宋体" w:cs="Times New Roman"/>
          <w:color w:val="auto"/>
          <w:sz w:val="24"/>
          <w:highlight w:val="none"/>
          <w:u w:val="single"/>
        </w:rPr>
        <w:t>、开采深度及最终边坡高度</w:t>
      </w:r>
    </w:p>
    <w:p>
      <w:pPr>
        <w:spacing w:beforeLines="0" w:afterLines="0"/>
        <w:jc w:val="both"/>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u w:val="single"/>
        </w:rPr>
        <w:t>本设计的开采深度为</w:t>
      </w:r>
      <w:r>
        <w:rPr>
          <w:rFonts w:hint="default" w:ascii="Times New Roman" w:hAnsi="Times New Roman" w:eastAsia="TimesNewRomanPSMT" w:cs="Times New Roman"/>
          <w:color w:val="auto"/>
          <w:sz w:val="24"/>
          <w:highlight w:val="none"/>
          <w:u w:val="single"/>
        </w:rPr>
        <w:t>+447m</w:t>
      </w:r>
      <w:r>
        <w:rPr>
          <w:rFonts w:hint="default" w:ascii="Times New Roman" w:hAnsi="Times New Roman" w:eastAsia="宋体" w:cs="Times New Roman"/>
          <w:color w:val="auto"/>
          <w:sz w:val="24"/>
          <w:highlight w:val="none"/>
          <w:u w:val="single"/>
        </w:rPr>
        <w:t>～</w:t>
      </w:r>
      <w:r>
        <w:rPr>
          <w:rFonts w:hint="default" w:ascii="Times New Roman" w:hAnsi="Times New Roman" w:eastAsia="TimesNewRomanPSMT" w:cs="Times New Roman"/>
          <w:color w:val="auto"/>
          <w:sz w:val="24"/>
          <w:highlight w:val="none"/>
          <w:u w:val="single"/>
        </w:rPr>
        <w:t xml:space="preserve">+227m </w:t>
      </w:r>
      <w:r>
        <w:rPr>
          <w:rFonts w:hint="default" w:ascii="Times New Roman" w:hAnsi="Times New Roman" w:eastAsia="宋体" w:cs="Times New Roman"/>
          <w:color w:val="auto"/>
          <w:sz w:val="24"/>
          <w:highlight w:val="none"/>
          <w:u w:val="single"/>
        </w:rPr>
        <w:t>标高，本矿开采终了时，最大边坡高度为</w:t>
      </w:r>
      <w:r>
        <w:rPr>
          <w:rFonts w:hint="default" w:ascii="Times New Roman" w:hAnsi="Times New Roman" w:eastAsia="TimesNewRomanPSMT" w:cs="Times New Roman"/>
          <w:color w:val="auto"/>
          <w:sz w:val="24"/>
          <w:highlight w:val="none"/>
          <w:u w:val="single"/>
        </w:rPr>
        <w:t>220m</w:t>
      </w:r>
      <w:r>
        <w:rPr>
          <w:rFonts w:hint="default" w:ascii="Times New Roman" w:hAnsi="Times New Roman" w:eastAsia="宋体" w:cs="Times New Roman"/>
          <w:color w:val="auto"/>
          <w:sz w:val="24"/>
          <w:highlight w:val="none"/>
          <w:u w:val="single"/>
        </w:rPr>
        <w:t>，基本满足以上规程及规定。</w:t>
      </w:r>
    </w:p>
    <w:p>
      <w:pPr>
        <w:spacing w:beforeLines="0" w:afterLines="0"/>
        <w:jc w:val="both"/>
        <w:rPr>
          <w:rFonts w:hint="default" w:ascii="Times New Roman" w:hAnsi="Times New Roman" w:eastAsia="宋体" w:cs="Times New Roman"/>
          <w:color w:val="auto"/>
          <w:sz w:val="24"/>
          <w:highlight w:val="none"/>
          <w:u w:val="single"/>
        </w:rPr>
      </w:pPr>
      <w:r>
        <w:rPr>
          <w:rFonts w:hint="default" w:ascii="Times New Roman" w:hAnsi="Times New Roman" w:eastAsia="TimesNewRomanPSMT" w:cs="Times New Roman"/>
          <w:color w:val="auto"/>
          <w:sz w:val="24"/>
          <w:highlight w:val="none"/>
          <w:u w:val="single"/>
        </w:rPr>
        <w:t>4</w:t>
      </w:r>
      <w:r>
        <w:rPr>
          <w:rFonts w:hint="default" w:ascii="Times New Roman" w:hAnsi="Times New Roman" w:eastAsia="宋体" w:cs="Times New Roman"/>
          <w:color w:val="auto"/>
          <w:sz w:val="24"/>
          <w:highlight w:val="none"/>
          <w:u w:val="single"/>
        </w:rPr>
        <w:t>、开采深度根据矿山地形条件和矿体露头情况以及资源量估算标高结果，确定的最低可采标高为</w:t>
      </w:r>
      <w:r>
        <w:rPr>
          <w:rFonts w:hint="default" w:ascii="Times New Roman" w:hAnsi="Times New Roman" w:eastAsia="TimesNewRomanPSMT" w:cs="Times New Roman"/>
          <w:color w:val="auto"/>
          <w:sz w:val="24"/>
          <w:highlight w:val="none"/>
          <w:u w:val="single"/>
        </w:rPr>
        <w:t>+227m</w:t>
      </w:r>
      <w:r>
        <w:rPr>
          <w:rFonts w:hint="default" w:ascii="Times New Roman" w:hAnsi="Times New Roman" w:eastAsia="宋体" w:cs="Times New Roman"/>
          <w:color w:val="auto"/>
          <w:sz w:val="24"/>
          <w:highlight w:val="none"/>
          <w:u w:val="single"/>
        </w:rPr>
        <w:t>，开采最终在采区形成不同台阶，矿体开采最终边坡（相对比）高度为</w:t>
      </w:r>
      <w:r>
        <w:rPr>
          <w:rFonts w:hint="default" w:ascii="Times New Roman" w:hAnsi="Times New Roman" w:eastAsia="TimesNewRomanPSMT" w:cs="Times New Roman"/>
          <w:color w:val="auto"/>
          <w:sz w:val="24"/>
          <w:highlight w:val="none"/>
          <w:u w:val="single"/>
        </w:rPr>
        <w:t>220m</w:t>
      </w:r>
      <w:r>
        <w:rPr>
          <w:rFonts w:hint="default" w:ascii="Times New Roman" w:hAnsi="Times New Roman" w:eastAsia="宋体" w:cs="Times New Roman"/>
          <w:color w:val="auto"/>
          <w:sz w:val="24"/>
          <w:highlight w:val="none"/>
          <w:u w:val="single"/>
        </w:rPr>
        <w:t>。</w:t>
      </w:r>
    </w:p>
    <w:p>
      <w:pPr>
        <w:spacing w:beforeLines="0" w:afterLines="0"/>
        <w:jc w:val="left"/>
        <w:rPr>
          <w:rFonts w:hint="eastAsia" w:ascii="宋体" w:hAnsi="宋体" w:eastAsia="宋体"/>
          <w:color w:val="auto"/>
          <w:sz w:val="24"/>
          <w:highlight w:val="none"/>
          <w:u w:val="single"/>
        </w:rPr>
      </w:pPr>
      <w:r>
        <w:rPr>
          <w:rFonts w:hint="eastAsia" w:ascii="TimesNewRomanPSMT" w:hAnsi="TimesNewRomanPSMT" w:eastAsia="TimesNewRomanPSMT"/>
          <w:color w:val="auto"/>
          <w:sz w:val="24"/>
          <w:highlight w:val="none"/>
          <w:u w:val="single"/>
        </w:rPr>
        <w:t>5</w:t>
      </w:r>
      <w:r>
        <w:rPr>
          <w:rFonts w:hint="eastAsia" w:ascii="宋体" w:hAnsi="宋体" w:eastAsia="宋体"/>
          <w:color w:val="auto"/>
          <w:sz w:val="24"/>
          <w:highlight w:val="none"/>
          <w:u w:val="single"/>
        </w:rPr>
        <w:t>、台阶结构参数的确定</w:t>
      </w:r>
    </w:p>
    <w:p>
      <w:pPr>
        <w:spacing w:beforeLines="0" w:afterLines="0"/>
        <w:jc w:val="left"/>
        <w:rPr>
          <w:rFonts w:hint="eastAsia" w:ascii="宋体" w:hAnsi="宋体" w:eastAsia="宋体"/>
          <w:color w:val="auto"/>
          <w:sz w:val="24"/>
          <w:highlight w:val="none"/>
          <w:u w:val="single"/>
        </w:rPr>
      </w:pPr>
      <w:r>
        <w:rPr>
          <w:rFonts w:hint="eastAsia" w:ascii="宋体" w:hAnsi="宋体" w:eastAsia="宋体"/>
          <w:color w:val="auto"/>
          <w:sz w:val="24"/>
          <w:highlight w:val="none"/>
          <w:u w:val="single"/>
        </w:rPr>
        <w:t>根据</w:t>
      </w:r>
      <w:r>
        <w:rPr>
          <w:rFonts w:hint="eastAsia" w:ascii="TimesNewRomanPSMT" w:hAnsi="TimesNewRomanPSMT" w:eastAsia="TimesNewRomanPSMT"/>
          <w:color w:val="auto"/>
          <w:sz w:val="24"/>
          <w:highlight w:val="none"/>
          <w:u w:val="single"/>
        </w:rPr>
        <w:t xml:space="preserve">2011 </w:t>
      </w:r>
      <w:r>
        <w:rPr>
          <w:rFonts w:hint="eastAsia" w:ascii="宋体" w:hAnsi="宋体" w:eastAsia="宋体"/>
          <w:color w:val="auto"/>
          <w:sz w:val="24"/>
          <w:highlight w:val="none"/>
          <w:u w:val="single"/>
        </w:rPr>
        <w:t>年</w:t>
      </w:r>
      <w:r>
        <w:rPr>
          <w:rFonts w:hint="eastAsia" w:ascii="TimesNewRomanPSMT" w:hAnsi="TimesNewRomanPSMT" w:eastAsia="TimesNewRomanPSMT"/>
          <w:color w:val="auto"/>
          <w:sz w:val="24"/>
          <w:highlight w:val="none"/>
          <w:u w:val="single"/>
        </w:rPr>
        <w:t xml:space="preserve">7 </w:t>
      </w:r>
      <w:r>
        <w:rPr>
          <w:rFonts w:hint="eastAsia" w:ascii="宋体" w:hAnsi="宋体" w:eastAsia="宋体"/>
          <w:color w:val="auto"/>
          <w:sz w:val="24"/>
          <w:highlight w:val="none"/>
          <w:u w:val="single"/>
        </w:rPr>
        <w:t>月</w:t>
      </w:r>
      <w:r>
        <w:rPr>
          <w:rFonts w:hint="eastAsia" w:ascii="TimesNewRomanPSMT" w:hAnsi="TimesNewRomanPSMT" w:eastAsia="TimesNewRomanPSMT"/>
          <w:color w:val="auto"/>
          <w:sz w:val="24"/>
          <w:highlight w:val="none"/>
          <w:u w:val="single"/>
        </w:rPr>
        <w:t xml:space="preserve">1 </w:t>
      </w:r>
      <w:r>
        <w:rPr>
          <w:rFonts w:hint="eastAsia" w:ascii="宋体" w:hAnsi="宋体" w:eastAsia="宋体"/>
          <w:color w:val="auto"/>
          <w:sz w:val="24"/>
          <w:highlight w:val="none"/>
          <w:u w:val="single"/>
        </w:rPr>
        <w:t>日施行的国家安监局</w:t>
      </w:r>
      <w:r>
        <w:rPr>
          <w:rFonts w:hint="eastAsia" w:ascii="TimesNewRomanPSMT" w:hAnsi="TimesNewRomanPSMT" w:eastAsia="TimesNewRomanPSMT"/>
          <w:color w:val="auto"/>
          <w:sz w:val="24"/>
          <w:highlight w:val="none"/>
          <w:u w:val="single"/>
        </w:rPr>
        <w:t xml:space="preserve">39 </w:t>
      </w:r>
      <w:r>
        <w:rPr>
          <w:rFonts w:hint="eastAsia" w:ascii="宋体" w:hAnsi="宋体" w:eastAsia="宋体"/>
          <w:color w:val="auto"/>
          <w:sz w:val="24"/>
          <w:highlight w:val="none"/>
          <w:u w:val="single"/>
        </w:rPr>
        <w:t>号令《小型露天采石场安全生产管理与监督检查规定》以及《广西壮族自治区露天矿场安全生产管理规定》，并参考《采矿手册》的有关内容及矿体的坚硬稳固性情况，台阶结构参数确定为：</w:t>
      </w:r>
    </w:p>
    <w:p>
      <w:pPr>
        <w:spacing w:beforeLines="0" w:afterLines="0"/>
        <w:jc w:val="left"/>
        <w:rPr>
          <w:rFonts w:hint="eastAsia" w:ascii="宋体" w:hAnsi="宋体" w:eastAsia="宋体"/>
          <w:color w:val="auto"/>
          <w:sz w:val="24"/>
          <w:highlight w:val="none"/>
          <w:u w:val="single"/>
        </w:rPr>
      </w:pPr>
      <w:r>
        <w:rPr>
          <w:rFonts w:hint="eastAsia" w:ascii="宋体" w:hAnsi="宋体" w:eastAsia="宋体"/>
          <w:color w:val="auto"/>
          <w:sz w:val="24"/>
          <w:highlight w:val="none"/>
          <w:u w:val="single"/>
        </w:rPr>
        <w:t>（1）台阶结构参数：</w:t>
      </w:r>
    </w:p>
    <w:p>
      <w:pPr>
        <w:spacing w:beforeLines="0" w:afterLines="0"/>
        <w:jc w:val="left"/>
        <w:rPr>
          <w:rFonts w:hint="eastAsia" w:ascii="TimesNewRomanPSMT" w:hAnsi="TimesNewRomanPSMT" w:eastAsia="TimesNewRomanPSMT"/>
          <w:color w:val="auto"/>
          <w:sz w:val="24"/>
          <w:highlight w:val="none"/>
          <w:u w:val="single"/>
        </w:rPr>
      </w:pPr>
      <w:r>
        <w:rPr>
          <w:rFonts w:hint="eastAsia" w:ascii="宋体" w:hAnsi="宋体" w:eastAsia="宋体"/>
          <w:color w:val="auto"/>
          <w:sz w:val="24"/>
          <w:highlight w:val="none"/>
          <w:u w:val="single"/>
        </w:rPr>
        <w:t>①台阶高度：</w:t>
      </w:r>
      <w:r>
        <w:rPr>
          <w:rFonts w:hint="eastAsia" w:ascii="TimesNewRomanPSMT" w:hAnsi="TimesNewRomanPSMT" w:eastAsia="TimesNewRomanPSMT"/>
          <w:color w:val="auto"/>
          <w:sz w:val="24"/>
          <w:highlight w:val="none"/>
          <w:u w:val="single"/>
        </w:rPr>
        <w:t>15m</w:t>
      </w:r>
    </w:p>
    <w:p>
      <w:pPr>
        <w:spacing w:beforeLines="0" w:afterLines="0"/>
        <w:jc w:val="left"/>
        <w:rPr>
          <w:rFonts w:hint="eastAsia" w:ascii="TimesNewRomanPSMT" w:hAnsi="TimesNewRomanPSMT" w:eastAsia="TimesNewRomanPSMT"/>
          <w:color w:val="auto"/>
          <w:sz w:val="24"/>
          <w:highlight w:val="none"/>
          <w:u w:val="single"/>
        </w:rPr>
      </w:pPr>
      <w:r>
        <w:rPr>
          <w:rFonts w:hint="eastAsia" w:ascii="宋体" w:hAnsi="宋体" w:eastAsia="宋体"/>
          <w:color w:val="auto"/>
          <w:sz w:val="24"/>
          <w:highlight w:val="none"/>
          <w:u w:val="single"/>
        </w:rPr>
        <w:t>②最小工作底盘宽度：</w:t>
      </w:r>
      <w:r>
        <w:rPr>
          <w:rFonts w:hint="eastAsia" w:ascii="TimesNewRomanPSMT" w:hAnsi="TimesNewRomanPSMT" w:eastAsia="TimesNewRomanPSMT"/>
          <w:color w:val="auto"/>
          <w:sz w:val="24"/>
          <w:highlight w:val="none"/>
          <w:u w:val="single"/>
        </w:rPr>
        <w:t>25m</w:t>
      </w:r>
    </w:p>
    <w:p>
      <w:pPr>
        <w:spacing w:beforeLines="0" w:afterLines="0"/>
        <w:jc w:val="left"/>
        <w:rPr>
          <w:rFonts w:hint="eastAsia" w:ascii="TimesNewRomanPSMT" w:hAnsi="TimesNewRomanPSMT" w:eastAsia="TimesNewRomanPSMT"/>
          <w:color w:val="auto"/>
          <w:sz w:val="24"/>
          <w:highlight w:val="none"/>
          <w:u w:val="single"/>
        </w:rPr>
      </w:pPr>
      <w:r>
        <w:rPr>
          <w:rFonts w:hint="eastAsia" w:ascii="宋体" w:hAnsi="宋体" w:eastAsia="宋体"/>
          <w:color w:val="auto"/>
          <w:sz w:val="24"/>
          <w:highlight w:val="none"/>
          <w:u w:val="single"/>
        </w:rPr>
        <w:t>③安全平台宽度：</w:t>
      </w:r>
      <w:r>
        <w:rPr>
          <w:rFonts w:hint="eastAsia" w:ascii="TimesNewRomanPSMT" w:hAnsi="TimesNewRomanPSMT" w:eastAsia="TimesNewRomanPSMT"/>
          <w:color w:val="auto"/>
          <w:sz w:val="24"/>
          <w:highlight w:val="none"/>
          <w:u w:val="single"/>
        </w:rPr>
        <w:t>4m</w:t>
      </w:r>
    </w:p>
    <w:p>
      <w:pPr>
        <w:spacing w:beforeLines="0" w:afterLines="0"/>
        <w:jc w:val="left"/>
        <w:rPr>
          <w:rFonts w:hint="eastAsia" w:ascii="宋体" w:hAnsi="宋体" w:eastAsia="宋体"/>
          <w:color w:val="auto"/>
          <w:sz w:val="24"/>
          <w:highlight w:val="none"/>
          <w:u w:val="single"/>
        </w:rPr>
      </w:pPr>
      <w:r>
        <w:rPr>
          <w:rFonts w:hint="eastAsia" w:ascii="宋体" w:hAnsi="宋体" w:eastAsia="宋体"/>
          <w:color w:val="auto"/>
          <w:sz w:val="24"/>
          <w:highlight w:val="none"/>
          <w:u w:val="single"/>
        </w:rPr>
        <w:t>④工作台阶坡面角：</w:t>
      </w:r>
      <w:r>
        <w:rPr>
          <w:rFonts w:hint="eastAsia" w:ascii="TimesNewRomanPSMT" w:hAnsi="TimesNewRomanPSMT" w:eastAsia="TimesNewRomanPSMT"/>
          <w:color w:val="auto"/>
          <w:sz w:val="24"/>
          <w:highlight w:val="none"/>
          <w:u w:val="single"/>
        </w:rPr>
        <w:t>70</w:t>
      </w:r>
      <w:r>
        <w:rPr>
          <w:rFonts w:hint="eastAsia" w:ascii="宋体" w:hAnsi="宋体" w:eastAsia="宋体"/>
          <w:color w:val="auto"/>
          <w:sz w:val="24"/>
          <w:highlight w:val="none"/>
          <w:u w:val="single"/>
        </w:rPr>
        <w:t>°</w:t>
      </w:r>
    </w:p>
    <w:p>
      <w:pPr>
        <w:spacing w:beforeLines="0" w:afterLines="0"/>
        <w:jc w:val="left"/>
        <w:rPr>
          <w:rFonts w:hint="eastAsia" w:ascii="宋体" w:hAnsi="宋体" w:eastAsia="宋体"/>
          <w:color w:val="auto"/>
          <w:sz w:val="24"/>
          <w:highlight w:val="none"/>
          <w:u w:val="single"/>
        </w:rPr>
      </w:pPr>
      <w:r>
        <w:rPr>
          <w:rFonts w:hint="eastAsia" w:ascii="宋体" w:hAnsi="宋体" w:eastAsia="宋体"/>
          <w:color w:val="auto"/>
          <w:sz w:val="24"/>
          <w:highlight w:val="none"/>
          <w:u w:val="single"/>
        </w:rPr>
        <w:t>⑤清扫平台宽度：</w:t>
      </w:r>
      <w:r>
        <w:rPr>
          <w:rFonts w:hint="eastAsia" w:ascii="TimesNewRomanPSMT" w:hAnsi="TimesNewRomanPSMT" w:eastAsia="TimesNewRomanPSMT"/>
          <w:color w:val="auto"/>
          <w:sz w:val="24"/>
          <w:highlight w:val="none"/>
          <w:u w:val="single"/>
        </w:rPr>
        <w:t>5m</w:t>
      </w:r>
      <w:r>
        <w:rPr>
          <w:rFonts w:hint="eastAsia" w:ascii="宋体" w:hAnsi="宋体" w:eastAsia="宋体"/>
          <w:color w:val="auto"/>
          <w:sz w:val="24"/>
          <w:highlight w:val="none"/>
          <w:u w:val="single"/>
        </w:rPr>
        <w:t>（每隔二个安全平台设一个清扫平台）</w:t>
      </w:r>
    </w:p>
    <w:p>
      <w:pPr>
        <w:spacing w:beforeLines="0" w:afterLines="0"/>
        <w:jc w:val="left"/>
        <w:rPr>
          <w:rFonts w:hint="eastAsia" w:ascii="宋体" w:hAnsi="宋体" w:eastAsia="宋体"/>
          <w:color w:val="auto"/>
          <w:sz w:val="24"/>
          <w:highlight w:val="none"/>
          <w:u w:val="single"/>
        </w:rPr>
      </w:pPr>
      <w:r>
        <w:rPr>
          <w:rFonts w:hint="eastAsia" w:ascii="宋体" w:hAnsi="宋体" w:eastAsia="宋体"/>
          <w:color w:val="auto"/>
          <w:sz w:val="24"/>
          <w:highlight w:val="none"/>
          <w:u w:val="single"/>
        </w:rPr>
        <w:t>最终边坡角根据剖面图中的台阶结构参数确定，其计算公式为：</w:t>
      </w:r>
    </w:p>
    <w:p>
      <w:pPr>
        <w:keepNext w:val="0"/>
        <w:keepLines w:val="0"/>
        <w:pageBreakBefore w:val="0"/>
        <w:widowControl w:val="0"/>
        <w:kinsoku/>
        <w:wordWrap/>
        <w:overflowPunct/>
        <w:topLinePunct w:val="0"/>
        <w:autoSpaceDE/>
        <w:autoSpaceDN/>
        <w:bidi w:val="0"/>
        <w:adjustRightInd/>
        <w:snapToGrid/>
        <w:spacing w:beforeLines="0" w:afterLines="0"/>
        <w:ind w:firstLine="0" w:firstLineChars="0"/>
        <w:jc w:val="center"/>
        <w:textAlignment w:val="auto"/>
        <w:rPr>
          <w:rFonts w:hint="default" w:ascii="Times New Roman" w:hAnsi="Times New Roman" w:eastAsia="Times New Roman"/>
          <w:i/>
          <w:color w:val="auto"/>
          <w:sz w:val="24"/>
          <w:highlight w:val="none"/>
          <w:u w:val="single"/>
        </w:rPr>
      </w:pPr>
      <w:r>
        <w:rPr>
          <w:rFonts w:hint="eastAsia" w:ascii="SymbolMT" w:hAnsi="SymbolMT" w:eastAsia="SymbolMT"/>
          <w:color w:val="auto"/>
          <w:sz w:val="36"/>
          <w:highlight w:val="none"/>
          <w:u w:val="single"/>
        </w:rPr>
        <w:t xml:space="preserve"> </w:t>
      </w:r>
      <w:r>
        <w:rPr>
          <w:rFonts w:hint="eastAsia" w:ascii="SymbolMT" w:hAnsi="SymbolMT" w:eastAsia="SymbolMT"/>
          <w:color w:val="auto"/>
          <w:sz w:val="24"/>
          <w:highlight w:val="none"/>
          <w:u w:val="single"/>
        </w:rPr>
        <w:t></w:t>
      </w:r>
      <w:r>
        <w:rPr>
          <w:color w:val="auto"/>
          <w:highlight w:val="none"/>
          <w:u w:val="single"/>
        </w:rPr>
        <w:drawing>
          <wp:inline distT="0" distB="0" distL="114300" distR="114300">
            <wp:extent cx="2019300" cy="619125"/>
            <wp:effectExtent l="0" t="0" r="0" b="9525"/>
            <wp:docPr id="7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6"/>
                    <pic:cNvPicPr>
                      <a:picLocks noChangeAspect="1"/>
                    </pic:cNvPicPr>
                  </pic:nvPicPr>
                  <pic:blipFill>
                    <a:blip r:embed="rId59"/>
                    <a:stretch>
                      <a:fillRect/>
                    </a:stretch>
                  </pic:blipFill>
                  <pic:spPr>
                    <a:xfrm>
                      <a:off x="0" y="0"/>
                      <a:ext cx="2019300" cy="619125"/>
                    </a:xfrm>
                    <a:prstGeom prst="rect">
                      <a:avLst/>
                    </a:prstGeom>
                    <a:noFill/>
                    <a:ln>
                      <a:noFill/>
                    </a:ln>
                  </pic:spPr>
                </pic:pic>
              </a:graphicData>
            </a:graphic>
          </wp:inline>
        </w:drawing>
      </w:r>
    </w:p>
    <w:p>
      <w:pPr>
        <w:spacing w:beforeLines="0" w:afterLines="0"/>
        <w:jc w:val="left"/>
        <w:rPr>
          <w:rFonts w:hint="eastAsia" w:ascii="宋体" w:hAnsi="宋体" w:eastAsia="宋体"/>
          <w:color w:val="auto"/>
          <w:sz w:val="24"/>
          <w:highlight w:val="none"/>
          <w:u w:val="single"/>
        </w:rPr>
      </w:pPr>
      <w:r>
        <w:rPr>
          <w:rFonts w:hint="eastAsia" w:ascii="宋体" w:hAnsi="宋体" w:eastAsia="宋体"/>
          <w:color w:val="auto"/>
          <w:sz w:val="24"/>
          <w:highlight w:val="none"/>
          <w:u w:val="single"/>
        </w:rPr>
        <w:t>式中：</w:t>
      </w:r>
      <w:r>
        <w:rPr>
          <w:rFonts w:hint="eastAsia" w:ascii="TimesNewRomanPSMT" w:hAnsi="TimesNewRomanPSMT" w:eastAsia="TimesNewRomanPSMT"/>
          <w:color w:val="auto"/>
          <w:sz w:val="24"/>
          <w:highlight w:val="none"/>
          <w:u w:val="single"/>
        </w:rPr>
        <w:t>r——</w:t>
      </w:r>
      <w:r>
        <w:rPr>
          <w:rFonts w:hint="eastAsia" w:ascii="宋体" w:hAnsi="宋体" w:eastAsia="宋体"/>
          <w:color w:val="auto"/>
          <w:sz w:val="24"/>
          <w:highlight w:val="none"/>
          <w:u w:val="single"/>
        </w:rPr>
        <w:t>最终边坡角，度；</w:t>
      </w:r>
    </w:p>
    <w:p>
      <w:pPr>
        <w:bidi w:val="0"/>
        <w:rPr>
          <w:rFonts w:hint="eastAsia" w:ascii="宋体" w:hAnsi="宋体" w:eastAsia="宋体"/>
          <w:color w:val="auto"/>
          <w:sz w:val="24"/>
          <w:highlight w:val="none"/>
          <w:u w:val="single"/>
        </w:rPr>
      </w:pPr>
      <w:r>
        <w:rPr>
          <w:rFonts w:hint="eastAsia" w:ascii="TimesNewRomanPSMT" w:hAnsi="TimesNewRomanPSMT" w:eastAsia="TimesNewRomanPSMT"/>
          <w:color w:val="auto"/>
          <w:sz w:val="24"/>
          <w:highlight w:val="none"/>
          <w:u w:val="single"/>
        </w:rPr>
        <w:t>H——</w:t>
      </w:r>
      <w:r>
        <w:rPr>
          <w:rFonts w:hint="eastAsia" w:ascii="宋体" w:hAnsi="宋体" w:eastAsia="宋体"/>
          <w:color w:val="auto"/>
          <w:sz w:val="24"/>
          <w:highlight w:val="none"/>
          <w:u w:val="single"/>
        </w:rPr>
        <w:t>最终最高边坡高度，米；</w:t>
      </w:r>
    </w:p>
    <w:p>
      <w:pPr>
        <w:spacing w:beforeLines="0" w:afterLines="0"/>
        <w:jc w:val="left"/>
        <w:rPr>
          <w:rFonts w:hint="eastAsia" w:ascii="宋体" w:hAnsi="宋体" w:eastAsia="宋体"/>
          <w:color w:val="auto"/>
          <w:sz w:val="24"/>
          <w:highlight w:val="none"/>
          <w:u w:val="single"/>
        </w:rPr>
      </w:pPr>
      <w:r>
        <w:rPr>
          <w:rFonts w:hint="eastAsia" w:ascii="TimesNewRomanPSMT" w:hAnsi="TimesNewRomanPSMT" w:eastAsia="TimesNewRomanPSMT"/>
          <w:color w:val="auto"/>
          <w:sz w:val="24"/>
          <w:highlight w:val="none"/>
          <w:u w:val="single"/>
        </w:rPr>
        <w:t>b ——</w:t>
      </w:r>
      <w:r>
        <w:rPr>
          <w:rFonts w:hint="eastAsia" w:ascii="宋体" w:hAnsi="宋体" w:eastAsia="宋体"/>
          <w:color w:val="auto"/>
          <w:sz w:val="24"/>
          <w:highlight w:val="none"/>
          <w:u w:val="single"/>
        </w:rPr>
        <w:t>安全平台宽度，米；</w:t>
      </w:r>
    </w:p>
    <w:p>
      <w:pPr>
        <w:bidi w:val="0"/>
        <w:rPr>
          <w:rFonts w:hint="eastAsia" w:ascii="宋体" w:hAnsi="宋体" w:eastAsia="宋体"/>
          <w:color w:val="auto"/>
          <w:sz w:val="24"/>
          <w:highlight w:val="none"/>
          <w:u w:val="single"/>
        </w:rPr>
      </w:pPr>
      <w:r>
        <w:rPr>
          <w:rFonts w:hint="eastAsia" w:ascii="TimesNewRomanPSMT" w:hAnsi="TimesNewRomanPSMT" w:eastAsia="TimesNewRomanPSMT"/>
          <w:color w:val="auto"/>
          <w:sz w:val="24"/>
          <w:highlight w:val="none"/>
          <w:u w:val="single"/>
        </w:rPr>
        <w:t>α——</w:t>
      </w:r>
      <w:r>
        <w:rPr>
          <w:rFonts w:hint="eastAsia" w:ascii="宋体" w:hAnsi="宋体" w:eastAsia="宋体"/>
          <w:color w:val="auto"/>
          <w:sz w:val="24"/>
          <w:highlight w:val="none"/>
          <w:u w:val="single"/>
        </w:rPr>
        <w:t>工作台阶坡面角，度。</w:t>
      </w:r>
    </w:p>
    <w:p>
      <w:pPr>
        <w:ind w:firstLine="480"/>
        <w:rPr>
          <w:rFonts w:hint="eastAsia" w:cs="Times New Roman"/>
          <w:color w:val="auto"/>
          <w:highlight w:val="none"/>
          <w:u w:val="single"/>
          <w:lang w:val="en-US" w:eastAsia="zh-CN"/>
        </w:rPr>
      </w:pPr>
      <w:r>
        <w:rPr>
          <w:rFonts w:hint="eastAsia" w:ascii="TimesNewRomanPSMT" w:hAnsi="TimesNewRomanPSMT" w:eastAsia="TimesNewRomanPSMT"/>
          <w:color w:val="auto"/>
          <w:sz w:val="24"/>
          <w:highlight w:val="none"/>
          <w:u w:val="single"/>
        </w:rPr>
        <w:t>A</w:t>
      </w:r>
      <w:r>
        <w:rPr>
          <w:rFonts w:hint="eastAsia" w:ascii="宋体" w:hAnsi="宋体" w:eastAsia="宋体"/>
          <w:color w:val="auto"/>
          <w:sz w:val="24"/>
          <w:highlight w:val="none"/>
          <w:u w:val="single"/>
        </w:rPr>
        <w:t>—</w:t>
      </w:r>
      <w:r>
        <w:rPr>
          <w:rFonts w:hint="eastAsia" w:ascii="TimesNewRomanPSMT" w:hAnsi="TimesNewRomanPSMT" w:eastAsia="TimesNewRomanPSMT"/>
          <w:color w:val="auto"/>
          <w:sz w:val="24"/>
          <w:highlight w:val="none"/>
          <w:u w:val="single"/>
        </w:rPr>
        <w:t>A</w:t>
      </w:r>
      <w:r>
        <w:rPr>
          <w:rFonts w:hint="eastAsia" w:ascii="宋体" w:hAnsi="宋体" w:eastAsia="宋体"/>
          <w:color w:val="auto"/>
          <w:sz w:val="24"/>
          <w:highlight w:val="none"/>
          <w:u w:val="single"/>
        </w:rPr>
        <w:t>′号勘探线最终边坡角为：</w:t>
      </w:r>
    </w:p>
    <w:p>
      <w:pPr>
        <w:ind w:firstLine="480"/>
        <w:jc w:val="center"/>
        <w:rPr>
          <w:rFonts w:hint="default" w:cs="Times New Roman"/>
          <w:color w:val="auto"/>
          <w:highlight w:val="none"/>
          <w:lang w:val="en-US" w:eastAsia="zh-CN"/>
        </w:rPr>
      </w:pPr>
      <w:r>
        <w:rPr>
          <w:color w:val="auto"/>
          <w:highlight w:val="none"/>
        </w:rPr>
        <w:drawing>
          <wp:inline distT="0" distB="0" distL="114300" distR="114300">
            <wp:extent cx="1924050" cy="1095375"/>
            <wp:effectExtent l="0" t="0" r="0" b="9525"/>
            <wp:docPr id="8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7"/>
                    <pic:cNvPicPr>
                      <a:picLocks noChangeAspect="1"/>
                    </pic:cNvPicPr>
                  </pic:nvPicPr>
                  <pic:blipFill>
                    <a:blip r:embed="rId60"/>
                    <a:stretch>
                      <a:fillRect/>
                    </a:stretch>
                  </pic:blipFill>
                  <pic:spPr>
                    <a:xfrm>
                      <a:off x="0" y="0"/>
                      <a:ext cx="1924050" cy="1095375"/>
                    </a:xfrm>
                    <a:prstGeom prst="rect">
                      <a:avLst/>
                    </a:prstGeom>
                    <a:noFill/>
                    <a:ln>
                      <a:noFill/>
                    </a:ln>
                  </pic:spPr>
                </pic:pic>
              </a:graphicData>
            </a:graphic>
          </wp:inline>
        </w:drawing>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经计算，最终边坡角为57°～60°。符合GB16423-2006 关于《金属非金属矿山安全规程》和国家安全生产监督管理总局令第39 号《小型露天采石场安全管理与监督检查规定》中对最终边坡角的要求。</w:t>
      </w:r>
    </w:p>
    <w:p>
      <w:pPr>
        <w:pStyle w:val="6"/>
        <w:bidi w:val="0"/>
        <w:rPr>
          <w:rFonts w:hint="eastAsia"/>
          <w:color w:val="auto"/>
          <w:highlight w:val="none"/>
          <w:u w:val="single"/>
        </w:rPr>
      </w:pPr>
      <w:r>
        <w:rPr>
          <w:rFonts w:hint="eastAsia"/>
          <w:color w:val="auto"/>
          <w:highlight w:val="none"/>
          <w:u w:val="single"/>
          <w:lang w:val="en-US" w:eastAsia="zh-CN"/>
        </w:rPr>
        <w:t>2.4.4</w:t>
      </w:r>
      <w:r>
        <w:rPr>
          <w:rFonts w:hint="eastAsia"/>
          <w:color w:val="auto"/>
          <w:highlight w:val="none"/>
          <w:u w:val="single"/>
        </w:rPr>
        <w:t>.2 最小工作平盘宽度</w:t>
      </w:r>
    </w:p>
    <w:p>
      <w:pPr>
        <w:bidi w:val="0"/>
        <w:rPr>
          <w:rFonts w:hint="eastAsia" w:ascii="宋体" w:hAnsi="宋体" w:eastAsia="宋体"/>
          <w:color w:val="auto"/>
          <w:highlight w:val="none"/>
          <w:u w:val="single"/>
        </w:rPr>
      </w:pPr>
      <w:r>
        <w:rPr>
          <w:rFonts w:hint="default" w:ascii="Times New Roman" w:hAnsi="Times New Roman" w:cs="Times New Roman"/>
          <w:color w:val="auto"/>
          <w:highlight w:val="none"/>
          <w:u w:val="single"/>
        </w:rPr>
        <w:t>根据《中华人民共和国地质矿产行业标准》(DZ</w:t>
      </w:r>
      <w:r>
        <w:rPr>
          <w:rFonts w:hint="eastAsia" w:ascii="Times New Roman" w:hAnsi="Times New Roman" w:cs="Times New Roman"/>
          <w:color w:val="auto"/>
          <w:highlight w:val="none"/>
          <w:u w:val="single"/>
          <w:lang w:val="en-US" w:eastAsia="zh-CN"/>
        </w:rPr>
        <w:t>/</w:t>
      </w:r>
      <w:r>
        <w:rPr>
          <w:rFonts w:hint="default" w:ascii="Times New Roman" w:hAnsi="Times New Roman" w:cs="Times New Roman"/>
          <w:color w:val="auto"/>
          <w:highlight w:val="none"/>
          <w:u w:val="single"/>
        </w:rPr>
        <w:t>T0213—2002)的有关要求，结合建筑石料用灰岩开采方法和地形特点，确定该采石场最终最小底宽为40m。本采石场开采终了时，采场设计方案的底宽为180m 左右，完全满足最终底宽要求。最小工作底盘宽度计算公式：</w:t>
      </w:r>
    </w:p>
    <w:p>
      <w:pPr>
        <w:spacing w:beforeLines="0" w:afterLines="0"/>
        <w:jc w:val="center"/>
        <w:rPr>
          <w:rFonts w:hint="eastAsia" w:ascii="宋体" w:hAnsi="宋体" w:eastAsia="宋体"/>
          <w:color w:val="auto"/>
          <w:sz w:val="24"/>
          <w:highlight w:val="none"/>
          <w:u w:val="single"/>
        </w:rPr>
      </w:pPr>
      <w:r>
        <w:rPr>
          <w:rFonts w:hint="eastAsia" w:ascii="TimesNewRomanPSMT" w:hAnsi="TimesNewRomanPSMT" w:eastAsia="TimesNewRomanPSMT"/>
          <w:color w:val="auto"/>
          <w:sz w:val="24"/>
          <w:highlight w:val="none"/>
          <w:u w:val="single"/>
        </w:rPr>
        <w:t>B</w:t>
      </w:r>
      <w:r>
        <w:rPr>
          <w:rFonts w:hint="eastAsia" w:ascii="TimesNewRomanPSMT" w:hAnsi="TimesNewRomanPSMT" w:eastAsia="TimesNewRomanPSMT"/>
          <w:color w:val="auto"/>
          <w:sz w:val="16"/>
          <w:highlight w:val="none"/>
          <w:u w:val="single"/>
        </w:rPr>
        <w:t xml:space="preserve">min </w:t>
      </w:r>
      <w:r>
        <w:rPr>
          <w:rFonts w:hint="eastAsia" w:ascii="TimesNewRomanPSMT" w:hAnsi="TimesNewRomanPSMT" w:eastAsia="TimesNewRomanPSMT"/>
          <w:color w:val="auto"/>
          <w:sz w:val="24"/>
          <w:highlight w:val="none"/>
          <w:u w:val="single"/>
        </w:rPr>
        <w:t>= b+c+d+e = 8+2+10+5 =25</w:t>
      </w:r>
      <w:r>
        <w:rPr>
          <w:rFonts w:hint="eastAsia" w:ascii="宋体" w:hAnsi="宋体" w:eastAsia="宋体"/>
          <w:color w:val="auto"/>
          <w:sz w:val="24"/>
          <w:highlight w:val="none"/>
          <w:u w:val="single"/>
        </w:rPr>
        <w:t>米</w:t>
      </w:r>
    </w:p>
    <w:p>
      <w:pPr>
        <w:spacing w:beforeLines="0" w:afterLines="0"/>
        <w:jc w:val="left"/>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式中：</w:t>
      </w:r>
      <w:r>
        <w:rPr>
          <w:rFonts w:hint="default" w:ascii="Times New Roman" w:hAnsi="Times New Roman" w:eastAsia="TimesNewRomanPSMT" w:cs="Times New Roman"/>
          <w:color w:val="auto"/>
          <w:sz w:val="24"/>
          <w:szCs w:val="24"/>
          <w:highlight w:val="none"/>
          <w:u w:val="single"/>
        </w:rPr>
        <w:t>B</w:t>
      </w:r>
      <w:r>
        <w:rPr>
          <w:rFonts w:hint="default" w:ascii="Times New Roman" w:hAnsi="Times New Roman" w:eastAsia="TimesNewRomanPSMT" w:cs="Times New Roman"/>
          <w:color w:val="auto"/>
          <w:sz w:val="24"/>
          <w:szCs w:val="24"/>
          <w:highlight w:val="none"/>
          <w:u w:val="single"/>
          <w:vertAlign w:val="subscript"/>
        </w:rPr>
        <w:t>min</w:t>
      </w:r>
      <w:r>
        <w:rPr>
          <w:rFonts w:hint="default" w:ascii="Times New Roman" w:hAnsi="Times New Roman" w:eastAsia="宋体" w:cs="Times New Roman"/>
          <w:color w:val="auto"/>
          <w:sz w:val="24"/>
          <w:szCs w:val="24"/>
          <w:highlight w:val="none"/>
          <w:u w:val="single"/>
        </w:rPr>
        <w:t>——最小工作底盘宽度，米；</w:t>
      </w:r>
    </w:p>
    <w:p>
      <w:pPr>
        <w:spacing w:beforeLines="0" w:afterLines="0"/>
        <w:jc w:val="left"/>
        <w:rPr>
          <w:rFonts w:hint="default" w:ascii="Times New Roman" w:hAnsi="Times New Roman" w:eastAsia="宋体" w:cs="Times New Roman"/>
          <w:color w:val="auto"/>
          <w:sz w:val="24"/>
          <w:szCs w:val="24"/>
          <w:highlight w:val="none"/>
          <w:u w:val="single"/>
        </w:rPr>
      </w:pPr>
      <w:r>
        <w:rPr>
          <w:rFonts w:hint="default" w:ascii="Times New Roman" w:hAnsi="Times New Roman" w:eastAsia="TimesNewRomanPSMT" w:cs="Times New Roman"/>
          <w:color w:val="auto"/>
          <w:sz w:val="24"/>
          <w:szCs w:val="24"/>
          <w:highlight w:val="none"/>
          <w:u w:val="single"/>
        </w:rPr>
        <w:t>b</w:t>
      </w:r>
      <w:r>
        <w:rPr>
          <w:rFonts w:hint="default" w:ascii="Times New Roman" w:hAnsi="Times New Roman" w:eastAsia="宋体" w:cs="Times New Roman"/>
          <w:color w:val="auto"/>
          <w:sz w:val="24"/>
          <w:szCs w:val="24"/>
          <w:highlight w:val="none"/>
          <w:u w:val="single"/>
        </w:rPr>
        <w:t>——矿堆宽度，b=8米；</w:t>
      </w:r>
    </w:p>
    <w:p>
      <w:pPr>
        <w:spacing w:beforeLines="0" w:afterLines="0"/>
        <w:jc w:val="left"/>
        <w:rPr>
          <w:rFonts w:hint="default" w:ascii="Times New Roman" w:hAnsi="Times New Roman" w:eastAsia="宋体" w:cs="Times New Roman"/>
          <w:color w:val="auto"/>
          <w:sz w:val="24"/>
          <w:szCs w:val="24"/>
          <w:highlight w:val="none"/>
          <w:u w:val="single"/>
        </w:rPr>
      </w:pPr>
      <w:r>
        <w:rPr>
          <w:rFonts w:hint="default" w:ascii="Times New Roman" w:hAnsi="Times New Roman" w:eastAsia="TimesNewRomanPSMT" w:cs="Times New Roman"/>
          <w:color w:val="auto"/>
          <w:sz w:val="24"/>
          <w:szCs w:val="24"/>
          <w:highlight w:val="none"/>
          <w:u w:val="single"/>
        </w:rPr>
        <w:t>c</w:t>
      </w:r>
      <w:r>
        <w:rPr>
          <w:rFonts w:hint="default" w:ascii="Times New Roman" w:hAnsi="Times New Roman" w:eastAsia="宋体" w:cs="Times New Roman"/>
          <w:color w:val="auto"/>
          <w:sz w:val="24"/>
          <w:szCs w:val="24"/>
          <w:highlight w:val="none"/>
          <w:u w:val="single"/>
        </w:rPr>
        <w:t>——矿堆底线至汽车边缘的距离，c=2米；</w:t>
      </w:r>
    </w:p>
    <w:p>
      <w:pPr>
        <w:spacing w:beforeLines="0" w:afterLines="0"/>
        <w:jc w:val="left"/>
        <w:rPr>
          <w:rFonts w:hint="default" w:ascii="Times New Roman" w:hAnsi="Times New Roman" w:eastAsia="宋体" w:cs="Times New Roman"/>
          <w:color w:val="auto"/>
          <w:sz w:val="24"/>
          <w:szCs w:val="24"/>
          <w:highlight w:val="none"/>
          <w:u w:val="single"/>
        </w:rPr>
      </w:pPr>
      <w:r>
        <w:rPr>
          <w:rFonts w:hint="default" w:ascii="Times New Roman" w:hAnsi="Times New Roman" w:eastAsia="TimesNewRomanPSMT" w:cs="Times New Roman"/>
          <w:color w:val="auto"/>
          <w:sz w:val="24"/>
          <w:szCs w:val="24"/>
          <w:highlight w:val="none"/>
          <w:u w:val="single"/>
        </w:rPr>
        <w:t>d</w:t>
      </w:r>
      <w:r>
        <w:rPr>
          <w:rFonts w:hint="default" w:ascii="Times New Roman" w:hAnsi="Times New Roman" w:eastAsia="宋体" w:cs="Times New Roman"/>
          <w:color w:val="auto"/>
          <w:sz w:val="24"/>
          <w:szCs w:val="24"/>
          <w:highlight w:val="none"/>
          <w:u w:val="single"/>
        </w:rPr>
        <w:t>——车辆运行宽度，d=10米；</w:t>
      </w:r>
    </w:p>
    <w:p>
      <w:pPr>
        <w:ind w:firstLine="480"/>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e——安全宽度，e=5米。</w:t>
      </w:r>
    </w:p>
    <w:p>
      <w:pPr>
        <w:pStyle w:val="6"/>
        <w:bidi w:val="0"/>
        <w:rPr>
          <w:rFonts w:hint="eastAsia"/>
          <w:color w:val="auto"/>
          <w:highlight w:val="none"/>
          <w:u w:val="single"/>
        </w:rPr>
      </w:pPr>
      <w:r>
        <w:rPr>
          <w:rFonts w:hint="eastAsia"/>
          <w:color w:val="auto"/>
          <w:highlight w:val="none"/>
          <w:u w:val="single"/>
          <w:lang w:val="en-US" w:eastAsia="zh-CN"/>
        </w:rPr>
        <w:t>2.4.4</w:t>
      </w:r>
      <w:r>
        <w:rPr>
          <w:rFonts w:hint="eastAsia"/>
          <w:color w:val="auto"/>
          <w:highlight w:val="none"/>
          <w:u w:val="single"/>
        </w:rPr>
        <w:t>.3 露天开采最终境界</w:t>
      </w:r>
    </w:p>
    <w:p>
      <w:pPr>
        <w:bidi w:val="0"/>
        <w:rPr>
          <w:rFonts w:hint="eastAsia" w:ascii="宋体" w:hAnsi="宋体" w:eastAsia="宋体"/>
          <w:color w:val="auto"/>
          <w:sz w:val="24"/>
          <w:highlight w:val="none"/>
          <w:u w:val="single"/>
        </w:rPr>
      </w:pPr>
      <w:r>
        <w:rPr>
          <w:rFonts w:hint="eastAsia"/>
          <w:color w:val="auto"/>
          <w:highlight w:val="none"/>
          <w:u w:val="single"/>
        </w:rPr>
        <w:t>按上述最小宽度、深度、边坡要素，在剖面图及最终境界图上从开采底界线上或最突出的部位起划至地表相交点，然后将这些点用圆滑曲线相连并绘制到平面图上，即为露天开采的最终境界。最终境界水平投影大致呈不规则多边形，主斜坡向南西倾斜。采场最</w:t>
      </w:r>
      <w:r>
        <w:rPr>
          <w:rFonts w:hint="eastAsia" w:ascii="宋体" w:hAnsi="宋体" w:eastAsia="宋体"/>
          <w:color w:val="auto"/>
          <w:sz w:val="24"/>
          <w:highlight w:val="none"/>
          <w:u w:val="single"/>
        </w:rPr>
        <w:t>终底盘位于矿区中部，采场最终底盘标高即为最低开采标高（</w:t>
      </w:r>
      <w:r>
        <w:rPr>
          <w:rFonts w:hint="eastAsia" w:ascii="TimesNewRomanPSMT" w:hAnsi="TimesNewRomanPSMT" w:eastAsia="TimesNewRomanPSMT"/>
          <w:color w:val="auto"/>
          <w:sz w:val="24"/>
          <w:highlight w:val="none"/>
          <w:u w:val="single"/>
        </w:rPr>
        <w:t>+227m</w:t>
      </w:r>
      <w:r>
        <w:rPr>
          <w:rFonts w:hint="eastAsia" w:ascii="宋体" w:hAnsi="宋体" w:eastAsia="宋体"/>
          <w:color w:val="auto"/>
          <w:sz w:val="24"/>
          <w:highlight w:val="none"/>
          <w:u w:val="single"/>
        </w:rPr>
        <w:t>）。</w:t>
      </w:r>
    </w:p>
    <w:p>
      <w:pPr>
        <w:pStyle w:val="6"/>
        <w:bidi w:val="0"/>
        <w:rPr>
          <w:rFonts w:hint="eastAsia"/>
          <w:color w:val="auto"/>
          <w:highlight w:val="none"/>
          <w:u w:val="single"/>
        </w:rPr>
      </w:pPr>
      <w:r>
        <w:rPr>
          <w:rFonts w:hint="eastAsia"/>
          <w:color w:val="auto"/>
          <w:highlight w:val="none"/>
          <w:u w:val="single"/>
          <w:lang w:val="en-US" w:eastAsia="zh-CN"/>
        </w:rPr>
        <w:t>2.4.4</w:t>
      </w:r>
      <w:r>
        <w:rPr>
          <w:rFonts w:hint="eastAsia"/>
          <w:color w:val="auto"/>
          <w:highlight w:val="none"/>
          <w:u w:val="single"/>
        </w:rPr>
        <w:t>.4 爆破警戒安全范围</w:t>
      </w:r>
    </w:p>
    <w:p>
      <w:pPr>
        <w:bidi w:val="0"/>
        <w:rPr>
          <w:rFonts w:hint="eastAsia"/>
          <w:color w:val="auto"/>
          <w:highlight w:val="none"/>
          <w:u w:val="single"/>
        </w:rPr>
      </w:pPr>
      <w:r>
        <w:rPr>
          <w:rFonts w:hint="eastAsia"/>
          <w:color w:val="auto"/>
          <w:highlight w:val="none"/>
          <w:u w:val="single"/>
        </w:rPr>
        <w:t>爆破警戒安全范围以爆破点为中心，背坡半径350 m、水平半径350m、迎坡半径400m来圈定。</w:t>
      </w:r>
    </w:p>
    <w:p>
      <w:pPr>
        <w:pStyle w:val="5"/>
        <w:bidi w:val="0"/>
        <w:rPr>
          <w:rFonts w:hint="eastAsia"/>
          <w:color w:val="auto"/>
          <w:highlight w:val="none"/>
          <w:u w:val="single"/>
        </w:rPr>
      </w:pPr>
      <w:r>
        <w:rPr>
          <w:rFonts w:hint="eastAsia"/>
          <w:color w:val="auto"/>
          <w:highlight w:val="none"/>
          <w:u w:val="single"/>
          <w:lang w:val="en-US" w:eastAsia="zh-CN"/>
        </w:rPr>
        <w:t>2.4.5</w:t>
      </w:r>
      <w:r>
        <w:rPr>
          <w:rFonts w:hint="eastAsia"/>
          <w:color w:val="auto"/>
          <w:highlight w:val="none"/>
          <w:u w:val="single"/>
        </w:rPr>
        <w:t xml:space="preserve"> 采矿开拓系统和开采总顺序</w:t>
      </w:r>
    </w:p>
    <w:p>
      <w:pPr>
        <w:pStyle w:val="6"/>
        <w:bidi w:val="0"/>
        <w:rPr>
          <w:rFonts w:hint="eastAsia"/>
          <w:color w:val="auto"/>
          <w:highlight w:val="none"/>
          <w:u w:val="single"/>
        </w:rPr>
      </w:pPr>
      <w:r>
        <w:rPr>
          <w:rFonts w:hint="eastAsia"/>
          <w:color w:val="auto"/>
          <w:highlight w:val="none"/>
          <w:u w:val="single"/>
          <w:lang w:val="en-US" w:eastAsia="zh-CN"/>
        </w:rPr>
        <w:t>2.4.5</w:t>
      </w:r>
      <w:r>
        <w:rPr>
          <w:rFonts w:hint="eastAsia"/>
          <w:color w:val="auto"/>
          <w:highlight w:val="none"/>
          <w:u w:val="single"/>
        </w:rPr>
        <w:t>.1 开拓系统和台阶的设计施工</w:t>
      </w:r>
    </w:p>
    <w:p>
      <w:pPr>
        <w:bidi w:val="0"/>
        <w:rPr>
          <w:rFonts w:hint="default" w:ascii="Times New Roman" w:hAnsi="Times New Roman" w:eastAsia="宋体" w:cs="Times New Roman"/>
          <w:color w:val="auto"/>
          <w:highlight w:val="none"/>
          <w:u w:val="single"/>
        </w:rPr>
      </w:pPr>
      <w:r>
        <w:rPr>
          <w:rFonts w:hint="default"/>
          <w:color w:val="auto"/>
          <w:highlight w:val="none"/>
          <w:u w:val="single"/>
        </w:rPr>
        <w:t>矿山开拓是开辟矿山工业场区到采场内各工作台阶之间的运输通路及到排土场的运输通路。开拓运输系统担负着将矿块从采场工作面运到荒料堆场或转运站；将废石、覆盖土运到排土场；将设备、工具、材料和工作人员运到采场各工作面。本矿山设计采用公路开拓—汽车运输开拓方案，开拓系统具体施工如下：</w:t>
      </w:r>
    </w:p>
    <w:p>
      <w:pPr>
        <w:spacing w:beforeLines="0" w:afterLines="0"/>
        <w:jc w:val="left"/>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u w:val="single"/>
        </w:rPr>
        <w:t>根据矿山生产过程中必须</w:t>
      </w:r>
      <w:r>
        <w:rPr>
          <w:rFonts w:hint="eastAsia" w:ascii="Times New Roman" w:hAnsi="Times New Roman" w:cs="Times New Roman"/>
          <w:color w:val="auto"/>
          <w:sz w:val="24"/>
          <w:highlight w:val="none"/>
          <w:u w:val="single"/>
          <w:lang w:eastAsia="zh-CN"/>
        </w:rPr>
        <w:t>“</w:t>
      </w:r>
      <w:r>
        <w:rPr>
          <w:rFonts w:hint="default" w:ascii="Times New Roman" w:hAnsi="Times New Roman" w:eastAsia="宋体" w:cs="Times New Roman"/>
          <w:color w:val="auto"/>
          <w:sz w:val="24"/>
          <w:highlight w:val="none"/>
          <w:u w:val="single"/>
        </w:rPr>
        <w:t>采剥并举，剥离先行</w:t>
      </w:r>
      <w:r>
        <w:rPr>
          <w:rFonts w:hint="eastAsia" w:ascii="Times New Roman" w:hAnsi="Times New Roman" w:cs="Times New Roman"/>
          <w:color w:val="auto"/>
          <w:sz w:val="24"/>
          <w:highlight w:val="none"/>
          <w:u w:val="single"/>
          <w:lang w:eastAsia="zh-CN"/>
        </w:rPr>
        <w:t>”</w:t>
      </w:r>
      <w:r>
        <w:rPr>
          <w:rFonts w:hint="default" w:ascii="Times New Roman" w:hAnsi="Times New Roman" w:eastAsia="宋体" w:cs="Times New Roman"/>
          <w:color w:val="auto"/>
          <w:sz w:val="24"/>
          <w:highlight w:val="none"/>
          <w:u w:val="single"/>
        </w:rPr>
        <w:t>的原则，用潜孔钻机凿岩开路，使用乳化炸药爆破切割表土岩石，在已有的矿山公路的基础上，在矿区东南侧修筑一条</w:t>
      </w:r>
      <w:r>
        <w:rPr>
          <w:rFonts w:hint="default" w:ascii="Times New Roman" w:hAnsi="Times New Roman" w:eastAsia="TimesNewRomanPSMT" w:cs="Times New Roman"/>
          <w:color w:val="auto"/>
          <w:sz w:val="24"/>
          <w:highlight w:val="none"/>
          <w:u w:val="single"/>
        </w:rPr>
        <w:t>5.0m</w:t>
      </w:r>
      <w:r>
        <w:rPr>
          <w:rFonts w:hint="default" w:ascii="Times New Roman" w:hAnsi="Times New Roman" w:eastAsia="宋体" w:cs="Times New Roman"/>
          <w:color w:val="auto"/>
          <w:sz w:val="24"/>
          <w:highlight w:val="none"/>
          <w:u w:val="single"/>
        </w:rPr>
        <w:t>宽的矿山公路至</w:t>
      </w:r>
      <w:r>
        <w:rPr>
          <w:rFonts w:hint="default" w:ascii="Times New Roman" w:hAnsi="Times New Roman" w:eastAsia="TimesNewRomanPSMT" w:cs="Times New Roman"/>
          <w:color w:val="auto"/>
          <w:sz w:val="24"/>
          <w:highlight w:val="none"/>
          <w:u w:val="single"/>
        </w:rPr>
        <w:t>+447m</w:t>
      </w:r>
      <w:r>
        <w:rPr>
          <w:rFonts w:hint="default" w:ascii="Times New Roman" w:hAnsi="Times New Roman" w:eastAsia="宋体" w:cs="Times New Roman"/>
          <w:color w:val="auto"/>
          <w:sz w:val="24"/>
          <w:highlight w:val="none"/>
          <w:u w:val="single"/>
        </w:rPr>
        <w:t>标高，每隔</w:t>
      </w:r>
      <w:r>
        <w:rPr>
          <w:rFonts w:hint="default" w:ascii="Times New Roman" w:hAnsi="Times New Roman" w:eastAsia="TimesNewRomanPSMT" w:cs="Times New Roman"/>
          <w:color w:val="auto"/>
          <w:sz w:val="24"/>
          <w:highlight w:val="none"/>
          <w:u w:val="single"/>
        </w:rPr>
        <w:t>50</w:t>
      </w:r>
      <w:r>
        <w:rPr>
          <w:rFonts w:hint="default" w:ascii="Times New Roman" w:hAnsi="Times New Roman" w:eastAsia="宋体" w:cs="Times New Roman"/>
          <w:color w:val="auto"/>
          <w:sz w:val="24"/>
          <w:highlight w:val="none"/>
          <w:u w:val="single"/>
        </w:rPr>
        <w:t>～</w:t>
      </w:r>
      <w:r>
        <w:rPr>
          <w:rFonts w:hint="default" w:ascii="Times New Roman" w:hAnsi="Times New Roman" w:eastAsia="TimesNewRomanPSMT" w:cs="Times New Roman"/>
          <w:color w:val="auto"/>
          <w:sz w:val="24"/>
          <w:highlight w:val="none"/>
          <w:u w:val="single"/>
        </w:rPr>
        <w:t>100m</w:t>
      </w:r>
      <w:r>
        <w:rPr>
          <w:rFonts w:hint="default" w:ascii="Times New Roman" w:hAnsi="Times New Roman" w:eastAsia="宋体" w:cs="Times New Roman"/>
          <w:color w:val="auto"/>
          <w:sz w:val="24"/>
          <w:highlight w:val="none"/>
          <w:u w:val="single"/>
        </w:rPr>
        <w:t>设置一个汽车避让处。然后即可开始剥土，剥离的围岩及表土装车后运至排碴场，采下的矿石装车后运至堆矿场或直接外运。通过出入沟把矿山平台和开拓公路连接起来，修建的斜坡道坡度为</w:t>
      </w:r>
      <w:r>
        <w:rPr>
          <w:rFonts w:hint="default" w:ascii="Times New Roman" w:hAnsi="Times New Roman" w:eastAsia="TimesNewRomanPSMT" w:cs="Times New Roman"/>
          <w:color w:val="auto"/>
          <w:sz w:val="24"/>
          <w:highlight w:val="none"/>
          <w:u w:val="single"/>
        </w:rPr>
        <w:t>10°</w:t>
      </w:r>
      <w:r>
        <w:rPr>
          <w:rFonts w:hint="default" w:ascii="Times New Roman" w:hAnsi="Times New Roman" w:eastAsia="宋体" w:cs="Times New Roman"/>
          <w:color w:val="auto"/>
          <w:sz w:val="24"/>
          <w:highlight w:val="none"/>
          <w:u w:val="single"/>
        </w:rPr>
        <w:t>～</w:t>
      </w:r>
      <w:r>
        <w:rPr>
          <w:rFonts w:hint="default" w:ascii="Times New Roman" w:hAnsi="Times New Roman" w:eastAsia="TimesNewRomanPSMT" w:cs="Times New Roman"/>
          <w:color w:val="auto"/>
          <w:sz w:val="24"/>
          <w:highlight w:val="none"/>
          <w:u w:val="single"/>
        </w:rPr>
        <w:t>15°</w:t>
      </w:r>
      <w:r>
        <w:rPr>
          <w:rFonts w:hint="default" w:ascii="Times New Roman" w:hAnsi="Times New Roman" w:eastAsia="宋体" w:cs="Times New Roman"/>
          <w:color w:val="auto"/>
          <w:sz w:val="24"/>
          <w:highlight w:val="none"/>
          <w:u w:val="single"/>
        </w:rPr>
        <w:t>，采用直进式设计。简易公路的顶端和两边还要开挖布置好排水沟以防雨水冲刷路面，设计如下：</w:t>
      </w:r>
    </w:p>
    <w:p>
      <w:pPr>
        <w:bidi w:val="0"/>
        <w:rPr>
          <w:rFonts w:hint="eastAsia"/>
          <w:color w:val="auto"/>
          <w:highlight w:val="none"/>
          <w:u w:val="single"/>
        </w:rPr>
      </w:pPr>
      <w:r>
        <w:rPr>
          <w:rFonts w:hint="eastAsia"/>
          <w:color w:val="auto"/>
          <w:highlight w:val="none"/>
          <w:u w:val="single"/>
        </w:rPr>
        <w:t>1、路基宽度</w:t>
      </w:r>
    </w:p>
    <w:p>
      <w:pPr>
        <w:bidi w:val="0"/>
        <w:rPr>
          <w:rFonts w:hint="eastAsia"/>
          <w:color w:val="auto"/>
          <w:highlight w:val="none"/>
          <w:u w:val="single"/>
        </w:rPr>
      </w:pPr>
      <w:r>
        <w:rPr>
          <w:rFonts w:hint="eastAsia"/>
          <w:color w:val="auto"/>
          <w:highlight w:val="none"/>
          <w:u w:val="single"/>
        </w:rPr>
        <w:t>根据矿山所使用的运输设备及公路的行车道数，路基宽度最小取5m。</w:t>
      </w:r>
    </w:p>
    <w:p>
      <w:pPr>
        <w:bidi w:val="0"/>
        <w:rPr>
          <w:rFonts w:hint="eastAsia"/>
          <w:color w:val="auto"/>
          <w:highlight w:val="none"/>
          <w:u w:val="single"/>
        </w:rPr>
      </w:pPr>
      <w:r>
        <w:rPr>
          <w:rFonts w:hint="eastAsia"/>
          <w:color w:val="auto"/>
          <w:highlight w:val="none"/>
          <w:u w:val="single"/>
        </w:rPr>
        <w:t>2、路面横坡：根据路面的类型，路面横坡取2%。</w:t>
      </w:r>
    </w:p>
    <w:p>
      <w:pPr>
        <w:bidi w:val="0"/>
        <w:rPr>
          <w:rFonts w:hint="eastAsia"/>
          <w:color w:val="auto"/>
          <w:highlight w:val="none"/>
          <w:u w:val="single"/>
        </w:rPr>
      </w:pPr>
      <w:r>
        <w:rPr>
          <w:rFonts w:hint="eastAsia"/>
          <w:color w:val="auto"/>
          <w:highlight w:val="none"/>
          <w:u w:val="single"/>
        </w:rPr>
        <w:t>3、路基边坡：因路基为岩石路基，考虑到公路排水问题，路基边坡取2%。</w:t>
      </w:r>
    </w:p>
    <w:p>
      <w:pPr>
        <w:bidi w:val="0"/>
        <w:rPr>
          <w:rFonts w:hint="eastAsia"/>
          <w:color w:val="auto"/>
          <w:highlight w:val="none"/>
          <w:u w:val="single"/>
        </w:rPr>
      </w:pPr>
      <w:r>
        <w:rPr>
          <w:rFonts w:hint="eastAsia"/>
          <w:color w:val="auto"/>
          <w:highlight w:val="none"/>
          <w:u w:val="single"/>
        </w:rPr>
        <w:t>4、公路的平面要素</w:t>
      </w:r>
    </w:p>
    <w:p>
      <w:pPr>
        <w:bidi w:val="0"/>
        <w:rPr>
          <w:rFonts w:hint="eastAsia"/>
          <w:color w:val="auto"/>
          <w:highlight w:val="none"/>
          <w:u w:val="single"/>
        </w:rPr>
      </w:pPr>
      <w:r>
        <w:rPr>
          <w:rFonts w:hint="eastAsia"/>
          <w:color w:val="auto"/>
          <w:highlight w:val="none"/>
          <w:u w:val="single"/>
        </w:rPr>
        <w:t>回头曲线半径取25 m，超高横坡取4%，曲线加宽采用内侧加宽，加宽值为1.8 米。加宽值从直线部分或缓和曲线段上逐渐加宽至圆曲线，超高缓和曲线长度取15 米。</w:t>
      </w:r>
    </w:p>
    <w:p>
      <w:pPr>
        <w:bidi w:val="0"/>
        <w:rPr>
          <w:rFonts w:hint="eastAsia"/>
          <w:color w:val="auto"/>
          <w:highlight w:val="none"/>
          <w:u w:val="single"/>
        </w:rPr>
      </w:pPr>
      <w:r>
        <w:rPr>
          <w:rFonts w:hint="eastAsia"/>
          <w:color w:val="auto"/>
          <w:highlight w:val="none"/>
          <w:u w:val="single"/>
        </w:rPr>
        <w:t>5、公路的纵断面要素</w:t>
      </w:r>
    </w:p>
    <w:p>
      <w:pPr>
        <w:bidi w:val="0"/>
        <w:rPr>
          <w:rFonts w:hint="eastAsia"/>
          <w:color w:val="auto"/>
          <w:highlight w:val="none"/>
          <w:u w:val="single"/>
        </w:rPr>
      </w:pPr>
      <w:r>
        <w:rPr>
          <w:rFonts w:hint="eastAsia"/>
          <w:color w:val="auto"/>
          <w:highlight w:val="none"/>
          <w:u w:val="single"/>
        </w:rPr>
        <w:t>线路的最大纵坡取15%，平均坡度值取8%（坡度值的确定是根据冶金工业出版的《矿山运输及提升》1984 年11 月第一版而定），坡长的最大允许值按规定执行。转弯路段的纵坡折减按《冶金矿山设计手册》（露天开采部分）执行。竖曲线半径：凸形为250m，凹形为100m。</w:t>
      </w:r>
    </w:p>
    <w:p>
      <w:pPr>
        <w:bidi w:val="0"/>
        <w:rPr>
          <w:rFonts w:hint="eastAsia"/>
          <w:color w:val="auto"/>
          <w:highlight w:val="none"/>
          <w:u w:val="single"/>
        </w:rPr>
      </w:pPr>
      <w:r>
        <w:rPr>
          <w:rFonts w:hint="eastAsia"/>
          <w:color w:val="auto"/>
          <w:highlight w:val="none"/>
          <w:u w:val="single"/>
        </w:rPr>
        <w:t>6、回头曲线</w:t>
      </w:r>
    </w:p>
    <w:p>
      <w:pPr>
        <w:bidi w:val="0"/>
        <w:rPr>
          <w:rFonts w:hint="eastAsia"/>
          <w:color w:val="auto"/>
          <w:highlight w:val="none"/>
          <w:u w:val="single"/>
        </w:rPr>
      </w:pPr>
      <w:r>
        <w:rPr>
          <w:rFonts w:hint="eastAsia"/>
          <w:color w:val="auto"/>
          <w:highlight w:val="none"/>
          <w:u w:val="single"/>
        </w:rPr>
        <w:t>主曲线半径为15m，辅助线半径为25m，主曲线超高横坡为6%，最小超高缓和长度为10m,最小计算视距为45m，最小竖曲线半径按纵坡最小竖曲线半径执行。</w:t>
      </w:r>
    </w:p>
    <w:p>
      <w:pPr>
        <w:bidi w:val="0"/>
        <w:rPr>
          <w:rFonts w:hint="eastAsia"/>
          <w:color w:val="auto"/>
          <w:highlight w:val="none"/>
          <w:u w:val="single"/>
        </w:rPr>
      </w:pPr>
      <w:r>
        <w:rPr>
          <w:rFonts w:hint="eastAsia"/>
          <w:color w:val="auto"/>
          <w:highlight w:val="none"/>
          <w:u w:val="single"/>
        </w:rPr>
        <w:t>7、公路的施工</w:t>
      </w:r>
    </w:p>
    <w:p>
      <w:pPr>
        <w:bidi w:val="0"/>
        <w:rPr>
          <w:rFonts w:hint="eastAsia" w:ascii="宋体" w:hAnsi="宋体" w:eastAsia="宋体"/>
          <w:color w:val="auto"/>
          <w:sz w:val="24"/>
          <w:highlight w:val="none"/>
          <w:u w:val="single"/>
        </w:rPr>
      </w:pPr>
      <w:r>
        <w:rPr>
          <w:rFonts w:hint="eastAsia"/>
          <w:color w:val="auto"/>
          <w:highlight w:val="none"/>
          <w:u w:val="single"/>
        </w:rPr>
        <w:t>在施工前，做好测量放线工作，布设公路导程控制柱，定出公路沿线的位置，然后组织施工。路堑的开挖采用挖掘机开挖及爆破方法，产生的石碴采用汽车运至排土场或排至</w:t>
      </w:r>
      <w:r>
        <w:rPr>
          <w:rFonts w:hint="eastAsia" w:ascii="宋体" w:hAnsi="宋体" w:eastAsia="宋体"/>
          <w:color w:val="auto"/>
          <w:sz w:val="24"/>
          <w:highlight w:val="none"/>
          <w:u w:val="single"/>
        </w:rPr>
        <w:t>路边。道路垫层及面层的施工采用汽车运料人工摊铺方式，辗压采用压路机辗压。</w:t>
      </w:r>
    </w:p>
    <w:p>
      <w:pPr>
        <w:pStyle w:val="6"/>
        <w:bidi w:val="0"/>
        <w:rPr>
          <w:rFonts w:hint="eastAsia"/>
          <w:color w:val="auto"/>
          <w:highlight w:val="none"/>
          <w:u w:val="single"/>
        </w:rPr>
      </w:pPr>
      <w:r>
        <w:rPr>
          <w:rFonts w:hint="eastAsia"/>
          <w:color w:val="auto"/>
          <w:highlight w:val="none"/>
          <w:u w:val="single"/>
          <w:lang w:val="en-US" w:eastAsia="zh-CN"/>
        </w:rPr>
        <w:t>2.4.5</w:t>
      </w:r>
      <w:r>
        <w:rPr>
          <w:rFonts w:hint="eastAsia"/>
          <w:color w:val="auto"/>
          <w:highlight w:val="none"/>
          <w:u w:val="single"/>
        </w:rPr>
        <w:t>.2 开采总顺序</w:t>
      </w:r>
    </w:p>
    <w:p>
      <w:pPr>
        <w:bidi w:val="0"/>
        <w:rPr>
          <w:rFonts w:hint="eastAsia"/>
          <w:color w:val="auto"/>
          <w:highlight w:val="none"/>
          <w:u w:val="single"/>
        </w:rPr>
      </w:pPr>
      <w:r>
        <w:rPr>
          <w:rFonts w:hint="eastAsia"/>
          <w:color w:val="auto"/>
          <w:highlight w:val="none"/>
          <w:u w:val="single"/>
        </w:rPr>
        <w:t>竖直方向：各采剥带均以标高最高处开始采剥，设采准工作平台和由采剥带组成阶梯式台阶，自上而下进行开采。总体从上到下按水平分层剥采，采剥台阶高度为≤15m。</w:t>
      </w:r>
    </w:p>
    <w:p>
      <w:pPr>
        <w:bidi w:val="0"/>
        <w:rPr>
          <w:rFonts w:hint="default"/>
          <w:color w:val="auto"/>
          <w:highlight w:val="none"/>
          <w:u w:val="single"/>
          <w:lang w:val="en-US" w:eastAsia="zh-CN"/>
        </w:rPr>
      </w:pPr>
      <w:r>
        <w:rPr>
          <w:rFonts w:hint="eastAsia"/>
          <w:color w:val="auto"/>
          <w:highlight w:val="none"/>
          <w:u w:val="single"/>
        </w:rPr>
        <w:t>水平方向：根据矿山地形情况及运输系统，工作面采掘方向从北面推进，逐步向南推进。</w:t>
      </w:r>
    </w:p>
    <w:p>
      <w:pPr>
        <w:pStyle w:val="4"/>
        <w:rPr>
          <w:rFonts w:ascii="Times New Roman" w:hAnsi="Times New Roman" w:eastAsia="宋体"/>
          <w:color w:val="auto"/>
          <w:highlight w:val="none"/>
        </w:rPr>
      </w:pPr>
      <w:bookmarkStart w:id="124" w:name="_Toc8403"/>
      <w:r>
        <w:rPr>
          <w:rFonts w:ascii="Times New Roman" w:hAnsi="Times New Roman" w:eastAsia="宋体"/>
          <w:color w:val="auto"/>
          <w:highlight w:val="none"/>
        </w:rPr>
        <w:t>2.</w:t>
      </w:r>
      <w:r>
        <w:rPr>
          <w:rFonts w:hint="eastAsia" w:ascii="Times New Roman" w:hAnsi="Times New Roman" w:eastAsia="宋体"/>
          <w:color w:val="auto"/>
          <w:highlight w:val="none"/>
        </w:rPr>
        <w:t>5</w:t>
      </w:r>
      <w:r>
        <w:rPr>
          <w:rFonts w:ascii="Times New Roman" w:hAnsi="Times New Roman" w:eastAsia="宋体"/>
          <w:color w:val="auto"/>
          <w:highlight w:val="none"/>
        </w:rPr>
        <w:t xml:space="preserve"> 污染源及环境影响因素分析</w:t>
      </w:r>
      <w:bookmarkEnd w:id="124"/>
    </w:p>
    <w:p>
      <w:pPr>
        <w:pStyle w:val="5"/>
        <w:rPr>
          <w:rFonts w:ascii="Times New Roman" w:hAnsi="Times New Roman" w:eastAsia="宋体"/>
          <w:color w:val="auto"/>
          <w:highlight w:val="none"/>
        </w:rPr>
      </w:pPr>
      <w:r>
        <w:rPr>
          <w:rFonts w:ascii="Times New Roman" w:hAnsi="Times New Roman" w:eastAsia="宋体"/>
          <w:color w:val="auto"/>
          <w:highlight w:val="none"/>
        </w:rPr>
        <w:t>2.</w:t>
      </w:r>
      <w:r>
        <w:rPr>
          <w:rFonts w:hint="eastAsia" w:ascii="Times New Roman" w:hAnsi="Times New Roman" w:eastAsia="宋体"/>
          <w:color w:val="auto"/>
          <w:highlight w:val="none"/>
        </w:rPr>
        <w:t>5</w:t>
      </w:r>
      <w:r>
        <w:rPr>
          <w:rFonts w:ascii="Times New Roman" w:hAnsi="Times New Roman" w:eastAsia="宋体"/>
          <w:color w:val="auto"/>
          <w:highlight w:val="none"/>
        </w:rPr>
        <w:t>.1 生产工艺流程及产污节点分析</w:t>
      </w:r>
    </w:p>
    <w:p>
      <w:pPr>
        <w:ind w:firstLine="480"/>
        <w:rPr>
          <w:rFonts w:ascii="Times New Roman" w:hAnsi="Times New Roman" w:eastAsia="宋体" w:cs="Times New Roman"/>
          <w:color w:val="auto"/>
          <w:highlight w:val="none"/>
          <w:u w:val="single"/>
        </w:rPr>
      </w:pPr>
      <w:r>
        <w:rPr>
          <w:rFonts w:hint="eastAsia"/>
          <w:color w:val="auto"/>
          <w:highlight w:val="none"/>
          <w:u w:val="single"/>
          <w:lang w:val="en-US" w:eastAsia="zh-CN"/>
        </w:rPr>
        <w:t>整合后矿山设置一个首采平台，分别设置破碎场</w:t>
      </w:r>
      <w:r>
        <w:rPr>
          <w:rFonts w:hint="eastAsia" w:ascii="宋体" w:hAnsi="宋体" w:eastAsia="宋体" w:cs="宋体"/>
          <w:color w:val="auto"/>
          <w:highlight w:val="none"/>
          <w:u w:val="single"/>
          <w:lang w:val="en-US" w:eastAsia="zh-CN"/>
        </w:rPr>
        <w:t>①</w:t>
      </w:r>
      <w:r>
        <w:rPr>
          <w:rFonts w:hint="eastAsia" w:ascii="宋体" w:hAnsi="宋体" w:cs="宋体"/>
          <w:color w:val="auto"/>
          <w:highlight w:val="none"/>
          <w:u w:val="single"/>
          <w:lang w:val="en-US" w:eastAsia="zh-CN"/>
        </w:rPr>
        <w:t>和破碎场</w:t>
      </w:r>
      <w:r>
        <w:rPr>
          <w:rFonts w:hint="eastAsia" w:ascii="宋体" w:hAnsi="宋体" w:eastAsia="宋体" w:cs="宋体"/>
          <w:color w:val="auto"/>
          <w:highlight w:val="none"/>
          <w:u w:val="single"/>
          <w:lang w:val="en-US" w:eastAsia="zh-CN"/>
        </w:rPr>
        <w:t>②</w:t>
      </w:r>
      <w:r>
        <w:rPr>
          <w:rFonts w:hint="eastAsia" w:ascii="宋体" w:hAnsi="宋体" w:cs="宋体"/>
          <w:color w:val="auto"/>
          <w:highlight w:val="none"/>
          <w:u w:val="single"/>
          <w:lang w:val="en-US" w:eastAsia="zh-CN"/>
        </w:rPr>
        <w:t>两个破碎场，两个破碎场</w:t>
      </w:r>
      <w:r>
        <w:rPr>
          <w:rFonts w:ascii="Times New Roman" w:hAnsi="Times New Roman" w:eastAsia="宋体"/>
          <w:color w:val="auto"/>
          <w:highlight w:val="none"/>
          <w:u w:val="single"/>
        </w:rPr>
        <w:t>生产工艺流程及产污节点</w:t>
      </w:r>
      <w:r>
        <w:rPr>
          <w:rFonts w:ascii="Times New Roman" w:hAnsi="Times New Roman" w:eastAsia="宋体" w:cs="Times New Roman"/>
          <w:color w:val="auto"/>
          <w:szCs w:val="24"/>
          <w:highlight w:val="none"/>
          <w:u w:val="single"/>
        </w:rPr>
        <w:t>情况见下图</w:t>
      </w:r>
      <w:r>
        <w:rPr>
          <w:rFonts w:ascii="Times New Roman" w:hAnsi="Times New Roman" w:eastAsia="宋体" w:cs="Times New Roman"/>
          <w:color w:val="auto"/>
          <w:highlight w:val="none"/>
          <w:u w:val="single"/>
        </w:rPr>
        <w:t>2.</w:t>
      </w:r>
      <w:r>
        <w:rPr>
          <w:rFonts w:hint="eastAsia" w:ascii="Times New Roman" w:hAnsi="Times New Roman" w:eastAsia="宋体" w:cs="Times New Roman"/>
          <w:color w:val="auto"/>
          <w:highlight w:val="none"/>
          <w:u w:val="single"/>
        </w:rPr>
        <w:t>5</w:t>
      </w:r>
      <w:r>
        <w:rPr>
          <w:rFonts w:ascii="Times New Roman" w:hAnsi="Times New Roman" w:eastAsia="宋体" w:cs="Times New Roman"/>
          <w:color w:val="auto"/>
          <w:highlight w:val="none"/>
          <w:u w:val="single"/>
        </w:rPr>
        <w:t>-1。</w:t>
      </w:r>
    </w:p>
    <w:p>
      <w:pPr>
        <w:ind w:firstLine="0" w:firstLineChars="0"/>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u w:val="single"/>
        </w:rPr>
        <w:object>
          <v:shape id="_x0000_i1030" o:spt="75" type="#_x0000_t75" style="height:444.4pt;width:451.15pt;" o:ole="t" filled="f" o:preferrelative="t" stroked="f" coordsize="21600,21600">
            <v:path/>
            <v:fill on="f" focussize="0,0"/>
            <v:stroke on="f"/>
            <v:imagedata r:id="rId62" o:title=""/>
            <o:lock v:ext="edit" aspectratio="f"/>
            <w10:wrap type="none"/>
            <w10:anchorlock/>
          </v:shape>
          <o:OLEObject Type="Embed" ProgID="Visio.Drawing.11" ShapeID="_x0000_i1030" DrawAspect="Content" ObjectID="_1468075730" r:id="rId61">
            <o:LockedField>false</o:LockedField>
          </o:OLEObject>
        </w:object>
      </w:r>
    </w:p>
    <w:p>
      <w:pPr>
        <w:ind w:firstLine="482"/>
        <w:rPr>
          <w:rFonts w:ascii="Times New Roman" w:hAnsi="Times New Roman" w:eastAsia="宋体"/>
          <w:b/>
          <w:bCs/>
          <w:color w:val="auto"/>
          <w:highlight w:val="none"/>
          <w:u w:val="single"/>
        </w:rPr>
      </w:pPr>
      <w:r>
        <w:rPr>
          <w:rFonts w:ascii="Times New Roman" w:hAnsi="Times New Roman" w:eastAsia="宋体"/>
          <w:b/>
          <w:bCs/>
          <w:color w:val="auto"/>
          <w:highlight w:val="none"/>
          <w:u w:val="single"/>
        </w:rPr>
        <w:t>工艺流程简介：</w:t>
      </w:r>
    </w:p>
    <w:p>
      <w:pPr>
        <w:ind w:firstLine="482"/>
        <w:rPr>
          <w:rFonts w:ascii="Times New Roman" w:hAnsi="Times New Roman" w:eastAsia="宋体" w:cs="Times New Roman"/>
          <w:color w:val="auto"/>
          <w:szCs w:val="20"/>
          <w:highlight w:val="none"/>
          <w:u w:val="single"/>
        </w:rPr>
      </w:pPr>
      <w:r>
        <w:rPr>
          <w:rFonts w:ascii="Times New Roman" w:hAnsi="Times New Roman" w:eastAsia="宋体" w:cs="Times New Roman"/>
          <w:b/>
          <w:bCs/>
          <w:color w:val="auto"/>
          <w:szCs w:val="20"/>
          <w:highlight w:val="none"/>
          <w:u w:val="single"/>
        </w:rPr>
        <w:t>表土剥离：</w:t>
      </w:r>
      <w:r>
        <w:rPr>
          <w:rFonts w:ascii="Times New Roman" w:hAnsi="Times New Roman" w:eastAsia="宋体" w:cs="Times New Roman"/>
          <w:color w:val="auto"/>
          <w:szCs w:val="20"/>
          <w:highlight w:val="none"/>
          <w:u w:val="single"/>
        </w:rPr>
        <w:t>矿区</w:t>
      </w:r>
      <w:r>
        <w:rPr>
          <w:rFonts w:hint="eastAsia" w:ascii="Times New Roman" w:hAnsi="Times New Roman" w:eastAsia="宋体" w:cs="Times New Roman"/>
          <w:color w:val="auto"/>
          <w:szCs w:val="20"/>
          <w:highlight w:val="none"/>
          <w:u w:val="single"/>
        </w:rPr>
        <w:t>硅质岩</w:t>
      </w:r>
      <w:r>
        <w:rPr>
          <w:rFonts w:ascii="Times New Roman" w:hAnsi="Times New Roman" w:eastAsia="宋体" w:cs="Times New Roman"/>
          <w:color w:val="auto"/>
          <w:szCs w:val="20"/>
          <w:highlight w:val="none"/>
          <w:u w:val="single"/>
        </w:rPr>
        <w:t>矿体基本裸露地表，仅局部被少量薄层表土覆盖，矿山开采需要进行表土剥离，剥离过程产生少量无组织废气</w:t>
      </w:r>
      <w:r>
        <w:rPr>
          <w:rFonts w:hint="eastAsia" w:ascii="Times New Roman" w:hAnsi="Times New Roman" w:eastAsia="宋体" w:cs="Times New Roman"/>
          <w:color w:val="auto"/>
          <w:szCs w:val="20"/>
          <w:highlight w:val="none"/>
          <w:u w:val="single"/>
        </w:rPr>
        <w:t>Gu3</w:t>
      </w:r>
      <w:r>
        <w:rPr>
          <w:rFonts w:ascii="Times New Roman" w:hAnsi="Times New Roman" w:eastAsia="宋体" w:cs="Times New Roman"/>
          <w:color w:val="auto"/>
          <w:szCs w:val="20"/>
          <w:highlight w:val="none"/>
          <w:u w:val="single"/>
        </w:rPr>
        <w:t>-1和表土</w:t>
      </w:r>
      <w:r>
        <w:rPr>
          <w:rFonts w:hint="eastAsia" w:ascii="Times New Roman" w:hAnsi="Times New Roman" w:eastAsia="宋体" w:cs="Times New Roman"/>
          <w:color w:val="auto"/>
          <w:szCs w:val="20"/>
          <w:highlight w:val="none"/>
          <w:u w:val="single"/>
        </w:rPr>
        <w:t>S3</w:t>
      </w:r>
      <w:r>
        <w:rPr>
          <w:rFonts w:ascii="Times New Roman" w:hAnsi="Times New Roman" w:eastAsia="宋体" w:cs="Times New Roman"/>
          <w:color w:val="auto"/>
          <w:szCs w:val="20"/>
          <w:highlight w:val="none"/>
          <w:u w:val="single"/>
        </w:rPr>
        <w:t>-1，剥离出来的表土堆存于</w:t>
      </w:r>
      <w:r>
        <w:rPr>
          <w:rFonts w:hint="eastAsia" w:ascii="Times New Roman" w:hAnsi="Times New Roman" w:eastAsia="宋体" w:cs="Times New Roman"/>
          <w:color w:val="auto"/>
          <w:szCs w:val="20"/>
          <w:highlight w:val="none"/>
          <w:u w:val="single"/>
        </w:rPr>
        <w:t>临时排土场①</w:t>
      </w:r>
      <w:r>
        <w:rPr>
          <w:rFonts w:hint="eastAsia" w:ascii="宋体" w:hAnsi="宋体" w:eastAsia="宋体" w:cs="宋体"/>
          <w:color w:val="auto"/>
          <w:szCs w:val="20"/>
          <w:highlight w:val="none"/>
          <w:u w:val="single"/>
        </w:rPr>
        <w:t>②</w:t>
      </w:r>
      <w:r>
        <w:rPr>
          <w:rFonts w:ascii="Times New Roman" w:hAnsi="Times New Roman" w:eastAsia="宋体" w:cs="Times New Roman"/>
          <w:color w:val="auto"/>
          <w:szCs w:val="20"/>
          <w:highlight w:val="none"/>
          <w:u w:val="single"/>
        </w:rPr>
        <w:t>，用于矿区复垦。表土堆放过程产生扬尘</w:t>
      </w:r>
      <w:r>
        <w:rPr>
          <w:rFonts w:hint="eastAsia" w:ascii="Times New Roman" w:hAnsi="Times New Roman" w:eastAsia="宋体" w:cs="Times New Roman"/>
          <w:color w:val="auto"/>
          <w:szCs w:val="20"/>
          <w:highlight w:val="none"/>
          <w:u w:val="single"/>
        </w:rPr>
        <w:t>Gu3</w:t>
      </w:r>
      <w:r>
        <w:rPr>
          <w:rFonts w:ascii="Times New Roman" w:hAnsi="Times New Roman" w:eastAsia="宋体" w:cs="Times New Roman"/>
          <w:color w:val="auto"/>
          <w:szCs w:val="20"/>
          <w:highlight w:val="none"/>
          <w:u w:val="single"/>
        </w:rPr>
        <w:t>-</w:t>
      </w:r>
      <w:r>
        <w:rPr>
          <w:rFonts w:hint="eastAsia" w:cs="Times New Roman"/>
          <w:color w:val="auto"/>
          <w:szCs w:val="20"/>
          <w:highlight w:val="none"/>
          <w:u w:val="single"/>
          <w:lang w:val="en-US" w:eastAsia="zh-CN"/>
        </w:rPr>
        <w:t>12</w:t>
      </w:r>
      <w:r>
        <w:rPr>
          <w:rFonts w:ascii="Times New Roman" w:hAnsi="Times New Roman" w:eastAsia="宋体" w:cs="Times New Roman"/>
          <w:color w:val="auto"/>
          <w:szCs w:val="20"/>
          <w:highlight w:val="none"/>
          <w:u w:val="single"/>
        </w:rPr>
        <w:t>，通过定期洒水降尘和覆盖防尘网，周边建设挡土墙，减少扬尘排放。</w:t>
      </w:r>
    </w:p>
    <w:p>
      <w:pPr>
        <w:ind w:firstLine="482"/>
        <w:rPr>
          <w:rFonts w:ascii="Times New Roman" w:hAnsi="Times New Roman" w:eastAsia="宋体" w:cs="Times New Roman"/>
          <w:color w:val="auto"/>
          <w:szCs w:val="20"/>
          <w:highlight w:val="none"/>
          <w:u w:val="single"/>
        </w:rPr>
      </w:pPr>
      <w:r>
        <w:rPr>
          <w:rFonts w:ascii="Times New Roman" w:hAnsi="Times New Roman" w:eastAsia="宋体" w:cs="Times New Roman"/>
          <w:b/>
          <w:bCs/>
          <w:color w:val="auto"/>
          <w:szCs w:val="20"/>
          <w:highlight w:val="none"/>
          <w:u w:val="single"/>
        </w:rPr>
        <w:t>凿岩钻孔：</w:t>
      </w:r>
      <w:r>
        <w:rPr>
          <w:rFonts w:ascii="Times New Roman" w:hAnsi="Times New Roman" w:eastAsia="宋体" w:cs="Times New Roman"/>
          <w:color w:val="auto"/>
          <w:szCs w:val="20"/>
          <w:highlight w:val="none"/>
          <w:u w:val="single"/>
        </w:rPr>
        <w:t>钻孔选用高风压潜孔钻机，配套供风采用空压机，钻孔过程产生无组织排放废气</w:t>
      </w:r>
      <w:r>
        <w:rPr>
          <w:rFonts w:hint="eastAsia" w:ascii="Times New Roman" w:hAnsi="Times New Roman" w:eastAsia="宋体" w:cs="Times New Roman"/>
          <w:color w:val="auto"/>
          <w:szCs w:val="20"/>
          <w:highlight w:val="none"/>
          <w:u w:val="single"/>
        </w:rPr>
        <w:t>Gu3</w:t>
      </w:r>
      <w:r>
        <w:rPr>
          <w:rFonts w:ascii="Times New Roman" w:hAnsi="Times New Roman" w:eastAsia="宋体" w:cs="Times New Roman"/>
          <w:color w:val="auto"/>
          <w:szCs w:val="20"/>
          <w:highlight w:val="none"/>
          <w:u w:val="single"/>
        </w:rPr>
        <w:t>-2和噪声N，钻孔采用湿式作业，降低钻孔过程颗粒物排放量。</w:t>
      </w:r>
    </w:p>
    <w:p>
      <w:pPr>
        <w:ind w:firstLine="482"/>
        <w:rPr>
          <w:rFonts w:ascii="Times New Roman" w:hAnsi="Times New Roman" w:eastAsia="宋体" w:cs="Times New Roman"/>
          <w:color w:val="auto"/>
          <w:szCs w:val="20"/>
          <w:highlight w:val="none"/>
          <w:u w:val="single"/>
        </w:rPr>
      </w:pPr>
      <w:r>
        <w:rPr>
          <w:rFonts w:ascii="Times New Roman" w:hAnsi="Times New Roman" w:eastAsia="宋体" w:cs="Times New Roman"/>
          <w:b/>
          <w:bCs/>
          <w:color w:val="auto"/>
          <w:szCs w:val="20"/>
          <w:highlight w:val="none"/>
          <w:u w:val="single"/>
        </w:rPr>
        <w:t>爆破：</w:t>
      </w:r>
      <w:r>
        <w:rPr>
          <w:rFonts w:ascii="Times New Roman" w:hAnsi="Times New Roman" w:eastAsia="宋体" w:cs="Times New Roman"/>
          <w:color w:val="auto"/>
          <w:szCs w:val="20"/>
          <w:highlight w:val="none"/>
          <w:u w:val="single"/>
        </w:rPr>
        <w:t>矿山采用中深孔爆破方法开采，中深孔爆破采用多排控微差爆破方式，三角形布孔，使用外购的</w:t>
      </w:r>
      <w:r>
        <w:rPr>
          <w:rFonts w:hint="eastAsia" w:ascii="Times New Roman" w:hAnsi="Times New Roman" w:eastAsia="宋体" w:cs="Times New Roman"/>
          <w:color w:val="auto"/>
          <w:szCs w:val="20"/>
          <w:highlight w:val="none"/>
          <w:u w:val="single"/>
        </w:rPr>
        <w:t>乳化</w:t>
      </w:r>
      <w:r>
        <w:rPr>
          <w:rFonts w:ascii="Times New Roman" w:hAnsi="Times New Roman" w:eastAsia="宋体" w:cs="Times New Roman"/>
          <w:color w:val="auto"/>
          <w:szCs w:val="20"/>
          <w:highlight w:val="none"/>
          <w:u w:val="single"/>
        </w:rPr>
        <w:t>炸药，毫秒雷管引爆。爆破产生无组织排放量粉尘和</w:t>
      </w:r>
      <w:r>
        <w:rPr>
          <w:rFonts w:ascii="Times New Roman" w:hAnsi="Times New Roman" w:eastAsia="宋体" w:cs="Times New Roman"/>
          <w:color w:val="auto"/>
          <w:kern w:val="0"/>
          <w:highlight w:val="none"/>
          <w:u w:val="single"/>
        </w:rPr>
        <w:t>炮烟</w:t>
      </w:r>
      <w:r>
        <w:rPr>
          <w:rFonts w:hint="eastAsia" w:ascii="Times New Roman" w:hAnsi="Times New Roman" w:eastAsia="宋体" w:cs="Times New Roman"/>
          <w:color w:val="auto"/>
          <w:kern w:val="0"/>
          <w:highlight w:val="none"/>
          <w:u w:val="single"/>
        </w:rPr>
        <w:t>Gu3</w:t>
      </w:r>
      <w:r>
        <w:rPr>
          <w:rFonts w:ascii="Times New Roman" w:hAnsi="Times New Roman" w:eastAsia="宋体" w:cs="Times New Roman"/>
          <w:color w:val="auto"/>
          <w:kern w:val="0"/>
          <w:highlight w:val="none"/>
          <w:u w:val="single"/>
        </w:rPr>
        <w:t>-3，噪声N和爆破振动Z</w:t>
      </w:r>
      <w:r>
        <w:rPr>
          <w:rFonts w:ascii="Times New Roman" w:hAnsi="Times New Roman" w:eastAsia="宋体" w:cs="Times New Roman"/>
          <w:color w:val="auto"/>
          <w:szCs w:val="20"/>
          <w:highlight w:val="none"/>
          <w:u w:val="single"/>
        </w:rPr>
        <w:t>。爆破后采取洒水降尘，降低废气排放。</w:t>
      </w:r>
    </w:p>
    <w:p>
      <w:pPr>
        <w:ind w:firstLine="482"/>
        <w:rPr>
          <w:rFonts w:ascii="Times New Roman" w:hAnsi="Times New Roman" w:eastAsia="宋体" w:cs="Times New Roman"/>
          <w:color w:val="auto"/>
          <w:szCs w:val="20"/>
          <w:highlight w:val="none"/>
          <w:u w:val="single"/>
        </w:rPr>
      </w:pPr>
      <w:r>
        <w:rPr>
          <w:rFonts w:ascii="Times New Roman" w:hAnsi="Times New Roman" w:eastAsia="宋体" w:cs="Times New Roman"/>
          <w:b/>
          <w:bCs/>
          <w:color w:val="auto"/>
          <w:szCs w:val="20"/>
          <w:highlight w:val="none"/>
          <w:u w:val="single"/>
        </w:rPr>
        <w:t>采装</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采装过程</w:t>
      </w:r>
      <w:r>
        <w:rPr>
          <w:rFonts w:ascii="Times New Roman" w:hAnsi="Times New Roman" w:eastAsia="宋体" w:cs="Times New Roman"/>
          <w:color w:val="auto"/>
          <w:szCs w:val="20"/>
          <w:highlight w:val="none"/>
          <w:u w:val="single"/>
        </w:rPr>
        <w:t>用挖掘机铲装至自卸卡车，运输至</w:t>
      </w:r>
      <w:r>
        <w:rPr>
          <w:rFonts w:hint="eastAsia" w:ascii="Times New Roman" w:hAnsi="Times New Roman" w:eastAsia="宋体" w:cs="Times New Roman"/>
          <w:color w:val="auto"/>
          <w:szCs w:val="20"/>
          <w:highlight w:val="none"/>
          <w:u w:val="single"/>
        </w:rPr>
        <w:t>泥筛投</w:t>
      </w:r>
      <w:r>
        <w:rPr>
          <w:rFonts w:ascii="Times New Roman" w:hAnsi="Times New Roman" w:eastAsia="宋体" w:cs="Times New Roman"/>
          <w:color w:val="auto"/>
          <w:szCs w:val="20"/>
          <w:highlight w:val="none"/>
          <w:u w:val="single"/>
        </w:rPr>
        <w:t>料口，采装过程产生无组织排放废气</w:t>
      </w:r>
      <w:r>
        <w:rPr>
          <w:rFonts w:hint="eastAsia" w:ascii="Times New Roman" w:hAnsi="Times New Roman" w:eastAsia="宋体" w:cs="Times New Roman"/>
          <w:color w:val="auto"/>
          <w:szCs w:val="20"/>
          <w:highlight w:val="none"/>
          <w:u w:val="single"/>
        </w:rPr>
        <w:t>Gu3</w:t>
      </w:r>
      <w:r>
        <w:rPr>
          <w:rFonts w:ascii="Times New Roman" w:hAnsi="Times New Roman" w:eastAsia="宋体" w:cs="Times New Roman"/>
          <w:color w:val="auto"/>
          <w:szCs w:val="20"/>
          <w:highlight w:val="none"/>
          <w:u w:val="single"/>
        </w:rPr>
        <w:t>-4和噪声N。通过洒水降尘降低粉尘排放。</w:t>
      </w:r>
    </w:p>
    <w:p>
      <w:pPr>
        <w:ind w:firstLine="482"/>
        <w:rPr>
          <w:rFonts w:hint="eastAsia" w:cs="Times New Roman"/>
          <w:b/>
          <w:bCs w:val="0"/>
          <w:color w:val="auto"/>
          <w:szCs w:val="20"/>
          <w:highlight w:val="none"/>
          <w:u w:val="single"/>
          <w:lang w:val="en-US" w:eastAsia="zh-CN"/>
        </w:rPr>
      </w:pPr>
      <w:r>
        <w:rPr>
          <w:rFonts w:hint="eastAsia" w:cs="Times New Roman"/>
          <w:b/>
          <w:bCs w:val="0"/>
          <w:color w:val="auto"/>
          <w:szCs w:val="20"/>
          <w:highlight w:val="none"/>
          <w:u w:val="single"/>
          <w:lang w:val="en-US" w:eastAsia="zh-CN"/>
        </w:rPr>
        <w:t>采装后大块石料分别由自卸卡车运输至破碎场</w:t>
      </w:r>
      <w:r>
        <w:rPr>
          <w:rFonts w:hint="eastAsia" w:ascii="宋体" w:hAnsi="宋体" w:eastAsia="宋体" w:cs="宋体"/>
          <w:b/>
          <w:bCs w:val="0"/>
          <w:color w:val="auto"/>
          <w:szCs w:val="20"/>
          <w:highlight w:val="none"/>
          <w:u w:val="single"/>
          <w:lang w:val="en-US" w:eastAsia="zh-CN"/>
        </w:rPr>
        <w:t>①</w:t>
      </w:r>
      <w:r>
        <w:rPr>
          <w:rFonts w:hint="eastAsia" w:cs="Times New Roman"/>
          <w:b/>
          <w:bCs w:val="0"/>
          <w:color w:val="auto"/>
          <w:szCs w:val="20"/>
          <w:highlight w:val="none"/>
          <w:u w:val="single"/>
          <w:lang w:val="en-US" w:eastAsia="zh-CN"/>
        </w:rPr>
        <w:t>和破碎场</w:t>
      </w:r>
      <w:r>
        <w:rPr>
          <w:rFonts w:hint="eastAsia" w:ascii="宋体" w:hAnsi="宋体" w:eastAsia="宋体" w:cs="宋体"/>
          <w:b/>
          <w:bCs w:val="0"/>
          <w:color w:val="auto"/>
          <w:szCs w:val="20"/>
          <w:highlight w:val="none"/>
          <w:u w:val="single"/>
          <w:lang w:val="en-US" w:eastAsia="zh-CN"/>
        </w:rPr>
        <w:t>②</w:t>
      </w:r>
      <w:r>
        <w:rPr>
          <w:rFonts w:hint="eastAsia" w:cs="Times New Roman"/>
          <w:b/>
          <w:bCs w:val="0"/>
          <w:color w:val="auto"/>
          <w:szCs w:val="20"/>
          <w:highlight w:val="none"/>
          <w:u w:val="single"/>
          <w:lang w:val="en-US" w:eastAsia="zh-CN"/>
        </w:rPr>
        <w:t>进行破碎，两个破碎场工艺流程不同，分别如下。</w:t>
      </w:r>
    </w:p>
    <w:p>
      <w:pPr>
        <w:ind w:firstLine="482"/>
        <w:rPr>
          <w:rFonts w:hint="eastAsia"/>
          <w:b/>
          <w:color w:val="auto"/>
          <w:szCs w:val="20"/>
          <w:highlight w:val="none"/>
          <w:u w:val="single"/>
          <w:lang w:val="en-US" w:eastAsia="zh-CN"/>
        </w:rPr>
      </w:pPr>
      <w:r>
        <w:rPr>
          <w:rFonts w:hint="eastAsia" w:cs="Times New Roman"/>
          <w:b/>
          <w:color w:val="auto"/>
          <w:szCs w:val="20"/>
          <w:highlight w:val="none"/>
          <w:u w:val="single"/>
          <w:lang w:val="en-US" w:eastAsia="zh-CN"/>
        </w:rPr>
        <w:t>1.破碎场</w:t>
      </w:r>
      <w:r>
        <w:rPr>
          <w:rFonts w:hint="eastAsia" w:ascii="Times New Roman" w:hAnsi="Times New Roman" w:eastAsia="宋体"/>
          <w:b/>
          <w:color w:val="auto"/>
          <w:szCs w:val="20"/>
          <w:highlight w:val="none"/>
          <w:u w:val="single"/>
        </w:rPr>
        <w:t>①</w:t>
      </w:r>
      <w:r>
        <w:rPr>
          <w:rFonts w:hint="eastAsia"/>
          <w:b/>
          <w:color w:val="auto"/>
          <w:szCs w:val="20"/>
          <w:highlight w:val="none"/>
          <w:u w:val="single"/>
          <w:lang w:val="en-US" w:eastAsia="zh-CN"/>
        </w:rPr>
        <w:t>工艺流程：</w:t>
      </w:r>
    </w:p>
    <w:p>
      <w:pPr>
        <w:ind w:firstLine="482"/>
        <w:rPr>
          <w:rFonts w:ascii="Times New Roman" w:hAnsi="Times New Roman" w:eastAsia="宋体" w:cs="Times New Roman"/>
          <w:color w:val="auto"/>
          <w:szCs w:val="20"/>
          <w:highlight w:val="none"/>
          <w:u w:val="single"/>
        </w:rPr>
      </w:pPr>
      <w:r>
        <w:rPr>
          <w:rFonts w:hint="eastAsia" w:ascii="Times New Roman" w:hAnsi="Times New Roman" w:eastAsia="宋体" w:cs="Times New Roman"/>
          <w:b/>
          <w:color w:val="auto"/>
          <w:szCs w:val="20"/>
          <w:highlight w:val="none"/>
          <w:u w:val="single"/>
        </w:rPr>
        <w:t>筛选破碎</w:t>
      </w:r>
      <w:r>
        <w:rPr>
          <w:rFonts w:hint="eastAsia" w:ascii="Times New Roman" w:hAnsi="Times New Roman" w:eastAsia="宋体"/>
          <w:b/>
          <w:color w:val="auto"/>
          <w:szCs w:val="20"/>
          <w:highlight w:val="none"/>
          <w:u w:val="single"/>
        </w:rPr>
        <w:t>①</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项目硅质岩矿爆破后大块石料中含有少量废土石渣，经泥筛筛选除去废土石渣S3-2，收集后经外卖用于周边道路建设。振动给料机将石料振动投入颚式破碎机进行一次破碎。筛选破碎</w:t>
      </w:r>
      <w:r>
        <w:rPr>
          <w:rFonts w:hint="eastAsia" w:ascii="Times New Roman" w:hAnsi="Times New Roman" w:eastAsia="宋体"/>
          <w:color w:val="auto"/>
          <w:szCs w:val="20"/>
          <w:highlight w:val="none"/>
          <w:u w:val="single"/>
        </w:rPr>
        <w:t>①</w:t>
      </w:r>
      <w:r>
        <w:rPr>
          <w:rFonts w:ascii="Times New Roman" w:hAnsi="Times New Roman" w:eastAsia="宋体" w:cs="Times New Roman"/>
          <w:color w:val="auto"/>
          <w:szCs w:val="20"/>
          <w:highlight w:val="none"/>
          <w:u w:val="single"/>
        </w:rPr>
        <w:t>过程产生废气</w:t>
      </w:r>
      <w:r>
        <w:rPr>
          <w:rFonts w:hint="eastAsia" w:ascii="Times New Roman" w:hAnsi="Times New Roman" w:eastAsia="宋体" w:cs="Times New Roman"/>
          <w:color w:val="auto"/>
          <w:szCs w:val="20"/>
          <w:highlight w:val="none"/>
          <w:u w:val="single"/>
        </w:rPr>
        <w:t>G3</w:t>
      </w:r>
      <w:r>
        <w:rPr>
          <w:rFonts w:ascii="Times New Roman" w:hAnsi="Times New Roman" w:eastAsia="宋体" w:cs="Times New Roman"/>
          <w:color w:val="auto"/>
          <w:szCs w:val="20"/>
          <w:highlight w:val="none"/>
          <w:u w:val="single"/>
        </w:rPr>
        <w:t>-1和噪声N，</w:t>
      </w:r>
      <w:r>
        <w:rPr>
          <w:rFonts w:hint="eastAsia" w:ascii="Times New Roman" w:hAnsi="Times New Roman" w:eastAsia="宋体" w:cs="Times New Roman"/>
          <w:color w:val="auto"/>
          <w:szCs w:val="20"/>
          <w:highlight w:val="none"/>
          <w:u w:val="single"/>
        </w:rPr>
        <w:t>筛选破碎</w:t>
      </w:r>
      <w:r>
        <w:rPr>
          <w:rFonts w:hint="eastAsia" w:ascii="Times New Roman" w:hAnsi="Times New Roman" w:eastAsia="宋体"/>
          <w:color w:val="auto"/>
          <w:szCs w:val="20"/>
          <w:highlight w:val="none"/>
          <w:u w:val="single"/>
        </w:rPr>
        <w:t>①</w:t>
      </w:r>
      <w:r>
        <w:rPr>
          <w:rFonts w:ascii="Times New Roman" w:hAnsi="Times New Roman" w:eastAsia="宋体" w:cs="Times New Roman"/>
          <w:color w:val="auto"/>
          <w:szCs w:val="20"/>
          <w:highlight w:val="none"/>
          <w:u w:val="single"/>
        </w:rPr>
        <w:t>采用</w:t>
      </w:r>
      <w:r>
        <w:rPr>
          <w:rFonts w:hint="eastAsia" w:ascii="Times New Roman" w:hAnsi="Times New Roman" w:eastAsia="宋体" w:cs="Times New Roman"/>
          <w:color w:val="auto"/>
          <w:szCs w:val="20"/>
          <w:highlight w:val="none"/>
          <w:u w:val="single"/>
        </w:rPr>
        <w:t>封</w:t>
      </w:r>
      <w:r>
        <w:rPr>
          <w:rFonts w:ascii="Times New Roman" w:hAnsi="Times New Roman" w:eastAsia="宋体" w:cs="Times New Roman"/>
          <w:color w:val="auto"/>
          <w:szCs w:val="20"/>
          <w:highlight w:val="none"/>
          <w:u w:val="single"/>
        </w:rPr>
        <w:t>闭</w:t>
      </w:r>
      <w:r>
        <w:rPr>
          <w:rFonts w:hint="eastAsia" w:ascii="Times New Roman" w:hAnsi="Times New Roman" w:eastAsia="宋体" w:cs="Times New Roman"/>
          <w:color w:val="auto"/>
          <w:szCs w:val="20"/>
          <w:highlight w:val="none"/>
          <w:u w:val="single"/>
        </w:rPr>
        <w:t>隔间</w:t>
      </w:r>
      <w:r>
        <w:rPr>
          <w:rFonts w:ascii="Times New Roman" w:hAnsi="Times New Roman" w:eastAsia="宋体" w:cs="Times New Roman"/>
          <w:color w:val="auto"/>
          <w:szCs w:val="20"/>
          <w:highlight w:val="none"/>
          <w:u w:val="single"/>
        </w:rPr>
        <w:t>建设，</w:t>
      </w:r>
      <w:r>
        <w:rPr>
          <w:rFonts w:hint="eastAsia" w:ascii="Times New Roman" w:hAnsi="Times New Roman" w:eastAsia="宋体" w:cs="Times New Roman"/>
          <w:color w:val="auto"/>
          <w:szCs w:val="20"/>
          <w:highlight w:val="none"/>
          <w:u w:val="single"/>
        </w:rPr>
        <w:t>并配套喷淋设施和负压收集系统，破碎前对石料进行喷淋，增大石料表面含水率，破碎过程</w:t>
      </w:r>
      <w:r>
        <w:rPr>
          <w:rFonts w:ascii="Times New Roman" w:hAnsi="Times New Roman" w:eastAsia="宋体" w:cs="Times New Roman"/>
          <w:color w:val="auto"/>
          <w:szCs w:val="20"/>
          <w:highlight w:val="none"/>
          <w:u w:val="single"/>
        </w:rPr>
        <w:t>废气经</w:t>
      </w:r>
      <w:r>
        <w:rPr>
          <w:rFonts w:hint="eastAsia" w:ascii="Times New Roman" w:hAnsi="Times New Roman" w:eastAsia="宋体" w:cs="Times New Roman"/>
          <w:color w:val="auto"/>
          <w:szCs w:val="20"/>
          <w:highlight w:val="none"/>
          <w:u w:val="single"/>
        </w:rPr>
        <w:t>封闭+负压收集+</w:t>
      </w:r>
      <w:r>
        <w:rPr>
          <w:rFonts w:ascii="Times New Roman" w:hAnsi="Times New Roman" w:eastAsia="宋体" w:cs="Times New Roman"/>
          <w:color w:val="auto"/>
          <w:szCs w:val="20"/>
          <w:highlight w:val="none"/>
          <w:u w:val="single"/>
        </w:rPr>
        <w:t>袋式除尘器处理后由15m</w:t>
      </w:r>
      <w:r>
        <w:rPr>
          <w:rFonts w:hint="eastAsia" w:ascii="Times New Roman" w:hAnsi="Times New Roman" w:eastAsia="宋体" w:cs="Times New Roman"/>
          <w:color w:val="auto"/>
          <w:szCs w:val="20"/>
          <w:highlight w:val="none"/>
          <w:u w:val="single"/>
        </w:rPr>
        <w:t>高1#</w:t>
      </w:r>
      <w:r>
        <w:rPr>
          <w:rFonts w:ascii="Times New Roman" w:hAnsi="Times New Roman" w:eastAsia="宋体" w:cs="Times New Roman"/>
          <w:color w:val="auto"/>
          <w:szCs w:val="20"/>
          <w:highlight w:val="none"/>
          <w:u w:val="single"/>
        </w:rPr>
        <w:t>排气筒排放。</w:t>
      </w:r>
      <w:r>
        <w:rPr>
          <w:rFonts w:hint="eastAsia" w:ascii="Times New Roman" w:hAnsi="Times New Roman" w:eastAsia="宋体" w:cs="Times New Roman"/>
          <w:color w:val="auto"/>
          <w:szCs w:val="20"/>
          <w:highlight w:val="none"/>
          <w:u w:val="single"/>
        </w:rPr>
        <w:t>未收集粉尘Gu3-5经喷淋后以无组织形式排放。</w:t>
      </w:r>
    </w:p>
    <w:p>
      <w:pPr>
        <w:ind w:firstLine="482"/>
        <w:rPr>
          <w:rFonts w:ascii="Times New Roman" w:hAnsi="Times New Roman" w:eastAsia="宋体" w:cs="Times New Roman"/>
          <w:color w:val="auto"/>
          <w:szCs w:val="20"/>
          <w:highlight w:val="none"/>
          <w:u w:val="single"/>
        </w:rPr>
      </w:pPr>
      <w:r>
        <w:rPr>
          <w:rFonts w:hint="eastAsia" w:ascii="Times New Roman" w:hAnsi="Times New Roman" w:eastAsia="宋体" w:cs="Times New Roman"/>
          <w:b/>
          <w:bCs/>
          <w:color w:val="auto"/>
          <w:szCs w:val="20"/>
          <w:highlight w:val="none"/>
          <w:u w:val="single"/>
        </w:rPr>
        <w:t>二级破碎</w:t>
      </w:r>
      <w:r>
        <w:rPr>
          <w:rFonts w:hint="eastAsia" w:ascii="Times New Roman" w:hAnsi="Times New Roman" w:eastAsia="宋体"/>
          <w:b/>
          <w:color w:val="auto"/>
          <w:szCs w:val="20"/>
          <w:highlight w:val="none"/>
          <w:u w:val="single"/>
        </w:rPr>
        <w:t>①</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一次破碎后大颗粒碎石经输送带送至圆锥机进行二次破碎</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破碎后得到半成品，送至料仓暂存</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二级破碎</w:t>
      </w:r>
      <w:r>
        <w:rPr>
          <w:rFonts w:ascii="Times New Roman" w:hAnsi="Times New Roman" w:eastAsia="宋体" w:cs="Times New Roman"/>
          <w:color w:val="auto"/>
          <w:szCs w:val="20"/>
          <w:highlight w:val="none"/>
          <w:u w:val="single"/>
        </w:rPr>
        <w:t>过程产生废气</w:t>
      </w:r>
      <w:r>
        <w:rPr>
          <w:rFonts w:hint="eastAsia" w:ascii="Times New Roman" w:hAnsi="Times New Roman" w:eastAsia="宋体" w:cs="Times New Roman"/>
          <w:color w:val="auto"/>
          <w:szCs w:val="20"/>
          <w:highlight w:val="none"/>
          <w:u w:val="single"/>
        </w:rPr>
        <w:t>G3</w:t>
      </w:r>
      <w:r>
        <w:rPr>
          <w:rFonts w:ascii="Times New Roman" w:hAnsi="Times New Roman" w:eastAsia="宋体" w:cs="Times New Roman"/>
          <w:color w:val="auto"/>
          <w:szCs w:val="20"/>
          <w:highlight w:val="none"/>
          <w:u w:val="single"/>
        </w:rPr>
        <w:t>-2和噪声N，</w:t>
      </w:r>
      <w:r>
        <w:rPr>
          <w:rFonts w:hint="eastAsia" w:ascii="Times New Roman" w:hAnsi="Times New Roman" w:eastAsia="宋体" w:cs="Times New Roman"/>
          <w:color w:val="auto"/>
          <w:szCs w:val="20"/>
          <w:highlight w:val="none"/>
          <w:u w:val="single"/>
        </w:rPr>
        <w:t>二级破碎</w:t>
      </w:r>
      <w:r>
        <w:rPr>
          <w:rFonts w:hint="eastAsia" w:ascii="Times New Roman" w:hAnsi="Times New Roman" w:eastAsia="宋体"/>
          <w:color w:val="auto"/>
          <w:szCs w:val="20"/>
          <w:highlight w:val="none"/>
          <w:u w:val="single"/>
        </w:rPr>
        <w:t>①</w:t>
      </w:r>
      <w:r>
        <w:rPr>
          <w:rFonts w:ascii="Times New Roman" w:hAnsi="Times New Roman" w:eastAsia="宋体" w:cs="Times New Roman"/>
          <w:color w:val="auto"/>
          <w:szCs w:val="20"/>
          <w:highlight w:val="none"/>
          <w:u w:val="single"/>
        </w:rPr>
        <w:t>采用</w:t>
      </w:r>
      <w:r>
        <w:rPr>
          <w:rFonts w:hint="eastAsia" w:ascii="Times New Roman" w:hAnsi="Times New Roman" w:eastAsia="宋体" w:cs="Times New Roman"/>
          <w:color w:val="auto"/>
          <w:szCs w:val="20"/>
          <w:highlight w:val="none"/>
          <w:u w:val="single"/>
        </w:rPr>
        <w:t>封</w:t>
      </w:r>
      <w:r>
        <w:rPr>
          <w:rFonts w:ascii="Times New Roman" w:hAnsi="Times New Roman" w:eastAsia="宋体" w:cs="Times New Roman"/>
          <w:color w:val="auto"/>
          <w:szCs w:val="20"/>
          <w:highlight w:val="none"/>
          <w:u w:val="single"/>
        </w:rPr>
        <w:t>闭</w:t>
      </w:r>
      <w:r>
        <w:rPr>
          <w:rFonts w:hint="eastAsia" w:ascii="Times New Roman" w:hAnsi="Times New Roman" w:eastAsia="宋体" w:cs="Times New Roman"/>
          <w:color w:val="auto"/>
          <w:szCs w:val="20"/>
          <w:highlight w:val="none"/>
          <w:u w:val="single"/>
        </w:rPr>
        <w:t>隔间</w:t>
      </w:r>
      <w:r>
        <w:rPr>
          <w:rFonts w:ascii="Times New Roman" w:hAnsi="Times New Roman" w:eastAsia="宋体" w:cs="Times New Roman"/>
          <w:color w:val="auto"/>
          <w:szCs w:val="20"/>
          <w:highlight w:val="none"/>
          <w:u w:val="single"/>
        </w:rPr>
        <w:t>建设，</w:t>
      </w:r>
      <w:r>
        <w:rPr>
          <w:rFonts w:hint="eastAsia" w:ascii="Times New Roman" w:hAnsi="Times New Roman" w:eastAsia="宋体" w:cs="Times New Roman"/>
          <w:color w:val="auto"/>
          <w:szCs w:val="20"/>
          <w:highlight w:val="none"/>
          <w:u w:val="single"/>
        </w:rPr>
        <w:t>并配套喷淋设施和负压收集系统，破碎前对大颗粒碎石进行喷淋，增大大颗粒碎石表面含水率，二级破碎</w:t>
      </w:r>
      <w:r>
        <w:rPr>
          <w:rFonts w:hint="eastAsia" w:ascii="Times New Roman" w:hAnsi="Times New Roman" w:eastAsia="宋体"/>
          <w:color w:val="auto"/>
          <w:szCs w:val="20"/>
          <w:highlight w:val="none"/>
          <w:u w:val="single"/>
        </w:rPr>
        <w:t>①</w:t>
      </w:r>
      <w:r>
        <w:rPr>
          <w:rFonts w:hint="eastAsia" w:ascii="Times New Roman" w:hAnsi="Times New Roman" w:eastAsia="宋体" w:cs="Times New Roman"/>
          <w:color w:val="auto"/>
          <w:szCs w:val="20"/>
          <w:highlight w:val="none"/>
          <w:u w:val="single"/>
        </w:rPr>
        <w:t>过程</w:t>
      </w:r>
      <w:r>
        <w:rPr>
          <w:rFonts w:ascii="Times New Roman" w:hAnsi="Times New Roman" w:eastAsia="宋体" w:cs="Times New Roman"/>
          <w:color w:val="auto"/>
          <w:szCs w:val="20"/>
          <w:highlight w:val="none"/>
          <w:u w:val="single"/>
        </w:rPr>
        <w:t>废气经</w:t>
      </w:r>
      <w:r>
        <w:rPr>
          <w:rFonts w:hint="eastAsia" w:ascii="Times New Roman" w:hAnsi="Times New Roman" w:eastAsia="宋体" w:cs="Times New Roman"/>
          <w:color w:val="auto"/>
          <w:szCs w:val="20"/>
          <w:highlight w:val="none"/>
          <w:u w:val="single"/>
        </w:rPr>
        <w:t>封闭+负压收集+</w:t>
      </w:r>
      <w:r>
        <w:rPr>
          <w:rFonts w:ascii="Times New Roman" w:hAnsi="Times New Roman" w:eastAsia="宋体" w:cs="Times New Roman"/>
          <w:color w:val="auto"/>
          <w:szCs w:val="20"/>
          <w:highlight w:val="none"/>
          <w:u w:val="single"/>
        </w:rPr>
        <w:t>袋式除尘器处理后由15m</w:t>
      </w:r>
      <w:r>
        <w:rPr>
          <w:rFonts w:hint="eastAsia" w:ascii="Times New Roman" w:hAnsi="Times New Roman" w:eastAsia="宋体" w:cs="Times New Roman"/>
          <w:color w:val="auto"/>
          <w:szCs w:val="20"/>
          <w:highlight w:val="none"/>
          <w:u w:val="single"/>
        </w:rPr>
        <w:t>高2#</w:t>
      </w:r>
      <w:r>
        <w:rPr>
          <w:rFonts w:ascii="Times New Roman" w:hAnsi="Times New Roman" w:eastAsia="宋体" w:cs="Times New Roman"/>
          <w:color w:val="auto"/>
          <w:szCs w:val="20"/>
          <w:highlight w:val="none"/>
          <w:u w:val="single"/>
        </w:rPr>
        <w:t>排气筒排放。</w:t>
      </w:r>
      <w:r>
        <w:rPr>
          <w:rFonts w:hint="eastAsia" w:ascii="Times New Roman" w:hAnsi="Times New Roman" w:eastAsia="宋体" w:cs="Times New Roman"/>
          <w:color w:val="auto"/>
          <w:szCs w:val="20"/>
          <w:highlight w:val="none"/>
          <w:u w:val="single"/>
        </w:rPr>
        <w:t>未收集粉尘Gu3-6经喷淋后以无组织形式排放。</w:t>
      </w:r>
    </w:p>
    <w:p>
      <w:pPr>
        <w:ind w:firstLine="482"/>
        <w:rPr>
          <w:rFonts w:ascii="Times New Roman" w:hAnsi="Times New Roman" w:eastAsia="宋体" w:cs="Times New Roman"/>
          <w:color w:val="auto"/>
          <w:szCs w:val="20"/>
          <w:highlight w:val="none"/>
          <w:u w:val="single"/>
        </w:rPr>
      </w:pPr>
      <w:r>
        <w:rPr>
          <w:rFonts w:hint="eastAsia" w:ascii="Times New Roman" w:hAnsi="Times New Roman" w:eastAsia="宋体" w:cs="Times New Roman"/>
          <w:b/>
          <w:bCs/>
          <w:color w:val="auto"/>
          <w:szCs w:val="20"/>
          <w:highlight w:val="none"/>
          <w:u w:val="single"/>
        </w:rPr>
        <w:t>三级破碎筛分</w:t>
      </w:r>
      <w:r>
        <w:rPr>
          <w:rFonts w:hint="eastAsia" w:ascii="Times New Roman" w:hAnsi="Times New Roman" w:eastAsia="宋体"/>
          <w:b/>
          <w:color w:val="auto"/>
          <w:szCs w:val="20"/>
          <w:highlight w:val="none"/>
          <w:u w:val="single"/>
        </w:rPr>
        <w:t>①</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料仓内半成品由输送带送至圆锥机进行三级破碎，破碎后进行振动筛分</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筛选</w:t>
      </w:r>
      <w:r>
        <w:rPr>
          <w:rFonts w:ascii="Times New Roman" w:hAnsi="Times New Roman" w:eastAsia="宋体" w:cs="Times New Roman"/>
          <w:color w:val="auto"/>
          <w:szCs w:val="20"/>
          <w:highlight w:val="none"/>
          <w:u w:val="single"/>
        </w:rPr>
        <w:t>得</w:t>
      </w:r>
      <w:r>
        <w:rPr>
          <w:rFonts w:hint="eastAsia" w:ascii="Times New Roman" w:hAnsi="Times New Roman" w:eastAsia="宋体" w:cs="Times New Roman"/>
          <w:color w:val="auto"/>
          <w:szCs w:val="20"/>
          <w:highlight w:val="none"/>
          <w:u w:val="single"/>
        </w:rPr>
        <w:t>到</w:t>
      </w:r>
      <w:r>
        <w:rPr>
          <w:rFonts w:ascii="Times New Roman" w:hAnsi="Times New Roman" w:eastAsia="宋体" w:cs="Times New Roman"/>
          <w:color w:val="auto"/>
          <w:szCs w:val="20"/>
          <w:highlight w:val="none"/>
          <w:u w:val="single"/>
        </w:rPr>
        <w:t>碎石（0</w:t>
      </w:r>
      <w:r>
        <w:rPr>
          <w:rFonts w:hint="eastAsia" w:ascii="Times New Roman" w:hAnsi="Times New Roman" w:eastAsia="宋体" w:cs="Times New Roman"/>
          <w:color w:val="auto"/>
          <w:szCs w:val="20"/>
          <w:highlight w:val="none"/>
          <w:u w:val="single"/>
        </w:rPr>
        <w:t>.5</w:t>
      </w:r>
      <w:r>
        <w:rPr>
          <w:rFonts w:ascii="Times New Roman" w:hAnsi="Times New Roman" w:eastAsia="宋体" w:cs="Times New Roman"/>
          <w:color w:val="auto"/>
          <w:szCs w:val="20"/>
          <w:highlight w:val="none"/>
          <w:u w:val="single"/>
        </w:rPr>
        <w:t>cm⁓</w:t>
      </w:r>
      <w:r>
        <w:rPr>
          <w:rFonts w:hint="eastAsia" w:ascii="Times New Roman" w:hAnsi="Times New Roman" w:eastAsia="宋体" w:cs="Times New Roman"/>
          <w:color w:val="auto"/>
          <w:szCs w:val="20"/>
          <w:highlight w:val="none"/>
          <w:u w:val="single"/>
        </w:rPr>
        <w:t>1</w:t>
      </w:r>
      <w:r>
        <w:rPr>
          <w:rFonts w:ascii="Times New Roman" w:hAnsi="Times New Roman" w:eastAsia="宋体" w:cs="Times New Roman"/>
          <w:color w:val="auto"/>
          <w:szCs w:val="20"/>
          <w:highlight w:val="none"/>
          <w:u w:val="single"/>
        </w:rPr>
        <w:t>cm</w:t>
      </w:r>
      <w:r>
        <w:rPr>
          <w:rFonts w:hint="eastAsia" w:ascii="Times New Roman" w:hAnsi="Times New Roman" w:eastAsia="宋体" w:cs="Times New Roman"/>
          <w:color w:val="auto"/>
          <w:szCs w:val="20"/>
          <w:highlight w:val="none"/>
          <w:u w:val="single"/>
        </w:rPr>
        <w:t>、2</w:t>
      </w:r>
      <w:r>
        <w:rPr>
          <w:rFonts w:ascii="Times New Roman" w:hAnsi="Times New Roman" w:eastAsia="宋体" w:cs="Times New Roman"/>
          <w:color w:val="auto"/>
          <w:szCs w:val="20"/>
          <w:highlight w:val="none"/>
          <w:u w:val="single"/>
        </w:rPr>
        <w:t>cm⁓</w:t>
      </w:r>
      <w:r>
        <w:rPr>
          <w:rFonts w:hint="eastAsia" w:ascii="Times New Roman" w:hAnsi="Times New Roman" w:eastAsia="宋体" w:cs="Times New Roman"/>
          <w:color w:val="auto"/>
          <w:szCs w:val="20"/>
          <w:highlight w:val="none"/>
          <w:u w:val="single"/>
        </w:rPr>
        <w:t>3</w:t>
      </w:r>
      <w:r>
        <w:rPr>
          <w:rFonts w:ascii="Times New Roman" w:hAnsi="Times New Roman" w:eastAsia="宋体" w:cs="Times New Roman"/>
          <w:color w:val="auto"/>
          <w:szCs w:val="20"/>
          <w:highlight w:val="none"/>
          <w:u w:val="single"/>
        </w:rPr>
        <w:t>cm、</w:t>
      </w:r>
      <w:r>
        <w:rPr>
          <w:rFonts w:hint="eastAsia" w:ascii="Times New Roman" w:hAnsi="Times New Roman" w:eastAsia="宋体" w:cs="Times New Roman"/>
          <w:color w:val="auto"/>
          <w:szCs w:val="20"/>
          <w:highlight w:val="none"/>
          <w:u w:val="single"/>
        </w:rPr>
        <w:t>1</w:t>
      </w:r>
      <w:r>
        <w:rPr>
          <w:rFonts w:ascii="Times New Roman" w:hAnsi="Times New Roman" w:eastAsia="宋体" w:cs="Times New Roman"/>
          <w:color w:val="auto"/>
          <w:szCs w:val="20"/>
          <w:highlight w:val="none"/>
          <w:u w:val="single"/>
        </w:rPr>
        <w:t>cm⁓</w:t>
      </w:r>
      <w:r>
        <w:rPr>
          <w:rFonts w:hint="eastAsia" w:ascii="Times New Roman" w:hAnsi="Times New Roman" w:eastAsia="宋体" w:cs="Times New Roman"/>
          <w:color w:val="auto"/>
          <w:szCs w:val="20"/>
          <w:highlight w:val="none"/>
          <w:u w:val="single"/>
        </w:rPr>
        <w:t>2</w:t>
      </w:r>
      <w:r>
        <w:rPr>
          <w:rFonts w:ascii="Times New Roman" w:hAnsi="Times New Roman" w:eastAsia="宋体" w:cs="Times New Roman"/>
          <w:color w:val="auto"/>
          <w:szCs w:val="20"/>
          <w:highlight w:val="none"/>
          <w:u w:val="single"/>
        </w:rPr>
        <w:t>cm）</w:t>
      </w:r>
      <w:r>
        <w:rPr>
          <w:rFonts w:hint="eastAsia" w:ascii="Times New Roman" w:hAnsi="Times New Roman" w:eastAsia="宋体" w:cs="Times New Roman"/>
          <w:color w:val="auto"/>
          <w:szCs w:val="20"/>
          <w:highlight w:val="none"/>
          <w:u w:val="single"/>
        </w:rPr>
        <w:t>和石粉</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小于</w:t>
      </w:r>
      <w:r>
        <w:rPr>
          <w:rFonts w:ascii="Times New Roman" w:hAnsi="Times New Roman" w:eastAsia="宋体" w:cs="Times New Roman"/>
          <w:color w:val="auto"/>
          <w:szCs w:val="20"/>
          <w:highlight w:val="none"/>
          <w:u w:val="single"/>
        </w:rPr>
        <w:t>0</w:t>
      </w:r>
      <w:r>
        <w:rPr>
          <w:rFonts w:hint="eastAsia" w:ascii="Times New Roman" w:hAnsi="Times New Roman" w:eastAsia="宋体" w:cs="Times New Roman"/>
          <w:color w:val="auto"/>
          <w:szCs w:val="20"/>
          <w:highlight w:val="none"/>
          <w:u w:val="single"/>
        </w:rPr>
        <w:t>.5</w:t>
      </w:r>
      <w:r>
        <w:rPr>
          <w:rFonts w:ascii="Times New Roman" w:hAnsi="Times New Roman" w:eastAsia="宋体" w:cs="Times New Roman"/>
          <w:color w:val="auto"/>
          <w:szCs w:val="20"/>
          <w:highlight w:val="none"/>
          <w:u w:val="single"/>
        </w:rPr>
        <w:t>cm）</w:t>
      </w:r>
      <w:r>
        <w:rPr>
          <w:rFonts w:hint="eastAsia" w:ascii="Times New Roman" w:hAnsi="Times New Roman" w:eastAsia="宋体" w:cs="Times New Roman"/>
          <w:color w:val="auto"/>
          <w:szCs w:val="20"/>
          <w:highlight w:val="none"/>
          <w:u w:val="single"/>
        </w:rPr>
        <w:t>，碎石</w:t>
      </w:r>
      <w:r>
        <w:rPr>
          <w:rFonts w:ascii="Times New Roman" w:hAnsi="Times New Roman" w:eastAsia="宋体" w:cs="Times New Roman"/>
          <w:color w:val="auto"/>
          <w:szCs w:val="20"/>
          <w:highlight w:val="none"/>
          <w:u w:val="single"/>
        </w:rPr>
        <w:t>经皮带输送机运输至堆料场</w:t>
      </w:r>
      <w:r>
        <w:rPr>
          <w:rFonts w:hint="eastAsia" w:ascii="Times New Roman" w:hAnsi="Times New Roman" w:eastAsia="宋体"/>
          <w:color w:val="auto"/>
          <w:szCs w:val="20"/>
          <w:highlight w:val="none"/>
          <w:u w:val="single"/>
        </w:rPr>
        <w:t>①②③</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装车外卖；石粉送至石粉堆料场</w:t>
      </w:r>
      <w:r>
        <w:rPr>
          <w:rFonts w:hint="eastAsia" w:ascii="Times New Roman" w:hAnsi="Times New Roman" w:eastAsia="宋体"/>
          <w:color w:val="auto"/>
          <w:szCs w:val="20"/>
          <w:highlight w:val="none"/>
          <w:u w:val="single"/>
        </w:rPr>
        <w:t>④</w:t>
      </w:r>
      <w:r>
        <w:rPr>
          <w:rFonts w:hint="eastAsia" w:ascii="Times New Roman" w:hAnsi="Times New Roman" w:eastAsia="宋体" w:cs="Times New Roman"/>
          <w:color w:val="auto"/>
          <w:szCs w:val="20"/>
          <w:highlight w:val="none"/>
          <w:u w:val="single"/>
        </w:rPr>
        <w:t>，石粉中含有泥渣，需经过水洗砂工序，除去石粉中夹杂的泥渣，得到</w:t>
      </w:r>
      <w:r>
        <w:rPr>
          <w:rFonts w:hint="eastAsia" w:ascii="Times New Roman" w:hAnsi="Times New Roman" w:eastAsia="宋体" w:cs="Times New Roman"/>
          <w:color w:val="auto"/>
          <w:szCs w:val="20"/>
          <w:highlight w:val="none"/>
          <w:u w:val="single"/>
          <w:lang w:val="en-US" w:eastAsia="zh-CN"/>
        </w:rPr>
        <w:t>人工砂</w:t>
      </w:r>
      <w:r>
        <w:rPr>
          <w:rFonts w:hint="eastAsia" w:ascii="Times New Roman" w:hAnsi="Times New Roman" w:eastAsia="宋体" w:cs="Times New Roman"/>
          <w:color w:val="auto"/>
          <w:szCs w:val="20"/>
          <w:highlight w:val="none"/>
          <w:u w:val="single"/>
        </w:rPr>
        <w:t>成品，水洗过程产生废水W和洗砂泥饼S3-3，废水经沉淀处理后循环使用，不外排，水洗砂过程定期补充新鲜水。三级破碎筛分</w:t>
      </w:r>
      <w:r>
        <w:rPr>
          <w:rFonts w:hint="eastAsia" w:ascii="Times New Roman" w:hAnsi="Times New Roman" w:eastAsia="宋体"/>
          <w:color w:val="auto"/>
          <w:szCs w:val="20"/>
          <w:highlight w:val="none"/>
          <w:u w:val="single"/>
        </w:rPr>
        <w:t>①</w:t>
      </w:r>
      <w:r>
        <w:rPr>
          <w:rFonts w:ascii="Times New Roman" w:hAnsi="Times New Roman" w:eastAsia="宋体" w:cs="Times New Roman"/>
          <w:color w:val="auto"/>
          <w:szCs w:val="20"/>
          <w:highlight w:val="none"/>
          <w:u w:val="single"/>
        </w:rPr>
        <w:t>过程产生废气</w:t>
      </w:r>
      <w:r>
        <w:rPr>
          <w:rFonts w:hint="eastAsia" w:ascii="Times New Roman" w:hAnsi="Times New Roman" w:eastAsia="宋体" w:cs="Times New Roman"/>
          <w:color w:val="auto"/>
          <w:szCs w:val="20"/>
          <w:highlight w:val="none"/>
          <w:u w:val="single"/>
        </w:rPr>
        <w:t>G3</w:t>
      </w:r>
      <w:r>
        <w:rPr>
          <w:rFonts w:ascii="Times New Roman" w:hAnsi="Times New Roman" w:eastAsia="宋体" w:cs="Times New Roman"/>
          <w:color w:val="auto"/>
          <w:szCs w:val="20"/>
          <w:highlight w:val="none"/>
          <w:u w:val="single"/>
        </w:rPr>
        <w:t>-3和噪声N，</w:t>
      </w:r>
      <w:r>
        <w:rPr>
          <w:rFonts w:hint="eastAsia" w:ascii="Times New Roman" w:hAnsi="Times New Roman" w:eastAsia="宋体" w:cs="Times New Roman"/>
          <w:color w:val="auto"/>
          <w:szCs w:val="20"/>
          <w:highlight w:val="none"/>
          <w:u w:val="single"/>
        </w:rPr>
        <w:t>三级破碎筛分</w:t>
      </w:r>
      <w:r>
        <w:rPr>
          <w:rFonts w:hint="eastAsia" w:ascii="Times New Roman" w:hAnsi="Times New Roman" w:eastAsia="宋体"/>
          <w:color w:val="auto"/>
          <w:szCs w:val="20"/>
          <w:highlight w:val="none"/>
          <w:u w:val="single"/>
        </w:rPr>
        <w:t>①</w:t>
      </w:r>
      <w:r>
        <w:rPr>
          <w:rFonts w:ascii="Times New Roman" w:hAnsi="Times New Roman" w:eastAsia="宋体" w:cs="Times New Roman"/>
          <w:color w:val="auto"/>
          <w:szCs w:val="20"/>
          <w:highlight w:val="none"/>
          <w:u w:val="single"/>
        </w:rPr>
        <w:t>采用</w:t>
      </w:r>
      <w:r>
        <w:rPr>
          <w:rFonts w:hint="eastAsia" w:ascii="Times New Roman" w:hAnsi="Times New Roman" w:eastAsia="宋体" w:cs="Times New Roman"/>
          <w:color w:val="auto"/>
          <w:szCs w:val="20"/>
          <w:highlight w:val="none"/>
          <w:u w:val="single"/>
        </w:rPr>
        <w:t>封</w:t>
      </w:r>
      <w:r>
        <w:rPr>
          <w:rFonts w:ascii="Times New Roman" w:hAnsi="Times New Roman" w:eastAsia="宋体" w:cs="Times New Roman"/>
          <w:color w:val="auto"/>
          <w:szCs w:val="20"/>
          <w:highlight w:val="none"/>
          <w:u w:val="single"/>
        </w:rPr>
        <w:t>闭</w:t>
      </w:r>
      <w:r>
        <w:rPr>
          <w:rFonts w:hint="eastAsia" w:ascii="Times New Roman" w:hAnsi="Times New Roman" w:eastAsia="宋体" w:cs="Times New Roman"/>
          <w:color w:val="auto"/>
          <w:szCs w:val="20"/>
          <w:highlight w:val="none"/>
          <w:u w:val="single"/>
        </w:rPr>
        <w:t>隔间</w:t>
      </w:r>
      <w:r>
        <w:rPr>
          <w:rFonts w:ascii="Times New Roman" w:hAnsi="Times New Roman" w:eastAsia="宋体" w:cs="Times New Roman"/>
          <w:color w:val="auto"/>
          <w:szCs w:val="20"/>
          <w:highlight w:val="none"/>
          <w:u w:val="single"/>
        </w:rPr>
        <w:t>建设，</w:t>
      </w:r>
      <w:r>
        <w:rPr>
          <w:rFonts w:hint="eastAsia" w:ascii="Times New Roman" w:hAnsi="Times New Roman" w:eastAsia="宋体" w:cs="Times New Roman"/>
          <w:color w:val="auto"/>
          <w:szCs w:val="20"/>
          <w:highlight w:val="none"/>
          <w:u w:val="single"/>
        </w:rPr>
        <w:t>并配套喷淋设施和负压收集系统，破碎前对半成品进行喷淋，增大半成品表面含水率，三级破碎筛分过程</w:t>
      </w:r>
      <w:r>
        <w:rPr>
          <w:rFonts w:ascii="Times New Roman" w:hAnsi="Times New Roman" w:eastAsia="宋体" w:cs="Times New Roman"/>
          <w:color w:val="auto"/>
          <w:szCs w:val="20"/>
          <w:highlight w:val="none"/>
          <w:u w:val="single"/>
        </w:rPr>
        <w:t>废气经</w:t>
      </w:r>
      <w:r>
        <w:rPr>
          <w:rFonts w:hint="eastAsia" w:ascii="Times New Roman" w:hAnsi="Times New Roman" w:eastAsia="宋体" w:cs="Times New Roman"/>
          <w:color w:val="auto"/>
          <w:szCs w:val="20"/>
          <w:highlight w:val="none"/>
          <w:u w:val="single"/>
        </w:rPr>
        <w:t>封闭+负压收集+</w:t>
      </w:r>
      <w:r>
        <w:rPr>
          <w:rFonts w:ascii="Times New Roman" w:hAnsi="Times New Roman" w:eastAsia="宋体" w:cs="Times New Roman"/>
          <w:color w:val="auto"/>
          <w:szCs w:val="20"/>
          <w:highlight w:val="none"/>
          <w:u w:val="single"/>
        </w:rPr>
        <w:t>袋式除尘器处理后由15m</w:t>
      </w:r>
      <w:r>
        <w:rPr>
          <w:rFonts w:hint="eastAsia" w:ascii="Times New Roman" w:hAnsi="Times New Roman" w:eastAsia="宋体" w:cs="Times New Roman"/>
          <w:color w:val="auto"/>
          <w:szCs w:val="20"/>
          <w:highlight w:val="none"/>
          <w:u w:val="single"/>
        </w:rPr>
        <w:t>高3#</w:t>
      </w:r>
      <w:r>
        <w:rPr>
          <w:rFonts w:ascii="Times New Roman" w:hAnsi="Times New Roman" w:eastAsia="宋体" w:cs="Times New Roman"/>
          <w:color w:val="auto"/>
          <w:szCs w:val="20"/>
          <w:highlight w:val="none"/>
          <w:u w:val="single"/>
        </w:rPr>
        <w:t>排气筒排放。</w:t>
      </w:r>
      <w:r>
        <w:rPr>
          <w:rFonts w:hint="eastAsia" w:ascii="Times New Roman" w:hAnsi="Times New Roman" w:eastAsia="宋体" w:cs="Times New Roman"/>
          <w:color w:val="auto"/>
          <w:szCs w:val="20"/>
          <w:highlight w:val="none"/>
          <w:u w:val="single"/>
        </w:rPr>
        <w:t>未收集粉尘Gu3-7经喷淋后以无组织形式排放。</w:t>
      </w:r>
      <w:r>
        <w:rPr>
          <w:rFonts w:ascii="Times New Roman" w:hAnsi="Times New Roman" w:eastAsia="宋体" w:cs="Times New Roman"/>
          <w:color w:val="auto"/>
          <w:szCs w:val="20"/>
          <w:highlight w:val="none"/>
          <w:u w:val="single"/>
        </w:rPr>
        <w:t>堆料场堆存过程产生扬尘</w:t>
      </w:r>
      <w:r>
        <w:rPr>
          <w:rFonts w:hint="eastAsia" w:ascii="Times New Roman" w:hAnsi="Times New Roman" w:eastAsia="宋体" w:cs="Times New Roman"/>
          <w:color w:val="auto"/>
          <w:szCs w:val="20"/>
          <w:highlight w:val="none"/>
          <w:u w:val="single"/>
        </w:rPr>
        <w:t>Gu3</w:t>
      </w:r>
      <w:r>
        <w:rPr>
          <w:rFonts w:ascii="Times New Roman" w:hAnsi="Times New Roman" w:eastAsia="宋体" w:cs="Times New Roman"/>
          <w:color w:val="auto"/>
          <w:szCs w:val="20"/>
          <w:highlight w:val="none"/>
          <w:u w:val="single"/>
        </w:rPr>
        <w:t>-</w:t>
      </w:r>
      <w:r>
        <w:rPr>
          <w:rFonts w:hint="eastAsia" w:cs="Times New Roman"/>
          <w:color w:val="auto"/>
          <w:szCs w:val="20"/>
          <w:highlight w:val="none"/>
          <w:u w:val="single"/>
          <w:lang w:val="en-US" w:eastAsia="zh-CN"/>
        </w:rPr>
        <w:t>11</w:t>
      </w:r>
      <w:r>
        <w:rPr>
          <w:rFonts w:ascii="Times New Roman" w:hAnsi="Times New Roman" w:eastAsia="宋体" w:cs="Times New Roman"/>
          <w:color w:val="auto"/>
          <w:szCs w:val="20"/>
          <w:highlight w:val="none"/>
          <w:u w:val="single"/>
        </w:rPr>
        <w:t>，通过定期洒水降尘和覆盖防尘网，减少扬尘排放。装卸和运输过程过程产生扬尘</w:t>
      </w:r>
      <w:r>
        <w:rPr>
          <w:rFonts w:hint="eastAsia" w:ascii="Times New Roman" w:hAnsi="Times New Roman" w:eastAsia="宋体" w:cs="Times New Roman"/>
          <w:color w:val="auto"/>
          <w:szCs w:val="20"/>
          <w:highlight w:val="none"/>
          <w:u w:val="single"/>
        </w:rPr>
        <w:t>Gu3</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1</w:t>
      </w:r>
      <w:r>
        <w:rPr>
          <w:rFonts w:hint="eastAsia" w:cs="Times New Roman"/>
          <w:color w:val="auto"/>
          <w:szCs w:val="20"/>
          <w:highlight w:val="none"/>
          <w:u w:val="single"/>
          <w:lang w:val="en-US" w:eastAsia="zh-CN"/>
        </w:rPr>
        <w:t>3</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Gu3</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1</w:t>
      </w:r>
      <w:r>
        <w:rPr>
          <w:rFonts w:hint="eastAsia" w:cs="Times New Roman"/>
          <w:color w:val="auto"/>
          <w:szCs w:val="20"/>
          <w:highlight w:val="none"/>
          <w:u w:val="single"/>
          <w:lang w:val="en-US" w:eastAsia="zh-CN"/>
        </w:rPr>
        <w:t>4</w:t>
      </w:r>
      <w:r>
        <w:rPr>
          <w:rFonts w:ascii="Times New Roman" w:hAnsi="Times New Roman" w:eastAsia="宋体" w:cs="Times New Roman"/>
          <w:color w:val="auto"/>
          <w:szCs w:val="20"/>
          <w:highlight w:val="none"/>
          <w:u w:val="single"/>
        </w:rPr>
        <w:t>，通过定期洒水降尘减少扬尘排放。</w:t>
      </w:r>
    </w:p>
    <w:p>
      <w:pPr>
        <w:ind w:firstLine="482"/>
        <w:rPr>
          <w:rFonts w:ascii="Times New Roman" w:hAnsi="Times New Roman" w:eastAsia="宋体" w:cs="Times New Roman"/>
          <w:color w:val="auto"/>
          <w:szCs w:val="20"/>
          <w:highlight w:val="none"/>
          <w:u w:val="single"/>
        </w:rPr>
      </w:pPr>
      <w:r>
        <w:rPr>
          <w:rFonts w:hint="eastAsia" w:ascii="Times New Roman" w:hAnsi="Times New Roman" w:eastAsia="宋体" w:cs="Times New Roman"/>
          <w:b/>
          <w:bCs/>
          <w:color w:val="auto"/>
          <w:szCs w:val="20"/>
          <w:highlight w:val="none"/>
          <w:u w:val="single"/>
        </w:rPr>
        <w:t>水洗砂：</w:t>
      </w:r>
      <w:r>
        <w:rPr>
          <w:rFonts w:hint="eastAsia" w:ascii="Times New Roman" w:hAnsi="Times New Roman" w:eastAsia="宋体" w:cs="Times New Roman"/>
          <w:color w:val="auto"/>
          <w:szCs w:val="20"/>
          <w:highlight w:val="none"/>
          <w:u w:val="single"/>
        </w:rPr>
        <w:t>石粉采用水洗砂工艺，除去石粉中的泥渣，得到</w:t>
      </w:r>
      <w:r>
        <w:rPr>
          <w:rFonts w:hint="eastAsia" w:ascii="Times New Roman" w:hAnsi="Times New Roman" w:eastAsia="宋体" w:cs="Times New Roman"/>
          <w:color w:val="auto"/>
          <w:szCs w:val="20"/>
          <w:highlight w:val="none"/>
          <w:u w:val="single"/>
          <w:lang w:val="en-US" w:eastAsia="zh-CN"/>
        </w:rPr>
        <w:t>人工砂</w:t>
      </w:r>
      <w:r>
        <w:rPr>
          <w:rFonts w:hint="eastAsia" w:ascii="Times New Roman" w:hAnsi="Times New Roman" w:eastAsia="宋体" w:cs="Times New Roman"/>
          <w:color w:val="auto"/>
          <w:szCs w:val="20"/>
          <w:highlight w:val="none"/>
          <w:u w:val="single"/>
        </w:rPr>
        <w:t>成品后外卖。石粉由铲车铲入料斗，顺着水流冲进螺旋洗砂机里进行冲洗，冲洗后得到成品</w:t>
      </w:r>
      <w:r>
        <w:rPr>
          <w:rFonts w:hint="eastAsia" w:ascii="Times New Roman" w:hAnsi="Times New Roman" w:eastAsia="宋体" w:cs="Times New Roman"/>
          <w:color w:val="auto"/>
          <w:szCs w:val="20"/>
          <w:highlight w:val="none"/>
          <w:u w:val="single"/>
          <w:lang w:val="en-US" w:eastAsia="zh-CN"/>
        </w:rPr>
        <w:t>人工砂</w:t>
      </w:r>
      <w:r>
        <w:rPr>
          <w:rFonts w:hint="eastAsia" w:ascii="Times New Roman" w:hAnsi="Times New Roman" w:eastAsia="宋体" w:cs="Times New Roman"/>
          <w:color w:val="auto"/>
          <w:szCs w:val="20"/>
          <w:highlight w:val="none"/>
          <w:u w:val="single"/>
        </w:rPr>
        <w:t>，螺旋洗砂机配套尾水回收装置，可回收洗砂废水中的细砂。洗砂废水经沉砂池进行三级沉淀后，上层清水流入清水池，清水补充至洗砂工序循环使用，洗砂工序定期补充新鲜水。沉砂池底部污泥经脱水机脱水后得到洗砂泥饼，外卖砖厂，滤液回流至沉砂池内沉淀，不外排。水洗砂工艺流程及产污节点见下图2.5-2。</w:t>
      </w:r>
    </w:p>
    <w:p>
      <w:pPr>
        <w:ind w:firstLine="480"/>
        <w:rPr>
          <w:rFonts w:ascii="Times New Roman" w:hAnsi="Times New Roman" w:eastAsia="宋体" w:cs="Times New Roman"/>
          <w:color w:val="auto"/>
          <w:highlight w:val="none"/>
          <w:u w:val="single"/>
        </w:rPr>
      </w:pPr>
      <w:r>
        <w:rPr>
          <w:rFonts w:ascii="Times New Roman" w:hAnsi="Times New Roman" w:eastAsia="宋体" w:cs="Times New Roman"/>
          <w:color w:val="auto"/>
          <w:szCs w:val="20"/>
          <w:highlight w:val="none"/>
          <w:u w:val="single"/>
        </w:rPr>
        <w:object>
          <v:shape id="_x0000_i1031" o:spt="75" type="#_x0000_t75" style="height:207pt;width:396.75pt;" o:ole="t" filled="f" o:preferrelative="t" stroked="f" coordsize="21600,21600">
            <v:path/>
            <v:fill on="f" focussize="0,0"/>
            <v:stroke on="f"/>
            <v:imagedata r:id="rId64" o:title=""/>
            <o:lock v:ext="edit" aspectratio="f"/>
            <w10:wrap type="none"/>
            <w10:anchorlock/>
          </v:shape>
          <o:OLEObject Type="Embed" ProgID="Visio.Drawing.11" ShapeID="_x0000_i1031" DrawAspect="Content" ObjectID="_1468075731" r:id="rId63">
            <o:LockedField>false</o:LockedField>
          </o:OLEObject>
        </w:object>
      </w:r>
    </w:p>
    <w:p>
      <w:pPr>
        <w:ind w:firstLine="482"/>
        <w:rPr>
          <w:rFonts w:hint="eastAsia"/>
          <w:b/>
          <w:color w:val="auto"/>
          <w:szCs w:val="20"/>
          <w:highlight w:val="none"/>
          <w:u w:val="single"/>
          <w:lang w:val="en-US" w:eastAsia="zh-CN"/>
        </w:rPr>
      </w:pPr>
      <w:r>
        <w:rPr>
          <w:rFonts w:hint="eastAsia" w:cs="Times New Roman"/>
          <w:b/>
          <w:color w:val="auto"/>
          <w:szCs w:val="20"/>
          <w:highlight w:val="none"/>
          <w:u w:val="single"/>
          <w:lang w:val="en-US" w:eastAsia="zh-CN"/>
        </w:rPr>
        <w:t>2.破碎场</w:t>
      </w:r>
      <w:r>
        <w:rPr>
          <w:rFonts w:hint="eastAsia" w:ascii="宋体" w:hAnsi="宋体" w:eastAsia="宋体" w:cs="宋体"/>
          <w:b/>
          <w:color w:val="auto"/>
          <w:szCs w:val="20"/>
          <w:highlight w:val="none"/>
          <w:u w:val="single"/>
        </w:rPr>
        <w:t>②</w:t>
      </w:r>
      <w:r>
        <w:rPr>
          <w:rFonts w:hint="eastAsia"/>
          <w:b/>
          <w:color w:val="auto"/>
          <w:szCs w:val="20"/>
          <w:highlight w:val="none"/>
          <w:u w:val="single"/>
          <w:lang w:val="en-US" w:eastAsia="zh-CN"/>
        </w:rPr>
        <w:t>工艺流程：</w:t>
      </w:r>
    </w:p>
    <w:p>
      <w:pPr>
        <w:ind w:firstLine="482"/>
        <w:rPr>
          <w:rFonts w:ascii="Times New Roman" w:hAnsi="Times New Roman" w:eastAsia="宋体" w:cs="Times New Roman"/>
          <w:color w:val="auto"/>
          <w:szCs w:val="20"/>
          <w:highlight w:val="none"/>
          <w:u w:val="single"/>
        </w:rPr>
      </w:pPr>
      <w:r>
        <w:rPr>
          <w:rFonts w:hint="eastAsia" w:ascii="Times New Roman" w:hAnsi="Times New Roman" w:eastAsia="宋体" w:cs="Times New Roman"/>
          <w:b/>
          <w:color w:val="auto"/>
          <w:szCs w:val="20"/>
          <w:highlight w:val="none"/>
          <w:u w:val="single"/>
        </w:rPr>
        <w:t>筛选破碎</w:t>
      </w:r>
      <w:r>
        <w:rPr>
          <w:rFonts w:hint="eastAsia" w:ascii="Times New Roman" w:hAnsi="Times New Roman" w:eastAsia="宋体"/>
          <w:color w:val="auto"/>
          <w:highlight w:val="none"/>
          <w:u w:val="single"/>
        </w:rPr>
        <w:t>②</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项目硅质岩矿爆破后大块石料中含有少量废土石渣，经泥筛筛选除去废土石渣S</w:t>
      </w:r>
      <w:r>
        <w:rPr>
          <w:rFonts w:hint="eastAsia" w:cs="Times New Roman"/>
          <w:color w:val="auto"/>
          <w:szCs w:val="20"/>
          <w:highlight w:val="none"/>
          <w:u w:val="single"/>
          <w:lang w:val="en-US" w:eastAsia="zh-CN"/>
        </w:rPr>
        <w:t>3-2</w:t>
      </w:r>
      <w:r>
        <w:rPr>
          <w:rFonts w:hint="eastAsia" w:ascii="Times New Roman" w:hAnsi="Times New Roman" w:eastAsia="宋体" w:cs="Times New Roman"/>
          <w:color w:val="auto"/>
          <w:szCs w:val="20"/>
          <w:highlight w:val="none"/>
          <w:u w:val="single"/>
        </w:rPr>
        <w:t>，经外卖用于周边道路建设。大块石料经输送带送至振动给料机，振动给料机将石料振动投入破碎机，破碎后得到半成品由输送带送至料仓暂存。筛选破碎</w:t>
      </w:r>
      <w:r>
        <w:rPr>
          <w:rFonts w:hint="eastAsia" w:ascii="Times New Roman" w:hAnsi="Times New Roman" w:eastAsia="宋体"/>
          <w:color w:val="auto"/>
          <w:szCs w:val="20"/>
          <w:highlight w:val="none"/>
          <w:u w:val="single"/>
        </w:rPr>
        <w:t>②</w:t>
      </w:r>
      <w:r>
        <w:rPr>
          <w:rFonts w:ascii="Times New Roman" w:hAnsi="Times New Roman" w:eastAsia="宋体" w:cs="Times New Roman"/>
          <w:color w:val="auto"/>
          <w:szCs w:val="20"/>
          <w:highlight w:val="none"/>
          <w:u w:val="single"/>
        </w:rPr>
        <w:t>过程产生废气</w:t>
      </w:r>
      <w:r>
        <w:rPr>
          <w:rFonts w:hint="eastAsia" w:ascii="Times New Roman" w:hAnsi="Times New Roman" w:eastAsia="宋体" w:cs="Times New Roman"/>
          <w:color w:val="auto"/>
          <w:szCs w:val="20"/>
          <w:highlight w:val="none"/>
          <w:u w:val="single"/>
        </w:rPr>
        <w:t>G</w:t>
      </w:r>
      <w:r>
        <w:rPr>
          <w:rFonts w:hint="eastAsia" w:cs="Times New Roman"/>
          <w:color w:val="auto"/>
          <w:szCs w:val="20"/>
          <w:highlight w:val="none"/>
          <w:u w:val="single"/>
          <w:lang w:val="en-US" w:eastAsia="zh-CN"/>
        </w:rPr>
        <w:t>3-4</w:t>
      </w:r>
      <w:r>
        <w:rPr>
          <w:rFonts w:ascii="Times New Roman" w:hAnsi="Times New Roman" w:eastAsia="宋体" w:cs="Times New Roman"/>
          <w:color w:val="auto"/>
          <w:szCs w:val="20"/>
          <w:highlight w:val="none"/>
          <w:u w:val="single"/>
        </w:rPr>
        <w:t>和噪声N，</w:t>
      </w:r>
      <w:r>
        <w:rPr>
          <w:rFonts w:hint="eastAsia" w:ascii="Times New Roman" w:hAnsi="Times New Roman" w:eastAsia="宋体" w:cs="Times New Roman"/>
          <w:color w:val="auto"/>
          <w:szCs w:val="20"/>
          <w:highlight w:val="none"/>
          <w:u w:val="single"/>
        </w:rPr>
        <w:t>筛选破碎</w:t>
      </w:r>
      <w:r>
        <w:rPr>
          <w:rFonts w:hint="eastAsia" w:ascii="Times New Roman" w:hAnsi="Times New Roman" w:eastAsia="宋体"/>
          <w:color w:val="auto"/>
          <w:szCs w:val="20"/>
          <w:highlight w:val="none"/>
          <w:u w:val="single"/>
        </w:rPr>
        <w:t>②</w:t>
      </w:r>
      <w:r>
        <w:rPr>
          <w:rFonts w:ascii="Times New Roman" w:hAnsi="Times New Roman" w:eastAsia="宋体" w:cs="Times New Roman"/>
          <w:color w:val="auto"/>
          <w:szCs w:val="20"/>
          <w:highlight w:val="none"/>
          <w:u w:val="single"/>
        </w:rPr>
        <w:t>采用</w:t>
      </w:r>
      <w:r>
        <w:rPr>
          <w:rFonts w:hint="eastAsia" w:ascii="Times New Roman" w:hAnsi="Times New Roman" w:eastAsia="宋体" w:cs="Times New Roman"/>
          <w:color w:val="auto"/>
          <w:szCs w:val="20"/>
          <w:highlight w:val="none"/>
          <w:u w:val="single"/>
        </w:rPr>
        <w:t>封</w:t>
      </w:r>
      <w:r>
        <w:rPr>
          <w:rFonts w:ascii="Times New Roman" w:hAnsi="Times New Roman" w:eastAsia="宋体" w:cs="Times New Roman"/>
          <w:color w:val="auto"/>
          <w:szCs w:val="20"/>
          <w:highlight w:val="none"/>
          <w:u w:val="single"/>
        </w:rPr>
        <w:t>闭</w:t>
      </w:r>
      <w:r>
        <w:rPr>
          <w:rFonts w:hint="eastAsia" w:ascii="Times New Roman" w:hAnsi="Times New Roman" w:eastAsia="宋体" w:cs="Times New Roman"/>
          <w:color w:val="auto"/>
          <w:szCs w:val="20"/>
          <w:highlight w:val="none"/>
          <w:u w:val="single"/>
        </w:rPr>
        <w:t>隔间</w:t>
      </w:r>
      <w:r>
        <w:rPr>
          <w:rFonts w:ascii="Times New Roman" w:hAnsi="Times New Roman" w:eastAsia="宋体" w:cs="Times New Roman"/>
          <w:color w:val="auto"/>
          <w:szCs w:val="20"/>
          <w:highlight w:val="none"/>
          <w:u w:val="single"/>
        </w:rPr>
        <w:t>建设，</w:t>
      </w:r>
      <w:r>
        <w:rPr>
          <w:rFonts w:hint="eastAsia" w:ascii="Times New Roman" w:hAnsi="Times New Roman" w:eastAsia="宋体" w:cs="Times New Roman"/>
          <w:color w:val="auto"/>
          <w:szCs w:val="20"/>
          <w:highlight w:val="none"/>
          <w:u w:val="single"/>
        </w:rPr>
        <w:t>并配套喷淋设施和负压收集系统，破碎前对石料进行喷淋，增大石料表面含水率，</w:t>
      </w:r>
      <w:r>
        <w:rPr>
          <w:rFonts w:ascii="Times New Roman" w:hAnsi="Times New Roman" w:eastAsia="宋体" w:cs="Times New Roman"/>
          <w:color w:val="auto"/>
          <w:szCs w:val="20"/>
          <w:highlight w:val="none"/>
          <w:u w:val="single"/>
        </w:rPr>
        <w:t>废气经</w:t>
      </w:r>
      <w:r>
        <w:rPr>
          <w:rFonts w:hint="eastAsia" w:ascii="Times New Roman" w:hAnsi="Times New Roman" w:eastAsia="宋体" w:cs="Times New Roman"/>
          <w:color w:val="auto"/>
          <w:szCs w:val="20"/>
          <w:highlight w:val="none"/>
          <w:u w:val="single"/>
        </w:rPr>
        <w:t>封闭+负压收集+</w:t>
      </w:r>
      <w:r>
        <w:rPr>
          <w:rFonts w:ascii="Times New Roman" w:hAnsi="Times New Roman" w:eastAsia="宋体" w:cs="Times New Roman"/>
          <w:color w:val="auto"/>
          <w:szCs w:val="20"/>
          <w:highlight w:val="none"/>
          <w:u w:val="single"/>
        </w:rPr>
        <w:t>袋式除尘器处理后由15m</w:t>
      </w:r>
      <w:r>
        <w:rPr>
          <w:rFonts w:hint="eastAsia" w:ascii="Times New Roman" w:hAnsi="Times New Roman" w:eastAsia="宋体" w:cs="Times New Roman"/>
          <w:color w:val="auto"/>
          <w:szCs w:val="20"/>
          <w:highlight w:val="none"/>
          <w:u w:val="single"/>
        </w:rPr>
        <w:t>高4#</w:t>
      </w:r>
      <w:r>
        <w:rPr>
          <w:rFonts w:ascii="Times New Roman" w:hAnsi="Times New Roman" w:eastAsia="宋体" w:cs="Times New Roman"/>
          <w:color w:val="auto"/>
          <w:szCs w:val="20"/>
          <w:highlight w:val="none"/>
          <w:u w:val="single"/>
        </w:rPr>
        <w:t>排气筒排放。</w:t>
      </w:r>
      <w:r>
        <w:rPr>
          <w:rFonts w:hint="eastAsia" w:ascii="Times New Roman" w:hAnsi="Times New Roman" w:eastAsia="宋体" w:cs="Times New Roman"/>
          <w:color w:val="auto"/>
          <w:szCs w:val="20"/>
          <w:highlight w:val="none"/>
          <w:u w:val="single"/>
        </w:rPr>
        <w:t>未收集粉尘Gu</w:t>
      </w:r>
      <w:r>
        <w:rPr>
          <w:rFonts w:hint="eastAsia" w:cs="Times New Roman"/>
          <w:color w:val="auto"/>
          <w:szCs w:val="20"/>
          <w:highlight w:val="none"/>
          <w:u w:val="single"/>
          <w:lang w:val="en-US" w:eastAsia="zh-CN"/>
        </w:rPr>
        <w:t>3-8</w:t>
      </w:r>
      <w:r>
        <w:rPr>
          <w:rFonts w:hint="eastAsia" w:ascii="Times New Roman" w:hAnsi="Times New Roman" w:eastAsia="宋体" w:cs="Times New Roman"/>
          <w:color w:val="auto"/>
          <w:szCs w:val="20"/>
          <w:highlight w:val="none"/>
          <w:u w:val="single"/>
        </w:rPr>
        <w:t>经喷淋后以无组织形式排放。</w:t>
      </w:r>
    </w:p>
    <w:p>
      <w:pPr>
        <w:ind w:firstLine="482"/>
        <w:rPr>
          <w:rFonts w:ascii="Times New Roman" w:hAnsi="Times New Roman" w:eastAsia="宋体" w:cs="Times New Roman"/>
          <w:color w:val="auto"/>
          <w:szCs w:val="20"/>
          <w:highlight w:val="none"/>
          <w:u w:val="single"/>
        </w:rPr>
      </w:pPr>
      <w:r>
        <w:rPr>
          <w:rFonts w:hint="eastAsia" w:ascii="Times New Roman" w:hAnsi="Times New Roman" w:eastAsia="宋体" w:cs="Times New Roman"/>
          <w:b/>
          <w:bCs/>
          <w:color w:val="auto"/>
          <w:szCs w:val="20"/>
          <w:highlight w:val="none"/>
          <w:u w:val="single"/>
        </w:rPr>
        <w:t>二级破碎筛分</w:t>
      </w:r>
      <w:r>
        <w:rPr>
          <w:rFonts w:hint="eastAsia" w:ascii="Times New Roman" w:hAnsi="Times New Roman" w:eastAsia="宋体"/>
          <w:color w:val="auto"/>
          <w:highlight w:val="none"/>
          <w:u w:val="single"/>
        </w:rPr>
        <w:t>②</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半成品由圆锥机和反击破碎机进行二次破碎，二级破碎后进行振动筛分</w:t>
      </w:r>
      <w:r>
        <w:rPr>
          <w:rFonts w:ascii="Times New Roman" w:hAnsi="Times New Roman" w:eastAsia="宋体" w:cs="Times New Roman"/>
          <w:color w:val="auto"/>
          <w:szCs w:val="20"/>
          <w:highlight w:val="none"/>
          <w:u w:val="single"/>
        </w:rPr>
        <w:t>，筛选出碎石</w:t>
      </w:r>
      <w:r>
        <w:rPr>
          <w:rFonts w:hint="eastAsia" w:ascii="Times New Roman" w:hAnsi="Times New Roman" w:eastAsia="宋体" w:cs="Times New Roman"/>
          <w:color w:val="auto"/>
          <w:szCs w:val="20"/>
          <w:highlight w:val="none"/>
          <w:u w:val="single"/>
        </w:rPr>
        <w:t>成品（2</w:t>
      </w:r>
      <w:r>
        <w:rPr>
          <w:rFonts w:ascii="Times New Roman" w:hAnsi="Times New Roman" w:eastAsia="宋体" w:cs="Times New Roman"/>
          <w:color w:val="auto"/>
          <w:szCs w:val="20"/>
          <w:highlight w:val="none"/>
          <w:u w:val="single"/>
        </w:rPr>
        <w:t>cm⁓</w:t>
      </w:r>
      <w:r>
        <w:rPr>
          <w:rFonts w:hint="eastAsia" w:ascii="Times New Roman" w:hAnsi="Times New Roman" w:eastAsia="宋体" w:cs="Times New Roman"/>
          <w:color w:val="auto"/>
          <w:szCs w:val="20"/>
          <w:highlight w:val="none"/>
          <w:u w:val="single"/>
        </w:rPr>
        <w:t>3</w:t>
      </w:r>
      <w:r>
        <w:rPr>
          <w:rFonts w:ascii="Times New Roman" w:hAnsi="Times New Roman" w:eastAsia="宋体" w:cs="Times New Roman"/>
          <w:color w:val="auto"/>
          <w:szCs w:val="20"/>
          <w:highlight w:val="none"/>
          <w:u w:val="single"/>
        </w:rPr>
        <w:t>cm</w:t>
      </w:r>
      <w:r>
        <w:rPr>
          <w:rFonts w:hint="eastAsia" w:ascii="Times New Roman" w:hAnsi="Times New Roman" w:eastAsia="宋体" w:cs="Times New Roman"/>
          <w:color w:val="auto"/>
          <w:szCs w:val="20"/>
          <w:highlight w:val="none"/>
          <w:u w:val="single"/>
        </w:rPr>
        <w:t>、1</w:t>
      </w:r>
      <w:r>
        <w:rPr>
          <w:rFonts w:ascii="Times New Roman" w:hAnsi="Times New Roman" w:eastAsia="宋体" w:cs="Times New Roman"/>
          <w:color w:val="auto"/>
          <w:szCs w:val="20"/>
          <w:highlight w:val="none"/>
          <w:u w:val="single"/>
        </w:rPr>
        <w:t>cm⁓</w:t>
      </w:r>
      <w:r>
        <w:rPr>
          <w:rFonts w:hint="eastAsia" w:ascii="Times New Roman" w:hAnsi="Times New Roman" w:eastAsia="宋体" w:cs="Times New Roman"/>
          <w:color w:val="auto"/>
          <w:szCs w:val="20"/>
          <w:highlight w:val="none"/>
          <w:u w:val="single"/>
        </w:rPr>
        <w:t>2</w:t>
      </w:r>
      <w:r>
        <w:rPr>
          <w:rFonts w:ascii="Times New Roman" w:hAnsi="Times New Roman" w:eastAsia="宋体" w:cs="Times New Roman"/>
          <w:color w:val="auto"/>
          <w:szCs w:val="20"/>
          <w:highlight w:val="none"/>
          <w:u w:val="single"/>
        </w:rPr>
        <w:t>cm</w:t>
      </w:r>
      <w:r>
        <w:rPr>
          <w:rFonts w:hint="eastAsia" w:ascii="Times New Roman" w:hAnsi="Times New Roman" w:eastAsia="宋体" w:cs="Times New Roman"/>
          <w:color w:val="auto"/>
          <w:szCs w:val="20"/>
          <w:highlight w:val="none"/>
          <w:u w:val="single"/>
        </w:rPr>
        <w:t>、0.5</w:t>
      </w:r>
      <w:r>
        <w:rPr>
          <w:rFonts w:ascii="Times New Roman" w:hAnsi="Times New Roman" w:eastAsia="宋体" w:cs="Times New Roman"/>
          <w:color w:val="auto"/>
          <w:szCs w:val="20"/>
          <w:highlight w:val="none"/>
          <w:u w:val="single"/>
        </w:rPr>
        <w:t>cm⁓</w:t>
      </w:r>
      <w:r>
        <w:rPr>
          <w:rFonts w:hint="eastAsia" w:ascii="Times New Roman" w:hAnsi="Times New Roman" w:eastAsia="宋体" w:cs="Times New Roman"/>
          <w:color w:val="auto"/>
          <w:szCs w:val="20"/>
          <w:highlight w:val="none"/>
          <w:u w:val="single"/>
        </w:rPr>
        <w:t>1</w:t>
      </w:r>
      <w:r>
        <w:rPr>
          <w:rFonts w:ascii="Times New Roman" w:hAnsi="Times New Roman" w:eastAsia="宋体" w:cs="Times New Roman"/>
          <w:color w:val="auto"/>
          <w:szCs w:val="20"/>
          <w:highlight w:val="none"/>
          <w:u w:val="single"/>
        </w:rPr>
        <w:t>cm</w:t>
      </w:r>
      <w:r>
        <w:rPr>
          <w:rFonts w:hint="eastAsia" w:ascii="Times New Roman" w:hAnsi="Times New Roman" w:eastAsia="宋体" w:cs="Times New Roman"/>
          <w:color w:val="auto"/>
          <w:szCs w:val="20"/>
          <w:highlight w:val="none"/>
          <w:u w:val="single"/>
        </w:rPr>
        <w:t>）和少量粒径小于0.5cm碎石，碎石成品</w:t>
      </w:r>
      <w:r>
        <w:rPr>
          <w:rFonts w:ascii="Times New Roman" w:hAnsi="Times New Roman" w:eastAsia="宋体" w:cs="Times New Roman"/>
          <w:color w:val="auto"/>
          <w:szCs w:val="20"/>
          <w:highlight w:val="none"/>
          <w:u w:val="single"/>
        </w:rPr>
        <w:t>经皮带输送机运输至堆料场</w:t>
      </w:r>
      <w:r>
        <w:rPr>
          <w:rFonts w:hint="eastAsia" w:ascii="Times New Roman" w:hAnsi="Times New Roman" w:eastAsia="宋体"/>
          <w:color w:val="auto"/>
          <w:szCs w:val="20"/>
          <w:highlight w:val="none"/>
          <w:u w:val="single"/>
        </w:rPr>
        <w:t>⑤⑥⑦</w:t>
      </w:r>
      <w:r>
        <w:rPr>
          <w:rFonts w:hint="eastAsia" w:ascii="Times New Roman" w:hAnsi="Times New Roman" w:eastAsia="宋体" w:cs="Times New Roman"/>
          <w:color w:val="auto"/>
          <w:szCs w:val="20"/>
          <w:highlight w:val="none"/>
          <w:u w:val="single"/>
        </w:rPr>
        <w:t>堆存</w:t>
      </w:r>
      <w:r>
        <w:rPr>
          <w:rFonts w:ascii="Times New Roman" w:hAnsi="Times New Roman" w:eastAsia="宋体" w:cs="Times New Roman"/>
          <w:color w:val="auto"/>
          <w:szCs w:val="20"/>
          <w:highlight w:val="none"/>
          <w:u w:val="single"/>
        </w:rPr>
        <w:t>，装车外卖</w:t>
      </w:r>
      <w:r>
        <w:rPr>
          <w:rFonts w:hint="eastAsia" w:ascii="Times New Roman" w:hAnsi="Times New Roman" w:eastAsia="宋体" w:cs="Times New Roman"/>
          <w:color w:val="auto"/>
          <w:szCs w:val="20"/>
          <w:highlight w:val="none"/>
          <w:u w:val="single"/>
        </w:rPr>
        <w:t>，石粉输送至料仓暂存</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二级破碎筛分</w:t>
      </w:r>
      <w:r>
        <w:rPr>
          <w:rFonts w:hint="eastAsia" w:ascii="Times New Roman" w:hAnsi="Times New Roman" w:eastAsia="宋体"/>
          <w:color w:val="auto"/>
          <w:szCs w:val="20"/>
          <w:highlight w:val="none"/>
          <w:u w:val="single"/>
        </w:rPr>
        <w:t>②</w:t>
      </w:r>
      <w:r>
        <w:rPr>
          <w:rFonts w:ascii="Times New Roman" w:hAnsi="Times New Roman" w:eastAsia="宋体" w:cs="Times New Roman"/>
          <w:color w:val="auto"/>
          <w:szCs w:val="20"/>
          <w:highlight w:val="none"/>
          <w:u w:val="single"/>
        </w:rPr>
        <w:t>过程产生废气</w:t>
      </w:r>
      <w:r>
        <w:rPr>
          <w:rFonts w:hint="eastAsia" w:ascii="Times New Roman" w:hAnsi="Times New Roman" w:eastAsia="宋体" w:cs="Times New Roman"/>
          <w:color w:val="auto"/>
          <w:szCs w:val="20"/>
          <w:highlight w:val="none"/>
          <w:u w:val="single"/>
        </w:rPr>
        <w:t>G</w:t>
      </w:r>
      <w:r>
        <w:rPr>
          <w:rFonts w:hint="eastAsia" w:cs="Times New Roman"/>
          <w:color w:val="auto"/>
          <w:szCs w:val="20"/>
          <w:highlight w:val="none"/>
          <w:u w:val="single"/>
          <w:lang w:val="en-US" w:eastAsia="zh-CN"/>
        </w:rPr>
        <w:t>3-5</w:t>
      </w:r>
      <w:r>
        <w:rPr>
          <w:rFonts w:ascii="Times New Roman" w:hAnsi="Times New Roman" w:eastAsia="宋体" w:cs="Times New Roman"/>
          <w:color w:val="auto"/>
          <w:szCs w:val="20"/>
          <w:highlight w:val="none"/>
          <w:u w:val="single"/>
        </w:rPr>
        <w:t>和噪声N，</w:t>
      </w:r>
      <w:r>
        <w:rPr>
          <w:rFonts w:hint="eastAsia" w:ascii="Times New Roman" w:hAnsi="Times New Roman" w:eastAsia="宋体" w:cs="Times New Roman"/>
          <w:color w:val="auto"/>
          <w:szCs w:val="20"/>
          <w:highlight w:val="none"/>
          <w:u w:val="single"/>
        </w:rPr>
        <w:t>二级破碎筛分</w:t>
      </w:r>
      <w:r>
        <w:rPr>
          <w:rFonts w:hint="eastAsia" w:ascii="Times New Roman" w:hAnsi="Times New Roman" w:eastAsia="宋体"/>
          <w:color w:val="auto"/>
          <w:szCs w:val="20"/>
          <w:highlight w:val="none"/>
          <w:u w:val="single"/>
        </w:rPr>
        <w:t>②</w:t>
      </w:r>
      <w:r>
        <w:rPr>
          <w:rFonts w:ascii="Times New Roman" w:hAnsi="Times New Roman" w:eastAsia="宋体" w:cs="Times New Roman"/>
          <w:color w:val="auto"/>
          <w:szCs w:val="20"/>
          <w:highlight w:val="none"/>
          <w:u w:val="single"/>
        </w:rPr>
        <w:t>采用</w:t>
      </w:r>
      <w:r>
        <w:rPr>
          <w:rFonts w:hint="eastAsia" w:ascii="Times New Roman" w:hAnsi="Times New Roman" w:eastAsia="宋体" w:cs="Times New Roman"/>
          <w:color w:val="auto"/>
          <w:szCs w:val="20"/>
          <w:highlight w:val="none"/>
          <w:u w:val="single"/>
        </w:rPr>
        <w:t>封</w:t>
      </w:r>
      <w:r>
        <w:rPr>
          <w:rFonts w:ascii="Times New Roman" w:hAnsi="Times New Roman" w:eastAsia="宋体" w:cs="Times New Roman"/>
          <w:color w:val="auto"/>
          <w:szCs w:val="20"/>
          <w:highlight w:val="none"/>
          <w:u w:val="single"/>
        </w:rPr>
        <w:t>闭</w:t>
      </w:r>
      <w:r>
        <w:rPr>
          <w:rFonts w:hint="eastAsia" w:ascii="Times New Roman" w:hAnsi="Times New Roman" w:eastAsia="宋体" w:cs="Times New Roman"/>
          <w:color w:val="auto"/>
          <w:szCs w:val="20"/>
          <w:highlight w:val="none"/>
          <w:u w:val="single"/>
        </w:rPr>
        <w:t>隔间</w:t>
      </w:r>
      <w:r>
        <w:rPr>
          <w:rFonts w:ascii="Times New Roman" w:hAnsi="Times New Roman" w:eastAsia="宋体" w:cs="Times New Roman"/>
          <w:color w:val="auto"/>
          <w:szCs w:val="20"/>
          <w:highlight w:val="none"/>
          <w:u w:val="single"/>
        </w:rPr>
        <w:t>建设</w:t>
      </w:r>
      <w:r>
        <w:rPr>
          <w:rFonts w:hint="eastAsia" w:ascii="Times New Roman" w:hAnsi="Times New Roman" w:eastAsia="宋体" w:cs="Times New Roman"/>
          <w:color w:val="auto"/>
          <w:szCs w:val="20"/>
          <w:highlight w:val="none"/>
          <w:u w:val="single"/>
        </w:rPr>
        <w:t>，并配套喷淋设施和负压收集系统，破碎前对半成品进行喷淋，增大半成品表面含水率，</w:t>
      </w:r>
      <w:r>
        <w:rPr>
          <w:rFonts w:ascii="Times New Roman" w:hAnsi="Times New Roman" w:eastAsia="宋体" w:cs="Times New Roman"/>
          <w:color w:val="auto"/>
          <w:szCs w:val="20"/>
          <w:highlight w:val="none"/>
          <w:u w:val="single"/>
        </w:rPr>
        <w:t>废气经</w:t>
      </w:r>
      <w:r>
        <w:rPr>
          <w:rFonts w:hint="eastAsia" w:ascii="Times New Roman" w:hAnsi="Times New Roman" w:eastAsia="宋体" w:cs="Times New Roman"/>
          <w:color w:val="auto"/>
          <w:szCs w:val="20"/>
          <w:highlight w:val="none"/>
          <w:u w:val="single"/>
        </w:rPr>
        <w:t>封闭+负压收集+</w:t>
      </w:r>
      <w:r>
        <w:rPr>
          <w:rFonts w:ascii="Times New Roman" w:hAnsi="Times New Roman" w:eastAsia="宋体" w:cs="Times New Roman"/>
          <w:color w:val="auto"/>
          <w:szCs w:val="20"/>
          <w:highlight w:val="none"/>
          <w:u w:val="single"/>
        </w:rPr>
        <w:t>袋式除尘器处理后由15m</w:t>
      </w:r>
      <w:r>
        <w:rPr>
          <w:rFonts w:hint="eastAsia" w:ascii="Times New Roman" w:hAnsi="Times New Roman" w:eastAsia="宋体" w:cs="Times New Roman"/>
          <w:color w:val="auto"/>
          <w:szCs w:val="20"/>
          <w:highlight w:val="none"/>
          <w:u w:val="single"/>
        </w:rPr>
        <w:t>高5#</w:t>
      </w:r>
      <w:r>
        <w:rPr>
          <w:rFonts w:ascii="Times New Roman" w:hAnsi="Times New Roman" w:eastAsia="宋体" w:cs="Times New Roman"/>
          <w:color w:val="auto"/>
          <w:szCs w:val="20"/>
          <w:highlight w:val="none"/>
          <w:u w:val="single"/>
        </w:rPr>
        <w:t>排气筒排放。</w:t>
      </w:r>
      <w:r>
        <w:rPr>
          <w:rFonts w:hint="eastAsia" w:ascii="Times New Roman" w:hAnsi="Times New Roman" w:eastAsia="宋体" w:cs="Times New Roman"/>
          <w:color w:val="auto"/>
          <w:szCs w:val="20"/>
          <w:highlight w:val="none"/>
          <w:u w:val="single"/>
        </w:rPr>
        <w:t>未收集粉尘Gu</w:t>
      </w:r>
      <w:r>
        <w:rPr>
          <w:rFonts w:hint="eastAsia" w:cs="Times New Roman"/>
          <w:color w:val="auto"/>
          <w:szCs w:val="20"/>
          <w:highlight w:val="none"/>
          <w:u w:val="single"/>
          <w:lang w:val="en-US" w:eastAsia="zh-CN"/>
        </w:rPr>
        <w:t>3-9</w:t>
      </w:r>
      <w:r>
        <w:rPr>
          <w:rFonts w:hint="eastAsia" w:ascii="Times New Roman" w:hAnsi="Times New Roman" w:eastAsia="宋体" w:cs="Times New Roman"/>
          <w:color w:val="auto"/>
          <w:szCs w:val="20"/>
          <w:highlight w:val="none"/>
          <w:u w:val="single"/>
        </w:rPr>
        <w:t>经喷淋后以无组织形式排放。</w:t>
      </w:r>
    </w:p>
    <w:p>
      <w:pPr>
        <w:ind w:firstLine="480"/>
        <w:rPr>
          <w:rFonts w:ascii="Times New Roman" w:hAnsi="Times New Roman" w:eastAsia="宋体" w:cs="Times New Roman"/>
          <w:color w:val="auto"/>
          <w:szCs w:val="20"/>
          <w:highlight w:val="none"/>
          <w:u w:val="single"/>
        </w:rPr>
      </w:pPr>
      <w:r>
        <w:rPr>
          <w:rFonts w:hint="eastAsia" w:ascii="Times New Roman" w:hAnsi="Times New Roman" w:eastAsia="宋体" w:cs="Times New Roman"/>
          <w:b/>
          <w:bCs/>
          <w:color w:val="auto"/>
          <w:szCs w:val="20"/>
          <w:highlight w:val="none"/>
          <w:u w:val="single"/>
        </w:rPr>
        <w:t>三级破碎筛分</w:t>
      </w:r>
      <w:r>
        <w:rPr>
          <w:rFonts w:hint="eastAsia" w:ascii="Times New Roman" w:hAnsi="Times New Roman" w:eastAsia="宋体"/>
          <w:color w:val="auto"/>
          <w:highlight w:val="none"/>
          <w:u w:val="single"/>
        </w:rPr>
        <w:t>②</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粒径小于0.5cm碎石由输送带送至制沙机进行三级破碎筛分</w:t>
      </w:r>
      <w:r>
        <w:rPr>
          <w:rFonts w:hint="eastAsia" w:ascii="Times New Roman" w:hAnsi="Times New Roman" w:eastAsia="宋体"/>
          <w:color w:val="auto"/>
          <w:szCs w:val="20"/>
          <w:highlight w:val="none"/>
          <w:u w:val="single"/>
        </w:rPr>
        <w:t>②</w:t>
      </w:r>
      <w:r>
        <w:rPr>
          <w:rFonts w:ascii="Times New Roman" w:hAnsi="Times New Roman" w:eastAsia="宋体" w:cs="Times New Roman"/>
          <w:color w:val="auto"/>
          <w:szCs w:val="20"/>
          <w:highlight w:val="none"/>
          <w:u w:val="single"/>
        </w:rPr>
        <w:t>得</w:t>
      </w:r>
      <w:r>
        <w:rPr>
          <w:rFonts w:hint="eastAsia" w:ascii="Times New Roman" w:hAnsi="Times New Roman" w:eastAsia="宋体" w:cs="Times New Roman"/>
          <w:color w:val="auto"/>
          <w:szCs w:val="20"/>
          <w:highlight w:val="none"/>
          <w:u w:val="single"/>
        </w:rPr>
        <w:t>到石粉</w:t>
      </w:r>
      <w:r>
        <w:rPr>
          <w:rFonts w:ascii="Times New Roman" w:hAnsi="Times New Roman" w:eastAsia="宋体" w:cs="Times New Roman"/>
          <w:color w:val="auto"/>
          <w:szCs w:val="20"/>
          <w:highlight w:val="none"/>
          <w:u w:val="single"/>
        </w:rPr>
        <w:t>，经皮带输送机运输至堆料场</w:t>
      </w:r>
      <w:r>
        <w:rPr>
          <w:rFonts w:hint="eastAsia" w:ascii="Times New Roman" w:hAnsi="Times New Roman" w:eastAsia="宋体"/>
          <w:color w:val="auto"/>
          <w:szCs w:val="20"/>
          <w:highlight w:val="none"/>
          <w:u w:val="single"/>
        </w:rPr>
        <w:t>⑧</w:t>
      </w:r>
      <w:r>
        <w:rPr>
          <w:rFonts w:ascii="Times New Roman" w:hAnsi="Times New Roman" w:eastAsia="宋体" w:cs="Times New Roman"/>
          <w:color w:val="auto"/>
          <w:szCs w:val="20"/>
          <w:highlight w:val="none"/>
          <w:u w:val="single"/>
        </w:rPr>
        <w:t>，装车外卖。</w:t>
      </w:r>
      <w:r>
        <w:rPr>
          <w:rFonts w:hint="eastAsia" w:ascii="Times New Roman" w:hAnsi="Times New Roman" w:eastAsia="宋体" w:cs="Times New Roman"/>
          <w:color w:val="auto"/>
          <w:szCs w:val="20"/>
          <w:highlight w:val="none"/>
          <w:u w:val="single"/>
        </w:rPr>
        <w:t>三级破碎筛分</w:t>
      </w:r>
      <w:r>
        <w:rPr>
          <w:rFonts w:hint="eastAsia" w:ascii="Times New Roman" w:hAnsi="Times New Roman" w:eastAsia="宋体"/>
          <w:color w:val="auto"/>
          <w:szCs w:val="20"/>
          <w:highlight w:val="none"/>
          <w:u w:val="single"/>
        </w:rPr>
        <w:t>②</w:t>
      </w:r>
      <w:r>
        <w:rPr>
          <w:rFonts w:ascii="Times New Roman" w:hAnsi="Times New Roman" w:eastAsia="宋体" w:cs="Times New Roman"/>
          <w:color w:val="auto"/>
          <w:szCs w:val="20"/>
          <w:highlight w:val="none"/>
          <w:u w:val="single"/>
        </w:rPr>
        <w:t>过程产生废气</w:t>
      </w:r>
      <w:r>
        <w:rPr>
          <w:rFonts w:hint="eastAsia" w:ascii="Times New Roman" w:hAnsi="Times New Roman" w:eastAsia="宋体" w:cs="Times New Roman"/>
          <w:color w:val="auto"/>
          <w:szCs w:val="20"/>
          <w:highlight w:val="none"/>
          <w:u w:val="single"/>
        </w:rPr>
        <w:t>G</w:t>
      </w:r>
      <w:r>
        <w:rPr>
          <w:rFonts w:hint="eastAsia" w:cs="Times New Roman"/>
          <w:color w:val="auto"/>
          <w:szCs w:val="20"/>
          <w:highlight w:val="none"/>
          <w:u w:val="single"/>
          <w:lang w:val="en-US" w:eastAsia="zh-CN"/>
        </w:rPr>
        <w:t>3-6</w:t>
      </w:r>
      <w:r>
        <w:rPr>
          <w:rFonts w:ascii="Times New Roman" w:hAnsi="Times New Roman" w:eastAsia="宋体" w:cs="Times New Roman"/>
          <w:color w:val="auto"/>
          <w:szCs w:val="20"/>
          <w:highlight w:val="none"/>
          <w:u w:val="single"/>
        </w:rPr>
        <w:t>和噪声N，</w:t>
      </w:r>
      <w:r>
        <w:rPr>
          <w:rFonts w:hint="eastAsia" w:ascii="Times New Roman" w:hAnsi="Times New Roman" w:eastAsia="宋体" w:cs="Times New Roman"/>
          <w:color w:val="auto"/>
          <w:szCs w:val="20"/>
          <w:highlight w:val="none"/>
          <w:u w:val="single"/>
        </w:rPr>
        <w:t>三级破碎筛分</w:t>
      </w:r>
      <w:r>
        <w:rPr>
          <w:rFonts w:hint="eastAsia" w:ascii="Times New Roman" w:hAnsi="Times New Roman" w:eastAsia="宋体"/>
          <w:color w:val="auto"/>
          <w:szCs w:val="20"/>
          <w:highlight w:val="none"/>
          <w:u w:val="single"/>
        </w:rPr>
        <w:t>②</w:t>
      </w:r>
      <w:r>
        <w:rPr>
          <w:rFonts w:ascii="Times New Roman" w:hAnsi="Times New Roman" w:eastAsia="宋体" w:cs="Times New Roman"/>
          <w:color w:val="auto"/>
          <w:szCs w:val="20"/>
          <w:highlight w:val="none"/>
          <w:u w:val="single"/>
        </w:rPr>
        <w:t>采用</w:t>
      </w:r>
      <w:r>
        <w:rPr>
          <w:rFonts w:hint="eastAsia" w:ascii="Times New Roman" w:hAnsi="Times New Roman" w:eastAsia="宋体" w:cs="Times New Roman"/>
          <w:color w:val="auto"/>
          <w:szCs w:val="20"/>
          <w:highlight w:val="none"/>
          <w:u w:val="single"/>
        </w:rPr>
        <w:t>封</w:t>
      </w:r>
      <w:r>
        <w:rPr>
          <w:rFonts w:ascii="Times New Roman" w:hAnsi="Times New Roman" w:eastAsia="宋体" w:cs="Times New Roman"/>
          <w:color w:val="auto"/>
          <w:szCs w:val="20"/>
          <w:highlight w:val="none"/>
          <w:u w:val="single"/>
        </w:rPr>
        <w:t>闭</w:t>
      </w:r>
      <w:r>
        <w:rPr>
          <w:rFonts w:hint="eastAsia" w:ascii="Times New Roman" w:hAnsi="Times New Roman" w:eastAsia="宋体" w:cs="Times New Roman"/>
          <w:color w:val="auto"/>
          <w:szCs w:val="20"/>
          <w:highlight w:val="none"/>
          <w:u w:val="single"/>
        </w:rPr>
        <w:t>隔间</w:t>
      </w:r>
      <w:r>
        <w:rPr>
          <w:rFonts w:ascii="Times New Roman" w:hAnsi="Times New Roman" w:eastAsia="宋体" w:cs="Times New Roman"/>
          <w:color w:val="auto"/>
          <w:szCs w:val="20"/>
          <w:highlight w:val="none"/>
          <w:u w:val="single"/>
        </w:rPr>
        <w:t>建设，</w:t>
      </w:r>
      <w:r>
        <w:rPr>
          <w:rFonts w:hint="eastAsia" w:ascii="Times New Roman" w:hAnsi="Times New Roman" w:eastAsia="宋体" w:cs="Times New Roman"/>
          <w:color w:val="auto"/>
          <w:szCs w:val="20"/>
          <w:highlight w:val="none"/>
          <w:u w:val="single"/>
        </w:rPr>
        <w:t>并配套喷淋设施和负压收集系统，破碎前对碎石进行喷淋，增大碎石表面含水率，</w:t>
      </w:r>
      <w:r>
        <w:rPr>
          <w:rFonts w:ascii="Times New Roman" w:hAnsi="Times New Roman" w:eastAsia="宋体" w:cs="Times New Roman"/>
          <w:color w:val="auto"/>
          <w:szCs w:val="20"/>
          <w:highlight w:val="none"/>
          <w:u w:val="single"/>
        </w:rPr>
        <w:t>废气经</w:t>
      </w:r>
      <w:r>
        <w:rPr>
          <w:rFonts w:hint="eastAsia" w:ascii="Times New Roman" w:hAnsi="Times New Roman" w:eastAsia="宋体" w:cs="Times New Roman"/>
          <w:color w:val="auto"/>
          <w:szCs w:val="20"/>
          <w:highlight w:val="none"/>
          <w:u w:val="single"/>
        </w:rPr>
        <w:t>封闭+负压收集+</w:t>
      </w:r>
      <w:r>
        <w:rPr>
          <w:rFonts w:ascii="Times New Roman" w:hAnsi="Times New Roman" w:eastAsia="宋体" w:cs="Times New Roman"/>
          <w:color w:val="auto"/>
          <w:szCs w:val="20"/>
          <w:highlight w:val="none"/>
          <w:u w:val="single"/>
        </w:rPr>
        <w:t>袋式除尘器处理后由15m</w:t>
      </w:r>
      <w:r>
        <w:rPr>
          <w:rFonts w:hint="eastAsia" w:ascii="Times New Roman" w:hAnsi="Times New Roman" w:eastAsia="宋体" w:cs="Times New Roman"/>
          <w:color w:val="auto"/>
          <w:szCs w:val="20"/>
          <w:highlight w:val="none"/>
          <w:u w:val="single"/>
        </w:rPr>
        <w:t>高6#</w:t>
      </w:r>
      <w:r>
        <w:rPr>
          <w:rFonts w:ascii="Times New Roman" w:hAnsi="Times New Roman" w:eastAsia="宋体" w:cs="Times New Roman"/>
          <w:color w:val="auto"/>
          <w:szCs w:val="20"/>
          <w:highlight w:val="none"/>
          <w:u w:val="single"/>
        </w:rPr>
        <w:t>排气筒排放。</w:t>
      </w:r>
      <w:r>
        <w:rPr>
          <w:rFonts w:hint="eastAsia" w:ascii="Times New Roman" w:hAnsi="Times New Roman" w:eastAsia="宋体" w:cs="Times New Roman"/>
          <w:color w:val="auto"/>
          <w:szCs w:val="20"/>
          <w:highlight w:val="none"/>
          <w:u w:val="single"/>
        </w:rPr>
        <w:t>未收集粉尘Gu</w:t>
      </w:r>
      <w:r>
        <w:rPr>
          <w:rFonts w:hint="eastAsia" w:cs="Times New Roman"/>
          <w:color w:val="auto"/>
          <w:szCs w:val="20"/>
          <w:highlight w:val="none"/>
          <w:u w:val="single"/>
          <w:lang w:val="en-US" w:eastAsia="zh-CN"/>
        </w:rPr>
        <w:t>3-10</w:t>
      </w:r>
      <w:r>
        <w:rPr>
          <w:rFonts w:hint="eastAsia" w:ascii="Times New Roman" w:hAnsi="Times New Roman" w:eastAsia="宋体" w:cs="Times New Roman"/>
          <w:color w:val="auto"/>
          <w:szCs w:val="20"/>
          <w:highlight w:val="none"/>
          <w:u w:val="single"/>
        </w:rPr>
        <w:t>经喷淋后以无组织形式排放。</w:t>
      </w:r>
      <w:r>
        <w:rPr>
          <w:rFonts w:ascii="Times New Roman" w:hAnsi="Times New Roman" w:eastAsia="宋体" w:cs="Times New Roman"/>
          <w:color w:val="auto"/>
          <w:szCs w:val="20"/>
          <w:highlight w:val="none"/>
          <w:u w:val="single"/>
        </w:rPr>
        <w:t>堆料场</w:t>
      </w:r>
      <w:r>
        <w:rPr>
          <w:rFonts w:hint="eastAsia" w:ascii="Times New Roman" w:hAnsi="Times New Roman" w:eastAsia="宋体"/>
          <w:color w:val="auto"/>
          <w:szCs w:val="20"/>
          <w:highlight w:val="none"/>
          <w:u w:val="single"/>
        </w:rPr>
        <w:t>⑤⑥⑦⑧</w:t>
      </w:r>
      <w:r>
        <w:rPr>
          <w:rFonts w:ascii="Times New Roman" w:hAnsi="Times New Roman" w:eastAsia="宋体" w:cs="Times New Roman"/>
          <w:color w:val="auto"/>
          <w:szCs w:val="20"/>
          <w:highlight w:val="none"/>
          <w:u w:val="single"/>
        </w:rPr>
        <w:t>堆存</w:t>
      </w:r>
      <w:r>
        <w:rPr>
          <w:rFonts w:hint="eastAsia" w:ascii="Times New Roman" w:hAnsi="Times New Roman" w:eastAsia="宋体" w:cs="Times New Roman"/>
          <w:color w:val="auto"/>
          <w:szCs w:val="20"/>
          <w:highlight w:val="none"/>
          <w:u w:val="single"/>
        </w:rPr>
        <w:t>物料</w:t>
      </w:r>
      <w:r>
        <w:rPr>
          <w:rFonts w:ascii="Times New Roman" w:hAnsi="Times New Roman" w:eastAsia="宋体" w:cs="Times New Roman"/>
          <w:color w:val="auto"/>
          <w:szCs w:val="20"/>
          <w:highlight w:val="none"/>
          <w:u w:val="single"/>
        </w:rPr>
        <w:t>过程产生扬尘</w:t>
      </w:r>
      <w:r>
        <w:rPr>
          <w:rFonts w:hint="eastAsia" w:ascii="Times New Roman" w:hAnsi="Times New Roman" w:eastAsia="宋体" w:cs="Times New Roman"/>
          <w:color w:val="auto"/>
          <w:szCs w:val="20"/>
          <w:highlight w:val="none"/>
          <w:u w:val="single"/>
        </w:rPr>
        <w:t>Gu</w:t>
      </w:r>
      <w:r>
        <w:rPr>
          <w:rFonts w:hint="eastAsia" w:cs="Times New Roman"/>
          <w:color w:val="auto"/>
          <w:szCs w:val="20"/>
          <w:highlight w:val="none"/>
          <w:u w:val="single"/>
          <w:lang w:val="en-US" w:eastAsia="zh-CN"/>
        </w:rPr>
        <w:t>3</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8</w:t>
      </w:r>
      <w:r>
        <w:rPr>
          <w:rFonts w:ascii="Times New Roman" w:hAnsi="Times New Roman" w:eastAsia="宋体" w:cs="Times New Roman"/>
          <w:color w:val="auto"/>
          <w:szCs w:val="20"/>
          <w:highlight w:val="none"/>
          <w:u w:val="single"/>
        </w:rPr>
        <w:t>，通过定期洒水降尘和覆盖防尘网，减少扬尘排放。装卸和运输过程过程产生扬尘</w:t>
      </w:r>
      <w:r>
        <w:rPr>
          <w:rFonts w:hint="eastAsia" w:ascii="Times New Roman" w:hAnsi="Times New Roman" w:eastAsia="宋体" w:cs="Times New Roman"/>
          <w:color w:val="auto"/>
          <w:szCs w:val="20"/>
          <w:highlight w:val="none"/>
          <w:u w:val="single"/>
        </w:rPr>
        <w:t>Gu</w:t>
      </w:r>
      <w:r>
        <w:rPr>
          <w:rFonts w:hint="eastAsia" w:cs="Times New Roman"/>
          <w:color w:val="auto"/>
          <w:szCs w:val="20"/>
          <w:highlight w:val="none"/>
          <w:u w:val="single"/>
          <w:lang w:val="en-US" w:eastAsia="zh-CN"/>
        </w:rPr>
        <w:t>3-13</w:t>
      </w:r>
      <w:r>
        <w:rPr>
          <w:rFonts w:ascii="Times New Roman" w:hAnsi="Times New Roman" w:eastAsia="宋体" w:cs="Times New Roman"/>
          <w:color w:val="auto"/>
          <w:szCs w:val="20"/>
          <w:highlight w:val="none"/>
          <w:u w:val="single"/>
        </w:rPr>
        <w:t>、</w:t>
      </w:r>
      <w:r>
        <w:rPr>
          <w:rFonts w:hint="eastAsia" w:ascii="Times New Roman" w:hAnsi="Times New Roman" w:eastAsia="宋体" w:cs="Times New Roman"/>
          <w:color w:val="auto"/>
          <w:szCs w:val="20"/>
          <w:highlight w:val="none"/>
          <w:u w:val="single"/>
        </w:rPr>
        <w:t>Gu</w:t>
      </w:r>
      <w:r>
        <w:rPr>
          <w:rFonts w:hint="eastAsia" w:cs="Times New Roman"/>
          <w:color w:val="auto"/>
          <w:szCs w:val="20"/>
          <w:highlight w:val="none"/>
          <w:u w:val="single"/>
          <w:lang w:val="en-US" w:eastAsia="zh-CN"/>
        </w:rPr>
        <w:t>3-14</w:t>
      </w:r>
      <w:r>
        <w:rPr>
          <w:rFonts w:ascii="Times New Roman" w:hAnsi="Times New Roman" w:eastAsia="宋体" w:cs="Times New Roman"/>
          <w:color w:val="auto"/>
          <w:szCs w:val="20"/>
          <w:highlight w:val="none"/>
          <w:u w:val="single"/>
        </w:rPr>
        <w:t>，通过定期洒水降尘减少扬尘排放。</w:t>
      </w:r>
    </w:p>
    <w:p>
      <w:pPr>
        <w:ind w:firstLine="480"/>
        <w:rPr>
          <w:rFonts w:ascii="Times New Roman" w:hAnsi="Times New Roman" w:eastAsia="宋体"/>
          <w:color w:val="auto"/>
          <w:highlight w:val="none"/>
          <w:u w:val="single"/>
        </w:rPr>
      </w:pPr>
      <w:r>
        <w:rPr>
          <w:rFonts w:hint="eastAsia"/>
          <w:color w:val="auto"/>
          <w:highlight w:val="none"/>
          <w:u w:val="single"/>
          <w:lang w:val="en-US" w:eastAsia="zh-CN"/>
        </w:rPr>
        <w:t>破碎场</w:t>
      </w:r>
      <w:r>
        <w:rPr>
          <w:rFonts w:hint="eastAsia" w:ascii="宋体" w:hAnsi="宋体" w:eastAsia="宋体" w:cs="宋体"/>
          <w:color w:val="auto"/>
          <w:highlight w:val="none"/>
          <w:u w:val="single"/>
          <w:lang w:val="en-US" w:eastAsia="zh-CN"/>
        </w:rPr>
        <w:t>①</w:t>
      </w:r>
      <w:r>
        <w:rPr>
          <w:rFonts w:hint="eastAsia" w:ascii="宋体" w:hAnsi="宋体" w:cs="宋体"/>
          <w:color w:val="auto"/>
          <w:highlight w:val="none"/>
          <w:u w:val="single"/>
          <w:lang w:val="en-US" w:eastAsia="zh-CN"/>
        </w:rPr>
        <w:t>和破碎场</w:t>
      </w:r>
      <w:r>
        <w:rPr>
          <w:rFonts w:hint="eastAsia" w:ascii="宋体" w:hAnsi="宋体" w:eastAsia="宋体" w:cs="宋体"/>
          <w:color w:val="auto"/>
          <w:highlight w:val="none"/>
          <w:u w:val="single"/>
          <w:lang w:val="en-US" w:eastAsia="zh-CN"/>
        </w:rPr>
        <w:t>②</w:t>
      </w:r>
      <w:r>
        <w:rPr>
          <w:rFonts w:ascii="Times New Roman" w:hAnsi="Times New Roman" w:eastAsia="宋体"/>
          <w:color w:val="auto"/>
          <w:highlight w:val="none"/>
          <w:u w:val="single"/>
        </w:rPr>
        <w:t>生产工艺排污节点详情见下表2.</w:t>
      </w:r>
      <w:r>
        <w:rPr>
          <w:rFonts w:hint="eastAsia" w:ascii="Times New Roman" w:hAnsi="Times New Roman" w:eastAsia="宋体"/>
          <w:color w:val="auto"/>
          <w:highlight w:val="none"/>
          <w:u w:val="single"/>
        </w:rPr>
        <w:t>5</w:t>
      </w:r>
      <w:r>
        <w:rPr>
          <w:rFonts w:ascii="Times New Roman" w:hAnsi="Times New Roman" w:eastAsia="宋体"/>
          <w:color w:val="auto"/>
          <w:highlight w:val="none"/>
          <w:u w:val="single"/>
        </w:rPr>
        <w:t>-1。</w:t>
      </w:r>
    </w:p>
    <w:p>
      <w:pPr>
        <w:adjustRightInd w:val="0"/>
        <w:snapToGrid w:val="0"/>
        <w:spacing w:line="240" w:lineRule="auto"/>
        <w:ind w:firstLine="0" w:firstLineChars="0"/>
        <w:jc w:val="center"/>
        <w:rPr>
          <w:rFonts w:ascii="Times New Roman" w:hAnsi="Times New Roman" w:eastAsia="宋体" w:cs="Times New Roman"/>
          <w:color w:val="auto"/>
          <w:szCs w:val="24"/>
          <w:highlight w:val="none"/>
          <w:u w:val="single"/>
        </w:rPr>
      </w:pPr>
      <w:r>
        <w:rPr>
          <w:rFonts w:ascii="Times New Roman" w:hAnsi="Times New Roman" w:eastAsia="宋体" w:cs="Times New Roman"/>
          <w:b/>
          <w:color w:val="auto"/>
          <w:szCs w:val="24"/>
          <w:highlight w:val="none"/>
          <w:u w:val="single"/>
        </w:rPr>
        <w:t>表2.</w:t>
      </w:r>
      <w:r>
        <w:rPr>
          <w:rFonts w:hint="eastAsia" w:ascii="Times New Roman" w:hAnsi="Times New Roman" w:eastAsia="宋体" w:cs="Times New Roman"/>
          <w:b/>
          <w:color w:val="auto"/>
          <w:szCs w:val="24"/>
          <w:highlight w:val="none"/>
          <w:u w:val="single"/>
        </w:rPr>
        <w:t>5</w:t>
      </w:r>
      <w:r>
        <w:rPr>
          <w:rFonts w:ascii="Times New Roman" w:hAnsi="Times New Roman" w:eastAsia="宋体" w:cs="Times New Roman"/>
          <w:b/>
          <w:color w:val="auto"/>
          <w:szCs w:val="24"/>
          <w:highlight w:val="none"/>
          <w:u w:val="single"/>
        </w:rPr>
        <w:t xml:space="preserve">-1  </w:t>
      </w:r>
      <w:r>
        <w:rPr>
          <w:rFonts w:ascii="Times New Roman" w:hAnsi="Times New Roman" w:eastAsia="宋体" w:cs="Times New Roman"/>
          <w:b/>
          <w:bCs/>
          <w:color w:val="auto"/>
          <w:kern w:val="0"/>
          <w:szCs w:val="24"/>
          <w:highlight w:val="none"/>
          <w:u w:val="single"/>
        </w:rPr>
        <w:t>生产工艺排污节点一览表</w:t>
      </w:r>
    </w:p>
    <w:tbl>
      <w:tblPr>
        <w:tblStyle w:val="48"/>
        <w:tblW w:w="9116"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906"/>
        <w:gridCol w:w="879"/>
        <w:gridCol w:w="1876"/>
        <w:gridCol w:w="1353"/>
        <w:gridCol w:w="3346"/>
        <w:gridCol w:w="756"/>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auto"/>
                <w:sz w:val="21"/>
                <w:szCs w:val="21"/>
                <w:highlight w:val="none"/>
                <w:u w:val="single"/>
              </w:rPr>
            </w:pPr>
            <w:r>
              <w:rPr>
                <w:rFonts w:ascii="Times New Roman" w:hAnsi="Times New Roman" w:eastAsia="宋体" w:cs="Times New Roman"/>
                <w:b/>
                <w:bCs/>
                <w:color w:val="auto"/>
                <w:sz w:val="21"/>
                <w:szCs w:val="21"/>
                <w:highlight w:val="none"/>
                <w:u w:val="single"/>
              </w:rPr>
              <w:t>类型</w:t>
            </w: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auto"/>
                <w:sz w:val="21"/>
                <w:szCs w:val="21"/>
                <w:highlight w:val="none"/>
                <w:u w:val="single"/>
              </w:rPr>
            </w:pPr>
            <w:r>
              <w:rPr>
                <w:rFonts w:ascii="Times New Roman" w:hAnsi="Times New Roman" w:eastAsia="宋体" w:cs="Times New Roman"/>
                <w:b/>
                <w:bCs/>
                <w:color w:val="auto"/>
                <w:sz w:val="21"/>
                <w:szCs w:val="21"/>
                <w:highlight w:val="none"/>
                <w:u w:val="single"/>
              </w:rPr>
              <w:t>序号</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auto"/>
                <w:sz w:val="21"/>
                <w:szCs w:val="21"/>
                <w:highlight w:val="none"/>
                <w:u w:val="single"/>
              </w:rPr>
            </w:pPr>
            <w:r>
              <w:rPr>
                <w:rFonts w:ascii="Times New Roman" w:hAnsi="Times New Roman" w:eastAsia="宋体" w:cs="Times New Roman"/>
                <w:b/>
                <w:bCs/>
                <w:color w:val="auto"/>
                <w:sz w:val="21"/>
                <w:szCs w:val="21"/>
                <w:highlight w:val="none"/>
                <w:u w:val="single"/>
              </w:rPr>
              <w:t>污染源</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auto"/>
                <w:sz w:val="21"/>
                <w:szCs w:val="21"/>
                <w:highlight w:val="none"/>
                <w:u w:val="single"/>
              </w:rPr>
            </w:pPr>
            <w:r>
              <w:rPr>
                <w:rFonts w:ascii="Times New Roman" w:hAnsi="Times New Roman" w:eastAsia="宋体" w:cs="Times New Roman"/>
                <w:b/>
                <w:bCs/>
                <w:color w:val="auto"/>
                <w:sz w:val="21"/>
                <w:szCs w:val="21"/>
                <w:highlight w:val="none"/>
                <w:u w:val="single"/>
              </w:rPr>
              <w:t>主要污染物</w:t>
            </w:r>
          </w:p>
        </w:tc>
        <w:tc>
          <w:tcPr>
            <w:tcW w:w="334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auto"/>
                <w:sz w:val="21"/>
                <w:szCs w:val="21"/>
                <w:highlight w:val="none"/>
                <w:u w:val="single"/>
              </w:rPr>
            </w:pPr>
            <w:r>
              <w:rPr>
                <w:rFonts w:ascii="Times New Roman" w:hAnsi="Times New Roman" w:eastAsia="宋体" w:cs="Times New Roman"/>
                <w:b/>
                <w:bCs/>
                <w:color w:val="auto"/>
                <w:sz w:val="21"/>
                <w:szCs w:val="21"/>
                <w:highlight w:val="none"/>
                <w:u w:val="single"/>
              </w:rPr>
              <w:t>治理措施</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auto"/>
                <w:sz w:val="21"/>
                <w:szCs w:val="21"/>
                <w:highlight w:val="none"/>
                <w:u w:val="single"/>
              </w:rPr>
            </w:pPr>
            <w:r>
              <w:rPr>
                <w:rFonts w:ascii="Times New Roman" w:hAnsi="Times New Roman" w:eastAsia="宋体" w:cs="Times New Roman"/>
                <w:b/>
                <w:bCs/>
                <w:color w:val="auto"/>
                <w:sz w:val="21"/>
                <w:szCs w:val="21"/>
                <w:highlight w:val="none"/>
                <w:u w:val="single"/>
              </w:rPr>
              <w:t>排放特点</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无组织废气</w:t>
            </w: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hint="eastAsia" w:ascii="Times New Roman" w:hAnsi="Times New Roman" w:eastAsia="宋体" w:cs="Times New Roman"/>
                <w:color w:val="auto"/>
                <w:sz w:val="21"/>
                <w:szCs w:val="21"/>
                <w:highlight w:val="none"/>
                <w:u w:val="single"/>
              </w:rPr>
              <w:t>Gu3</w:t>
            </w:r>
            <w:r>
              <w:rPr>
                <w:rFonts w:ascii="Times New Roman" w:hAnsi="Times New Roman" w:eastAsia="宋体" w:cs="Times New Roman"/>
                <w:color w:val="auto"/>
                <w:sz w:val="21"/>
                <w:szCs w:val="21"/>
                <w:highlight w:val="none"/>
                <w:u w:val="single"/>
              </w:rPr>
              <w:t>-1</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表土剥离</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颗粒物</w:t>
            </w:r>
          </w:p>
        </w:tc>
        <w:tc>
          <w:tcPr>
            <w:tcW w:w="334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间歇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Gu3</w:t>
            </w:r>
            <w:r>
              <w:rPr>
                <w:rFonts w:ascii="Times New Roman" w:hAnsi="Times New Roman" w:eastAsia="宋体" w:cs="Times New Roman"/>
                <w:color w:val="auto"/>
                <w:sz w:val="21"/>
                <w:szCs w:val="21"/>
                <w:highlight w:val="none"/>
                <w:u w:val="single"/>
              </w:rPr>
              <w:t>-2</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凿岩钻孔</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颗粒物</w:t>
            </w:r>
          </w:p>
        </w:tc>
        <w:tc>
          <w:tcPr>
            <w:tcW w:w="334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 xml:space="preserve">湿式作业 </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间歇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Gu3</w:t>
            </w:r>
            <w:r>
              <w:rPr>
                <w:rFonts w:ascii="Times New Roman" w:hAnsi="Times New Roman" w:eastAsia="宋体" w:cs="Times New Roman"/>
                <w:color w:val="auto"/>
                <w:sz w:val="21"/>
                <w:szCs w:val="21"/>
                <w:highlight w:val="none"/>
                <w:u w:val="single"/>
              </w:rPr>
              <w:t>-3</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爆破</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color w:val="auto"/>
                <w:kern w:val="0"/>
                <w:sz w:val="21"/>
                <w:szCs w:val="21"/>
                <w:highlight w:val="none"/>
                <w:u w:val="single"/>
              </w:rPr>
              <w:t>颗粒物、NO</w:t>
            </w:r>
            <w:r>
              <w:rPr>
                <w:rFonts w:ascii="Times New Roman" w:hAnsi="Times New Roman" w:eastAsia="宋体" w:cs="Times New Roman"/>
                <w:color w:val="auto"/>
                <w:kern w:val="0"/>
                <w:sz w:val="21"/>
                <w:szCs w:val="21"/>
                <w:highlight w:val="none"/>
                <w:u w:val="single"/>
                <w:vertAlign w:val="subscript"/>
              </w:rPr>
              <w:t>x</w:t>
            </w:r>
            <w:r>
              <w:rPr>
                <w:rFonts w:ascii="Times New Roman" w:hAnsi="Times New Roman" w:eastAsia="宋体" w:cs="Times New Roman"/>
                <w:color w:val="auto"/>
                <w:kern w:val="0"/>
                <w:sz w:val="21"/>
                <w:szCs w:val="21"/>
                <w:highlight w:val="none"/>
                <w:u w:val="single"/>
              </w:rPr>
              <w:t>、CO</w:t>
            </w:r>
          </w:p>
        </w:tc>
        <w:tc>
          <w:tcPr>
            <w:tcW w:w="334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洒水降尘</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间歇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hint="eastAsia" w:ascii="Times New Roman" w:hAnsi="Times New Roman" w:eastAsia="宋体" w:cs="Times New Roman"/>
                <w:color w:val="auto"/>
                <w:sz w:val="21"/>
                <w:szCs w:val="21"/>
                <w:highlight w:val="none"/>
                <w:u w:val="single"/>
              </w:rPr>
              <w:t>Gu3</w:t>
            </w:r>
            <w:r>
              <w:rPr>
                <w:rFonts w:ascii="Times New Roman" w:hAnsi="Times New Roman" w:eastAsia="宋体" w:cs="Times New Roman"/>
                <w:color w:val="auto"/>
                <w:sz w:val="21"/>
                <w:szCs w:val="21"/>
                <w:highlight w:val="none"/>
                <w:u w:val="single"/>
              </w:rPr>
              <w:t>-4</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采装</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颗粒物</w:t>
            </w:r>
          </w:p>
        </w:tc>
        <w:tc>
          <w:tcPr>
            <w:tcW w:w="334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洒水降尘</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间歇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Gu3</w:t>
            </w:r>
            <w:r>
              <w:rPr>
                <w:rFonts w:ascii="Times New Roman" w:hAnsi="Times New Roman" w:eastAsia="宋体" w:cs="Times New Roman"/>
                <w:color w:val="auto"/>
                <w:sz w:val="21"/>
                <w:szCs w:val="21"/>
                <w:highlight w:val="none"/>
                <w:u w:val="single"/>
              </w:rPr>
              <w:t>-5</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szCs w:val="21"/>
                <w:highlight w:val="none"/>
                <w:u w:val="single"/>
              </w:rPr>
              <w:t>筛选破碎</w:t>
            </w:r>
            <w:r>
              <w:rPr>
                <w:rFonts w:hint="eastAsia" w:ascii="Times New Roman" w:hAnsi="Times New Roman" w:eastAsia="宋体"/>
                <w:bCs/>
                <w:color w:val="auto"/>
                <w:sz w:val="21"/>
                <w:szCs w:val="21"/>
                <w:highlight w:val="none"/>
                <w:u w:val="single"/>
              </w:rPr>
              <w:t>①</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颗粒物</w:t>
            </w:r>
          </w:p>
        </w:tc>
        <w:tc>
          <w:tcPr>
            <w:tcW w:w="334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hint="eastAsia" w:ascii="Times New Roman" w:hAnsi="Times New Roman" w:eastAsia="宋体" w:cs="Times New Roman"/>
                <w:color w:val="auto"/>
                <w:sz w:val="21"/>
                <w:szCs w:val="21"/>
                <w:highlight w:val="none"/>
                <w:u w:val="single"/>
              </w:rPr>
              <w:t>封</w:t>
            </w:r>
            <w:r>
              <w:rPr>
                <w:rFonts w:ascii="Times New Roman" w:hAnsi="Times New Roman" w:eastAsia="宋体" w:cs="Times New Roman"/>
                <w:color w:val="auto"/>
                <w:sz w:val="21"/>
                <w:szCs w:val="21"/>
                <w:highlight w:val="none"/>
                <w:u w:val="single"/>
              </w:rPr>
              <w:t>闭</w:t>
            </w:r>
            <w:r>
              <w:rPr>
                <w:rFonts w:hint="eastAsia" w:ascii="Times New Roman" w:hAnsi="Times New Roman" w:eastAsia="宋体" w:cs="Times New Roman"/>
                <w:color w:val="auto"/>
                <w:sz w:val="21"/>
                <w:szCs w:val="21"/>
                <w:highlight w:val="none"/>
                <w:u w:val="single"/>
              </w:rPr>
              <w:t>+喷淋</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Gu3</w:t>
            </w:r>
            <w:r>
              <w:rPr>
                <w:rFonts w:ascii="Times New Roman" w:hAnsi="Times New Roman" w:eastAsia="宋体" w:cs="Times New Roman"/>
                <w:color w:val="auto"/>
                <w:sz w:val="21"/>
                <w:szCs w:val="21"/>
                <w:highlight w:val="none"/>
                <w:u w:val="single"/>
              </w:rPr>
              <w:t>-6</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szCs w:val="21"/>
                <w:highlight w:val="none"/>
                <w:u w:val="single"/>
              </w:rPr>
              <w:t>二级破碎</w:t>
            </w:r>
            <w:r>
              <w:rPr>
                <w:rFonts w:hint="eastAsia" w:ascii="Times New Roman" w:hAnsi="Times New Roman" w:eastAsia="宋体"/>
                <w:bCs/>
                <w:color w:val="auto"/>
                <w:sz w:val="21"/>
                <w:szCs w:val="21"/>
                <w:highlight w:val="none"/>
                <w:u w:val="single"/>
              </w:rPr>
              <w:t>①</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颗粒物</w:t>
            </w:r>
          </w:p>
        </w:tc>
        <w:tc>
          <w:tcPr>
            <w:tcW w:w="334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hint="eastAsia" w:ascii="Times New Roman" w:hAnsi="Times New Roman" w:eastAsia="宋体" w:cs="Times New Roman"/>
                <w:color w:val="auto"/>
                <w:sz w:val="21"/>
                <w:szCs w:val="21"/>
                <w:highlight w:val="none"/>
                <w:u w:val="single"/>
              </w:rPr>
              <w:t>封</w:t>
            </w:r>
            <w:r>
              <w:rPr>
                <w:rFonts w:ascii="Times New Roman" w:hAnsi="Times New Roman" w:eastAsia="宋体" w:cs="Times New Roman"/>
                <w:color w:val="auto"/>
                <w:sz w:val="21"/>
                <w:szCs w:val="21"/>
                <w:highlight w:val="none"/>
                <w:u w:val="single"/>
              </w:rPr>
              <w:t>闭</w:t>
            </w:r>
            <w:r>
              <w:rPr>
                <w:rFonts w:hint="eastAsia" w:ascii="Times New Roman" w:hAnsi="Times New Roman" w:eastAsia="宋体" w:cs="Times New Roman"/>
                <w:color w:val="auto"/>
                <w:sz w:val="21"/>
                <w:szCs w:val="21"/>
                <w:highlight w:val="none"/>
                <w:u w:val="single"/>
              </w:rPr>
              <w:t>+喷淋</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Gu3</w:t>
            </w:r>
            <w:r>
              <w:rPr>
                <w:rFonts w:ascii="Times New Roman" w:hAnsi="Times New Roman" w:eastAsia="宋体" w:cs="Times New Roman"/>
                <w:color w:val="auto"/>
                <w:sz w:val="21"/>
                <w:szCs w:val="21"/>
                <w:highlight w:val="none"/>
                <w:u w:val="single"/>
              </w:rPr>
              <w:t>-7</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szCs w:val="21"/>
                <w:highlight w:val="none"/>
                <w:u w:val="single"/>
              </w:rPr>
              <w:t>三级破碎筛分</w:t>
            </w:r>
            <w:r>
              <w:rPr>
                <w:rFonts w:hint="eastAsia" w:ascii="Times New Roman" w:hAnsi="Times New Roman" w:eastAsia="宋体"/>
                <w:bCs/>
                <w:color w:val="auto"/>
                <w:sz w:val="21"/>
                <w:szCs w:val="21"/>
                <w:highlight w:val="none"/>
                <w:u w:val="single"/>
              </w:rPr>
              <w:t>①</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颗粒物</w:t>
            </w:r>
          </w:p>
        </w:tc>
        <w:tc>
          <w:tcPr>
            <w:tcW w:w="334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hint="eastAsia" w:ascii="Times New Roman" w:hAnsi="Times New Roman" w:eastAsia="宋体" w:cs="Times New Roman"/>
                <w:color w:val="auto"/>
                <w:sz w:val="21"/>
                <w:szCs w:val="21"/>
                <w:highlight w:val="none"/>
                <w:u w:val="single"/>
              </w:rPr>
              <w:t>封</w:t>
            </w:r>
            <w:r>
              <w:rPr>
                <w:rFonts w:ascii="Times New Roman" w:hAnsi="Times New Roman" w:eastAsia="宋体" w:cs="Times New Roman"/>
                <w:color w:val="auto"/>
                <w:sz w:val="21"/>
                <w:szCs w:val="21"/>
                <w:highlight w:val="none"/>
                <w:u w:val="single"/>
              </w:rPr>
              <w:t>闭</w:t>
            </w:r>
            <w:r>
              <w:rPr>
                <w:rFonts w:hint="eastAsia" w:ascii="Times New Roman" w:hAnsi="Times New Roman" w:eastAsia="宋体" w:cs="Times New Roman"/>
                <w:color w:val="auto"/>
                <w:sz w:val="21"/>
                <w:szCs w:val="21"/>
                <w:highlight w:val="none"/>
                <w:u w:val="single"/>
              </w:rPr>
              <w:t>+喷淋</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Gu3</w:t>
            </w:r>
            <w:r>
              <w:rPr>
                <w:rFonts w:ascii="Times New Roman" w:hAnsi="Times New Roman" w:eastAsia="宋体" w:cs="Times New Roman"/>
                <w:color w:val="auto"/>
                <w:sz w:val="21"/>
                <w:szCs w:val="21"/>
                <w:highlight w:val="none"/>
                <w:u w:val="single"/>
              </w:rPr>
              <w:t>-8</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highlight w:val="none"/>
                <w:u w:val="single"/>
              </w:rPr>
              <w:t>筛选破碎</w:t>
            </w:r>
            <w:r>
              <w:rPr>
                <w:rFonts w:hint="eastAsia" w:ascii="Times New Roman" w:hAnsi="Times New Roman" w:eastAsia="宋体"/>
                <w:bCs/>
                <w:color w:val="auto"/>
                <w:sz w:val="21"/>
                <w:highlight w:val="none"/>
                <w:u w:val="single"/>
              </w:rPr>
              <w:t>②</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highlight w:val="none"/>
                <w:u w:val="single"/>
              </w:rPr>
              <w:t>颗粒物</w:t>
            </w:r>
          </w:p>
        </w:tc>
        <w:tc>
          <w:tcPr>
            <w:tcW w:w="334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highlight w:val="none"/>
                <w:u w:val="single"/>
              </w:rPr>
              <w:t>封</w:t>
            </w:r>
            <w:r>
              <w:rPr>
                <w:rFonts w:ascii="Times New Roman" w:hAnsi="Times New Roman" w:eastAsia="宋体" w:cs="Times New Roman"/>
                <w:color w:val="auto"/>
                <w:sz w:val="21"/>
                <w:highlight w:val="none"/>
                <w:u w:val="single"/>
              </w:rPr>
              <w:t>闭</w:t>
            </w:r>
            <w:r>
              <w:rPr>
                <w:rFonts w:hint="eastAsia" w:ascii="Times New Roman" w:hAnsi="Times New Roman" w:eastAsia="宋体" w:cs="Times New Roman"/>
                <w:color w:val="auto"/>
                <w:sz w:val="21"/>
                <w:highlight w:val="none"/>
                <w:u w:val="single"/>
              </w:rPr>
              <w:t>+喷淋</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Gu3</w:t>
            </w:r>
            <w:r>
              <w:rPr>
                <w:rFonts w:ascii="Times New Roman" w:hAnsi="Times New Roman" w:eastAsia="宋体" w:cs="Times New Roman"/>
                <w:color w:val="auto"/>
                <w:sz w:val="21"/>
                <w:szCs w:val="21"/>
                <w:highlight w:val="none"/>
                <w:u w:val="single"/>
              </w:rPr>
              <w:t>-</w:t>
            </w:r>
            <w:r>
              <w:rPr>
                <w:rFonts w:hint="eastAsia" w:ascii="Times New Roman" w:hAnsi="Times New Roman" w:eastAsia="宋体" w:cs="Times New Roman"/>
                <w:color w:val="auto"/>
                <w:sz w:val="21"/>
                <w:szCs w:val="21"/>
                <w:highlight w:val="none"/>
                <w:u w:val="single"/>
              </w:rPr>
              <w:t>9</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highlight w:val="none"/>
                <w:u w:val="single"/>
              </w:rPr>
              <w:t>二级破碎筛分</w:t>
            </w:r>
            <w:r>
              <w:rPr>
                <w:rFonts w:hint="eastAsia" w:ascii="Times New Roman" w:hAnsi="Times New Roman" w:eastAsia="宋体"/>
                <w:bCs/>
                <w:color w:val="auto"/>
                <w:sz w:val="21"/>
                <w:highlight w:val="none"/>
                <w:u w:val="single"/>
              </w:rPr>
              <w:t>②</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highlight w:val="none"/>
                <w:u w:val="single"/>
              </w:rPr>
              <w:t>颗粒物</w:t>
            </w:r>
          </w:p>
        </w:tc>
        <w:tc>
          <w:tcPr>
            <w:tcW w:w="334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highlight w:val="none"/>
                <w:u w:val="single"/>
              </w:rPr>
              <w:t>封</w:t>
            </w:r>
            <w:r>
              <w:rPr>
                <w:rFonts w:ascii="Times New Roman" w:hAnsi="Times New Roman" w:eastAsia="宋体" w:cs="Times New Roman"/>
                <w:color w:val="auto"/>
                <w:sz w:val="21"/>
                <w:highlight w:val="none"/>
                <w:u w:val="single"/>
              </w:rPr>
              <w:t>闭</w:t>
            </w:r>
            <w:r>
              <w:rPr>
                <w:rFonts w:hint="eastAsia" w:ascii="Times New Roman" w:hAnsi="Times New Roman" w:eastAsia="宋体" w:cs="Times New Roman"/>
                <w:color w:val="auto"/>
                <w:sz w:val="21"/>
                <w:highlight w:val="none"/>
                <w:u w:val="single"/>
              </w:rPr>
              <w:t>+喷淋</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Gu3</w:t>
            </w:r>
            <w:r>
              <w:rPr>
                <w:rFonts w:ascii="Times New Roman" w:hAnsi="Times New Roman" w:eastAsia="宋体" w:cs="Times New Roman"/>
                <w:color w:val="auto"/>
                <w:sz w:val="21"/>
                <w:szCs w:val="21"/>
                <w:highlight w:val="none"/>
                <w:u w:val="single"/>
              </w:rPr>
              <w:t>-</w:t>
            </w:r>
            <w:r>
              <w:rPr>
                <w:rFonts w:hint="eastAsia" w:ascii="Times New Roman" w:hAnsi="Times New Roman" w:eastAsia="宋体" w:cs="Times New Roman"/>
                <w:color w:val="auto"/>
                <w:sz w:val="21"/>
                <w:szCs w:val="21"/>
                <w:highlight w:val="none"/>
                <w:u w:val="single"/>
              </w:rPr>
              <w:t>10</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highlight w:val="none"/>
                <w:u w:val="single"/>
              </w:rPr>
              <w:t>三级破碎筛分</w:t>
            </w:r>
            <w:r>
              <w:rPr>
                <w:rFonts w:hint="eastAsia" w:ascii="Times New Roman" w:hAnsi="Times New Roman" w:eastAsia="宋体"/>
                <w:bCs/>
                <w:color w:val="auto"/>
                <w:sz w:val="21"/>
                <w:highlight w:val="none"/>
                <w:u w:val="single"/>
              </w:rPr>
              <w:t>②</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highlight w:val="none"/>
                <w:u w:val="single"/>
              </w:rPr>
              <w:t>颗粒物</w:t>
            </w:r>
          </w:p>
        </w:tc>
        <w:tc>
          <w:tcPr>
            <w:tcW w:w="334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highlight w:val="none"/>
                <w:u w:val="single"/>
              </w:rPr>
              <w:t>封</w:t>
            </w:r>
            <w:r>
              <w:rPr>
                <w:rFonts w:ascii="Times New Roman" w:hAnsi="Times New Roman" w:eastAsia="宋体" w:cs="Times New Roman"/>
                <w:color w:val="auto"/>
                <w:sz w:val="21"/>
                <w:highlight w:val="none"/>
                <w:u w:val="single"/>
              </w:rPr>
              <w:t>闭</w:t>
            </w:r>
            <w:r>
              <w:rPr>
                <w:rFonts w:hint="eastAsia" w:ascii="Times New Roman" w:hAnsi="Times New Roman" w:eastAsia="宋体" w:cs="Times New Roman"/>
                <w:color w:val="auto"/>
                <w:sz w:val="21"/>
                <w:highlight w:val="none"/>
                <w:u w:val="single"/>
              </w:rPr>
              <w:t>+喷淋</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hint="eastAsia" w:ascii="Times New Roman" w:hAnsi="Times New Roman" w:eastAsia="宋体" w:cs="Times New Roman"/>
                <w:color w:val="auto"/>
                <w:sz w:val="21"/>
                <w:szCs w:val="21"/>
                <w:highlight w:val="none"/>
                <w:u w:val="single"/>
              </w:rPr>
              <w:t>Gu3</w:t>
            </w:r>
            <w:r>
              <w:rPr>
                <w:rFonts w:ascii="Times New Roman" w:hAnsi="Times New Roman" w:eastAsia="宋体" w:cs="Times New Roman"/>
                <w:color w:val="auto"/>
                <w:sz w:val="21"/>
                <w:szCs w:val="21"/>
                <w:highlight w:val="none"/>
                <w:u w:val="single"/>
              </w:rPr>
              <w:t>-</w:t>
            </w:r>
            <w:r>
              <w:rPr>
                <w:rFonts w:hint="eastAsia" w:ascii="Times New Roman" w:hAnsi="Times New Roman" w:eastAsia="宋体" w:cs="Times New Roman"/>
                <w:color w:val="auto"/>
                <w:sz w:val="21"/>
                <w:szCs w:val="21"/>
                <w:highlight w:val="none"/>
                <w:u w:val="single"/>
              </w:rPr>
              <w:t>11</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bCs/>
                <w:color w:val="auto"/>
                <w:sz w:val="21"/>
                <w:szCs w:val="21"/>
                <w:highlight w:val="none"/>
                <w:u w:val="single"/>
              </w:rPr>
            </w:pPr>
            <w:r>
              <w:rPr>
                <w:rFonts w:ascii="Times New Roman" w:hAnsi="Times New Roman" w:eastAsia="宋体" w:cs="Times New Roman"/>
                <w:bCs/>
                <w:color w:val="auto"/>
                <w:sz w:val="21"/>
                <w:szCs w:val="21"/>
                <w:highlight w:val="none"/>
                <w:u w:val="single"/>
              </w:rPr>
              <w:t>堆料场</w:t>
            </w:r>
            <w:r>
              <w:rPr>
                <w:rFonts w:hint="eastAsia" w:ascii="Times New Roman" w:hAnsi="Times New Roman" w:eastAsia="宋体" w:cs="Times New Roman"/>
                <w:bCs/>
                <w:color w:val="auto"/>
                <w:sz w:val="21"/>
                <w:szCs w:val="21"/>
                <w:highlight w:val="none"/>
                <w:u w:val="single"/>
              </w:rPr>
              <w:t>①②③④</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颗粒物</w:t>
            </w:r>
          </w:p>
        </w:tc>
        <w:tc>
          <w:tcPr>
            <w:tcW w:w="334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洒水降尘、覆盖防尘网</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rPr>
              <w:t>Gu3</w:t>
            </w:r>
            <w:r>
              <w:rPr>
                <w:rFonts w:ascii="Times New Roman" w:hAnsi="Times New Roman" w:eastAsia="宋体" w:cs="Times New Roman"/>
                <w:color w:val="auto"/>
                <w:sz w:val="21"/>
                <w:szCs w:val="21"/>
                <w:highlight w:val="none"/>
                <w:u w:val="single"/>
              </w:rPr>
              <w:t>-</w:t>
            </w:r>
            <w:r>
              <w:rPr>
                <w:rFonts w:hint="eastAsia" w:cs="Times New Roman"/>
                <w:color w:val="auto"/>
                <w:sz w:val="21"/>
                <w:szCs w:val="21"/>
                <w:highlight w:val="none"/>
                <w:u w:val="single"/>
                <w:lang w:val="en-US" w:eastAsia="zh-CN"/>
              </w:rPr>
              <w:t>12</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szCs w:val="21"/>
                <w:highlight w:val="none"/>
                <w:u w:val="single"/>
              </w:rPr>
              <w:t>临时排土场①②</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颗粒物</w:t>
            </w:r>
          </w:p>
        </w:tc>
        <w:tc>
          <w:tcPr>
            <w:tcW w:w="334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洒水降尘、覆盖防尘网，周边建设3m高挡土墙</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eastAsia="zh-CN"/>
              </w:rPr>
            </w:pPr>
            <w:r>
              <w:rPr>
                <w:rFonts w:hint="eastAsia" w:ascii="Times New Roman" w:hAnsi="Times New Roman" w:eastAsia="宋体" w:cs="Times New Roman"/>
                <w:color w:val="auto"/>
                <w:sz w:val="21"/>
                <w:szCs w:val="21"/>
                <w:highlight w:val="none"/>
                <w:u w:val="single"/>
              </w:rPr>
              <w:t>Gu3</w:t>
            </w:r>
            <w:r>
              <w:rPr>
                <w:rFonts w:ascii="Times New Roman" w:hAnsi="Times New Roman" w:eastAsia="宋体" w:cs="Times New Roman"/>
                <w:color w:val="auto"/>
                <w:sz w:val="21"/>
                <w:szCs w:val="21"/>
                <w:highlight w:val="none"/>
                <w:u w:val="single"/>
              </w:rPr>
              <w:t>-</w:t>
            </w:r>
            <w:r>
              <w:rPr>
                <w:rFonts w:hint="eastAsia" w:ascii="Times New Roman" w:hAnsi="Times New Roman" w:eastAsia="宋体" w:cs="Times New Roman"/>
                <w:color w:val="auto"/>
                <w:sz w:val="21"/>
                <w:szCs w:val="21"/>
                <w:highlight w:val="none"/>
                <w:u w:val="single"/>
              </w:rPr>
              <w:t>1</w:t>
            </w:r>
            <w:r>
              <w:rPr>
                <w:rFonts w:hint="eastAsia" w:cs="Times New Roman"/>
                <w:color w:val="auto"/>
                <w:sz w:val="21"/>
                <w:szCs w:val="21"/>
                <w:highlight w:val="none"/>
                <w:u w:val="single"/>
                <w:lang w:val="en-US" w:eastAsia="zh-CN"/>
              </w:rPr>
              <w:t>3</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0"/>
                <w:sz w:val="21"/>
                <w:szCs w:val="21"/>
                <w:highlight w:val="none"/>
                <w:u w:val="single"/>
              </w:rPr>
            </w:pPr>
            <w:r>
              <w:rPr>
                <w:rFonts w:ascii="Times New Roman" w:hAnsi="Times New Roman" w:eastAsia="宋体" w:cs="Times New Roman"/>
                <w:color w:val="auto"/>
                <w:kern w:val="0"/>
                <w:sz w:val="21"/>
                <w:szCs w:val="21"/>
                <w:highlight w:val="none"/>
                <w:u w:val="single"/>
              </w:rPr>
              <w:t>装卸</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颗粒物</w:t>
            </w:r>
          </w:p>
        </w:tc>
        <w:tc>
          <w:tcPr>
            <w:tcW w:w="334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洒水降尘</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rPr>
              <w:t>Gu3</w:t>
            </w:r>
            <w:r>
              <w:rPr>
                <w:rFonts w:ascii="Times New Roman" w:hAnsi="Times New Roman" w:eastAsia="宋体" w:cs="Times New Roman"/>
                <w:color w:val="auto"/>
                <w:sz w:val="21"/>
                <w:szCs w:val="21"/>
                <w:highlight w:val="none"/>
                <w:u w:val="single"/>
              </w:rPr>
              <w:t>-</w:t>
            </w:r>
            <w:r>
              <w:rPr>
                <w:rFonts w:hint="eastAsia" w:ascii="Times New Roman" w:hAnsi="Times New Roman" w:eastAsia="宋体" w:cs="Times New Roman"/>
                <w:color w:val="auto"/>
                <w:sz w:val="21"/>
                <w:szCs w:val="21"/>
                <w:highlight w:val="none"/>
                <w:u w:val="single"/>
              </w:rPr>
              <w:t>1</w:t>
            </w:r>
            <w:r>
              <w:rPr>
                <w:rFonts w:hint="eastAsia" w:cs="Times New Roman"/>
                <w:color w:val="auto"/>
                <w:sz w:val="21"/>
                <w:szCs w:val="21"/>
                <w:highlight w:val="none"/>
                <w:u w:val="single"/>
                <w:lang w:val="en-US" w:eastAsia="zh-CN"/>
              </w:rPr>
              <w:t>4</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0"/>
                <w:sz w:val="21"/>
                <w:szCs w:val="21"/>
                <w:highlight w:val="none"/>
                <w:u w:val="single"/>
              </w:rPr>
            </w:pPr>
            <w:r>
              <w:rPr>
                <w:rFonts w:ascii="Times New Roman" w:hAnsi="Times New Roman" w:eastAsia="宋体" w:cs="Times New Roman"/>
                <w:color w:val="auto"/>
                <w:kern w:val="0"/>
                <w:sz w:val="21"/>
                <w:szCs w:val="21"/>
                <w:highlight w:val="none"/>
                <w:u w:val="single"/>
              </w:rPr>
              <w:t>运输道路扬尘</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颗粒物</w:t>
            </w:r>
          </w:p>
        </w:tc>
        <w:tc>
          <w:tcPr>
            <w:tcW w:w="334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洒水降尘</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间歇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有组织废气</w:t>
            </w: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G3</w:t>
            </w:r>
            <w:r>
              <w:rPr>
                <w:rFonts w:ascii="Times New Roman" w:hAnsi="Times New Roman" w:eastAsia="宋体" w:cs="Times New Roman"/>
                <w:color w:val="auto"/>
                <w:sz w:val="21"/>
                <w:szCs w:val="21"/>
                <w:highlight w:val="none"/>
                <w:u w:val="single"/>
              </w:rPr>
              <w:t>-1</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0"/>
                <w:sz w:val="21"/>
                <w:szCs w:val="21"/>
                <w:highlight w:val="none"/>
                <w:u w:val="single"/>
              </w:rPr>
            </w:pPr>
            <w:r>
              <w:rPr>
                <w:rFonts w:hint="eastAsia" w:ascii="Times New Roman" w:hAnsi="Times New Roman" w:eastAsia="宋体" w:cs="Times New Roman"/>
                <w:bCs/>
                <w:color w:val="auto"/>
                <w:sz w:val="21"/>
                <w:szCs w:val="21"/>
                <w:highlight w:val="none"/>
                <w:u w:val="single"/>
              </w:rPr>
              <w:t>筛选破碎</w:t>
            </w:r>
            <w:r>
              <w:rPr>
                <w:rFonts w:hint="eastAsia" w:ascii="Times New Roman" w:hAnsi="Times New Roman" w:eastAsia="宋体"/>
                <w:bCs/>
                <w:color w:val="auto"/>
                <w:sz w:val="21"/>
                <w:szCs w:val="21"/>
                <w:highlight w:val="none"/>
                <w:u w:val="single"/>
              </w:rPr>
              <w:t>①</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颗粒物</w:t>
            </w:r>
          </w:p>
        </w:tc>
        <w:tc>
          <w:tcPr>
            <w:tcW w:w="334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ascii="Times New Roman" w:hAnsi="Times New Roman" w:eastAsia="宋体" w:cs="Times New Roman"/>
                <w:bCs/>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喷淋</w:t>
            </w:r>
            <w:r>
              <w:rPr>
                <w:rFonts w:hint="eastAsia" w:ascii="Times New Roman" w:hAnsi="Times New Roman" w:eastAsia="宋体" w:cs="Times New Roman"/>
                <w:color w:val="auto"/>
                <w:sz w:val="21"/>
                <w:szCs w:val="21"/>
                <w:highlight w:val="none"/>
                <w:u w:val="single"/>
              </w:rPr>
              <w:t>+封闭+负压收集+袋式除尘器+</w:t>
            </w:r>
            <w:r>
              <w:rPr>
                <w:rFonts w:ascii="Times New Roman" w:hAnsi="Times New Roman" w:eastAsia="宋体" w:cs="Times New Roman"/>
                <w:color w:val="auto"/>
                <w:sz w:val="21"/>
                <w:szCs w:val="21"/>
                <w:highlight w:val="none"/>
                <w:u w:val="single"/>
              </w:rPr>
              <w:t>15m高1#排气筒</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G3</w:t>
            </w:r>
            <w:r>
              <w:rPr>
                <w:rFonts w:ascii="Times New Roman" w:hAnsi="Times New Roman" w:eastAsia="宋体" w:cs="Times New Roman"/>
                <w:color w:val="auto"/>
                <w:sz w:val="21"/>
                <w:szCs w:val="21"/>
                <w:highlight w:val="none"/>
                <w:u w:val="single"/>
              </w:rPr>
              <w:t>-2</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szCs w:val="21"/>
                <w:highlight w:val="none"/>
                <w:u w:val="single"/>
              </w:rPr>
              <w:t>二级破碎</w:t>
            </w:r>
            <w:r>
              <w:rPr>
                <w:rFonts w:hint="eastAsia" w:ascii="Times New Roman" w:hAnsi="Times New Roman" w:eastAsia="宋体"/>
                <w:bCs/>
                <w:color w:val="auto"/>
                <w:sz w:val="21"/>
                <w:szCs w:val="21"/>
                <w:highlight w:val="none"/>
                <w:u w:val="single"/>
              </w:rPr>
              <w:t>①</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颗粒物</w:t>
            </w:r>
          </w:p>
        </w:tc>
        <w:tc>
          <w:tcPr>
            <w:tcW w:w="334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喷淋</w:t>
            </w:r>
            <w:r>
              <w:rPr>
                <w:rFonts w:hint="eastAsia" w:ascii="Times New Roman" w:hAnsi="Times New Roman" w:eastAsia="宋体" w:cs="Times New Roman"/>
                <w:color w:val="auto"/>
                <w:sz w:val="21"/>
                <w:szCs w:val="21"/>
                <w:highlight w:val="none"/>
                <w:u w:val="single"/>
              </w:rPr>
              <w:t>+封闭+负压收集+袋式除尘器+</w:t>
            </w:r>
            <w:r>
              <w:rPr>
                <w:rFonts w:ascii="Times New Roman" w:hAnsi="Times New Roman" w:eastAsia="宋体" w:cs="Times New Roman"/>
                <w:color w:val="auto"/>
                <w:sz w:val="21"/>
                <w:szCs w:val="21"/>
                <w:highlight w:val="none"/>
                <w:u w:val="single"/>
              </w:rPr>
              <w:t>15m高</w:t>
            </w:r>
            <w:r>
              <w:rPr>
                <w:rFonts w:hint="eastAsia" w:ascii="Times New Roman" w:hAnsi="Times New Roman" w:eastAsia="宋体" w:cs="Times New Roman"/>
                <w:color w:val="auto"/>
                <w:sz w:val="21"/>
                <w:szCs w:val="21"/>
                <w:highlight w:val="none"/>
                <w:u w:val="single"/>
              </w:rPr>
              <w:t>2</w:t>
            </w:r>
            <w:r>
              <w:rPr>
                <w:rFonts w:ascii="Times New Roman" w:hAnsi="Times New Roman" w:eastAsia="宋体" w:cs="Times New Roman"/>
                <w:color w:val="auto"/>
                <w:sz w:val="21"/>
                <w:szCs w:val="21"/>
                <w:highlight w:val="none"/>
                <w:u w:val="single"/>
              </w:rPr>
              <w:t>#排气筒</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G3</w:t>
            </w:r>
            <w:r>
              <w:rPr>
                <w:rFonts w:ascii="Times New Roman" w:hAnsi="Times New Roman" w:eastAsia="宋体" w:cs="Times New Roman"/>
                <w:color w:val="auto"/>
                <w:sz w:val="21"/>
                <w:szCs w:val="21"/>
                <w:highlight w:val="none"/>
                <w:u w:val="single"/>
              </w:rPr>
              <w:t>-3</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szCs w:val="21"/>
                <w:highlight w:val="none"/>
                <w:u w:val="single"/>
              </w:rPr>
              <w:t>三级破碎筛分</w:t>
            </w:r>
            <w:r>
              <w:rPr>
                <w:rFonts w:hint="eastAsia" w:ascii="Times New Roman" w:hAnsi="Times New Roman" w:eastAsia="宋体"/>
                <w:bCs/>
                <w:color w:val="auto"/>
                <w:sz w:val="21"/>
                <w:szCs w:val="21"/>
                <w:highlight w:val="none"/>
                <w:u w:val="single"/>
              </w:rPr>
              <w:t>①</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颗粒物</w:t>
            </w:r>
          </w:p>
        </w:tc>
        <w:tc>
          <w:tcPr>
            <w:tcW w:w="334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喷淋</w:t>
            </w:r>
            <w:r>
              <w:rPr>
                <w:rFonts w:hint="eastAsia" w:ascii="Times New Roman" w:hAnsi="Times New Roman" w:eastAsia="宋体" w:cs="Times New Roman"/>
                <w:color w:val="auto"/>
                <w:sz w:val="21"/>
                <w:szCs w:val="21"/>
                <w:highlight w:val="none"/>
                <w:u w:val="single"/>
              </w:rPr>
              <w:t>+封闭+负压收集+袋式除尘器+</w:t>
            </w:r>
            <w:r>
              <w:rPr>
                <w:rFonts w:ascii="Times New Roman" w:hAnsi="Times New Roman" w:eastAsia="宋体" w:cs="Times New Roman"/>
                <w:color w:val="auto"/>
                <w:sz w:val="21"/>
                <w:szCs w:val="21"/>
                <w:highlight w:val="none"/>
                <w:u w:val="single"/>
              </w:rPr>
              <w:t>15m高</w:t>
            </w:r>
            <w:r>
              <w:rPr>
                <w:rFonts w:hint="eastAsia" w:ascii="Times New Roman" w:hAnsi="Times New Roman" w:eastAsia="宋体" w:cs="Times New Roman"/>
                <w:color w:val="auto"/>
                <w:sz w:val="21"/>
                <w:szCs w:val="21"/>
                <w:highlight w:val="none"/>
                <w:u w:val="single"/>
              </w:rPr>
              <w:t>3</w:t>
            </w:r>
            <w:r>
              <w:rPr>
                <w:rFonts w:ascii="Times New Roman" w:hAnsi="Times New Roman" w:eastAsia="宋体" w:cs="Times New Roman"/>
                <w:color w:val="auto"/>
                <w:sz w:val="21"/>
                <w:szCs w:val="21"/>
                <w:highlight w:val="none"/>
                <w:u w:val="single"/>
              </w:rPr>
              <w:t>#排气筒</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eastAsia="zh-CN"/>
              </w:rPr>
            </w:pPr>
            <w:r>
              <w:rPr>
                <w:rFonts w:hint="eastAsia" w:ascii="Times New Roman" w:hAnsi="Times New Roman" w:eastAsia="宋体" w:cs="Times New Roman"/>
                <w:color w:val="auto"/>
                <w:sz w:val="21"/>
                <w:szCs w:val="21"/>
                <w:highlight w:val="none"/>
                <w:u w:val="single"/>
              </w:rPr>
              <w:t>G3</w:t>
            </w:r>
            <w:r>
              <w:rPr>
                <w:rFonts w:ascii="Times New Roman" w:hAnsi="Times New Roman" w:eastAsia="宋体" w:cs="Times New Roman"/>
                <w:color w:val="auto"/>
                <w:sz w:val="21"/>
                <w:szCs w:val="21"/>
                <w:highlight w:val="none"/>
                <w:u w:val="single"/>
              </w:rPr>
              <w:t>-</w:t>
            </w:r>
            <w:r>
              <w:rPr>
                <w:rFonts w:hint="eastAsia" w:cs="Times New Roman"/>
                <w:color w:val="auto"/>
                <w:sz w:val="21"/>
                <w:szCs w:val="21"/>
                <w:highlight w:val="none"/>
                <w:u w:val="single"/>
                <w:lang w:val="en-US" w:eastAsia="zh-CN"/>
              </w:rPr>
              <w:t>4</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highlight w:val="none"/>
                <w:u w:val="single"/>
              </w:rPr>
              <w:t>筛选破碎</w:t>
            </w:r>
            <w:r>
              <w:rPr>
                <w:rFonts w:hint="eastAsia" w:ascii="Times New Roman" w:hAnsi="Times New Roman" w:eastAsia="宋体"/>
                <w:bCs/>
                <w:color w:val="auto"/>
                <w:sz w:val="21"/>
                <w:highlight w:val="none"/>
                <w:u w:val="single"/>
              </w:rPr>
              <w:t>②</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highlight w:val="none"/>
                <w:u w:val="single"/>
              </w:rPr>
              <w:t>颗粒物</w:t>
            </w:r>
          </w:p>
        </w:tc>
        <w:tc>
          <w:tcPr>
            <w:tcW w:w="334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highlight w:val="none"/>
                <w:u w:val="single"/>
                <w:lang w:val="en-US" w:eastAsia="zh-CN"/>
              </w:rPr>
              <w:t>喷淋</w:t>
            </w:r>
            <w:r>
              <w:rPr>
                <w:rFonts w:hint="eastAsia" w:ascii="Times New Roman" w:hAnsi="Times New Roman" w:eastAsia="宋体" w:cs="Times New Roman"/>
                <w:color w:val="auto"/>
                <w:sz w:val="21"/>
                <w:highlight w:val="none"/>
                <w:u w:val="single"/>
              </w:rPr>
              <w:t>+封</w:t>
            </w:r>
            <w:r>
              <w:rPr>
                <w:rFonts w:ascii="Times New Roman" w:hAnsi="Times New Roman" w:eastAsia="宋体" w:cs="Times New Roman"/>
                <w:color w:val="auto"/>
                <w:sz w:val="21"/>
                <w:highlight w:val="none"/>
                <w:u w:val="single"/>
              </w:rPr>
              <w:t>闭</w:t>
            </w:r>
            <w:r>
              <w:rPr>
                <w:rFonts w:hint="eastAsia" w:ascii="Times New Roman" w:hAnsi="Times New Roman" w:eastAsia="宋体" w:cs="Times New Roman"/>
                <w:color w:val="auto"/>
                <w:sz w:val="21"/>
                <w:highlight w:val="none"/>
                <w:u w:val="single"/>
              </w:rPr>
              <w:t>+负压收集</w:t>
            </w:r>
            <w:r>
              <w:rPr>
                <w:rFonts w:ascii="Times New Roman" w:hAnsi="Times New Roman" w:eastAsia="宋体" w:cs="Times New Roman"/>
                <w:color w:val="auto"/>
                <w:sz w:val="21"/>
                <w:highlight w:val="none"/>
                <w:u w:val="single"/>
              </w:rPr>
              <w:t>+袋式除尘器+15m高</w:t>
            </w:r>
            <w:r>
              <w:rPr>
                <w:rFonts w:hint="eastAsia" w:ascii="Times New Roman" w:hAnsi="Times New Roman" w:eastAsia="宋体" w:cs="Times New Roman"/>
                <w:color w:val="auto"/>
                <w:sz w:val="21"/>
                <w:highlight w:val="none"/>
                <w:u w:val="single"/>
              </w:rPr>
              <w:t>4</w:t>
            </w:r>
            <w:r>
              <w:rPr>
                <w:rFonts w:ascii="Times New Roman" w:hAnsi="Times New Roman" w:eastAsia="宋体" w:cs="Times New Roman"/>
                <w:color w:val="auto"/>
                <w:sz w:val="21"/>
                <w:highlight w:val="none"/>
                <w:u w:val="single"/>
              </w:rPr>
              <w:t>#排气筒</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eastAsia="zh-CN"/>
              </w:rPr>
            </w:pPr>
            <w:r>
              <w:rPr>
                <w:rFonts w:hint="eastAsia" w:ascii="Times New Roman" w:hAnsi="Times New Roman" w:eastAsia="宋体" w:cs="Times New Roman"/>
                <w:color w:val="auto"/>
                <w:sz w:val="21"/>
                <w:szCs w:val="21"/>
                <w:highlight w:val="none"/>
                <w:u w:val="single"/>
              </w:rPr>
              <w:t>G3</w:t>
            </w:r>
            <w:r>
              <w:rPr>
                <w:rFonts w:ascii="Times New Roman" w:hAnsi="Times New Roman" w:eastAsia="宋体" w:cs="Times New Roman"/>
                <w:color w:val="auto"/>
                <w:sz w:val="21"/>
                <w:szCs w:val="21"/>
                <w:highlight w:val="none"/>
                <w:u w:val="single"/>
              </w:rPr>
              <w:t>-</w:t>
            </w:r>
            <w:r>
              <w:rPr>
                <w:rFonts w:hint="eastAsia" w:cs="Times New Roman"/>
                <w:color w:val="auto"/>
                <w:sz w:val="21"/>
                <w:szCs w:val="21"/>
                <w:highlight w:val="none"/>
                <w:u w:val="single"/>
                <w:lang w:val="en-US" w:eastAsia="zh-CN"/>
              </w:rPr>
              <w:t>5</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highlight w:val="none"/>
                <w:u w:val="single"/>
              </w:rPr>
              <w:t>二级破碎筛分</w:t>
            </w:r>
            <w:r>
              <w:rPr>
                <w:rFonts w:hint="eastAsia" w:ascii="Times New Roman" w:hAnsi="Times New Roman" w:eastAsia="宋体"/>
                <w:bCs/>
                <w:color w:val="auto"/>
                <w:sz w:val="21"/>
                <w:highlight w:val="none"/>
                <w:u w:val="single"/>
              </w:rPr>
              <w:t>②</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highlight w:val="none"/>
                <w:u w:val="single"/>
              </w:rPr>
              <w:t>颗粒物</w:t>
            </w:r>
          </w:p>
        </w:tc>
        <w:tc>
          <w:tcPr>
            <w:tcW w:w="334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highlight w:val="none"/>
                <w:u w:val="single"/>
                <w:lang w:val="en-US" w:eastAsia="zh-CN"/>
              </w:rPr>
              <w:t>喷淋</w:t>
            </w:r>
            <w:r>
              <w:rPr>
                <w:rFonts w:hint="eastAsia" w:ascii="Times New Roman" w:hAnsi="Times New Roman" w:eastAsia="宋体" w:cs="Times New Roman"/>
                <w:color w:val="auto"/>
                <w:sz w:val="21"/>
                <w:highlight w:val="none"/>
                <w:u w:val="single"/>
              </w:rPr>
              <w:t>+封</w:t>
            </w:r>
            <w:r>
              <w:rPr>
                <w:rFonts w:ascii="Times New Roman" w:hAnsi="Times New Roman" w:eastAsia="宋体" w:cs="Times New Roman"/>
                <w:color w:val="auto"/>
                <w:sz w:val="21"/>
                <w:highlight w:val="none"/>
                <w:u w:val="single"/>
              </w:rPr>
              <w:t>闭</w:t>
            </w:r>
            <w:r>
              <w:rPr>
                <w:rFonts w:hint="eastAsia" w:ascii="Times New Roman" w:hAnsi="Times New Roman" w:eastAsia="宋体" w:cs="Times New Roman"/>
                <w:color w:val="auto"/>
                <w:sz w:val="21"/>
                <w:highlight w:val="none"/>
                <w:u w:val="single"/>
              </w:rPr>
              <w:t>+负压收集</w:t>
            </w:r>
            <w:r>
              <w:rPr>
                <w:rFonts w:ascii="Times New Roman" w:hAnsi="Times New Roman" w:eastAsia="宋体" w:cs="Times New Roman"/>
                <w:color w:val="auto"/>
                <w:sz w:val="21"/>
                <w:highlight w:val="none"/>
                <w:u w:val="single"/>
              </w:rPr>
              <w:t>+袋式除尘器+15m高</w:t>
            </w:r>
            <w:r>
              <w:rPr>
                <w:rFonts w:hint="eastAsia" w:ascii="Times New Roman" w:hAnsi="Times New Roman" w:eastAsia="宋体" w:cs="Times New Roman"/>
                <w:color w:val="auto"/>
                <w:sz w:val="21"/>
                <w:highlight w:val="none"/>
                <w:u w:val="single"/>
              </w:rPr>
              <w:t>5</w:t>
            </w:r>
            <w:r>
              <w:rPr>
                <w:rFonts w:ascii="Times New Roman" w:hAnsi="Times New Roman" w:eastAsia="宋体" w:cs="Times New Roman"/>
                <w:color w:val="auto"/>
                <w:sz w:val="21"/>
                <w:highlight w:val="none"/>
                <w:u w:val="single"/>
              </w:rPr>
              <w:t>#排气筒</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eastAsia="zh-CN"/>
              </w:rPr>
            </w:pPr>
            <w:r>
              <w:rPr>
                <w:rFonts w:hint="eastAsia" w:ascii="Times New Roman" w:hAnsi="Times New Roman" w:eastAsia="宋体" w:cs="Times New Roman"/>
                <w:color w:val="auto"/>
                <w:sz w:val="21"/>
                <w:szCs w:val="21"/>
                <w:highlight w:val="none"/>
                <w:u w:val="single"/>
              </w:rPr>
              <w:t>G3</w:t>
            </w:r>
            <w:r>
              <w:rPr>
                <w:rFonts w:ascii="Times New Roman" w:hAnsi="Times New Roman" w:eastAsia="宋体" w:cs="Times New Roman"/>
                <w:color w:val="auto"/>
                <w:sz w:val="21"/>
                <w:szCs w:val="21"/>
                <w:highlight w:val="none"/>
                <w:u w:val="single"/>
              </w:rPr>
              <w:t>-</w:t>
            </w:r>
            <w:r>
              <w:rPr>
                <w:rFonts w:hint="eastAsia" w:cs="Times New Roman"/>
                <w:color w:val="auto"/>
                <w:sz w:val="21"/>
                <w:szCs w:val="21"/>
                <w:highlight w:val="none"/>
                <w:u w:val="single"/>
                <w:lang w:val="en-US" w:eastAsia="zh-CN"/>
              </w:rPr>
              <w:t>6</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highlight w:val="none"/>
                <w:u w:val="single"/>
              </w:rPr>
              <w:t>三级破碎筛分</w:t>
            </w:r>
            <w:r>
              <w:rPr>
                <w:rFonts w:hint="eastAsia" w:ascii="Times New Roman" w:hAnsi="Times New Roman" w:eastAsia="宋体"/>
                <w:bCs/>
                <w:color w:val="auto"/>
                <w:sz w:val="21"/>
                <w:highlight w:val="none"/>
                <w:u w:val="single"/>
              </w:rPr>
              <w:t>②</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highlight w:val="none"/>
                <w:u w:val="single"/>
              </w:rPr>
              <w:t>颗粒物</w:t>
            </w:r>
          </w:p>
        </w:tc>
        <w:tc>
          <w:tcPr>
            <w:tcW w:w="334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ascii="Times New Roman" w:hAnsi="Times New Roman" w:eastAsia="宋体" w:cs="Times New Roman"/>
                <w:bCs/>
                <w:color w:val="auto"/>
                <w:sz w:val="21"/>
                <w:szCs w:val="21"/>
                <w:highlight w:val="none"/>
                <w:u w:val="single"/>
              </w:rPr>
            </w:pPr>
            <w:r>
              <w:rPr>
                <w:rFonts w:hint="eastAsia" w:ascii="Times New Roman" w:hAnsi="Times New Roman" w:eastAsia="宋体" w:cs="Times New Roman"/>
                <w:color w:val="auto"/>
                <w:sz w:val="21"/>
                <w:highlight w:val="none"/>
                <w:u w:val="single"/>
                <w:lang w:val="en-US" w:eastAsia="zh-CN"/>
              </w:rPr>
              <w:t>喷淋</w:t>
            </w:r>
            <w:r>
              <w:rPr>
                <w:rFonts w:hint="eastAsia" w:ascii="Times New Roman" w:hAnsi="Times New Roman" w:eastAsia="宋体" w:cs="Times New Roman"/>
                <w:color w:val="auto"/>
                <w:sz w:val="21"/>
                <w:highlight w:val="none"/>
                <w:u w:val="single"/>
              </w:rPr>
              <w:t>+封</w:t>
            </w:r>
            <w:r>
              <w:rPr>
                <w:rFonts w:ascii="Times New Roman" w:hAnsi="Times New Roman" w:eastAsia="宋体" w:cs="Times New Roman"/>
                <w:color w:val="auto"/>
                <w:sz w:val="21"/>
                <w:highlight w:val="none"/>
                <w:u w:val="single"/>
              </w:rPr>
              <w:t>闭</w:t>
            </w:r>
            <w:r>
              <w:rPr>
                <w:rFonts w:hint="eastAsia" w:ascii="Times New Roman" w:hAnsi="Times New Roman" w:eastAsia="宋体" w:cs="Times New Roman"/>
                <w:color w:val="auto"/>
                <w:sz w:val="21"/>
                <w:highlight w:val="none"/>
                <w:u w:val="single"/>
              </w:rPr>
              <w:t>+负压收集</w:t>
            </w:r>
            <w:r>
              <w:rPr>
                <w:rFonts w:ascii="Times New Roman" w:hAnsi="Times New Roman" w:eastAsia="宋体" w:cs="Times New Roman"/>
                <w:color w:val="auto"/>
                <w:sz w:val="21"/>
                <w:highlight w:val="none"/>
                <w:u w:val="single"/>
              </w:rPr>
              <w:t>+袋式除尘器+15m高</w:t>
            </w:r>
            <w:r>
              <w:rPr>
                <w:rFonts w:hint="eastAsia" w:ascii="Times New Roman" w:hAnsi="Times New Roman" w:eastAsia="宋体" w:cs="Times New Roman"/>
                <w:color w:val="auto"/>
                <w:sz w:val="21"/>
                <w:highlight w:val="none"/>
                <w:u w:val="single"/>
              </w:rPr>
              <w:t>6</w:t>
            </w:r>
            <w:r>
              <w:rPr>
                <w:rFonts w:ascii="Times New Roman" w:hAnsi="Times New Roman" w:eastAsia="宋体" w:cs="Times New Roman"/>
                <w:color w:val="auto"/>
                <w:sz w:val="21"/>
                <w:highlight w:val="none"/>
                <w:u w:val="single"/>
              </w:rPr>
              <w:t>#排气筒</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highlight w:val="none"/>
                <w:u w:val="single"/>
              </w:rPr>
              <w:t>连续</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szCs w:val="21"/>
                <w:highlight w:val="none"/>
                <w:u w:val="single"/>
              </w:rPr>
              <w:t>废水</w:t>
            </w: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W</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szCs w:val="21"/>
                <w:highlight w:val="none"/>
                <w:u w:val="single"/>
              </w:rPr>
              <w:t>水洗砂</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szCs w:val="21"/>
                <w:highlight w:val="none"/>
                <w:u w:val="single"/>
              </w:rPr>
              <w:t>SS</w:t>
            </w:r>
          </w:p>
        </w:tc>
        <w:tc>
          <w:tcPr>
            <w:tcW w:w="334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沉淀后循环使用，不外排</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szCs w:val="21"/>
                <w:highlight w:val="none"/>
                <w:u w:val="singl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color w:val="auto"/>
                <w:sz w:val="21"/>
                <w:szCs w:val="21"/>
                <w:highlight w:val="none"/>
                <w:u w:val="single"/>
              </w:rPr>
              <w:t>噪声</w:t>
            </w:r>
          </w:p>
        </w:tc>
        <w:tc>
          <w:tcPr>
            <w:tcW w:w="879" w:type="dxa"/>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N</w:t>
            </w:r>
          </w:p>
        </w:tc>
        <w:tc>
          <w:tcPr>
            <w:tcW w:w="1876" w:type="dxa"/>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eastAsia="宋体" w:cs="Times New Roman"/>
                <w:color w:val="auto"/>
                <w:kern w:val="0"/>
                <w:sz w:val="21"/>
                <w:szCs w:val="21"/>
                <w:highlight w:val="none"/>
                <w:u w:val="single"/>
              </w:rPr>
            </w:pPr>
            <w:r>
              <w:rPr>
                <w:rFonts w:ascii="Times New Roman" w:hAnsi="Times New Roman" w:eastAsia="宋体" w:cs="Times New Roman"/>
                <w:color w:val="auto"/>
                <w:sz w:val="21"/>
                <w:szCs w:val="21"/>
                <w:highlight w:val="none"/>
                <w:u w:val="single"/>
              </w:rPr>
              <w:t>设备</w:t>
            </w:r>
            <w:r>
              <w:rPr>
                <w:rFonts w:hint="eastAsia" w:ascii="Times New Roman" w:hAnsi="Times New Roman" w:eastAsia="宋体" w:cs="Times New Roman"/>
                <w:color w:val="auto"/>
                <w:sz w:val="21"/>
                <w:szCs w:val="21"/>
                <w:highlight w:val="none"/>
                <w:u w:val="single"/>
              </w:rPr>
              <w:t>、爆破</w:t>
            </w:r>
          </w:p>
        </w:tc>
        <w:tc>
          <w:tcPr>
            <w:tcW w:w="1353" w:type="dxa"/>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color w:val="auto"/>
                <w:sz w:val="21"/>
                <w:szCs w:val="21"/>
                <w:highlight w:val="none"/>
                <w:u w:val="single"/>
              </w:rPr>
              <w:t>噪声</w:t>
            </w:r>
          </w:p>
        </w:tc>
        <w:tc>
          <w:tcPr>
            <w:tcW w:w="3346" w:type="dxa"/>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left"/>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color w:val="auto"/>
                <w:sz w:val="21"/>
                <w:szCs w:val="21"/>
                <w:highlight w:val="none"/>
                <w:u w:val="single"/>
              </w:rPr>
              <w:t>合理布置设备、减振、消声、厂房隔声</w:t>
            </w:r>
            <w:r>
              <w:rPr>
                <w:rFonts w:hint="eastAsia" w:ascii="Times New Roman" w:hAnsi="Times New Roman" w:eastAsia="宋体" w:cs="Times New Roman"/>
                <w:color w:val="auto"/>
                <w:sz w:val="21"/>
                <w:szCs w:val="21"/>
                <w:highlight w:val="none"/>
                <w:u w:val="single"/>
              </w:rPr>
              <w:t>，合理安排爆破时间</w:t>
            </w:r>
          </w:p>
        </w:tc>
        <w:tc>
          <w:tcPr>
            <w:tcW w:w="756" w:type="dxa"/>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color w:val="auto"/>
                <w:sz w:val="21"/>
                <w:szCs w:val="21"/>
                <w:highlight w:val="none"/>
                <w:u w:val="single"/>
              </w:rPr>
              <w:t>间歇排放</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固体</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废物</w:t>
            </w: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szCs w:val="21"/>
                <w:highlight w:val="none"/>
                <w:u w:val="single"/>
              </w:rPr>
              <w:t>S3</w:t>
            </w:r>
            <w:r>
              <w:rPr>
                <w:rFonts w:ascii="Times New Roman" w:hAnsi="Times New Roman" w:eastAsia="宋体" w:cs="Times New Roman"/>
                <w:bCs/>
                <w:color w:val="auto"/>
                <w:sz w:val="21"/>
                <w:szCs w:val="21"/>
                <w:highlight w:val="none"/>
                <w:u w:val="single"/>
              </w:rPr>
              <w:t>-1</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表土剥离</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表土、</w:t>
            </w:r>
            <w:r>
              <w:rPr>
                <w:rFonts w:hint="eastAsia" w:ascii="Times New Roman" w:hAnsi="Times New Roman" w:eastAsia="宋体" w:cs="Times New Roman"/>
                <w:bCs/>
                <w:color w:val="auto"/>
                <w:sz w:val="21"/>
                <w:szCs w:val="21"/>
                <w:highlight w:val="none"/>
                <w:u w:val="single"/>
              </w:rPr>
              <w:t>废土石渣</w:t>
            </w:r>
          </w:p>
        </w:tc>
        <w:tc>
          <w:tcPr>
            <w:tcW w:w="334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表土</w:t>
            </w:r>
            <w:r>
              <w:rPr>
                <w:rFonts w:hint="eastAsia" w:ascii="Times New Roman" w:hAnsi="Times New Roman" w:eastAsia="宋体" w:cs="Times New Roman"/>
                <w:bCs/>
                <w:color w:val="auto"/>
                <w:sz w:val="21"/>
                <w:szCs w:val="21"/>
                <w:highlight w:val="none"/>
                <w:u w:val="single"/>
                <w:lang w:val="en-US" w:eastAsia="zh-CN"/>
              </w:rPr>
              <w:t>和废土石渣分类</w:t>
            </w:r>
            <w:r>
              <w:rPr>
                <w:rFonts w:ascii="Times New Roman" w:hAnsi="Times New Roman" w:eastAsia="宋体" w:cs="Times New Roman"/>
                <w:bCs/>
                <w:color w:val="auto"/>
                <w:sz w:val="21"/>
                <w:szCs w:val="21"/>
                <w:highlight w:val="none"/>
                <w:u w:val="single"/>
              </w:rPr>
              <w:t>堆放于</w:t>
            </w:r>
            <w:r>
              <w:rPr>
                <w:rFonts w:hint="eastAsia" w:ascii="Times New Roman" w:hAnsi="Times New Roman" w:eastAsia="宋体" w:cs="Times New Roman"/>
                <w:bCs/>
                <w:color w:val="auto"/>
                <w:sz w:val="21"/>
                <w:szCs w:val="21"/>
                <w:highlight w:val="none"/>
                <w:u w:val="single"/>
              </w:rPr>
              <w:t>临时排土场</w:t>
            </w:r>
            <w:r>
              <w:rPr>
                <w:rFonts w:hint="eastAsia" w:ascii="宋体" w:hAnsi="宋体" w:eastAsia="宋体" w:cs="宋体"/>
                <w:bCs/>
                <w:color w:val="auto"/>
                <w:sz w:val="21"/>
                <w:szCs w:val="21"/>
                <w:highlight w:val="none"/>
                <w:u w:val="single"/>
              </w:rPr>
              <w:t>①</w:t>
            </w:r>
            <w:r>
              <w:rPr>
                <w:rFonts w:ascii="Times New Roman" w:hAnsi="Times New Roman" w:eastAsia="宋体" w:cs="Times New Roman"/>
                <w:bCs/>
                <w:color w:val="auto"/>
                <w:sz w:val="21"/>
                <w:szCs w:val="21"/>
                <w:highlight w:val="none"/>
                <w:u w:val="single"/>
              </w:rPr>
              <w:t>，</w:t>
            </w:r>
            <w:r>
              <w:rPr>
                <w:rFonts w:hint="eastAsia" w:ascii="Times New Roman" w:hAnsi="Times New Roman" w:eastAsia="宋体" w:cs="Times New Roman"/>
                <w:bCs/>
                <w:color w:val="auto"/>
                <w:sz w:val="21"/>
                <w:szCs w:val="21"/>
                <w:highlight w:val="none"/>
                <w:u w:val="single"/>
                <w:lang w:val="en-US" w:eastAsia="zh-CN"/>
              </w:rPr>
              <w:t>表土</w:t>
            </w:r>
            <w:r>
              <w:rPr>
                <w:rFonts w:ascii="Times New Roman" w:hAnsi="Times New Roman" w:eastAsia="宋体" w:cs="Times New Roman"/>
                <w:bCs/>
                <w:color w:val="auto"/>
                <w:sz w:val="21"/>
                <w:szCs w:val="21"/>
                <w:highlight w:val="none"/>
                <w:u w:val="single"/>
              </w:rPr>
              <w:t>用做矿山复垦</w:t>
            </w:r>
            <w:r>
              <w:rPr>
                <w:rFonts w:hint="eastAsia" w:ascii="Times New Roman" w:hAnsi="Times New Roman" w:eastAsia="宋体" w:cs="Times New Roman"/>
                <w:bCs/>
                <w:color w:val="auto"/>
                <w:sz w:val="21"/>
                <w:szCs w:val="21"/>
                <w:highlight w:val="none"/>
                <w:u w:val="single"/>
                <w:lang w:eastAsia="zh-CN"/>
              </w:rPr>
              <w:t>，</w:t>
            </w:r>
            <w:r>
              <w:rPr>
                <w:rFonts w:hint="eastAsia" w:ascii="Times New Roman" w:hAnsi="Times New Roman" w:eastAsia="宋体" w:cs="Times New Roman"/>
                <w:bCs/>
                <w:color w:val="auto"/>
                <w:sz w:val="21"/>
                <w:szCs w:val="21"/>
                <w:highlight w:val="none"/>
                <w:u w:val="single"/>
              </w:rPr>
              <w:t>废土石渣</w:t>
            </w:r>
            <w:r>
              <w:rPr>
                <w:rFonts w:hint="eastAsia" w:ascii="Times New Roman" w:hAnsi="Times New Roman" w:eastAsia="宋体" w:cs="Times New Roman"/>
                <w:color w:val="auto"/>
                <w:kern w:val="0"/>
                <w:sz w:val="21"/>
                <w:szCs w:val="21"/>
                <w:highlight w:val="none"/>
                <w:u w:val="single"/>
              </w:rPr>
              <w:t>经外卖</w:t>
            </w:r>
            <w:r>
              <w:rPr>
                <w:rFonts w:ascii="Times New Roman" w:hAnsi="Times New Roman" w:eastAsia="宋体" w:cs="Times New Roman"/>
                <w:color w:val="auto"/>
                <w:kern w:val="0"/>
                <w:sz w:val="21"/>
                <w:szCs w:val="21"/>
                <w:highlight w:val="none"/>
                <w:u w:val="single"/>
              </w:rPr>
              <w:t>用于</w:t>
            </w:r>
            <w:r>
              <w:rPr>
                <w:rFonts w:hint="eastAsia" w:ascii="Times New Roman" w:hAnsi="Times New Roman" w:eastAsia="宋体" w:cs="Times New Roman"/>
                <w:color w:val="auto"/>
                <w:kern w:val="0"/>
                <w:sz w:val="21"/>
                <w:szCs w:val="21"/>
                <w:highlight w:val="none"/>
                <w:u w:val="single"/>
              </w:rPr>
              <w:t>周边</w:t>
            </w:r>
            <w:r>
              <w:rPr>
                <w:rFonts w:ascii="Times New Roman" w:hAnsi="Times New Roman" w:eastAsia="宋体" w:cs="Times New Roman"/>
                <w:color w:val="auto"/>
                <w:kern w:val="0"/>
                <w:sz w:val="21"/>
                <w:szCs w:val="21"/>
                <w:highlight w:val="none"/>
                <w:u w:val="single"/>
              </w:rPr>
              <w:t>道路</w:t>
            </w:r>
            <w:r>
              <w:rPr>
                <w:rFonts w:hint="eastAsia" w:ascii="Times New Roman" w:hAnsi="Times New Roman" w:eastAsia="宋体" w:cs="Times New Roman"/>
                <w:color w:val="auto"/>
                <w:kern w:val="0"/>
                <w:sz w:val="21"/>
                <w:szCs w:val="21"/>
                <w:highlight w:val="none"/>
                <w:u w:val="single"/>
              </w:rPr>
              <w:t>建设</w:t>
            </w:r>
            <w:r>
              <w:rPr>
                <w:rFonts w:ascii="Times New Roman" w:hAnsi="Times New Roman" w:eastAsia="宋体" w:cs="Times New Roman"/>
                <w:bCs/>
                <w:color w:val="auto"/>
                <w:sz w:val="21"/>
                <w:szCs w:val="21"/>
                <w:highlight w:val="none"/>
                <w:u w:val="single"/>
              </w:rPr>
              <w:t>。</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szCs w:val="21"/>
                <w:highlight w:val="none"/>
                <w:u w:val="single"/>
              </w:rPr>
              <w:t>S3-2</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szCs w:val="21"/>
                <w:highlight w:val="none"/>
                <w:u w:val="single"/>
              </w:rPr>
              <w:t>筛选</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szCs w:val="21"/>
                <w:highlight w:val="none"/>
                <w:u w:val="single"/>
              </w:rPr>
              <w:t>废土石渣</w:t>
            </w:r>
          </w:p>
        </w:tc>
        <w:tc>
          <w:tcPr>
            <w:tcW w:w="334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szCs w:val="21"/>
                <w:highlight w:val="none"/>
                <w:u w:val="single"/>
              </w:rPr>
              <w:t>经外卖</w:t>
            </w:r>
            <w:r>
              <w:rPr>
                <w:rFonts w:ascii="Times New Roman" w:hAnsi="Times New Roman" w:eastAsia="宋体" w:cs="Times New Roman"/>
                <w:bCs/>
                <w:color w:val="auto"/>
                <w:sz w:val="21"/>
                <w:szCs w:val="21"/>
                <w:highlight w:val="none"/>
                <w:u w:val="single"/>
              </w:rPr>
              <w:t>用于</w:t>
            </w:r>
            <w:r>
              <w:rPr>
                <w:rFonts w:hint="eastAsia" w:ascii="Times New Roman" w:hAnsi="Times New Roman" w:eastAsia="宋体" w:cs="Times New Roman"/>
                <w:bCs/>
                <w:color w:val="auto"/>
                <w:sz w:val="21"/>
                <w:szCs w:val="21"/>
                <w:highlight w:val="none"/>
                <w:u w:val="single"/>
              </w:rPr>
              <w:t>周边</w:t>
            </w:r>
            <w:r>
              <w:rPr>
                <w:rFonts w:ascii="Times New Roman" w:hAnsi="Times New Roman" w:eastAsia="宋体" w:cs="Times New Roman"/>
                <w:bCs/>
                <w:color w:val="auto"/>
                <w:sz w:val="21"/>
                <w:szCs w:val="21"/>
                <w:highlight w:val="none"/>
                <w:u w:val="single"/>
              </w:rPr>
              <w:t>道路</w:t>
            </w:r>
            <w:r>
              <w:rPr>
                <w:rFonts w:hint="eastAsia" w:ascii="Times New Roman" w:hAnsi="Times New Roman" w:eastAsia="宋体" w:cs="Times New Roman"/>
                <w:bCs/>
                <w:color w:val="auto"/>
                <w:sz w:val="21"/>
                <w:szCs w:val="21"/>
                <w:highlight w:val="none"/>
                <w:u w:val="single"/>
              </w:rPr>
              <w:t>建设</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szCs w:val="21"/>
                <w:highlight w:val="none"/>
                <w:u w:val="singl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szCs w:val="21"/>
                <w:highlight w:val="none"/>
                <w:u w:val="single"/>
              </w:rPr>
              <w:t>S3-3</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szCs w:val="21"/>
                <w:highlight w:val="none"/>
                <w:u w:val="single"/>
              </w:rPr>
              <w:t>水洗砂</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szCs w:val="21"/>
                <w:highlight w:val="none"/>
                <w:u w:val="single"/>
              </w:rPr>
              <w:t>洗砂泥饼</w:t>
            </w:r>
          </w:p>
        </w:tc>
        <w:tc>
          <w:tcPr>
            <w:tcW w:w="334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szCs w:val="21"/>
                <w:highlight w:val="none"/>
                <w:u w:val="single"/>
              </w:rPr>
              <w:t>外卖砖厂</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hint="eastAsia" w:ascii="Times New Roman" w:hAnsi="Times New Roman" w:eastAsia="宋体" w:cs="Times New Roman"/>
                <w:bCs/>
                <w:color w:val="auto"/>
                <w:sz w:val="21"/>
                <w:szCs w:val="21"/>
                <w:highlight w:val="none"/>
                <w:u w:val="singl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49" w:hRule="atLeast"/>
          <w:jc w:val="center"/>
        </w:trPr>
        <w:tc>
          <w:tcPr>
            <w:tcW w:w="90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振动</w:t>
            </w:r>
          </w:p>
        </w:tc>
        <w:tc>
          <w:tcPr>
            <w:tcW w:w="8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Z</w:t>
            </w:r>
          </w:p>
        </w:tc>
        <w:tc>
          <w:tcPr>
            <w:tcW w:w="18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爆破</w:t>
            </w:r>
          </w:p>
        </w:tc>
        <w:tc>
          <w:tcPr>
            <w:tcW w:w="135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振动</w:t>
            </w:r>
          </w:p>
        </w:tc>
        <w:tc>
          <w:tcPr>
            <w:tcW w:w="334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采取中深孔爆破</w:t>
            </w:r>
          </w:p>
        </w:tc>
        <w:tc>
          <w:tcPr>
            <w:tcW w:w="7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sz w:val="21"/>
                <w:szCs w:val="21"/>
                <w:highlight w:val="none"/>
                <w:u w:val="single"/>
              </w:rPr>
            </w:pPr>
            <w:r>
              <w:rPr>
                <w:rFonts w:ascii="Times New Roman" w:hAnsi="Times New Roman" w:eastAsia="宋体" w:cs="Times New Roman"/>
                <w:bCs/>
                <w:color w:val="auto"/>
                <w:sz w:val="21"/>
                <w:szCs w:val="21"/>
                <w:highlight w:val="none"/>
                <w:u w:val="single"/>
              </w:rPr>
              <w:t>/</w:t>
            </w:r>
          </w:p>
        </w:tc>
      </w:tr>
    </w:tbl>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u w:val="single"/>
        </w:rPr>
        <w:t>根据项目</w:t>
      </w:r>
      <w:r>
        <w:rPr>
          <w:rFonts w:hint="eastAsia"/>
          <w:color w:val="auto"/>
          <w:highlight w:val="none"/>
          <w:u w:val="single"/>
          <w:lang w:eastAsia="zh-CN"/>
        </w:rPr>
        <w:t>破碎场①</w:t>
      </w:r>
      <w:r>
        <w:rPr>
          <w:rFonts w:hint="eastAsia" w:ascii="Times New Roman" w:hAnsi="Times New Roman" w:eastAsia="宋体"/>
          <w:color w:val="auto"/>
          <w:highlight w:val="none"/>
          <w:u w:val="single"/>
        </w:rPr>
        <w:t>和</w:t>
      </w:r>
      <w:r>
        <w:rPr>
          <w:rFonts w:hint="eastAsia"/>
          <w:color w:val="auto"/>
          <w:highlight w:val="none"/>
          <w:u w:val="single"/>
          <w:lang w:eastAsia="zh-CN"/>
        </w:rPr>
        <w:t>破碎场②</w:t>
      </w:r>
      <w:r>
        <w:rPr>
          <w:rFonts w:hint="eastAsia" w:ascii="Times New Roman" w:hAnsi="Times New Roman" w:eastAsia="宋体"/>
          <w:color w:val="auto"/>
          <w:highlight w:val="none"/>
          <w:u w:val="single"/>
        </w:rPr>
        <w:t>工艺流程及产污情况，对项目有组织排放源进行编号，具体情况见下表2.5-</w:t>
      </w:r>
      <w:r>
        <w:rPr>
          <w:rFonts w:hint="eastAsia"/>
          <w:color w:val="auto"/>
          <w:highlight w:val="none"/>
          <w:u w:val="single"/>
          <w:lang w:val="en-US" w:eastAsia="zh-CN"/>
        </w:rPr>
        <w:t>2</w:t>
      </w:r>
      <w:r>
        <w:rPr>
          <w:rFonts w:hint="eastAsia" w:ascii="Times New Roman" w:hAnsi="Times New Roman" w:eastAsia="宋体"/>
          <w:color w:val="auto"/>
          <w:highlight w:val="none"/>
          <w:u w:val="single"/>
        </w:rPr>
        <w:t>。</w:t>
      </w:r>
    </w:p>
    <w:p>
      <w:pPr>
        <w:pStyle w:val="13"/>
        <w:rPr>
          <w:rFonts w:ascii="Times New Roman" w:hAnsi="Times New Roman" w:eastAsia="宋体"/>
          <w:color w:val="auto"/>
          <w:highlight w:val="none"/>
        </w:rPr>
      </w:pPr>
      <w:r>
        <w:rPr>
          <w:rFonts w:hint="eastAsia" w:ascii="Times New Roman" w:hAnsi="Times New Roman" w:eastAsia="宋体"/>
          <w:color w:val="auto"/>
          <w:highlight w:val="none"/>
        </w:rPr>
        <w:t>表2.5-</w:t>
      </w:r>
      <w:r>
        <w:rPr>
          <w:rFonts w:hint="eastAsia"/>
          <w:color w:val="auto"/>
          <w:highlight w:val="none"/>
          <w:lang w:val="en-US" w:eastAsia="zh-CN"/>
        </w:rPr>
        <w:t>2</w:t>
      </w:r>
      <w:r>
        <w:rPr>
          <w:rFonts w:hint="eastAsia" w:ascii="Times New Roman" w:hAnsi="Times New Roman" w:eastAsia="宋体"/>
          <w:color w:val="auto"/>
          <w:highlight w:val="none"/>
        </w:rPr>
        <w:t xml:space="preserve"> 项目有组织排放源信息汇总表</w:t>
      </w:r>
    </w:p>
    <w:tbl>
      <w:tblPr>
        <w:tblStyle w:val="48"/>
        <w:tblW w:w="907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751"/>
        <w:gridCol w:w="750"/>
        <w:gridCol w:w="1665"/>
        <w:gridCol w:w="780"/>
        <w:gridCol w:w="795"/>
        <w:gridCol w:w="43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83" w:hRule="atLeast"/>
          <w:jc w:val="center"/>
        </w:trPr>
        <w:tc>
          <w:tcPr>
            <w:tcW w:w="751"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排气筒编号</w:t>
            </w:r>
          </w:p>
        </w:tc>
        <w:tc>
          <w:tcPr>
            <w:tcW w:w="750"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b/>
                <w:color w:val="auto"/>
                <w:kern w:val="0"/>
                <w:sz w:val="21"/>
                <w:highlight w:val="none"/>
                <w:u w:val="single"/>
                <w:lang w:eastAsia="zh-CN"/>
              </w:rPr>
            </w:pPr>
            <w:r>
              <w:rPr>
                <w:rFonts w:hint="eastAsia" w:cs="Times New Roman"/>
                <w:b/>
                <w:color w:val="auto"/>
                <w:sz w:val="21"/>
                <w:highlight w:val="none"/>
                <w:u w:val="single"/>
                <w:lang w:val="en-US" w:eastAsia="zh-CN"/>
              </w:rPr>
              <w:t>破碎场</w:t>
            </w:r>
          </w:p>
        </w:tc>
        <w:tc>
          <w:tcPr>
            <w:tcW w:w="1665" w:type="dxa"/>
            <w:noWrap w:val="0"/>
            <w:vAlign w:val="center"/>
          </w:tcPr>
          <w:p>
            <w:pPr>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sz w:val="21"/>
                <w:highlight w:val="none"/>
              </w:rPr>
              <w:t>污染源</w:t>
            </w:r>
          </w:p>
        </w:tc>
        <w:tc>
          <w:tcPr>
            <w:tcW w:w="780"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收集废气编号</w:t>
            </w:r>
          </w:p>
        </w:tc>
        <w:tc>
          <w:tcPr>
            <w:tcW w:w="795"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污染</w:t>
            </w:r>
          </w:p>
          <w:p>
            <w:pPr>
              <w:autoSpaceDE w:val="0"/>
              <w:autoSpaceDN w:val="0"/>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因子</w:t>
            </w:r>
          </w:p>
        </w:tc>
        <w:tc>
          <w:tcPr>
            <w:tcW w:w="4330"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治理措施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83" w:hRule="atLeast"/>
          <w:jc w:val="center"/>
        </w:trPr>
        <w:tc>
          <w:tcPr>
            <w:tcW w:w="75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750" w:type="dxa"/>
            <w:vMerge w:val="restart"/>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u w:val="single"/>
              </w:rPr>
            </w:pPr>
            <w:r>
              <w:rPr>
                <w:rFonts w:hint="eastAsia" w:ascii="Times New Roman" w:hAnsi="Times New Roman" w:eastAsia="宋体" w:cs="Times New Roman"/>
                <w:color w:val="auto"/>
                <w:kern w:val="0"/>
                <w:sz w:val="21"/>
                <w:highlight w:val="none"/>
                <w:u w:val="single"/>
                <w:lang w:val="en-US" w:eastAsia="zh-CN"/>
              </w:rPr>
              <w:t>破碎场①</w:t>
            </w:r>
          </w:p>
        </w:tc>
        <w:tc>
          <w:tcPr>
            <w:tcW w:w="166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①</w:t>
            </w:r>
          </w:p>
        </w:tc>
        <w:tc>
          <w:tcPr>
            <w:tcW w:w="78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G3</w:t>
            </w:r>
            <w:r>
              <w:rPr>
                <w:rFonts w:ascii="Times New Roman" w:hAnsi="Times New Roman" w:eastAsia="宋体" w:cs="Times New Roman"/>
                <w:color w:val="auto"/>
                <w:sz w:val="21"/>
                <w:highlight w:val="none"/>
              </w:rPr>
              <w:t>-1</w:t>
            </w:r>
          </w:p>
        </w:tc>
        <w:tc>
          <w:tcPr>
            <w:tcW w:w="7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颗粒物</w:t>
            </w:r>
          </w:p>
        </w:tc>
        <w:tc>
          <w:tcPr>
            <w:tcW w:w="4330" w:type="dxa"/>
            <w:noWrap w:val="0"/>
            <w:vAlign w:val="center"/>
          </w:tcPr>
          <w:p>
            <w:pPr>
              <w:widowControl/>
              <w:adjustRightInd w:val="0"/>
              <w:snapToGrid w:val="0"/>
              <w:spacing w:line="240" w:lineRule="auto"/>
              <w:ind w:firstLine="0" w:firstLineChars="0"/>
              <w:jc w:val="left"/>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lang w:val="en-US" w:eastAsia="zh-CN"/>
              </w:rPr>
              <w:t>喷淋</w:t>
            </w:r>
            <w:r>
              <w:rPr>
                <w:rFonts w:hint="eastAsia" w:ascii="Times New Roman" w:hAnsi="Times New Roman" w:eastAsia="宋体" w:cs="Times New Roman"/>
                <w:color w:val="auto"/>
                <w:sz w:val="21"/>
                <w:highlight w:val="none"/>
              </w:rPr>
              <w:t>+封闭+负压收集+袋式除尘器+</w:t>
            </w:r>
            <w:r>
              <w:rPr>
                <w:rFonts w:ascii="Times New Roman" w:hAnsi="Times New Roman" w:eastAsia="宋体" w:cs="Times New Roman"/>
                <w:color w:val="auto"/>
                <w:sz w:val="21"/>
                <w:highlight w:val="none"/>
              </w:rPr>
              <w:t>15m高1#排气筒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83" w:hRule="atLeast"/>
          <w:jc w:val="center"/>
        </w:trPr>
        <w:tc>
          <w:tcPr>
            <w:tcW w:w="75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750"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u w:val="single"/>
              </w:rPr>
            </w:pPr>
          </w:p>
        </w:tc>
        <w:tc>
          <w:tcPr>
            <w:tcW w:w="166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二级破碎①</w:t>
            </w:r>
          </w:p>
        </w:tc>
        <w:tc>
          <w:tcPr>
            <w:tcW w:w="78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G3</w:t>
            </w:r>
            <w:r>
              <w:rPr>
                <w:rFonts w:ascii="Times New Roman" w:hAnsi="Times New Roman" w:eastAsia="宋体" w:cs="Times New Roman"/>
                <w:color w:val="auto"/>
                <w:sz w:val="21"/>
                <w:highlight w:val="none"/>
              </w:rPr>
              <w:t>-2</w:t>
            </w:r>
          </w:p>
        </w:tc>
        <w:tc>
          <w:tcPr>
            <w:tcW w:w="7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颗粒物</w:t>
            </w:r>
          </w:p>
        </w:tc>
        <w:tc>
          <w:tcPr>
            <w:tcW w:w="4330" w:type="dxa"/>
            <w:noWrap w:val="0"/>
            <w:vAlign w:val="center"/>
          </w:tcPr>
          <w:p>
            <w:pPr>
              <w:widowControl/>
              <w:adjustRightInd w:val="0"/>
              <w:snapToGrid w:val="0"/>
              <w:spacing w:line="240" w:lineRule="auto"/>
              <w:ind w:firstLine="0" w:firstLineChars="0"/>
              <w:jc w:val="left"/>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lang w:val="en-US" w:eastAsia="zh-CN"/>
              </w:rPr>
              <w:t>喷淋</w:t>
            </w:r>
            <w:r>
              <w:rPr>
                <w:rFonts w:hint="eastAsia" w:ascii="Times New Roman" w:hAnsi="Times New Roman" w:eastAsia="宋体" w:cs="Times New Roman"/>
                <w:color w:val="auto"/>
                <w:sz w:val="21"/>
                <w:highlight w:val="none"/>
              </w:rPr>
              <w:t>+封闭+负压收集+袋式除尘器+</w:t>
            </w:r>
            <w:r>
              <w:rPr>
                <w:rFonts w:ascii="Times New Roman" w:hAnsi="Times New Roman" w:eastAsia="宋体" w:cs="Times New Roman"/>
                <w:color w:val="auto"/>
                <w:sz w:val="21"/>
                <w:highlight w:val="none"/>
              </w:rPr>
              <w:t>15m高</w:t>
            </w:r>
            <w:r>
              <w:rPr>
                <w:rFonts w:hint="eastAsia" w:ascii="Times New Roman" w:hAnsi="Times New Roman" w:eastAsia="宋体" w:cs="Times New Roman"/>
                <w:color w:val="auto"/>
                <w:sz w:val="21"/>
                <w:highlight w:val="none"/>
              </w:rPr>
              <w:t>2</w:t>
            </w:r>
            <w:r>
              <w:rPr>
                <w:rFonts w:ascii="Times New Roman" w:hAnsi="Times New Roman" w:eastAsia="宋体" w:cs="Times New Roman"/>
                <w:color w:val="auto"/>
                <w:sz w:val="21"/>
                <w:highlight w:val="none"/>
              </w:rPr>
              <w:t>#排气筒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83" w:hRule="atLeast"/>
          <w:jc w:val="center"/>
        </w:trPr>
        <w:tc>
          <w:tcPr>
            <w:tcW w:w="75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750"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u w:val="single"/>
              </w:rPr>
            </w:pPr>
          </w:p>
        </w:tc>
        <w:tc>
          <w:tcPr>
            <w:tcW w:w="166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①</w:t>
            </w:r>
          </w:p>
        </w:tc>
        <w:tc>
          <w:tcPr>
            <w:tcW w:w="78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G3</w:t>
            </w:r>
            <w:r>
              <w:rPr>
                <w:rFonts w:ascii="Times New Roman" w:hAnsi="Times New Roman" w:eastAsia="宋体" w:cs="Times New Roman"/>
                <w:color w:val="auto"/>
                <w:sz w:val="21"/>
                <w:highlight w:val="none"/>
              </w:rPr>
              <w:t>-3</w:t>
            </w:r>
          </w:p>
        </w:tc>
        <w:tc>
          <w:tcPr>
            <w:tcW w:w="7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颗粒物</w:t>
            </w:r>
          </w:p>
        </w:tc>
        <w:tc>
          <w:tcPr>
            <w:tcW w:w="4330" w:type="dxa"/>
            <w:noWrap w:val="0"/>
            <w:vAlign w:val="center"/>
          </w:tcPr>
          <w:p>
            <w:pPr>
              <w:widowControl/>
              <w:adjustRightInd w:val="0"/>
              <w:snapToGrid w:val="0"/>
              <w:spacing w:line="240" w:lineRule="auto"/>
              <w:ind w:firstLine="0" w:firstLineChars="0"/>
              <w:jc w:val="left"/>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lang w:val="en-US" w:eastAsia="zh-CN"/>
              </w:rPr>
              <w:t>喷淋</w:t>
            </w:r>
            <w:r>
              <w:rPr>
                <w:rFonts w:hint="eastAsia" w:ascii="Times New Roman" w:hAnsi="Times New Roman" w:eastAsia="宋体" w:cs="Times New Roman"/>
                <w:color w:val="auto"/>
                <w:sz w:val="21"/>
                <w:highlight w:val="none"/>
              </w:rPr>
              <w:t>+封闭+负压收集+袋式除尘器+</w:t>
            </w:r>
            <w:r>
              <w:rPr>
                <w:rFonts w:ascii="Times New Roman" w:hAnsi="Times New Roman" w:eastAsia="宋体" w:cs="Times New Roman"/>
                <w:color w:val="auto"/>
                <w:sz w:val="21"/>
                <w:highlight w:val="none"/>
              </w:rPr>
              <w:t>15m高</w:t>
            </w:r>
            <w:r>
              <w:rPr>
                <w:rFonts w:hint="eastAsia" w:ascii="Times New Roman" w:hAnsi="Times New Roman" w:eastAsia="宋体" w:cs="Times New Roman"/>
                <w:color w:val="auto"/>
                <w:sz w:val="21"/>
                <w:highlight w:val="none"/>
              </w:rPr>
              <w:t>3</w:t>
            </w:r>
            <w:r>
              <w:rPr>
                <w:rFonts w:ascii="Times New Roman" w:hAnsi="Times New Roman" w:eastAsia="宋体" w:cs="Times New Roman"/>
                <w:color w:val="auto"/>
                <w:sz w:val="21"/>
                <w:highlight w:val="none"/>
              </w:rPr>
              <w:t>#排气筒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83" w:hRule="atLeast"/>
          <w:jc w:val="center"/>
        </w:trPr>
        <w:tc>
          <w:tcPr>
            <w:tcW w:w="75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w:t>
            </w:r>
            <w:r>
              <w:rPr>
                <w:rFonts w:ascii="Times New Roman" w:hAnsi="Times New Roman" w:eastAsia="宋体" w:cs="Times New Roman"/>
                <w:color w:val="auto"/>
                <w:sz w:val="21"/>
                <w:highlight w:val="none"/>
              </w:rPr>
              <w:t>#</w:t>
            </w:r>
          </w:p>
        </w:tc>
        <w:tc>
          <w:tcPr>
            <w:tcW w:w="750" w:type="dxa"/>
            <w:vMerge w:val="restart"/>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u w:val="single"/>
              </w:rPr>
            </w:pPr>
            <w:r>
              <w:rPr>
                <w:rFonts w:hint="eastAsia" w:ascii="Times New Roman" w:hAnsi="Times New Roman" w:eastAsia="宋体" w:cs="Times New Roman"/>
                <w:color w:val="auto"/>
                <w:kern w:val="0"/>
                <w:sz w:val="21"/>
                <w:highlight w:val="none"/>
                <w:u w:val="single"/>
                <w:lang w:val="en-US" w:eastAsia="zh-CN"/>
              </w:rPr>
              <w:t>破碎场</w:t>
            </w:r>
            <w:r>
              <w:rPr>
                <w:rFonts w:hint="eastAsia" w:ascii="宋体" w:hAnsi="宋体" w:eastAsia="宋体" w:cs="宋体"/>
                <w:color w:val="auto"/>
                <w:kern w:val="0"/>
                <w:sz w:val="21"/>
                <w:highlight w:val="none"/>
                <w:u w:val="single"/>
                <w:lang w:val="en-US" w:eastAsia="zh-CN"/>
              </w:rPr>
              <w:t>②</w:t>
            </w:r>
          </w:p>
        </w:tc>
        <w:tc>
          <w:tcPr>
            <w:tcW w:w="16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bCs/>
                <w:color w:val="auto"/>
                <w:sz w:val="21"/>
                <w:highlight w:val="none"/>
              </w:rPr>
              <w:t>筛选破碎</w:t>
            </w:r>
            <w:r>
              <w:rPr>
                <w:rFonts w:hint="eastAsia" w:ascii="Times New Roman" w:hAnsi="Times New Roman" w:eastAsia="宋体"/>
                <w:bCs/>
                <w:color w:val="auto"/>
                <w:sz w:val="21"/>
                <w:highlight w:val="none"/>
              </w:rPr>
              <w:t>②</w:t>
            </w:r>
          </w:p>
        </w:tc>
        <w:tc>
          <w:tcPr>
            <w:tcW w:w="78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G4</w:t>
            </w:r>
            <w:r>
              <w:rPr>
                <w:rFonts w:ascii="Times New Roman" w:hAnsi="Times New Roman" w:eastAsia="宋体" w:cs="Times New Roman"/>
                <w:color w:val="auto"/>
                <w:sz w:val="21"/>
                <w:highlight w:val="none"/>
              </w:rPr>
              <w:t>-1</w:t>
            </w:r>
          </w:p>
        </w:tc>
        <w:tc>
          <w:tcPr>
            <w:tcW w:w="7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颗粒物</w:t>
            </w:r>
          </w:p>
        </w:tc>
        <w:tc>
          <w:tcPr>
            <w:tcW w:w="4330" w:type="dxa"/>
            <w:noWrap w:val="0"/>
            <w:vAlign w:val="center"/>
          </w:tcPr>
          <w:p>
            <w:pPr>
              <w:widowControl/>
              <w:adjustRightInd w:val="0"/>
              <w:snapToGrid w:val="0"/>
              <w:spacing w:line="240" w:lineRule="auto"/>
              <w:ind w:firstLine="0" w:firstLineChars="0"/>
              <w:jc w:val="left"/>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lang w:val="en-US" w:eastAsia="zh-CN"/>
              </w:rPr>
              <w:t>喷淋</w:t>
            </w:r>
            <w:r>
              <w:rPr>
                <w:rFonts w:hint="eastAsia" w:ascii="Times New Roman" w:hAnsi="Times New Roman" w:eastAsia="宋体" w:cs="Times New Roman"/>
                <w:color w:val="auto"/>
                <w:sz w:val="21"/>
                <w:highlight w:val="none"/>
              </w:rPr>
              <w:t>+封</w:t>
            </w:r>
            <w:r>
              <w:rPr>
                <w:rFonts w:ascii="Times New Roman" w:hAnsi="Times New Roman" w:eastAsia="宋体" w:cs="Times New Roman"/>
                <w:color w:val="auto"/>
                <w:sz w:val="21"/>
                <w:highlight w:val="none"/>
              </w:rPr>
              <w:t>闭</w:t>
            </w:r>
            <w:r>
              <w:rPr>
                <w:rFonts w:hint="eastAsia" w:ascii="Times New Roman" w:hAnsi="Times New Roman" w:eastAsia="宋体" w:cs="Times New Roman"/>
                <w:color w:val="auto"/>
                <w:sz w:val="21"/>
                <w:highlight w:val="none"/>
              </w:rPr>
              <w:t>+负压收集</w:t>
            </w:r>
            <w:r>
              <w:rPr>
                <w:rFonts w:ascii="Times New Roman" w:hAnsi="Times New Roman" w:eastAsia="宋体" w:cs="Times New Roman"/>
                <w:color w:val="auto"/>
                <w:sz w:val="21"/>
                <w:highlight w:val="none"/>
              </w:rPr>
              <w:t>+袋式除尘器</w:t>
            </w: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15m高</w:t>
            </w:r>
            <w:r>
              <w:rPr>
                <w:rFonts w:hint="eastAsia" w:ascii="Times New Roman" w:hAnsi="Times New Roman" w:eastAsia="宋体" w:cs="Times New Roman"/>
                <w:color w:val="auto"/>
                <w:sz w:val="21"/>
                <w:highlight w:val="none"/>
              </w:rPr>
              <w:t>4</w:t>
            </w:r>
            <w:r>
              <w:rPr>
                <w:rFonts w:ascii="Times New Roman" w:hAnsi="Times New Roman" w:eastAsia="宋体" w:cs="Times New Roman"/>
                <w:color w:val="auto"/>
                <w:sz w:val="21"/>
                <w:highlight w:val="none"/>
              </w:rPr>
              <w:t>#排气筒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83" w:hRule="atLeast"/>
          <w:jc w:val="center"/>
        </w:trPr>
        <w:tc>
          <w:tcPr>
            <w:tcW w:w="75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r>
              <w:rPr>
                <w:rFonts w:ascii="Times New Roman" w:hAnsi="Times New Roman" w:eastAsia="宋体" w:cs="Times New Roman"/>
                <w:color w:val="auto"/>
                <w:sz w:val="21"/>
                <w:highlight w:val="none"/>
              </w:rPr>
              <w:t>#</w:t>
            </w:r>
          </w:p>
        </w:tc>
        <w:tc>
          <w:tcPr>
            <w:tcW w:w="750"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16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bCs/>
                <w:color w:val="auto"/>
                <w:sz w:val="21"/>
                <w:highlight w:val="none"/>
              </w:rPr>
              <w:t>二级破碎筛分</w:t>
            </w:r>
            <w:r>
              <w:rPr>
                <w:rFonts w:hint="eastAsia" w:ascii="Times New Roman" w:hAnsi="Times New Roman" w:eastAsia="宋体"/>
                <w:bCs/>
                <w:color w:val="auto"/>
                <w:sz w:val="21"/>
                <w:highlight w:val="none"/>
              </w:rPr>
              <w:t>②</w:t>
            </w:r>
          </w:p>
        </w:tc>
        <w:tc>
          <w:tcPr>
            <w:tcW w:w="78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G4</w:t>
            </w:r>
            <w:r>
              <w:rPr>
                <w:rFonts w:ascii="Times New Roman" w:hAnsi="Times New Roman" w:eastAsia="宋体" w:cs="Times New Roman"/>
                <w:color w:val="auto"/>
                <w:sz w:val="21"/>
                <w:highlight w:val="none"/>
              </w:rPr>
              <w:t>-2</w:t>
            </w:r>
          </w:p>
        </w:tc>
        <w:tc>
          <w:tcPr>
            <w:tcW w:w="7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颗粒物</w:t>
            </w:r>
          </w:p>
        </w:tc>
        <w:tc>
          <w:tcPr>
            <w:tcW w:w="4330" w:type="dxa"/>
            <w:noWrap w:val="0"/>
            <w:vAlign w:val="center"/>
          </w:tcPr>
          <w:p>
            <w:pPr>
              <w:widowControl/>
              <w:adjustRightInd w:val="0"/>
              <w:snapToGrid w:val="0"/>
              <w:spacing w:line="240" w:lineRule="auto"/>
              <w:ind w:firstLine="0" w:firstLineChars="0"/>
              <w:jc w:val="left"/>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lang w:val="en-US" w:eastAsia="zh-CN"/>
              </w:rPr>
              <w:t>喷淋</w:t>
            </w:r>
            <w:r>
              <w:rPr>
                <w:rFonts w:hint="eastAsia" w:ascii="Times New Roman" w:hAnsi="Times New Roman" w:eastAsia="宋体" w:cs="Times New Roman"/>
                <w:color w:val="auto"/>
                <w:sz w:val="21"/>
                <w:highlight w:val="none"/>
              </w:rPr>
              <w:t>+封</w:t>
            </w:r>
            <w:r>
              <w:rPr>
                <w:rFonts w:ascii="Times New Roman" w:hAnsi="Times New Roman" w:eastAsia="宋体" w:cs="Times New Roman"/>
                <w:color w:val="auto"/>
                <w:sz w:val="21"/>
                <w:highlight w:val="none"/>
              </w:rPr>
              <w:t>闭</w:t>
            </w:r>
            <w:r>
              <w:rPr>
                <w:rFonts w:hint="eastAsia" w:ascii="Times New Roman" w:hAnsi="Times New Roman" w:eastAsia="宋体" w:cs="Times New Roman"/>
                <w:color w:val="auto"/>
                <w:sz w:val="21"/>
                <w:highlight w:val="none"/>
              </w:rPr>
              <w:t>+负压收集</w:t>
            </w:r>
            <w:r>
              <w:rPr>
                <w:rFonts w:ascii="Times New Roman" w:hAnsi="Times New Roman" w:eastAsia="宋体" w:cs="Times New Roman"/>
                <w:color w:val="auto"/>
                <w:sz w:val="21"/>
                <w:highlight w:val="none"/>
              </w:rPr>
              <w:t>+袋式除尘器</w:t>
            </w: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15m高</w:t>
            </w:r>
            <w:r>
              <w:rPr>
                <w:rFonts w:hint="eastAsia" w:ascii="Times New Roman" w:hAnsi="Times New Roman" w:eastAsia="宋体" w:cs="Times New Roman"/>
                <w:color w:val="auto"/>
                <w:sz w:val="21"/>
                <w:highlight w:val="none"/>
              </w:rPr>
              <w:t>5</w:t>
            </w:r>
            <w:r>
              <w:rPr>
                <w:rFonts w:ascii="Times New Roman" w:hAnsi="Times New Roman" w:eastAsia="宋体" w:cs="Times New Roman"/>
                <w:color w:val="auto"/>
                <w:sz w:val="21"/>
                <w:highlight w:val="none"/>
              </w:rPr>
              <w:t>#排气筒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83" w:hRule="atLeast"/>
          <w:jc w:val="center"/>
        </w:trPr>
        <w:tc>
          <w:tcPr>
            <w:tcW w:w="75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w:t>
            </w:r>
            <w:r>
              <w:rPr>
                <w:rFonts w:ascii="Times New Roman" w:hAnsi="Times New Roman" w:eastAsia="宋体" w:cs="Times New Roman"/>
                <w:color w:val="auto"/>
                <w:sz w:val="21"/>
                <w:highlight w:val="none"/>
              </w:rPr>
              <w:t>#</w:t>
            </w:r>
          </w:p>
        </w:tc>
        <w:tc>
          <w:tcPr>
            <w:tcW w:w="750"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16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bCs/>
                <w:color w:val="auto"/>
                <w:sz w:val="21"/>
                <w:highlight w:val="none"/>
              </w:rPr>
              <w:t>三级破碎筛分</w:t>
            </w:r>
            <w:r>
              <w:rPr>
                <w:rFonts w:hint="eastAsia" w:ascii="Times New Roman" w:hAnsi="Times New Roman" w:eastAsia="宋体"/>
                <w:bCs/>
                <w:color w:val="auto"/>
                <w:sz w:val="21"/>
                <w:highlight w:val="none"/>
              </w:rPr>
              <w:t>②</w:t>
            </w:r>
          </w:p>
        </w:tc>
        <w:tc>
          <w:tcPr>
            <w:tcW w:w="78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G4</w:t>
            </w:r>
            <w:r>
              <w:rPr>
                <w:rFonts w:ascii="Times New Roman" w:hAnsi="Times New Roman" w:eastAsia="宋体" w:cs="Times New Roman"/>
                <w:color w:val="auto"/>
                <w:sz w:val="21"/>
                <w:highlight w:val="none"/>
              </w:rPr>
              <w:t>-3</w:t>
            </w:r>
          </w:p>
        </w:tc>
        <w:tc>
          <w:tcPr>
            <w:tcW w:w="7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颗粒物</w:t>
            </w:r>
          </w:p>
        </w:tc>
        <w:tc>
          <w:tcPr>
            <w:tcW w:w="4330" w:type="dxa"/>
            <w:noWrap w:val="0"/>
            <w:vAlign w:val="center"/>
          </w:tcPr>
          <w:p>
            <w:pPr>
              <w:widowControl/>
              <w:adjustRightInd w:val="0"/>
              <w:snapToGrid w:val="0"/>
              <w:spacing w:line="240" w:lineRule="auto"/>
              <w:ind w:firstLine="0" w:firstLineChars="0"/>
              <w:jc w:val="left"/>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lang w:val="en-US" w:eastAsia="zh-CN"/>
              </w:rPr>
              <w:t>喷淋</w:t>
            </w:r>
            <w:r>
              <w:rPr>
                <w:rFonts w:hint="eastAsia" w:ascii="Times New Roman" w:hAnsi="Times New Roman" w:eastAsia="宋体" w:cs="Times New Roman"/>
                <w:color w:val="auto"/>
                <w:sz w:val="21"/>
                <w:highlight w:val="none"/>
              </w:rPr>
              <w:t>+封</w:t>
            </w:r>
            <w:r>
              <w:rPr>
                <w:rFonts w:ascii="Times New Roman" w:hAnsi="Times New Roman" w:eastAsia="宋体" w:cs="Times New Roman"/>
                <w:color w:val="auto"/>
                <w:sz w:val="21"/>
                <w:highlight w:val="none"/>
              </w:rPr>
              <w:t>闭</w:t>
            </w:r>
            <w:r>
              <w:rPr>
                <w:rFonts w:hint="eastAsia" w:ascii="Times New Roman" w:hAnsi="Times New Roman" w:eastAsia="宋体" w:cs="Times New Roman"/>
                <w:color w:val="auto"/>
                <w:sz w:val="21"/>
                <w:highlight w:val="none"/>
              </w:rPr>
              <w:t>+负压收集</w:t>
            </w:r>
            <w:r>
              <w:rPr>
                <w:rFonts w:ascii="Times New Roman" w:hAnsi="Times New Roman" w:eastAsia="宋体" w:cs="Times New Roman"/>
                <w:color w:val="auto"/>
                <w:sz w:val="21"/>
                <w:highlight w:val="none"/>
              </w:rPr>
              <w:t>+袋式除尘器</w:t>
            </w: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15m高</w:t>
            </w:r>
            <w:r>
              <w:rPr>
                <w:rFonts w:hint="eastAsia" w:ascii="Times New Roman" w:hAnsi="Times New Roman" w:eastAsia="宋体" w:cs="Times New Roman"/>
                <w:color w:val="auto"/>
                <w:sz w:val="21"/>
                <w:highlight w:val="none"/>
              </w:rPr>
              <w:t>6</w:t>
            </w:r>
            <w:r>
              <w:rPr>
                <w:rFonts w:ascii="Times New Roman" w:hAnsi="Times New Roman" w:eastAsia="宋体" w:cs="Times New Roman"/>
                <w:color w:val="auto"/>
                <w:sz w:val="21"/>
                <w:highlight w:val="none"/>
              </w:rPr>
              <w:t>#排气筒</w:t>
            </w:r>
          </w:p>
        </w:tc>
      </w:tr>
    </w:tbl>
    <w:p>
      <w:pPr>
        <w:pStyle w:val="5"/>
        <w:rPr>
          <w:rFonts w:ascii="Times New Roman" w:hAnsi="Times New Roman" w:eastAsia="宋体"/>
          <w:color w:val="auto"/>
          <w:highlight w:val="none"/>
        </w:rPr>
      </w:pPr>
      <w:r>
        <w:rPr>
          <w:rFonts w:ascii="Times New Roman" w:hAnsi="Times New Roman" w:eastAsia="宋体"/>
          <w:color w:val="auto"/>
          <w:highlight w:val="none"/>
        </w:rPr>
        <w:t>2.</w:t>
      </w:r>
      <w:r>
        <w:rPr>
          <w:rFonts w:hint="eastAsia" w:ascii="Times New Roman" w:hAnsi="Times New Roman" w:eastAsia="宋体"/>
          <w:color w:val="auto"/>
          <w:highlight w:val="none"/>
        </w:rPr>
        <w:t>5</w:t>
      </w:r>
      <w:r>
        <w:rPr>
          <w:rFonts w:ascii="Times New Roman" w:hAnsi="Times New Roman" w:eastAsia="宋体"/>
          <w:color w:val="auto"/>
          <w:highlight w:val="none"/>
        </w:rPr>
        <w:t>.2 公用工程和辅助工程产污节点</w:t>
      </w:r>
    </w:p>
    <w:p>
      <w:pPr>
        <w:pStyle w:val="6"/>
        <w:rPr>
          <w:rFonts w:ascii="Times New Roman" w:hAnsi="Times New Roman" w:eastAsia="宋体"/>
          <w:color w:val="auto"/>
          <w:highlight w:val="none"/>
        </w:rPr>
      </w:pPr>
      <w:r>
        <w:rPr>
          <w:rFonts w:ascii="Times New Roman" w:hAnsi="Times New Roman" w:eastAsia="宋体"/>
          <w:color w:val="auto"/>
          <w:highlight w:val="none"/>
        </w:rPr>
        <w:t>2.</w:t>
      </w:r>
      <w:r>
        <w:rPr>
          <w:rFonts w:hint="eastAsia" w:ascii="Times New Roman" w:hAnsi="Times New Roman" w:eastAsia="宋体"/>
          <w:color w:val="auto"/>
          <w:highlight w:val="none"/>
        </w:rPr>
        <w:t>5</w:t>
      </w:r>
      <w:r>
        <w:rPr>
          <w:rFonts w:ascii="Times New Roman" w:hAnsi="Times New Roman" w:eastAsia="宋体"/>
          <w:color w:val="auto"/>
          <w:highlight w:val="none"/>
        </w:rPr>
        <w:t>.2.1 储运工程产污节点</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项目所使用设备中挖掘机、装载机等均为工程机械，使用的燃油为柴油，排放的尾气污染物主要污染因子为CO、NO</w:t>
      </w:r>
      <w:r>
        <w:rPr>
          <w:rFonts w:ascii="Times New Roman" w:hAnsi="Times New Roman" w:eastAsia="宋体" w:cs="Times New Roman"/>
          <w:color w:val="auto"/>
          <w:szCs w:val="24"/>
          <w:highlight w:val="none"/>
          <w:vertAlign w:val="subscript"/>
        </w:rPr>
        <w:t>x</w:t>
      </w:r>
      <w:r>
        <w:rPr>
          <w:rFonts w:ascii="Times New Roman" w:hAnsi="Times New Roman" w:eastAsia="宋体" w:cs="Times New Roman"/>
          <w:color w:val="auto"/>
          <w:szCs w:val="24"/>
          <w:highlight w:val="none"/>
        </w:rPr>
        <w:t>、HC。</w:t>
      </w:r>
    </w:p>
    <w:p>
      <w:pPr>
        <w:pStyle w:val="6"/>
        <w:rPr>
          <w:rFonts w:ascii="Times New Roman" w:hAnsi="Times New Roman" w:eastAsia="宋体"/>
          <w:color w:val="auto"/>
          <w:highlight w:val="none"/>
        </w:rPr>
      </w:pPr>
      <w:r>
        <w:rPr>
          <w:rFonts w:ascii="Times New Roman" w:hAnsi="Times New Roman" w:eastAsia="宋体"/>
          <w:color w:val="auto"/>
          <w:highlight w:val="none"/>
        </w:rPr>
        <w:t>2.</w:t>
      </w:r>
      <w:r>
        <w:rPr>
          <w:rFonts w:hint="eastAsia" w:ascii="Times New Roman" w:hAnsi="Times New Roman" w:eastAsia="宋体"/>
          <w:color w:val="auto"/>
          <w:highlight w:val="none"/>
        </w:rPr>
        <w:t>5</w:t>
      </w:r>
      <w:r>
        <w:rPr>
          <w:rFonts w:ascii="Times New Roman" w:hAnsi="Times New Roman" w:eastAsia="宋体"/>
          <w:color w:val="auto"/>
          <w:highlight w:val="none"/>
        </w:rPr>
        <w:t>.2.2 生活产污节点</w:t>
      </w:r>
    </w:p>
    <w:p>
      <w:pPr>
        <w:ind w:firstLine="480"/>
        <w:rPr>
          <w:rFonts w:ascii="Times New Roman" w:hAnsi="Times New Roman" w:eastAsia="宋体"/>
          <w:color w:val="auto"/>
          <w:highlight w:val="none"/>
        </w:rPr>
      </w:pPr>
      <w:r>
        <w:rPr>
          <w:rFonts w:ascii="Times New Roman" w:hAnsi="Times New Roman" w:eastAsia="宋体"/>
          <w:color w:val="auto"/>
          <w:highlight w:val="none"/>
        </w:rPr>
        <w:t>项目劳动定员</w:t>
      </w:r>
      <w:r>
        <w:rPr>
          <w:rFonts w:hint="eastAsia" w:ascii="Times New Roman" w:hAnsi="Times New Roman" w:eastAsia="宋体"/>
          <w:color w:val="auto"/>
          <w:highlight w:val="none"/>
        </w:rPr>
        <w:t>45</w:t>
      </w:r>
      <w:r>
        <w:rPr>
          <w:rFonts w:ascii="Times New Roman" w:hAnsi="Times New Roman" w:eastAsia="宋体"/>
          <w:color w:val="auto"/>
          <w:highlight w:val="none"/>
        </w:rPr>
        <w:t>人，</w:t>
      </w:r>
      <w:r>
        <w:rPr>
          <w:rFonts w:hint="eastAsia" w:ascii="Times New Roman" w:hAnsi="Times New Roman" w:eastAsia="宋体"/>
          <w:color w:val="auto"/>
          <w:highlight w:val="none"/>
        </w:rPr>
        <w:t>全部在厂内</w:t>
      </w:r>
      <w:r>
        <w:rPr>
          <w:rFonts w:ascii="Times New Roman" w:hAnsi="Times New Roman" w:eastAsia="宋体"/>
          <w:color w:val="auto"/>
          <w:highlight w:val="none"/>
        </w:rPr>
        <w:t>食宿，日常生产办公活动产生生活污水和生活垃圾，厨房烹饪食物产生油烟和燃气废气，员工就餐产生生活垃圾和废水。</w:t>
      </w:r>
    </w:p>
    <w:p>
      <w:pPr>
        <w:pStyle w:val="5"/>
        <w:rPr>
          <w:rFonts w:ascii="Times New Roman" w:hAnsi="Times New Roman" w:eastAsia="宋体"/>
          <w:color w:val="auto"/>
          <w:highlight w:val="none"/>
        </w:rPr>
      </w:pPr>
      <w:r>
        <w:rPr>
          <w:rFonts w:ascii="Times New Roman" w:hAnsi="Times New Roman" w:eastAsia="宋体"/>
          <w:color w:val="auto"/>
          <w:highlight w:val="none"/>
        </w:rPr>
        <w:t>2.</w:t>
      </w:r>
      <w:r>
        <w:rPr>
          <w:rFonts w:hint="eastAsia" w:ascii="Times New Roman" w:hAnsi="Times New Roman" w:eastAsia="宋体"/>
          <w:color w:val="auto"/>
          <w:highlight w:val="none"/>
        </w:rPr>
        <w:t>5</w:t>
      </w:r>
      <w:r>
        <w:rPr>
          <w:rFonts w:ascii="Times New Roman" w:hAnsi="Times New Roman" w:eastAsia="宋体"/>
          <w:color w:val="auto"/>
          <w:highlight w:val="none"/>
        </w:rPr>
        <w:t>.3 相关平衡分析</w:t>
      </w:r>
    </w:p>
    <w:p>
      <w:pPr>
        <w:pStyle w:val="6"/>
        <w:rPr>
          <w:rFonts w:ascii="Times New Roman" w:hAnsi="Times New Roman" w:eastAsia="宋体"/>
          <w:color w:val="auto"/>
          <w:highlight w:val="none"/>
        </w:rPr>
      </w:pPr>
      <w:r>
        <w:rPr>
          <w:rFonts w:ascii="Times New Roman" w:hAnsi="Times New Roman" w:eastAsia="宋体"/>
          <w:color w:val="auto"/>
          <w:highlight w:val="none"/>
        </w:rPr>
        <w:t>2.</w:t>
      </w:r>
      <w:r>
        <w:rPr>
          <w:rFonts w:hint="eastAsia" w:ascii="Times New Roman" w:hAnsi="Times New Roman" w:eastAsia="宋体"/>
          <w:color w:val="auto"/>
          <w:highlight w:val="none"/>
        </w:rPr>
        <w:t>5</w:t>
      </w:r>
      <w:r>
        <w:rPr>
          <w:rFonts w:ascii="Times New Roman" w:hAnsi="Times New Roman" w:eastAsia="宋体"/>
          <w:color w:val="auto"/>
          <w:highlight w:val="none"/>
        </w:rPr>
        <w:t>.3.1 物料平衡</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硅质岩</w:t>
      </w:r>
      <w:r>
        <w:rPr>
          <w:rFonts w:ascii="Times New Roman" w:hAnsi="Times New Roman" w:eastAsia="宋体"/>
          <w:color w:val="auto"/>
          <w:highlight w:val="none"/>
        </w:rPr>
        <w:t>开采过程剥采比为0.0</w:t>
      </w:r>
      <w:r>
        <w:rPr>
          <w:rFonts w:hint="eastAsia" w:ascii="Times New Roman" w:hAnsi="Times New Roman" w:eastAsia="宋体"/>
          <w:color w:val="auto"/>
          <w:highlight w:val="none"/>
        </w:rPr>
        <w:t>1</w:t>
      </w:r>
      <w:r>
        <w:rPr>
          <w:rFonts w:ascii="Times New Roman" w:hAnsi="Times New Roman" w:eastAsia="宋体"/>
          <w:color w:val="auto"/>
          <w:highlight w:val="none"/>
        </w:rPr>
        <w:t>t/t，</w:t>
      </w:r>
      <w:r>
        <w:rPr>
          <w:rFonts w:hint="eastAsia" w:ascii="Times New Roman" w:hAnsi="Times New Roman" w:eastAsia="宋体"/>
          <w:color w:val="auto"/>
          <w:highlight w:val="none"/>
        </w:rPr>
        <w:t>其中表土占20%，泥渣占80%；其中</w:t>
      </w:r>
      <w:r>
        <w:rPr>
          <w:rFonts w:hint="eastAsia"/>
          <w:color w:val="auto"/>
          <w:highlight w:val="none"/>
          <w:u w:val="single"/>
          <w:lang w:eastAsia="zh-CN"/>
        </w:rPr>
        <w:t>破碎场①</w:t>
      </w:r>
      <w:r>
        <w:rPr>
          <w:rFonts w:hint="eastAsia" w:ascii="Times New Roman" w:hAnsi="Times New Roman" w:eastAsia="宋体"/>
          <w:color w:val="auto"/>
          <w:highlight w:val="none"/>
        </w:rPr>
        <w:t>筛选</w:t>
      </w:r>
      <w:r>
        <w:rPr>
          <w:rFonts w:ascii="Times New Roman" w:hAnsi="Times New Roman" w:eastAsia="宋体"/>
          <w:color w:val="auto"/>
          <w:highlight w:val="none"/>
        </w:rPr>
        <w:t>破碎</w:t>
      </w:r>
      <w:r>
        <w:rPr>
          <w:rFonts w:hint="eastAsia" w:ascii="Times New Roman" w:hAnsi="Times New Roman" w:eastAsia="宋体"/>
          <w:color w:val="auto"/>
          <w:highlight w:val="none"/>
        </w:rPr>
        <w:t>①</w:t>
      </w:r>
      <w:r>
        <w:rPr>
          <w:rFonts w:ascii="Times New Roman" w:hAnsi="Times New Roman" w:eastAsia="宋体"/>
          <w:color w:val="auto"/>
          <w:highlight w:val="none"/>
        </w:rPr>
        <w:t>产能</w:t>
      </w:r>
      <w:r>
        <w:rPr>
          <w:rFonts w:hint="eastAsia" w:ascii="Times New Roman" w:hAnsi="Times New Roman" w:eastAsia="宋体"/>
          <w:color w:val="auto"/>
          <w:highlight w:val="none"/>
        </w:rPr>
        <w:t>25</w:t>
      </w:r>
      <w:r>
        <w:rPr>
          <w:rFonts w:ascii="Times New Roman" w:hAnsi="Times New Roman" w:eastAsia="宋体"/>
          <w:color w:val="auto"/>
          <w:highlight w:val="none"/>
        </w:rPr>
        <w:t>万t/a，</w:t>
      </w:r>
      <w:r>
        <w:rPr>
          <w:rFonts w:hint="eastAsia" w:ascii="Times New Roman" w:hAnsi="Times New Roman" w:eastAsia="宋体"/>
          <w:color w:val="auto"/>
          <w:highlight w:val="none"/>
        </w:rPr>
        <w:t>二级破碎①</w:t>
      </w:r>
      <w:r>
        <w:rPr>
          <w:rFonts w:ascii="Times New Roman" w:hAnsi="Times New Roman" w:eastAsia="宋体"/>
          <w:color w:val="auto"/>
          <w:highlight w:val="none"/>
        </w:rPr>
        <w:t>产能</w:t>
      </w:r>
      <w:r>
        <w:rPr>
          <w:rFonts w:hint="eastAsia" w:ascii="Times New Roman" w:hAnsi="Times New Roman" w:eastAsia="宋体"/>
          <w:color w:val="auto"/>
          <w:highlight w:val="none"/>
        </w:rPr>
        <w:t>25</w:t>
      </w:r>
      <w:r>
        <w:rPr>
          <w:rFonts w:ascii="Times New Roman" w:hAnsi="Times New Roman" w:eastAsia="宋体"/>
          <w:color w:val="auto"/>
          <w:highlight w:val="none"/>
        </w:rPr>
        <w:t>万t/a，</w:t>
      </w:r>
      <w:r>
        <w:rPr>
          <w:rFonts w:hint="eastAsia" w:ascii="Times New Roman" w:hAnsi="Times New Roman" w:eastAsia="宋体"/>
          <w:color w:val="auto"/>
          <w:highlight w:val="none"/>
        </w:rPr>
        <w:t>三级破碎筛分①</w:t>
      </w:r>
      <w:r>
        <w:rPr>
          <w:rFonts w:ascii="Times New Roman" w:hAnsi="Times New Roman" w:eastAsia="宋体"/>
          <w:color w:val="auto"/>
          <w:highlight w:val="none"/>
        </w:rPr>
        <w:t>产能</w:t>
      </w:r>
      <w:r>
        <w:rPr>
          <w:rFonts w:hint="eastAsia" w:ascii="Times New Roman" w:hAnsi="Times New Roman" w:eastAsia="宋体"/>
          <w:color w:val="auto"/>
          <w:highlight w:val="none"/>
        </w:rPr>
        <w:t>2</w:t>
      </w:r>
      <w:r>
        <w:rPr>
          <w:rFonts w:ascii="Times New Roman" w:hAnsi="Times New Roman" w:eastAsia="宋体"/>
          <w:color w:val="auto"/>
          <w:highlight w:val="none"/>
        </w:rPr>
        <w:t>5万t/a，</w:t>
      </w:r>
      <w:r>
        <w:rPr>
          <w:rFonts w:hint="eastAsia" w:ascii="Times New Roman" w:hAnsi="Times New Roman" w:eastAsia="宋体"/>
          <w:color w:val="auto"/>
          <w:highlight w:val="none"/>
        </w:rPr>
        <w:t>石粉水洗砂产能2.5万t/a；</w:t>
      </w:r>
      <w:r>
        <w:rPr>
          <w:rFonts w:hint="eastAsia"/>
          <w:color w:val="auto"/>
          <w:highlight w:val="none"/>
          <w:u w:val="single"/>
          <w:lang w:eastAsia="zh-CN"/>
        </w:rPr>
        <w:t>破碎场②</w:t>
      </w:r>
      <w:r>
        <w:rPr>
          <w:rFonts w:hint="eastAsia" w:ascii="Times New Roman" w:hAnsi="Times New Roman" w:eastAsia="宋体"/>
          <w:color w:val="auto"/>
          <w:highlight w:val="none"/>
        </w:rPr>
        <w:t>筛选</w:t>
      </w:r>
      <w:r>
        <w:rPr>
          <w:rFonts w:ascii="Times New Roman" w:hAnsi="Times New Roman" w:eastAsia="宋体"/>
          <w:color w:val="auto"/>
          <w:highlight w:val="none"/>
        </w:rPr>
        <w:t>破碎</w:t>
      </w:r>
      <w:r>
        <w:rPr>
          <w:rFonts w:hint="eastAsia" w:ascii="Times New Roman" w:hAnsi="Times New Roman" w:eastAsia="宋体"/>
          <w:color w:val="auto"/>
          <w:highlight w:val="none"/>
        </w:rPr>
        <w:t>②</w:t>
      </w:r>
      <w:r>
        <w:rPr>
          <w:rFonts w:ascii="Times New Roman" w:hAnsi="Times New Roman" w:eastAsia="宋体"/>
          <w:color w:val="auto"/>
          <w:highlight w:val="none"/>
        </w:rPr>
        <w:t>产能</w:t>
      </w:r>
      <w:r>
        <w:rPr>
          <w:rFonts w:hint="eastAsia" w:ascii="Times New Roman" w:hAnsi="Times New Roman" w:eastAsia="宋体"/>
          <w:color w:val="auto"/>
          <w:highlight w:val="none"/>
        </w:rPr>
        <w:t>25</w:t>
      </w:r>
      <w:r>
        <w:rPr>
          <w:rFonts w:ascii="Times New Roman" w:hAnsi="Times New Roman" w:eastAsia="宋体"/>
          <w:color w:val="auto"/>
          <w:highlight w:val="none"/>
        </w:rPr>
        <w:t>万t/a，</w:t>
      </w:r>
      <w:r>
        <w:rPr>
          <w:rFonts w:hint="eastAsia" w:ascii="Times New Roman" w:hAnsi="Times New Roman" w:eastAsia="宋体"/>
          <w:color w:val="auto"/>
          <w:highlight w:val="none"/>
        </w:rPr>
        <w:t>二级破碎筛分②</w:t>
      </w:r>
      <w:r>
        <w:rPr>
          <w:rFonts w:ascii="Times New Roman" w:hAnsi="Times New Roman" w:eastAsia="宋体"/>
          <w:color w:val="auto"/>
          <w:highlight w:val="none"/>
        </w:rPr>
        <w:t>产能</w:t>
      </w:r>
      <w:r>
        <w:rPr>
          <w:rFonts w:hint="eastAsia" w:ascii="Times New Roman" w:hAnsi="Times New Roman" w:eastAsia="宋体"/>
          <w:color w:val="auto"/>
          <w:highlight w:val="none"/>
        </w:rPr>
        <w:t>25</w:t>
      </w:r>
      <w:r>
        <w:rPr>
          <w:rFonts w:ascii="Times New Roman" w:hAnsi="Times New Roman" w:eastAsia="宋体"/>
          <w:color w:val="auto"/>
          <w:highlight w:val="none"/>
        </w:rPr>
        <w:t>万t/a，</w:t>
      </w:r>
      <w:r>
        <w:rPr>
          <w:rFonts w:hint="eastAsia" w:ascii="Times New Roman" w:hAnsi="Times New Roman" w:eastAsia="宋体"/>
          <w:color w:val="auto"/>
          <w:highlight w:val="none"/>
        </w:rPr>
        <w:t>三级破碎筛分②</w:t>
      </w:r>
      <w:r>
        <w:rPr>
          <w:rFonts w:ascii="Times New Roman" w:hAnsi="Times New Roman" w:eastAsia="宋体"/>
          <w:color w:val="auto"/>
          <w:highlight w:val="none"/>
        </w:rPr>
        <w:t>产能</w:t>
      </w:r>
      <w:r>
        <w:rPr>
          <w:rFonts w:hint="eastAsia" w:ascii="Times New Roman" w:hAnsi="Times New Roman" w:eastAsia="宋体"/>
          <w:color w:val="auto"/>
          <w:highlight w:val="none"/>
        </w:rPr>
        <w:t>2.5</w:t>
      </w:r>
      <w:r>
        <w:rPr>
          <w:rFonts w:ascii="Times New Roman" w:hAnsi="Times New Roman" w:eastAsia="宋体"/>
          <w:color w:val="auto"/>
          <w:highlight w:val="none"/>
        </w:rPr>
        <w:t>万t/a，袋式除尘器除尘效率按99%计算。拟建工程物料平衡见图2.</w:t>
      </w:r>
      <w:r>
        <w:rPr>
          <w:rFonts w:hint="eastAsia" w:ascii="Times New Roman" w:hAnsi="Times New Roman" w:eastAsia="宋体"/>
          <w:color w:val="auto"/>
          <w:highlight w:val="none"/>
        </w:rPr>
        <w:t>5</w:t>
      </w:r>
      <w:r>
        <w:rPr>
          <w:rFonts w:ascii="Times New Roman" w:hAnsi="Times New Roman" w:eastAsia="宋体"/>
          <w:color w:val="auto"/>
          <w:highlight w:val="none"/>
        </w:rPr>
        <w:t>-</w:t>
      </w:r>
      <w:r>
        <w:rPr>
          <w:rFonts w:hint="eastAsia"/>
          <w:color w:val="auto"/>
          <w:highlight w:val="none"/>
          <w:lang w:val="en-US" w:eastAsia="zh-CN"/>
        </w:rPr>
        <w:t>3</w:t>
      </w:r>
      <w:r>
        <w:rPr>
          <w:rFonts w:ascii="Times New Roman" w:hAnsi="Times New Roman" w:eastAsia="宋体"/>
          <w:color w:val="auto"/>
          <w:highlight w:val="none"/>
        </w:rPr>
        <w:t>。</w:t>
      </w:r>
    </w:p>
    <w:p>
      <w:pPr>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object>
          <v:shape id="_x0000_i1032" o:spt="75" type="#_x0000_t75" style="height:206.25pt;width:450.9pt;" o:ole="t" filled="f" o:preferrelative="t" stroked="f" coordsize="21600,21600">
            <v:path/>
            <v:fill on="f" focussize="0,0"/>
            <v:stroke on="f"/>
            <v:imagedata r:id="rId66" o:title=""/>
            <o:lock v:ext="edit" aspectratio="f"/>
            <w10:wrap type="none"/>
            <w10:anchorlock/>
          </v:shape>
          <o:OLEObject Type="Embed" ProgID="Visio.Drawing.11" ShapeID="_x0000_i1032" DrawAspect="Content" ObjectID="_1468075732" r:id="rId65">
            <o:LockedField>false</o:LockedField>
          </o:OLEObject>
        </w:object>
      </w:r>
    </w:p>
    <w:p>
      <w:pPr>
        <w:pStyle w:val="6"/>
        <w:rPr>
          <w:rFonts w:ascii="Times New Roman" w:hAnsi="Times New Roman" w:eastAsia="宋体"/>
          <w:color w:val="auto"/>
          <w:highlight w:val="none"/>
        </w:rPr>
      </w:pPr>
      <w:r>
        <w:rPr>
          <w:rFonts w:ascii="Times New Roman" w:hAnsi="Times New Roman" w:eastAsia="宋体"/>
          <w:color w:val="auto"/>
          <w:highlight w:val="none"/>
        </w:rPr>
        <w:t>2.</w:t>
      </w:r>
      <w:r>
        <w:rPr>
          <w:rFonts w:hint="eastAsia" w:ascii="Times New Roman" w:hAnsi="Times New Roman" w:eastAsia="宋体"/>
          <w:color w:val="auto"/>
          <w:highlight w:val="none"/>
        </w:rPr>
        <w:t>5</w:t>
      </w:r>
      <w:r>
        <w:rPr>
          <w:rFonts w:ascii="Times New Roman" w:hAnsi="Times New Roman" w:eastAsia="宋体"/>
          <w:color w:val="auto"/>
          <w:highlight w:val="none"/>
        </w:rPr>
        <w:t>.3.2 水平衡</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kern w:val="0"/>
          <w:szCs w:val="24"/>
          <w:highlight w:val="none"/>
          <w:u w:val="single"/>
        </w:rPr>
        <w:t>项目</w:t>
      </w:r>
      <w:r>
        <w:rPr>
          <w:rFonts w:hint="eastAsia"/>
          <w:color w:val="auto"/>
          <w:highlight w:val="none"/>
          <w:u w:val="single"/>
          <w:lang w:eastAsia="zh-CN"/>
        </w:rPr>
        <w:t>破碎场①</w:t>
      </w:r>
      <w:r>
        <w:rPr>
          <w:rFonts w:hint="eastAsia" w:ascii="Times New Roman" w:hAnsi="Times New Roman" w:eastAsia="宋体" w:cs="Times New Roman"/>
          <w:color w:val="auto"/>
          <w:kern w:val="0"/>
          <w:szCs w:val="24"/>
          <w:highlight w:val="none"/>
          <w:u w:val="single"/>
        </w:rPr>
        <w:t>、</w:t>
      </w:r>
      <w:r>
        <w:rPr>
          <w:rFonts w:hint="eastAsia" w:cs="Times New Roman"/>
          <w:color w:val="auto"/>
          <w:kern w:val="0"/>
          <w:szCs w:val="24"/>
          <w:highlight w:val="none"/>
          <w:u w:val="single"/>
          <w:lang w:eastAsia="zh-CN"/>
        </w:rPr>
        <w:t>破碎场②</w:t>
      </w:r>
      <w:r>
        <w:rPr>
          <w:rFonts w:ascii="Times New Roman" w:hAnsi="Times New Roman" w:eastAsia="宋体" w:cs="Times New Roman"/>
          <w:color w:val="auto"/>
          <w:kern w:val="0"/>
          <w:szCs w:val="24"/>
          <w:highlight w:val="none"/>
          <w:u w:val="single"/>
        </w:rPr>
        <w:t>初期雨水</w:t>
      </w:r>
      <w:r>
        <w:rPr>
          <w:rFonts w:hint="eastAsia" w:cs="Times New Roman"/>
          <w:color w:val="auto"/>
          <w:kern w:val="0"/>
          <w:szCs w:val="24"/>
          <w:highlight w:val="none"/>
          <w:u w:val="single"/>
          <w:lang w:val="en-US" w:eastAsia="zh-CN"/>
        </w:rPr>
        <w:t>总</w:t>
      </w:r>
      <w:r>
        <w:rPr>
          <w:rFonts w:ascii="Times New Roman" w:hAnsi="Times New Roman" w:eastAsia="宋体" w:cs="Times New Roman"/>
          <w:color w:val="auto"/>
          <w:kern w:val="0"/>
          <w:szCs w:val="24"/>
          <w:highlight w:val="none"/>
          <w:u w:val="single"/>
        </w:rPr>
        <w:t>量为</w:t>
      </w:r>
      <w:r>
        <w:rPr>
          <w:rFonts w:hint="eastAsia" w:cs="Times New Roman"/>
          <w:color w:val="auto"/>
          <w:kern w:val="0"/>
          <w:szCs w:val="24"/>
          <w:highlight w:val="none"/>
          <w:u w:val="single"/>
          <w:lang w:val="en-US" w:eastAsia="zh-CN"/>
        </w:rPr>
        <w:t>401</w:t>
      </w:r>
      <w:r>
        <w:rPr>
          <w:rFonts w:ascii="Times New Roman" w:hAnsi="Times New Roman" w:eastAsia="宋体" w:cs="Times New Roman"/>
          <w:color w:val="auto"/>
          <w:kern w:val="0"/>
          <w:szCs w:val="24"/>
          <w:highlight w:val="none"/>
          <w:u w:val="single"/>
        </w:rPr>
        <w:t>m</w:t>
      </w:r>
      <w:r>
        <w:rPr>
          <w:rFonts w:ascii="Times New Roman" w:hAnsi="Times New Roman" w:eastAsia="宋体" w:cs="Times New Roman"/>
          <w:color w:val="auto"/>
          <w:kern w:val="0"/>
          <w:szCs w:val="24"/>
          <w:highlight w:val="none"/>
          <w:u w:val="single"/>
          <w:vertAlign w:val="superscript"/>
        </w:rPr>
        <w:t>3</w:t>
      </w:r>
      <w:r>
        <w:rPr>
          <w:rFonts w:ascii="Times New Roman" w:hAnsi="Times New Roman" w:eastAsia="宋体" w:cs="Times New Roman"/>
          <w:color w:val="auto"/>
          <w:kern w:val="0"/>
          <w:szCs w:val="24"/>
          <w:highlight w:val="none"/>
          <w:u w:val="single"/>
        </w:rPr>
        <w:t>/次，按</w:t>
      </w:r>
      <w:r>
        <w:rPr>
          <w:rFonts w:hint="eastAsia" w:ascii="Times New Roman" w:hAnsi="Times New Roman" w:eastAsia="宋体" w:cs="Times New Roman"/>
          <w:color w:val="auto"/>
          <w:kern w:val="0"/>
          <w:szCs w:val="24"/>
          <w:highlight w:val="none"/>
          <w:u w:val="single"/>
        </w:rPr>
        <w:t>2</w:t>
      </w:r>
      <w:r>
        <w:rPr>
          <w:rFonts w:ascii="Times New Roman" w:hAnsi="Times New Roman" w:eastAsia="宋体" w:cs="Times New Roman"/>
          <w:color w:val="auto"/>
          <w:kern w:val="0"/>
          <w:szCs w:val="24"/>
          <w:highlight w:val="none"/>
          <w:u w:val="single"/>
        </w:rPr>
        <w:t>0次/a计算，初期雨水</w:t>
      </w:r>
      <w:r>
        <w:rPr>
          <w:rFonts w:hint="eastAsia" w:ascii="Times New Roman" w:hAnsi="Times New Roman" w:eastAsia="宋体" w:cs="Times New Roman"/>
          <w:color w:val="auto"/>
          <w:kern w:val="0"/>
          <w:szCs w:val="24"/>
          <w:highlight w:val="none"/>
          <w:u w:val="single"/>
        </w:rPr>
        <w:t>经截排水沟汇流进入沉砂池收集，</w:t>
      </w:r>
      <w:r>
        <w:rPr>
          <w:rFonts w:ascii="Times New Roman" w:hAnsi="Times New Roman" w:eastAsia="宋体" w:cs="Times New Roman"/>
          <w:color w:val="auto"/>
          <w:kern w:val="0"/>
          <w:szCs w:val="24"/>
          <w:highlight w:val="none"/>
          <w:u w:val="single"/>
        </w:rPr>
        <w:t>则初期雨水回用量</w:t>
      </w:r>
      <w:r>
        <w:rPr>
          <w:rFonts w:hint="eastAsia" w:cs="Times New Roman"/>
          <w:color w:val="auto"/>
          <w:kern w:val="0"/>
          <w:szCs w:val="24"/>
          <w:highlight w:val="none"/>
          <w:u w:val="single"/>
          <w:lang w:val="en-US" w:eastAsia="zh-CN"/>
        </w:rPr>
        <w:t>802</w:t>
      </w:r>
      <w:r>
        <w:rPr>
          <w:rFonts w:hint="eastAsia" w:ascii="Times New Roman" w:hAnsi="Times New Roman" w:eastAsia="宋体" w:cs="Times New Roman"/>
          <w:color w:val="auto"/>
          <w:kern w:val="0"/>
          <w:szCs w:val="24"/>
          <w:highlight w:val="none"/>
          <w:u w:val="single"/>
        </w:rPr>
        <w:t>0</w:t>
      </w:r>
      <w:r>
        <w:rPr>
          <w:rFonts w:ascii="Times New Roman" w:hAnsi="Times New Roman" w:eastAsia="宋体" w:cs="Times New Roman"/>
          <w:color w:val="auto"/>
          <w:kern w:val="0"/>
          <w:szCs w:val="24"/>
          <w:highlight w:val="none"/>
          <w:u w:val="single"/>
        </w:rPr>
        <w:t>m</w:t>
      </w:r>
      <w:r>
        <w:rPr>
          <w:rFonts w:ascii="Times New Roman" w:hAnsi="Times New Roman" w:eastAsia="宋体" w:cs="Times New Roman"/>
          <w:color w:val="auto"/>
          <w:kern w:val="0"/>
          <w:szCs w:val="24"/>
          <w:highlight w:val="none"/>
          <w:u w:val="single"/>
          <w:vertAlign w:val="superscript"/>
        </w:rPr>
        <w:t>3</w:t>
      </w:r>
      <w:r>
        <w:rPr>
          <w:rFonts w:ascii="Times New Roman" w:hAnsi="Times New Roman" w:eastAsia="宋体" w:cs="Times New Roman"/>
          <w:color w:val="auto"/>
          <w:kern w:val="0"/>
          <w:szCs w:val="24"/>
          <w:highlight w:val="none"/>
          <w:u w:val="single"/>
        </w:rPr>
        <w:t>/a，</w:t>
      </w:r>
      <w:r>
        <w:rPr>
          <w:rFonts w:ascii="Times New Roman" w:hAnsi="Times New Roman" w:eastAsia="宋体" w:cs="Times New Roman"/>
          <w:color w:val="auto"/>
          <w:kern w:val="0"/>
          <w:szCs w:val="24"/>
          <w:highlight w:val="none"/>
        </w:rPr>
        <w:t>初期雨水全部用于矿区洒水降尘，</w:t>
      </w:r>
      <w:r>
        <w:rPr>
          <w:rFonts w:ascii="Times New Roman" w:hAnsi="Times New Roman" w:eastAsia="宋体" w:cs="Times New Roman"/>
          <w:color w:val="auto"/>
          <w:highlight w:val="none"/>
        </w:rPr>
        <w:t>拟建工程</w:t>
      </w:r>
      <w:r>
        <w:rPr>
          <w:rFonts w:hint="eastAsia" w:ascii="Times New Roman" w:hAnsi="Times New Roman" w:eastAsia="宋体" w:cs="Times New Roman"/>
          <w:color w:val="auto"/>
          <w:highlight w:val="none"/>
        </w:rPr>
        <w:t>用水情况见下表2.5-</w:t>
      </w:r>
      <w:r>
        <w:rPr>
          <w:rFonts w:hint="eastAsia" w:cs="Times New Roman"/>
          <w:color w:val="auto"/>
          <w:highlight w:val="none"/>
          <w:lang w:val="en-US" w:eastAsia="zh-CN"/>
        </w:rPr>
        <w:t>3</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水平衡</w:t>
      </w:r>
      <w:r>
        <w:rPr>
          <w:rFonts w:hint="eastAsia" w:ascii="Times New Roman" w:hAnsi="Times New Roman" w:eastAsia="宋体" w:cs="Times New Roman"/>
          <w:color w:val="auto"/>
          <w:highlight w:val="none"/>
        </w:rPr>
        <w:t>图</w:t>
      </w:r>
      <w:r>
        <w:rPr>
          <w:rFonts w:ascii="Times New Roman" w:hAnsi="Times New Roman" w:eastAsia="宋体" w:cs="Times New Roman"/>
          <w:color w:val="auto"/>
          <w:highlight w:val="none"/>
        </w:rPr>
        <w:t>见图2.</w:t>
      </w:r>
      <w:r>
        <w:rPr>
          <w:rFonts w:hint="eastAsia" w:ascii="Times New Roman" w:hAnsi="Times New Roman" w:eastAsia="宋体" w:cs="Times New Roman"/>
          <w:color w:val="auto"/>
          <w:highlight w:val="none"/>
        </w:rPr>
        <w:t>5</w:t>
      </w:r>
      <w:r>
        <w:rPr>
          <w:rFonts w:ascii="Times New Roman" w:hAnsi="Times New Roman" w:eastAsia="宋体" w:cs="Times New Roman"/>
          <w:color w:val="auto"/>
          <w:highlight w:val="none"/>
        </w:rPr>
        <w:t>-</w:t>
      </w:r>
      <w:r>
        <w:rPr>
          <w:rFonts w:hint="eastAsia" w:cs="Times New Roman"/>
          <w:color w:val="auto"/>
          <w:highlight w:val="none"/>
          <w:lang w:val="en-US" w:eastAsia="zh-CN"/>
        </w:rPr>
        <w:t>4</w:t>
      </w:r>
      <w:r>
        <w:rPr>
          <w:rFonts w:ascii="Times New Roman" w:hAnsi="Times New Roman" w:eastAsia="宋体" w:cs="Times New Roman"/>
          <w:color w:val="auto"/>
          <w:highlight w:val="none"/>
        </w:rPr>
        <w:t>。</w:t>
      </w:r>
    </w:p>
    <w:p>
      <w:pPr>
        <w:pStyle w:val="13"/>
        <w:rPr>
          <w:rStyle w:val="143"/>
          <w:rFonts w:ascii="Times New Roman" w:hAnsi="Times New Roman" w:eastAsia="宋体"/>
          <w:b/>
          <w:color w:val="auto"/>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13"/>
        <w:rPr>
          <w:rFonts w:ascii="Times New Roman" w:hAnsi="Times New Roman" w:eastAsia="宋体"/>
          <w:bCs/>
          <w:color w:val="auto"/>
          <w:szCs w:val="24"/>
          <w:highlight w:val="none"/>
        </w:rPr>
      </w:pPr>
      <w:r>
        <w:rPr>
          <w:rStyle w:val="143"/>
          <w:rFonts w:ascii="Times New Roman" w:hAnsi="Times New Roman" w:eastAsia="宋体"/>
          <w:b/>
          <w:color w:val="auto"/>
          <w:highlight w:val="none"/>
        </w:rPr>
        <w:t>表2.</w:t>
      </w:r>
      <w:r>
        <w:rPr>
          <w:rStyle w:val="143"/>
          <w:rFonts w:hint="eastAsia" w:ascii="Times New Roman" w:hAnsi="Times New Roman" w:eastAsia="宋体"/>
          <w:b/>
          <w:color w:val="auto"/>
          <w:highlight w:val="none"/>
        </w:rPr>
        <w:t>5</w:t>
      </w:r>
      <w:r>
        <w:rPr>
          <w:rStyle w:val="143"/>
          <w:rFonts w:ascii="Times New Roman" w:hAnsi="Times New Roman" w:eastAsia="宋体"/>
          <w:b/>
          <w:color w:val="auto"/>
          <w:highlight w:val="none"/>
        </w:rPr>
        <w:t>-</w:t>
      </w:r>
      <w:r>
        <w:rPr>
          <w:rStyle w:val="143"/>
          <w:rFonts w:hint="eastAsia"/>
          <w:b/>
          <w:color w:val="auto"/>
          <w:highlight w:val="none"/>
          <w:lang w:val="en-US" w:eastAsia="zh-CN"/>
        </w:rPr>
        <w:t>3</w:t>
      </w:r>
      <w:r>
        <w:rPr>
          <w:rStyle w:val="143"/>
          <w:rFonts w:ascii="Times New Roman" w:hAnsi="Times New Roman" w:eastAsia="宋体"/>
          <w:b/>
          <w:color w:val="auto"/>
          <w:highlight w:val="none"/>
        </w:rPr>
        <w:t xml:space="preserve"> 项目矿区用水情况一览表（单位：m</w:t>
      </w:r>
      <w:r>
        <w:rPr>
          <w:rStyle w:val="143"/>
          <w:rFonts w:ascii="Times New Roman" w:hAnsi="Times New Roman" w:eastAsia="宋体"/>
          <w:b/>
          <w:color w:val="auto"/>
          <w:highlight w:val="none"/>
          <w:vertAlign w:val="superscript"/>
        </w:rPr>
        <w:t>3</w:t>
      </w:r>
      <w:r>
        <w:rPr>
          <w:rStyle w:val="143"/>
          <w:rFonts w:ascii="Times New Roman" w:hAnsi="Times New Roman" w:eastAsia="宋体"/>
          <w:b/>
          <w:color w:val="auto"/>
          <w:highlight w:val="none"/>
        </w:rPr>
        <w:t>/a）</w:t>
      </w:r>
    </w:p>
    <w:tbl>
      <w:tblPr>
        <w:tblStyle w:val="48"/>
        <w:tblW w:w="907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860"/>
        <w:gridCol w:w="870"/>
        <w:gridCol w:w="1065"/>
        <w:gridCol w:w="945"/>
        <w:gridCol w:w="1320"/>
        <w:gridCol w:w="778"/>
        <w:gridCol w:w="7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460" w:type="dxa"/>
            <w:vMerge w:val="restart"/>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用水工序</w:t>
            </w:r>
          </w:p>
        </w:tc>
        <w:tc>
          <w:tcPr>
            <w:tcW w:w="1860" w:type="dxa"/>
            <w:vMerge w:val="restart"/>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用水标准</w:t>
            </w:r>
          </w:p>
        </w:tc>
        <w:tc>
          <w:tcPr>
            <w:tcW w:w="870" w:type="dxa"/>
            <w:vMerge w:val="restart"/>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总用</w:t>
            </w:r>
          </w:p>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水量</w:t>
            </w:r>
          </w:p>
        </w:tc>
        <w:tc>
          <w:tcPr>
            <w:tcW w:w="2010" w:type="dxa"/>
            <w:gridSpan w:val="2"/>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给水部分</w:t>
            </w:r>
          </w:p>
        </w:tc>
        <w:tc>
          <w:tcPr>
            <w:tcW w:w="2871" w:type="dxa"/>
            <w:gridSpan w:val="3"/>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排水部分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460" w:type="dxa"/>
            <w:vMerge w:val="continue"/>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860" w:type="dxa"/>
            <w:vMerge w:val="continue"/>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870" w:type="dxa"/>
            <w:vMerge w:val="continue"/>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065"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 xml:space="preserve"> 回用水或新鲜水</w:t>
            </w:r>
          </w:p>
        </w:tc>
        <w:tc>
          <w:tcPr>
            <w:tcW w:w="945"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循环水</w:t>
            </w:r>
          </w:p>
        </w:tc>
        <w:tc>
          <w:tcPr>
            <w:tcW w:w="132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蒸发损耗、矿石带走</w:t>
            </w:r>
          </w:p>
        </w:tc>
        <w:tc>
          <w:tcPr>
            <w:tcW w:w="778"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回用</w:t>
            </w:r>
          </w:p>
        </w:tc>
        <w:tc>
          <w:tcPr>
            <w:tcW w:w="773"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46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凿岩打孔</w:t>
            </w:r>
          </w:p>
        </w:tc>
        <w:tc>
          <w:tcPr>
            <w:tcW w:w="186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0.001m</w:t>
            </w:r>
            <w:r>
              <w:rPr>
                <w:rFonts w:ascii="Times New Roman" w:hAnsi="Times New Roman" w:eastAsia="宋体" w:cs="Times New Roman"/>
                <w:color w:val="auto"/>
                <w:sz w:val="21"/>
                <w:highlight w:val="none"/>
                <w:vertAlign w:val="superscript"/>
              </w:rPr>
              <w:t>3</w:t>
            </w:r>
            <w:r>
              <w:rPr>
                <w:rFonts w:ascii="Times New Roman" w:hAnsi="Times New Roman" w:eastAsia="宋体" w:cs="Times New Roman"/>
                <w:color w:val="auto"/>
                <w:sz w:val="21"/>
                <w:highlight w:val="none"/>
              </w:rPr>
              <w:t>/t矿石</w:t>
            </w:r>
          </w:p>
        </w:tc>
        <w:tc>
          <w:tcPr>
            <w:tcW w:w="870"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5</w:t>
            </w:r>
            <w:r>
              <w:rPr>
                <w:rFonts w:ascii="Times New Roman" w:hAnsi="Times New Roman" w:eastAsia="宋体" w:cs="Times New Roman"/>
                <w:color w:val="auto"/>
                <w:kern w:val="0"/>
                <w:sz w:val="21"/>
                <w:highlight w:val="none"/>
                <w:lang w:bidi="ar"/>
              </w:rPr>
              <w:t>00</w:t>
            </w:r>
          </w:p>
        </w:tc>
        <w:tc>
          <w:tcPr>
            <w:tcW w:w="1065"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5</w:t>
            </w:r>
            <w:r>
              <w:rPr>
                <w:rFonts w:ascii="Times New Roman" w:hAnsi="Times New Roman" w:eastAsia="宋体" w:cs="Times New Roman"/>
                <w:color w:val="auto"/>
                <w:kern w:val="0"/>
                <w:sz w:val="21"/>
                <w:highlight w:val="none"/>
                <w:lang w:bidi="ar"/>
              </w:rPr>
              <w:t>00</w:t>
            </w:r>
          </w:p>
        </w:tc>
        <w:tc>
          <w:tcPr>
            <w:tcW w:w="945"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c>
          <w:tcPr>
            <w:tcW w:w="1320"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5</w:t>
            </w:r>
            <w:r>
              <w:rPr>
                <w:rFonts w:ascii="Times New Roman" w:hAnsi="Times New Roman" w:eastAsia="宋体" w:cs="Times New Roman"/>
                <w:color w:val="auto"/>
                <w:kern w:val="0"/>
                <w:sz w:val="21"/>
                <w:highlight w:val="none"/>
                <w:lang w:bidi="ar"/>
              </w:rPr>
              <w:t>00</w:t>
            </w:r>
          </w:p>
        </w:tc>
        <w:tc>
          <w:tcPr>
            <w:tcW w:w="778"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c>
          <w:tcPr>
            <w:tcW w:w="773"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46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爆破</w:t>
            </w:r>
            <w:r>
              <w:rPr>
                <w:rFonts w:hint="eastAsia" w:ascii="Times New Roman" w:hAnsi="Times New Roman" w:eastAsia="宋体" w:cs="Times New Roman"/>
                <w:color w:val="auto"/>
                <w:sz w:val="21"/>
                <w:highlight w:val="none"/>
              </w:rPr>
              <w:t>抑尘</w:t>
            </w:r>
          </w:p>
        </w:tc>
        <w:tc>
          <w:tcPr>
            <w:tcW w:w="186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r>
              <w:rPr>
                <w:rFonts w:ascii="Times New Roman" w:hAnsi="Times New Roman" w:eastAsia="宋体" w:cs="Times New Roman"/>
                <w:color w:val="auto"/>
                <w:sz w:val="21"/>
                <w:highlight w:val="none"/>
              </w:rPr>
              <w:t>5L/t矿石</w:t>
            </w:r>
          </w:p>
        </w:tc>
        <w:tc>
          <w:tcPr>
            <w:tcW w:w="870"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25</w:t>
            </w:r>
            <w:r>
              <w:rPr>
                <w:rFonts w:ascii="Times New Roman" w:hAnsi="Times New Roman" w:eastAsia="宋体" w:cs="Times New Roman"/>
                <w:color w:val="auto"/>
                <w:kern w:val="0"/>
                <w:sz w:val="21"/>
                <w:highlight w:val="none"/>
                <w:lang w:bidi="ar"/>
              </w:rPr>
              <w:t>0</w:t>
            </w:r>
          </w:p>
        </w:tc>
        <w:tc>
          <w:tcPr>
            <w:tcW w:w="1065"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25</w:t>
            </w:r>
            <w:r>
              <w:rPr>
                <w:rFonts w:ascii="Times New Roman" w:hAnsi="Times New Roman" w:eastAsia="宋体" w:cs="Times New Roman"/>
                <w:color w:val="auto"/>
                <w:kern w:val="0"/>
                <w:sz w:val="21"/>
                <w:highlight w:val="none"/>
                <w:lang w:bidi="ar"/>
              </w:rPr>
              <w:t>0</w:t>
            </w:r>
          </w:p>
        </w:tc>
        <w:tc>
          <w:tcPr>
            <w:tcW w:w="945"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c>
          <w:tcPr>
            <w:tcW w:w="1320"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25</w:t>
            </w:r>
            <w:r>
              <w:rPr>
                <w:rFonts w:ascii="Times New Roman" w:hAnsi="Times New Roman" w:eastAsia="宋体" w:cs="Times New Roman"/>
                <w:color w:val="auto"/>
                <w:kern w:val="0"/>
                <w:sz w:val="21"/>
                <w:highlight w:val="none"/>
                <w:lang w:bidi="ar"/>
              </w:rPr>
              <w:t>0</w:t>
            </w:r>
          </w:p>
        </w:tc>
        <w:tc>
          <w:tcPr>
            <w:tcW w:w="778"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c>
          <w:tcPr>
            <w:tcW w:w="773"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46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矿山内运输道路抑尘用水</w:t>
            </w:r>
          </w:p>
        </w:tc>
        <w:tc>
          <w:tcPr>
            <w:tcW w:w="186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2m</w:t>
            </w:r>
            <w:r>
              <w:rPr>
                <w:rFonts w:ascii="Times New Roman" w:hAnsi="Times New Roman" w:eastAsia="宋体" w:cs="Times New Roman"/>
                <w:color w:val="auto"/>
                <w:sz w:val="21"/>
                <w:highlight w:val="none"/>
                <w:vertAlign w:val="superscript"/>
              </w:rPr>
              <w:t>3</w:t>
            </w:r>
            <w:r>
              <w:rPr>
                <w:rFonts w:ascii="Times New Roman" w:hAnsi="Times New Roman" w:eastAsia="宋体" w:cs="Times New Roman"/>
                <w:color w:val="auto"/>
                <w:sz w:val="21"/>
                <w:highlight w:val="none"/>
              </w:rPr>
              <w:t>/km</w:t>
            </w:r>
          </w:p>
        </w:tc>
        <w:tc>
          <w:tcPr>
            <w:tcW w:w="870"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36</w:t>
            </w:r>
            <w:r>
              <w:rPr>
                <w:rFonts w:ascii="Times New Roman" w:hAnsi="Times New Roman" w:eastAsia="宋体" w:cs="Times New Roman"/>
                <w:color w:val="auto"/>
                <w:kern w:val="0"/>
                <w:sz w:val="21"/>
                <w:highlight w:val="none"/>
                <w:lang w:bidi="ar"/>
              </w:rPr>
              <w:t>00</w:t>
            </w:r>
          </w:p>
        </w:tc>
        <w:tc>
          <w:tcPr>
            <w:tcW w:w="1065"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36</w:t>
            </w:r>
            <w:r>
              <w:rPr>
                <w:rFonts w:ascii="Times New Roman" w:hAnsi="Times New Roman" w:eastAsia="宋体" w:cs="Times New Roman"/>
                <w:color w:val="auto"/>
                <w:kern w:val="0"/>
                <w:sz w:val="21"/>
                <w:highlight w:val="none"/>
                <w:lang w:bidi="ar"/>
              </w:rPr>
              <w:t>00</w:t>
            </w:r>
          </w:p>
        </w:tc>
        <w:tc>
          <w:tcPr>
            <w:tcW w:w="945"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c>
          <w:tcPr>
            <w:tcW w:w="1320"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36</w:t>
            </w:r>
            <w:r>
              <w:rPr>
                <w:rFonts w:ascii="Times New Roman" w:hAnsi="Times New Roman" w:eastAsia="宋体" w:cs="Times New Roman"/>
                <w:color w:val="auto"/>
                <w:kern w:val="0"/>
                <w:sz w:val="21"/>
                <w:highlight w:val="none"/>
                <w:lang w:bidi="ar"/>
              </w:rPr>
              <w:t>00</w:t>
            </w:r>
          </w:p>
        </w:tc>
        <w:tc>
          <w:tcPr>
            <w:tcW w:w="778"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c>
          <w:tcPr>
            <w:tcW w:w="773"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46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pacing w:val="-2"/>
                <w:kern w:val="0"/>
                <w:sz w:val="21"/>
                <w:highlight w:val="none"/>
              </w:rPr>
              <w:t>破碎筛分喷淋降尘</w:t>
            </w:r>
          </w:p>
        </w:tc>
        <w:tc>
          <w:tcPr>
            <w:tcW w:w="186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pacing w:val="-2"/>
                <w:kern w:val="0"/>
                <w:sz w:val="21"/>
                <w:highlight w:val="none"/>
              </w:rPr>
              <w:t>0.0</w:t>
            </w:r>
            <w:r>
              <w:rPr>
                <w:rFonts w:hint="eastAsia" w:ascii="Times New Roman" w:hAnsi="Times New Roman" w:eastAsia="宋体" w:cs="Times New Roman"/>
                <w:color w:val="auto"/>
                <w:spacing w:val="-2"/>
                <w:kern w:val="0"/>
                <w:sz w:val="21"/>
                <w:highlight w:val="none"/>
              </w:rPr>
              <w:t>2</w:t>
            </w:r>
            <w:r>
              <w:rPr>
                <w:rFonts w:ascii="Times New Roman" w:hAnsi="Times New Roman" w:eastAsia="宋体" w:cs="Times New Roman"/>
                <w:color w:val="auto"/>
                <w:spacing w:val="-2"/>
                <w:kern w:val="0"/>
                <w:sz w:val="21"/>
                <w:highlight w:val="none"/>
              </w:rPr>
              <w:t>m</w:t>
            </w:r>
            <w:r>
              <w:rPr>
                <w:rFonts w:ascii="Times New Roman" w:hAnsi="Times New Roman" w:eastAsia="宋体" w:cs="Times New Roman"/>
                <w:color w:val="auto"/>
                <w:spacing w:val="-2"/>
                <w:kern w:val="0"/>
                <w:sz w:val="21"/>
                <w:highlight w:val="none"/>
                <w:vertAlign w:val="superscript"/>
              </w:rPr>
              <w:t>3</w:t>
            </w:r>
            <w:r>
              <w:rPr>
                <w:rFonts w:ascii="Times New Roman" w:hAnsi="Times New Roman" w:eastAsia="宋体" w:cs="Times New Roman"/>
                <w:color w:val="auto"/>
                <w:spacing w:val="-2"/>
                <w:kern w:val="0"/>
                <w:sz w:val="21"/>
                <w:highlight w:val="none"/>
              </w:rPr>
              <w:t>/t矿石</w:t>
            </w:r>
          </w:p>
        </w:tc>
        <w:tc>
          <w:tcPr>
            <w:tcW w:w="870"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100</w:t>
            </w:r>
            <w:r>
              <w:rPr>
                <w:rFonts w:ascii="Times New Roman" w:hAnsi="Times New Roman" w:eastAsia="宋体" w:cs="Times New Roman"/>
                <w:color w:val="auto"/>
                <w:kern w:val="0"/>
                <w:sz w:val="21"/>
                <w:highlight w:val="none"/>
                <w:lang w:bidi="ar"/>
              </w:rPr>
              <w:t>00</w:t>
            </w:r>
          </w:p>
        </w:tc>
        <w:tc>
          <w:tcPr>
            <w:tcW w:w="1065"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100</w:t>
            </w:r>
            <w:r>
              <w:rPr>
                <w:rFonts w:ascii="Times New Roman" w:hAnsi="Times New Roman" w:eastAsia="宋体" w:cs="Times New Roman"/>
                <w:color w:val="auto"/>
                <w:kern w:val="0"/>
                <w:sz w:val="21"/>
                <w:highlight w:val="none"/>
                <w:lang w:bidi="ar"/>
              </w:rPr>
              <w:t>00</w:t>
            </w:r>
          </w:p>
        </w:tc>
        <w:tc>
          <w:tcPr>
            <w:tcW w:w="945"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c>
          <w:tcPr>
            <w:tcW w:w="1320"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100</w:t>
            </w:r>
            <w:r>
              <w:rPr>
                <w:rFonts w:ascii="Times New Roman" w:hAnsi="Times New Roman" w:eastAsia="宋体" w:cs="Times New Roman"/>
                <w:color w:val="auto"/>
                <w:kern w:val="0"/>
                <w:sz w:val="21"/>
                <w:highlight w:val="none"/>
                <w:lang w:bidi="ar"/>
              </w:rPr>
              <w:t>00</w:t>
            </w:r>
          </w:p>
        </w:tc>
        <w:tc>
          <w:tcPr>
            <w:tcW w:w="778"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c>
          <w:tcPr>
            <w:tcW w:w="773"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46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 xml:space="preserve">堆场洒水降尘 </w:t>
            </w:r>
          </w:p>
        </w:tc>
        <w:tc>
          <w:tcPr>
            <w:tcW w:w="186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0.001m</w:t>
            </w:r>
            <w:r>
              <w:rPr>
                <w:rFonts w:ascii="Times New Roman" w:hAnsi="Times New Roman" w:eastAsia="宋体" w:cs="Times New Roman"/>
                <w:color w:val="auto"/>
                <w:sz w:val="21"/>
                <w:highlight w:val="none"/>
                <w:vertAlign w:val="superscript"/>
              </w:rPr>
              <w:t>3</w:t>
            </w:r>
            <w:r>
              <w:rPr>
                <w:rFonts w:ascii="Times New Roman" w:hAnsi="Times New Roman" w:eastAsia="宋体" w:cs="Times New Roman"/>
                <w:color w:val="auto"/>
                <w:sz w:val="21"/>
                <w:highlight w:val="none"/>
              </w:rPr>
              <w:t>/m</w:t>
            </w:r>
            <w:r>
              <w:rPr>
                <w:rFonts w:ascii="Times New Roman" w:hAnsi="Times New Roman" w:eastAsia="宋体" w:cs="Times New Roman"/>
                <w:color w:val="auto"/>
                <w:sz w:val="21"/>
                <w:highlight w:val="none"/>
                <w:vertAlign w:val="superscript"/>
              </w:rPr>
              <w:t>2</w:t>
            </w:r>
            <w:r>
              <w:rPr>
                <w:rFonts w:ascii="Times New Roman" w:hAnsi="Times New Roman" w:eastAsia="宋体" w:cs="Times New Roman"/>
                <w:color w:val="auto"/>
                <w:sz w:val="21"/>
                <w:highlight w:val="none"/>
              </w:rPr>
              <w:t xml:space="preserve">·d </w:t>
            </w:r>
          </w:p>
        </w:tc>
        <w:tc>
          <w:tcPr>
            <w:tcW w:w="870"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480</w:t>
            </w:r>
            <w:r>
              <w:rPr>
                <w:rFonts w:ascii="Times New Roman" w:hAnsi="Times New Roman" w:eastAsia="宋体" w:cs="Times New Roman"/>
                <w:color w:val="auto"/>
                <w:kern w:val="0"/>
                <w:sz w:val="21"/>
                <w:highlight w:val="none"/>
                <w:lang w:bidi="ar"/>
              </w:rPr>
              <w:t>0</w:t>
            </w:r>
          </w:p>
        </w:tc>
        <w:tc>
          <w:tcPr>
            <w:tcW w:w="1065"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480</w:t>
            </w:r>
            <w:r>
              <w:rPr>
                <w:rFonts w:ascii="Times New Roman" w:hAnsi="Times New Roman" w:eastAsia="宋体" w:cs="Times New Roman"/>
                <w:color w:val="auto"/>
                <w:kern w:val="0"/>
                <w:sz w:val="21"/>
                <w:highlight w:val="none"/>
                <w:lang w:bidi="ar"/>
              </w:rPr>
              <w:t>0</w:t>
            </w:r>
          </w:p>
        </w:tc>
        <w:tc>
          <w:tcPr>
            <w:tcW w:w="945"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c>
          <w:tcPr>
            <w:tcW w:w="1320"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480</w:t>
            </w:r>
            <w:r>
              <w:rPr>
                <w:rFonts w:ascii="Times New Roman" w:hAnsi="Times New Roman" w:eastAsia="宋体" w:cs="Times New Roman"/>
                <w:color w:val="auto"/>
                <w:kern w:val="0"/>
                <w:sz w:val="21"/>
                <w:highlight w:val="none"/>
                <w:lang w:bidi="ar"/>
              </w:rPr>
              <w:t>0</w:t>
            </w:r>
          </w:p>
        </w:tc>
        <w:tc>
          <w:tcPr>
            <w:tcW w:w="778"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c>
          <w:tcPr>
            <w:tcW w:w="773"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46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雾炮机用水</w:t>
            </w:r>
          </w:p>
        </w:tc>
        <w:tc>
          <w:tcPr>
            <w:tcW w:w="186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0.05m</w:t>
            </w:r>
            <w:r>
              <w:rPr>
                <w:rFonts w:ascii="Times New Roman" w:hAnsi="Times New Roman" w:eastAsia="宋体" w:cs="Times New Roman"/>
                <w:color w:val="auto"/>
                <w:sz w:val="21"/>
                <w:highlight w:val="none"/>
                <w:vertAlign w:val="superscript"/>
              </w:rPr>
              <w:t>3</w:t>
            </w:r>
            <w:r>
              <w:rPr>
                <w:rFonts w:ascii="Times New Roman" w:hAnsi="Times New Roman" w:eastAsia="宋体" w:cs="Times New Roman"/>
                <w:color w:val="auto"/>
                <w:sz w:val="21"/>
                <w:highlight w:val="none"/>
              </w:rPr>
              <w:t>/min</w:t>
            </w:r>
          </w:p>
        </w:tc>
        <w:tc>
          <w:tcPr>
            <w:tcW w:w="870"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960</w:t>
            </w:r>
          </w:p>
        </w:tc>
        <w:tc>
          <w:tcPr>
            <w:tcW w:w="1065"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960</w:t>
            </w:r>
          </w:p>
        </w:tc>
        <w:tc>
          <w:tcPr>
            <w:tcW w:w="945"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c>
          <w:tcPr>
            <w:tcW w:w="1320"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960</w:t>
            </w:r>
          </w:p>
        </w:tc>
        <w:tc>
          <w:tcPr>
            <w:tcW w:w="778"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c>
          <w:tcPr>
            <w:tcW w:w="773"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46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 xml:space="preserve">车辆清洗用水 </w:t>
            </w:r>
          </w:p>
        </w:tc>
        <w:tc>
          <w:tcPr>
            <w:tcW w:w="186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05</w:t>
            </w:r>
            <w:r>
              <w:rPr>
                <w:rFonts w:ascii="Times New Roman" w:hAnsi="Times New Roman" w:eastAsia="宋体" w:cs="Times New Roman"/>
                <w:color w:val="auto"/>
                <w:sz w:val="21"/>
                <w:highlight w:val="none"/>
              </w:rPr>
              <w:t>m</w:t>
            </w:r>
            <w:r>
              <w:rPr>
                <w:rFonts w:ascii="Times New Roman" w:hAnsi="Times New Roman" w:eastAsia="宋体" w:cs="Times New Roman"/>
                <w:color w:val="auto"/>
                <w:sz w:val="21"/>
                <w:highlight w:val="none"/>
                <w:vertAlign w:val="superscript"/>
              </w:rPr>
              <w:t>3</w:t>
            </w:r>
            <w:r>
              <w:rPr>
                <w:rFonts w:ascii="Times New Roman" w:hAnsi="Times New Roman" w:eastAsia="宋体" w:cs="Times New Roman"/>
                <w:color w:val="auto"/>
                <w:sz w:val="21"/>
                <w:highlight w:val="none"/>
              </w:rPr>
              <w:t>/次•辆</w:t>
            </w:r>
          </w:p>
        </w:tc>
        <w:tc>
          <w:tcPr>
            <w:tcW w:w="870"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840</w:t>
            </w:r>
          </w:p>
        </w:tc>
        <w:tc>
          <w:tcPr>
            <w:tcW w:w="1065"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12</w:t>
            </w:r>
            <w:r>
              <w:rPr>
                <w:rFonts w:ascii="Times New Roman" w:hAnsi="Times New Roman" w:eastAsia="宋体" w:cs="Times New Roman"/>
                <w:color w:val="auto"/>
                <w:kern w:val="0"/>
                <w:sz w:val="21"/>
                <w:highlight w:val="none"/>
                <w:lang w:bidi="ar"/>
              </w:rPr>
              <w:t>0</w:t>
            </w:r>
          </w:p>
        </w:tc>
        <w:tc>
          <w:tcPr>
            <w:tcW w:w="945"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72</w:t>
            </w:r>
            <w:r>
              <w:rPr>
                <w:rFonts w:ascii="Times New Roman" w:hAnsi="Times New Roman" w:eastAsia="宋体" w:cs="Times New Roman"/>
                <w:color w:val="auto"/>
                <w:kern w:val="0"/>
                <w:sz w:val="21"/>
                <w:highlight w:val="none"/>
                <w:lang w:bidi="ar"/>
              </w:rPr>
              <w:t>0</w:t>
            </w:r>
          </w:p>
        </w:tc>
        <w:tc>
          <w:tcPr>
            <w:tcW w:w="1320"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12</w:t>
            </w:r>
            <w:r>
              <w:rPr>
                <w:rFonts w:ascii="Times New Roman" w:hAnsi="Times New Roman" w:eastAsia="宋体" w:cs="Times New Roman"/>
                <w:color w:val="auto"/>
                <w:kern w:val="0"/>
                <w:sz w:val="21"/>
                <w:highlight w:val="none"/>
                <w:lang w:bidi="ar"/>
              </w:rPr>
              <w:t>0</w:t>
            </w:r>
          </w:p>
        </w:tc>
        <w:tc>
          <w:tcPr>
            <w:tcW w:w="778"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72</w:t>
            </w:r>
            <w:r>
              <w:rPr>
                <w:rFonts w:ascii="Times New Roman" w:hAnsi="Times New Roman" w:eastAsia="宋体" w:cs="Times New Roman"/>
                <w:color w:val="auto"/>
                <w:kern w:val="0"/>
                <w:sz w:val="21"/>
                <w:highlight w:val="none"/>
                <w:lang w:bidi="ar"/>
              </w:rPr>
              <w:t>0</w:t>
            </w:r>
          </w:p>
        </w:tc>
        <w:tc>
          <w:tcPr>
            <w:tcW w:w="773"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460" w:type="dxa"/>
            <w:noWrap w:val="0"/>
            <w:tcMar>
              <w:top w:w="0" w:type="dxa"/>
              <w:left w:w="57" w:type="dxa"/>
              <w:bottom w:w="0" w:type="dxa"/>
              <w:right w:w="57" w:type="dxa"/>
            </w:tcMar>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洗砂用水</w:t>
            </w:r>
          </w:p>
        </w:tc>
        <w:tc>
          <w:tcPr>
            <w:tcW w:w="1860" w:type="dxa"/>
            <w:noWrap w:val="0"/>
            <w:tcMar>
              <w:top w:w="0" w:type="dxa"/>
              <w:left w:w="57" w:type="dxa"/>
              <w:bottom w:w="0" w:type="dxa"/>
              <w:right w:w="57" w:type="dxa"/>
            </w:tcMar>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r>
              <w:rPr>
                <w:rFonts w:hint="eastAsia" w:ascii="Times New Roman" w:hAnsi="Times New Roman" w:eastAsia="宋体" w:cs="Times New Roman"/>
                <w:color w:val="auto"/>
                <w:sz w:val="21"/>
                <w:highlight w:val="none"/>
                <w:lang w:val="en-US" w:eastAsia="zh-CN"/>
              </w:rPr>
              <w:t>5</w:t>
            </w:r>
            <w:r>
              <w:rPr>
                <w:rFonts w:hint="eastAsia" w:ascii="Times New Roman" w:hAnsi="Times New Roman" w:eastAsia="宋体" w:cs="Times New Roman"/>
                <w:color w:val="auto"/>
                <w:sz w:val="21"/>
                <w:highlight w:val="none"/>
              </w:rPr>
              <w:t>0</w:t>
            </w:r>
            <w:r>
              <w:rPr>
                <w:rFonts w:ascii="Times New Roman" w:hAnsi="Times New Roman" w:eastAsia="宋体" w:cs="Times New Roman"/>
                <w:color w:val="auto"/>
                <w:spacing w:val="-2"/>
                <w:kern w:val="0"/>
                <w:sz w:val="21"/>
                <w:highlight w:val="none"/>
              </w:rPr>
              <w:t>m</w:t>
            </w:r>
            <w:r>
              <w:rPr>
                <w:rFonts w:ascii="Times New Roman" w:hAnsi="Times New Roman" w:eastAsia="宋体" w:cs="Times New Roman"/>
                <w:color w:val="auto"/>
                <w:spacing w:val="-2"/>
                <w:kern w:val="0"/>
                <w:sz w:val="21"/>
                <w:highlight w:val="none"/>
                <w:vertAlign w:val="superscript"/>
              </w:rPr>
              <w:t>3</w:t>
            </w:r>
            <w:r>
              <w:rPr>
                <w:rFonts w:ascii="Times New Roman" w:hAnsi="Times New Roman" w:eastAsia="宋体" w:cs="Times New Roman"/>
                <w:color w:val="auto"/>
                <w:spacing w:val="-2"/>
                <w:kern w:val="0"/>
                <w:sz w:val="21"/>
                <w:highlight w:val="none"/>
              </w:rPr>
              <w:t>/</w:t>
            </w:r>
            <w:r>
              <w:rPr>
                <w:rFonts w:hint="eastAsia" w:ascii="Times New Roman" w:hAnsi="Times New Roman" w:eastAsia="宋体" w:cs="Times New Roman"/>
                <w:color w:val="auto"/>
                <w:spacing w:val="-2"/>
                <w:kern w:val="0"/>
                <w:sz w:val="21"/>
                <w:highlight w:val="none"/>
              </w:rPr>
              <w:t>d</w:t>
            </w:r>
          </w:p>
        </w:tc>
        <w:tc>
          <w:tcPr>
            <w:tcW w:w="870"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kern w:val="0"/>
                <w:sz w:val="21"/>
                <w:highlight w:val="none"/>
                <w:lang w:bidi="ar"/>
              </w:rPr>
              <w:t>75000</w:t>
            </w:r>
          </w:p>
        </w:tc>
        <w:tc>
          <w:tcPr>
            <w:tcW w:w="1065"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kern w:val="0"/>
                <w:sz w:val="21"/>
                <w:highlight w:val="none"/>
                <w:lang w:bidi="ar"/>
              </w:rPr>
              <w:t>3000</w:t>
            </w:r>
          </w:p>
        </w:tc>
        <w:tc>
          <w:tcPr>
            <w:tcW w:w="945"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kern w:val="0"/>
                <w:sz w:val="21"/>
                <w:highlight w:val="none"/>
                <w:lang w:bidi="ar"/>
              </w:rPr>
              <w:t>72000</w:t>
            </w:r>
          </w:p>
        </w:tc>
        <w:tc>
          <w:tcPr>
            <w:tcW w:w="1320"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kern w:val="0"/>
                <w:sz w:val="21"/>
                <w:highlight w:val="none"/>
                <w:lang w:bidi="ar"/>
              </w:rPr>
              <w:t>3000</w:t>
            </w:r>
          </w:p>
        </w:tc>
        <w:tc>
          <w:tcPr>
            <w:tcW w:w="778"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kern w:val="0"/>
                <w:sz w:val="21"/>
                <w:highlight w:val="none"/>
                <w:lang w:bidi="ar"/>
              </w:rPr>
              <w:t>72000</w:t>
            </w:r>
          </w:p>
        </w:tc>
        <w:tc>
          <w:tcPr>
            <w:tcW w:w="773"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kern w:val="0"/>
                <w:sz w:val="21"/>
                <w:highlight w:val="none"/>
                <w:lang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46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生活用水</w:t>
            </w:r>
          </w:p>
        </w:tc>
        <w:tc>
          <w:tcPr>
            <w:tcW w:w="186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食宿职工</w:t>
            </w:r>
            <w:r>
              <w:rPr>
                <w:rFonts w:ascii="Times New Roman" w:hAnsi="Times New Roman" w:eastAsia="宋体" w:cs="Times New Roman"/>
                <w:bCs/>
                <w:color w:val="auto"/>
                <w:sz w:val="21"/>
                <w:highlight w:val="none"/>
              </w:rPr>
              <w:t>150 L/人·d，</w:t>
            </w:r>
            <w:r>
              <w:rPr>
                <w:rFonts w:ascii="Times New Roman" w:hAnsi="Times New Roman" w:eastAsia="宋体" w:cs="Times New Roman"/>
                <w:color w:val="auto"/>
                <w:sz w:val="21"/>
                <w:highlight w:val="none"/>
              </w:rPr>
              <w:t>厨房用水25L/人·d</w:t>
            </w:r>
          </w:p>
        </w:tc>
        <w:tc>
          <w:tcPr>
            <w:tcW w:w="870"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 xml:space="preserve"> </w:t>
            </w:r>
            <w:r>
              <w:rPr>
                <w:rStyle w:val="159"/>
                <w:rFonts w:hint="default" w:ascii="Times New Roman" w:hAnsi="Times New Roman" w:eastAsia="宋体" w:cs="Times New Roman"/>
                <w:color w:val="auto"/>
                <w:highlight w:val="none"/>
                <w:lang w:bidi="ar"/>
              </w:rPr>
              <w:t>2362.5</w:t>
            </w:r>
          </w:p>
        </w:tc>
        <w:tc>
          <w:tcPr>
            <w:tcW w:w="1065"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236</w:t>
            </w:r>
            <w:r>
              <w:rPr>
                <w:rFonts w:ascii="Times New Roman" w:hAnsi="Times New Roman" w:eastAsia="宋体" w:cs="Times New Roman"/>
                <w:color w:val="auto"/>
                <w:kern w:val="0"/>
                <w:sz w:val="21"/>
                <w:highlight w:val="none"/>
                <w:lang w:bidi="ar"/>
              </w:rPr>
              <w:t>2.5</w:t>
            </w:r>
          </w:p>
        </w:tc>
        <w:tc>
          <w:tcPr>
            <w:tcW w:w="945"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c>
          <w:tcPr>
            <w:tcW w:w="1320"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47</w:t>
            </w:r>
            <w:r>
              <w:rPr>
                <w:rFonts w:ascii="Times New Roman" w:hAnsi="Times New Roman" w:eastAsia="宋体" w:cs="Times New Roman"/>
                <w:color w:val="auto"/>
                <w:kern w:val="0"/>
                <w:sz w:val="21"/>
                <w:highlight w:val="none"/>
                <w:lang w:bidi="ar"/>
              </w:rPr>
              <w:t>2.5</w:t>
            </w:r>
          </w:p>
        </w:tc>
        <w:tc>
          <w:tcPr>
            <w:tcW w:w="778"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c>
          <w:tcPr>
            <w:tcW w:w="773" w:type="dxa"/>
            <w:noWrap w:val="0"/>
            <w:tcMar>
              <w:top w:w="0" w:type="dxa"/>
              <w:left w:w="57" w:type="dxa"/>
              <w:bottom w:w="0" w:type="dxa"/>
              <w:right w:w="57" w:type="dxa"/>
            </w:tcMar>
            <w:vAlign w:val="center"/>
          </w:tcPr>
          <w:p>
            <w:pPr>
              <w:widowControl/>
              <w:spacing w:line="240" w:lineRule="auto"/>
              <w:ind w:firstLine="0" w:firstLineChars="0"/>
              <w:jc w:val="center"/>
              <w:textAlignment w:val="bottom"/>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1</w:t>
            </w:r>
            <w:r>
              <w:rPr>
                <w:rFonts w:hint="eastAsia" w:ascii="Times New Roman" w:hAnsi="Times New Roman" w:eastAsia="宋体" w:cs="Times New Roman"/>
                <w:color w:val="auto"/>
                <w:kern w:val="0"/>
                <w:sz w:val="21"/>
                <w:highlight w:val="none"/>
                <w:lang w:bidi="ar"/>
              </w:rPr>
              <w:t>89</w:t>
            </w:r>
            <w:r>
              <w:rPr>
                <w:rFonts w:ascii="Times New Roman" w:hAnsi="Times New Roman" w:eastAsia="宋体" w:cs="Times New Roman"/>
                <w:color w:val="auto"/>
                <w:kern w:val="0"/>
                <w:sz w:val="21"/>
                <w:highlight w:val="none"/>
                <w:lang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46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合计</w:t>
            </w:r>
          </w:p>
        </w:tc>
        <w:tc>
          <w:tcPr>
            <w:tcW w:w="186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870" w:type="dxa"/>
            <w:noWrap w:val="0"/>
            <w:tcMar>
              <w:top w:w="0" w:type="dxa"/>
              <w:left w:w="57" w:type="dxa"/>
              <w:bottom w:w="0" w:type="dxa"/>
              <w:right w:w="57" w:type="dxa"/>
            </w:tcMar>
            <w:vAlign w:val="bottom"/>
          </w:tcPr>
          <w:p>
            <w:pPr>
              <w:widowControl/>
              <w:spacing w:line="240" w:lineRule="auto"/>
              <w:ind w:firstLine="0" w:firstLineChars="0"/>
              <w:jc w:val="center"/>
              <w:textAlignment w:val="bottom"/>
              <w:rPr>
                <w:rFonts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kern w:val="0"/>
                <w:sz w:val="21"/>
                <w:highlight w:val="none"/>
                <w:lang w:bidi="ar"/>
              </w:rPr>
              <w:t>9831</w:t>
            </w:r>
            <w:r>
              <w:rPr>
                <w:rFonts w:ascii="Times New Roman" w:hAnsi="Times New Roman" w:eastAsia="宋体" w:cs="Times New Roman"/>
                <w:color w:val="auto"/>
                <w:kern w:val="0"/>
                <w:sz w:val="21"/>
                <w:highlight w:val="none"/>
                <w:lang w:bidi="ar"/>
              </w:rPr>
              <w:t>2.5</w:t>
            </w:r>
          </w:p>
        </w:tc>
        <w:tc>
          <w:tcPr>
            <w:tcW w:w="1065" w:type="dxa"/>
            <w:noWrap w:val="0"/>
            <w:tcMar>
              <w:top w:w="0" w:type="dxa"/>
              <w:left w:w="57" w:type="dxa"/>
              <w:bottom w:w="0" w:type="dxa"/>
              <w:right w:w="57" w:type="dxa"/>
            </w:tcMar>
            <w:vAlign w:val="bottom"/>
          </w:tcPr>
          <w:p>
            <w:pPr>
              <w:widowControl/>
              <w:spacing w:line="240" w:lineRule="auto"/>
              <w:ind w:firstLine="0" w:firstLineChars="0"/>
              <w:jc w:val="center"/>
              <w:textAlignment w:val="bottom"/>
              <w:rPr>
                <w:rFonts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kern w:val="0"/>
                <w:sz w:val="21"/>
                <w:highlight w:val="none"/>
                <w:lang w:bidi="ar"/>
              </w:rPr>
              <w:t>255</w:t>
            </w:r>
            <w:r>
              <w:rPr>
                <w:rFonts w:ascii="Times New Roman" w:hAnsi="Times New Roman" w:eastAsia="宋体" w:cs="Times New Roman"/>
                <w:color w:val="auto"/>
                <w:kern w:val="0"/>
                <w:sz w:val="21"/>
                <w:highlight w:val="none"/>
                <w:lang w:bidi="ar"/>
              </w:rPr>
              <w:t>92.5</w:t>
            </w:r>
          </w:p>
        </w:tc>
        <w:tc>
          <w:tcPr>
            <w:tcW w:w="945" w:type="dxa"/>
            <w:noWrap w:val="0"/>
            <w:tcMar>
              <w:top w:w="0" w:type="dxa"/>
              <w:left w:w="57" w:type="dxa"/>
              <w:bottom w:w="0" w:type="dxa"/>
              <w:right w:w="57" w:type="dxa"/>
            </w:tcMar>
            <w:vAlign w:val="bottom"/>
          </w:tcPr>
          <w:p>
            <w:pPr>
              <w:widowControl/>
              <w:spacing w:line="240" w:lineRule="auto"/>
              <w:ind w:firstLine="0" w:firstLineChars="0"/>
              <w:jc w:val="center"/>
              <w:textAlignment w:val="bottom"/>
              <w:rPr>
                <w:rFonts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kern w:val="0"/>
                <w:sz w:val="21"/>
                <w:highlight w:val="none"/>
                <w:lang w:bidi="ar"/>
              </w:rPr>
              <w:t>7272</w:t>
            </w:r>
            <w:r>
              <w:rPr>
                <w:rFonts w:ascii="Times New Roman" w:hAnsi="Times New Roman" w:eastAsia="宋体" w:cs="Times New Roman"/>
                <w:color w:val="auto"/>
                <w:kern w:val="0"/>
                <w:sz w:val="21"/>
                <w:highlight w:val="none"/>
                <w:lang w:bidi="ar"/>
              </w:rPr>
              <w:t>0</w:t>
            </w:r>
          </w:p>
        </w:tc>
        <w:tc>
          <w:tcPr>
            <w:tcW w:w="1320" w:type="dxa"/>
            <w:noWrap w:val="0"/>
            <w:tcMar>
              <w:top w:w="0" w:type="dxa"/>
              <w:left w:w="57" w:type="dxa"/>
              <w:bottom w:w="0" w:type="dxa"/>
              <w:right w:w="57" w:type="dxa"/>
            </w:tcMar>
            <w:vAlign w:val="bottom"/>
          </w:tcPr>
          <w:p>
            <w:pPr>
              <w:widowControl/>
              <w:spacing w:line="240" w:lineRule="auto"/>
              <w:ind w:firstLine="0" w:firstLineChars="0"/>
              <w:jc w:val="center"/>
              <w:textAlignment w:val="bottom"/>
              <w:rPr>
                <w:rFonts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kern w:val="0"/>
                <w:sz w:val="21"/>
                <w:highlight w:val="none"/>
                <w:lang w:bidi="ar"/>
              </w:rPr>
              <w:t>237</w:t>
            </w:r>
            <w:r>
              <w:rPr>
                <w:rFonts w:ascii="Times New Roman" w:hAnsi="Times New Roman" w:eastAsia="宋体" w:cs="Times New Roman"/>
                <w:color w:val="auto"/>
                <w:kern w:val="0"/>
                <w:sz w:val="21"/>
                <w:highlight w:val="none"/>
                <w:lang w:bidi="ar"/>
              </w:rPr>
              <w:t>02.5</w:t>
            </w:r>
          </w:p>
        </w:tc>
        <w:tc>
          <w:tcPr>
            <w:tcW w:w="778" w:type="dxa"/>
            <w:noWrap w:val="0"/>
            <w:tcMar>
              <w:top w:w="0" w:type="dxa"/>
              <w:left w:w="57" w:type="dxa"/>
              <w:bottom w:w="0" w:type="dxa"/>
              <w:right w:w="57" w:type="dxa"/>
            </w:tcMar>
            <w:vAlign w:val="bottom"/>
          </w:tcPr>
          <w:p>
            <w:pPr>
              <w:widowControl/>
              <w:spacing w:line="240" w:lineRule="auto"/>
              <w:ind w:firstLine="0" w:firstLineChars="0"/>
              <w:jc w:val="center"/>
              <w:textAlignment w:val="bottom"/>
              <w:rPr>
                <w:rFonts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kern w:val="0"/>
                <w:sz w:val="21"/>
                <w:highlight w:val="none"/>
                <w:lang w:bidi="ar"/>
              </w:rPr>
              <w:t>72720</w:t>
            </w:r>
          </w:p>
        </w:tc>
        <w:tc>
          <w:tcPr>
            <w:tcW w:w="773" w:type="dxa"/>
            <w:noWrap w:val="0"/>
            <w:tcMar>
              <w:top w:w="0" w:type="dxa"/>
              <w:left w:w="57" w:type="dxa"/>
              <w:bottom w:w="0" w:type="dxa"/>
              <w:right w:w="57" w:type="dxa"/>
            </w:tcMar>
            <w:vAlign w:val="bottom"/>
          </w:tcPr>
          <w:p>
            <w:pPr>
              <w:widowControl/>
              <w:spacing w:line="240" w:lineRule="auto"/>
              <w:ind w:firstLine="0" w:firstLineChars="0"/>
              <w:jc w:val="center"/>
              <w:textAlignment w:val="bottom"/>
              <w:rPr>
                <w:rFonts w:ascii="Times New Roman" w:hAnsi="Times New Roman" w:eastAsia="宋体" w:cs="Times New Roman"/>
                <w:color w:val="auto"/>
                <w:kern w:val="0"/>
                <w:sz w:val="21"/>
                <w:highlight w:val="none"/>
                <w:lang w:bidi="ar"/>
              </w:rPr>
            </w:pPr>
            <w:r>
              <w:rPr>
                <w:rFonts w:ascii="Times New Roman" w:hAnsi="Times New Roman" w:eastAsia="宋体" w:cs="Times New Roman"/>
                <w:color w:val="auto"/>
                <w:kern w:val="0"/>
                <w:sz w:val="21"/>
                <w:highlight w:val="none"/>
                <w:lang w:bidi="ar"/>
              </w:rPr>
              <w:t>1890</w:t>
            </w:r>
          </w:p>
        </w:tc>
      </w:tr>
    </w:tbl>
    <w:p>
      <w:pPr>
        <w:ind w:firstLine="480"/>
        <w:rPr>
          <w:rFonts w:hint="eastAsia" w:ascii="Times New Roman" w:hAnsi="Times New Roman" w:eastAsia="宋体"/>
          <w:color w:val="auto"/>
          <w:highlight w:val="none"/>
        </w:rPr>
      </w:pPr>
    </w:p>
    <w:p>
      <w:pPr>
        <w:ind w:firstLine="0" w:firstLineChars="0"/>
        <w:rPr>
          <w:rFonts w:ascii="Times New Roman" w:hAnsi="Times New Roman" w:eastAsia="宋体" w:cs="Times New Roman"/>
          <w:color w:val="auto"/>
          <w:highlight w:val="none"/>
        </w:rPr>
      </w:pPr>
      <w:r>
        <w:rPr>
          <w:rFonts w:ascii="Times New Roman" w:hAnsi="Times New Roman" w:eastAsia="宋体" w:cs="Times New Roman"/>
          <w:color w:val="auto"/>
          <w:highlight w:val="none"/>
        </w:rPr>
        <w:object>
          <v:shape id="_x0000_i1033" o:spt="75" type="#_x0000_t75" style="height:433.5pt;width:444pt;" o:ole="t" filled="f" o:preferrelative="t" stroked="f" coordsize="21600,21600">
            <v:path/>
            <v:fill on="f" focussize="0,0"/>
            <v:stroke on="f"/>
            <v:imagedata r:id="rId68" o:title=""/>
            <o:lock v:ext="edit" aspectratio="f"/>
            <w10:wrap type="none"/>
            <w10:anchorlock/>
          </v:shape>
          <o:OLEObject Type="Embed" ProgID="Visio.Drawing.11" ShapeID="_x0000_i1033" DrawAspect="Content" ObjectID="_1468075733" r:id="rId67">
            <o:LockedField>false</o:LockedField>
          </o:OLEObject>
        </w:object>
      </w:r>
    </w:p>
    <w:p>
      <w:pPr>
        <w:pStyle w:val="5"/>
        <w:rPr>
          <w:rFonts w:ascii="Times New Roman" w:hAnsi="Times New Roman" w:eastAsia="宋体"/>
          <w:color w:val="auto"/>
          <w:highlight w:val="none"/>
        </w:rPr>
      </w:pPr>
      <w:bookmarkStart w:id="125" w:name="_Toc26004"/>
      <w:r>
        <w:rPr>
          <w:rFonts w:ascii="Times New Roman" w:hAnsi="Times New Roman" w:eastAsia="宋体"/>
          <w:color w:val="auto"/>
          <w:highlight w:val="none"/>
        </w:rPr>
        <w:t>2.</w:t>
      </w:r>
      <w:r>
        <w:rPr>
          <w:rFonts w:hint="eastAsia" w:ascii="Times New Roman" w:hAnsi="Times New Roman" w:eastAsia="宋体"/>
          <w:color w:val="auto"/>
          <w:highlight w:val="none"/>
        </w:rPr>
        <w:t>5</w:t>
      </w:r>
      <w:r>
        <w:rPr>
          <w:rFonts w:ascii="Times New Roman" w:hAnsi="Times New Roman" w:eastAsia="宋体"/>
          <w:color w:val="auto"/>
          <w:highlight w:val="none"/>
        </w:rPr>
        <w:t>.4 施工期污染源分析</w:t>
      </w:r>
      <w:bookmarkEnd w:id="125"/>
    </w:p>
    <w:p>
      <w:pPr>
        <w:ind w:firstLine="480"/>
        <w:rPr>
          <w:rFonts w:ascii="Times New Roman" w:hAnsi="Times New Roman" w:eastAsia="宋体"/>
          <w:color w:val="auto"/>
          <w:highlight w:val="none"/>
        </w:rPr>
      </w:pPr>
      <w:r>
        <w:rPr>
          <w:rFonts w:ascii="Times New Roman" w:hAnsi="Times New Roman" w:eastAsia="宋体"/>
          <w:color w:val="auto"/>
          <w:highlight w:val="none"/>
        </w:rPr>
        <w:t>本项目为</w:t>
      </w:r>
      <w:r>
        <w:rPr>
          <w:rFonts w:hint="eastAsia" w:ascii="Times New Roman" w:hAnsi="Times New Roman" w:eastAsia="宋体"/>
          <w:color w:val="auto"/>
          <w:highlight w:val="none"/>
        </w:rPr>
        <w:t>整合工程</w:t>
      </w:r>
      <w:r>
        <w:rPr>
          <w:rFonts w:ascii="Times New Roman" w:hAnsi="Times New Roman" w:eastAsia="宋体"/>
          <w:color w:val="auto"/>
          <w:highlight w:val="none"/>
        </w:rPr>
        <w:t>，施工期建设内容主要包括安装除尘设备、完善开拓运输道路、开挖截排水沟以及各种生产配套设施设备的建设。施工期工程量不大，本评价对施工期的环境影响仅作简单分析。</w:t>
      </w:r>
    </w:p>
    <w:p>
      <w:pPr>
        <w:ind w:firstLine="480"/>
        <w:rPr>
          <w:rFonts w:ascii="Times New Roman" w:hAnsi="Times New Roman" w:eastAsia="宋体"/>
          <w:color w:val="auto"/>
          <w:highlight w:val="none"/>
        </w:rPr>
      </w:pPr>
      <w:r>
        <w:rPr>
          <w:rFonts w:ascii="Times New Roman" w:hAnsi="Times New Roman" w:eastAsia="宋体"/>
          <w:color w:val="auto"/>
          <w:highlight w:val="none"/>
        </w:rPr>
        <w:t xml:space="preserve">施工期主要污染为扬尘、废水、噪声、固体废物及生态环境影响。 </w:t>
      </w:r>
    </w:p>
    <w:p>
      <w:pPr>
        <w:ind w:firstLine="482"/>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4"/>
          <w:highlight w:val="none"/>
        </w:rPr>
        <w:t>1、废气</w:t>
      </w:r>
    </w:p>
    <w:p>
      <w:pPr>
        <w:ind w:firstLine="480"/>
        <w:rPr>
          <w:rFonts w:ascii="Times New Roman" w:hAnsi="Times New Roman" w:eastAsia="宋体"/>
          <w:color w:val="auto"/>
          <w:highlight w:val="none"/>
        </w:rPr>
      </w:pPr>
      <w:r>
        <w:rPr>
          <w:rFonts w:ascii="Times New Roman" w:hAnsi="Times New Roman" w:eastAsia="宋体"/>
          <w:color w:val="auto"/>
          <w:highlight w:val="none"/>
        </w:rPr>
        <w:t xml:space="preserve">施工期大气污染主要为施工颗粒物，主要来自有安装除尘设备、对矿区运输道路进行硬化处理、修建截排水沟及沉砂池等施工过程产生的颗粒物，均为无组织产生及排放。 </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据类比调查，在干燥季节大风天气条件下，施工现场下风向1m处扬尘浓度可达3mg/m</w:t>
      </w:r>
      <w:r>
        <w:rPr>
          <w:rFonts w:ascii="Times New Roman" w:hAnsi="Times New Roman" w:eastAsia="宋体" w:cs="Times New Roman"/>
          <w:color w:val="auto"/>
          <w:szCs w:val="24"/>
          <w:highlight w:val="none"/>
          <w:vertAlign w:val="superscript"/>
        </w:rPr>
        <w:t>3</w:t>
      </w:r>
      <w:r>
        <w:rPr>
          <w:rFonts w:ascii="Times New Roman" w:hAnsi="Times New Roman" w:eastAsia="宋体" w:cs="Times New Roman"/>
          <w:color w:val="auto"/>
          <w:szCs w:val="24"/>
          <w:highlight w:val="none"/>
        </w:rPr>
        <w:t>以上，20m处为1.303mg/m</w:t>
      </w:r>
      <w:r>
        <w:rPr>
          <w:rFonts w:ascii="Times New Roman" w:hAnsi="Times New Roman" w:eastAsia="宋体" w:cs="Times New Roman"/>
          <w:color w:val="auto"/>
          <w:szCs w:val="24"/>
          <w:highlight w:val="none"/>
          <w:vertAlign w:val="superscript"/>
        </w:rPr>
        <w:t>3</w:t>
      </w:r>
      <w:r>
        <w:rPr>
          <w:rFonts w:ascii="Times New Roman" w:hAnsi="Times New Roman" w:eastAsia="宋体" w:cs="Times New Roman"/>
          <w:color w:val="auto"/>
          <w:szCs w:val="24"/>
          <w:highlight w:val="none"/>
        </w:rPr>
        <w:t>，50m处为0.722mg/m</w:t>
      </w:r>
      <w:r>
        <w:rPr>
          <w:rFonts w:ascii="Times New Roman" w:hAnsi="Times New Roman" w:eastAsia="宋体" w:cs="Times New Roman"/>
          <w:color w:val="auto"/>
          <w:szCs w:val="24"/>
          <w:highlight w:val="none"/>
          <w:vertAlign w:val="superscript"/>
        </w:rPr>
        <w:t>3</w:t>
      </w:r>
      <w:r>
        <w:rPr>
          <w:rFonts w:ascii="Times New Roman" w:hAnsi="Times New Roman" w:eastAsia="宋体" w:cs="Times New Roman"/>
          <w:color w:val="auto"/>
          <w:szCs w:val="24"/>
          <w:highlight w:val="none"/>
        </w:rPr>
        <w:t>，下风向50m范围内TSP浓度超标，但施工扬尘造成的污染仅是短期的、局部的，施工结束后即会消失。施工期，对个别严重产尘环节采取洒水降尘后，可有效减少扬尘量，对周边环境影响不大。</w:t>
      </w:r>
    </w:p>
    <w:p>
      <w:pPr>
        <w:ind w:firstLine="480"/>
        <w:rPr>
          <w:rFonts w:ascii="Times New Roman" w:hAnsi="Times New Roman" w:eastAsia="宋体" w:cs="Times New Roman"/>
          <w:color w:val="auto"/>
          <w:szCs w:val="24"/>
          <w:highlight w:val="none"/>
        </w:rPr>
      </w:pPr>
      <w:r>
        <w:rPr>
          <w:rFonts w:ascii="Times New Roman" w:hAnsi="Times New Roman" w:eastAsia="宋体"/>
          <w:color w:val="auto"/>
          <w:highlight w:val="none"/>
        </w:rPr>
        <w:t>施工的重型机械多为燃油机械，包括吊车、混凝土搅拌车、</w:t>
      </w:r>
      <w:r>
        <w:rPr>
          <w:rFonts w:hint="eastAsia" w:ascii="Times New Roman" w:hAnsi="Times New Roman" w:eastAsia="宋体"/>
          <w:color w:val="auto"/>
          <w:highlight w:val="none"/>
        </w:rPr>
        <w:t>运输</w:t>
      </w:r>
      <w:r>
        <w:rPr>
          <w:rFonts w:ascii="Times New Roman" w:hAnsi="Times New Roman" w:eastAsia="宋体"/>
          <w:color w:val="auto"/>
          <w:highlight w:val="none"/>
        </w:rPr>
        <w:t>汽车等，在运行过程中会产生一定的燃油废气，废气中主要污染物有NO</w:t>
      </w:r>
      <w:r>
        <w:rPr>
          <w:rFonts w:ascii="Times New Roman" w:hAnsi="Times New Roman" w:eastAsia="宋体"/>
          <w:color w:val="auto"/>
          <w:highlight w:val="none"/>
          <w:vertAlign w:val="subscript"/>
        </w:rPr>
        <w:t>x</w:t>
      </w:r>
      <w:r>
        <w:rPr>
          <w:rFonts w:ascii="Times New Roman" w:hAnsi="Times New Roman" w:eastAsia="宋体"/>
          <w:color w:val="auto"/>
          <w:highlight w:val="none"/>
        </w:rPr>
        <w:t>、CO、THC等。一般影响范围在30米范围内，但这些污染源较分散，污染物排放量很少，为间断排放。</w:t>
      </w:r>
    </w:p>
    <w:p>
      <w:pPr>
        <w:autoSpaceDE w:val="0"/>
        <w:autoSpaceDN w:val="0"/>
        <w:adjustRightInd w:val="0"/>
        <w:ind w:right="-163" w:rightChars="-68" w:firstLine="482"/>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4"/>
          <w:highlight w:val="none"/>
        </w:rPr>
        <w:t>2、废水</w:t>
      </w:r>
    </w:p>
    <w:p>
      <w:pPr>
        <w:autoSpaceDE w:val="0"/>
        <w:autoSpaceDN w:val="0"/>
        <w:adjustRightInd w:val="0"/>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施工期废水主要包括施工废水、生活污水。</w:t>
      </w:r>
    </w:p>
    <w:p>
      <w:pPr>
        <w:ind w:firstLine="480" w:firstLineChars="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①施工废水</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施工期场地废水主要来源于大气降雨在矿区汇集而形成的含泥废水，主要污染物为SS。</w:t>
      </w:r>
      <w:r>
        <w:rPr>
          <w:rFonts w:ascii="Times New Roman" w:hAnsi="Times New Roman" w:eastAsia="宋体" w:cs="Times New Roman"/>
          <w:color w:val="auto"/>
          <w:kern w:val="0"/>
          <w:szCs w:val="24"/>
          <w:highlight w:val="none"/>
        </w:rPr>
        <w:t>施工废水通过沟渠排入沉砂池，用于场地洒水降尘，对环境的影响较小。</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②生活污水</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szCs w:val="24"/>
          <w:highlight w:val="none"/>
        </w:rPr>
        <w:t>项目施工期施工人员约</w:t>
      </w:r>
      <w:r>
        <w:rPr>
          <w:rFonts w:hint="eastAsia" w:ascii="Times New Roman" w:hAnsi="Times New Roman" w:eastAsia="宋体" w:cs="Times New Roman"/>
          <w:color w:val="auto"/>
          <w:szCs w:val="24"/>
          <w:highlight w:val="none"/>
        </w:rPr>
        <w:t>4</w:t>
      </w:r>
      <w:r>
        <w:rPr>
          <w:rFonts w:ascii="Times New Roman" w:hAnsi="Times New Roman" w:eastAsia="宋体" w:cs="Times New Roman"/>
          <w:color w:val="auto"/>
          <w:szCs w:val="24"/>
          <w:highlight w:val="none"/>
        </w:rPr>
        <w:t>0人，</w:t>
      </w:r>
      <w:r>
        <w:rPr>
          <w:rFonts w:hint="eastAsia" w:ascii="Times New Roman" w:hAnsi="Times New Roman" w:eastAsia="宋体" w:cs="Times New Roman"/>
          <w:color w:val="auto"/>
          <w:szCs w:val="24"/>
          <w:highlight w:val="none"/>
        </w:rPr>
        <w:t>均</w:t>
      </w:r>
      <w:r>
        <w:rPr>
          <w:rFonts w:ascii="Times New Roman" w:hAnsi="Times New Roman" w:eastAsia="宋体" w:cs="Times New Roman"/>
          <w:color w:val="auto"/>
          <w:szCs w:val="24"/>
          <w:highlight w:val="none"/>
        </w:rPr>
        <w:t>在厂内食宿，根据《城镇生活用水定额》（DB</w:t>
      </w:r>
      <w:r>
        <w:rPr>
          <w:rFonts w:hint="eastAsia" w:ascii="Times New Roman" w:hAnsi="Times New Roman" w:eastAsia="宋体" w:cs="Times New Roman"/>
          <w:color w:val="auto"/>
          <w:szCs w:val="24"/>
          <w:highlight w:val="none"/>
          <w:lang w:val="en-US" w:eastAsia="zh-CN"/>
        </w:rPr>
        <w:t xml:space="preserve"> </w:t>
      </w:r>
      <w:r>
        <w:rPr>
          <w:rFonts w:ascii="Times New Roman" w:hAnsi="Times New Roman" w:eastAsia="宋体" w:cs="Times New Roman"/>
          <w:color w:val="auto"/>
          <w:szCs w:val="24"/>
          <w:highlight w:val="none"/>
        </w:rPr>
        <w:t>45/T 679-2017）中的用水定额标准，食宿施工人员</w:t>
      </w:r>
      <w:r>
        <w:rPr>
          <w:rFonts w:ascii="Times New Roman" w:hAnsi="Times New Roman" w:eastAsia="宋体" w:cs="Times New Roman"/>
          <w:bCs/>
          <w:color w:val="auto"/>
          <w:szCs w:val="24"/>
          <w:highlight w:val="none"/>
        </w:rPr>
        <w:t>用水定额为</w:t>
      </w:r>
      <w:r>
        <w:rPr>
          <w:rFonts w:hint="eastAsia" w:ascii="Times New Roman" w:hAnsi="Times New Roman" w:eastAsia="宋体" w:cs="Times New Roman"/>
          <w:bCs/>
          <w:color w:val="auto"/>
          <w:szCs w:val="24"/>
          <w:highlight w:val="none"/>
        </w:rPr>
        <w:t>1</w:t>
      </w:r>
      <w:r>
        <w:rPr>
          <w:rFonts w:ascii="Times New Roman" w:hAnsi="Times New Roman" w:eastAsia="宋体" w:cs="Times New Roman"/>
          <w:bCs/>
          <w:color w:val="auto"/>
          <w:szCs w:val="24"/>
          <w:highlight w:val="none"/>
        </w:rPr>
        <w:t>50 L/人·d，</w:t>
      </w:r>
      <w:r>
        <w:rPr>
          <w:rFonts w:ascii="Times New Roman" w:hAnsi="Times New Roman" w:eastAsia="宋体" w:cs="Times New Roman"/>
          <w:color w:val="auto"/>
          <w:szCs w:val="24"/>
          <w:highlight w:val="none"/>
        </w:rPr>
        <w:t>则施工人员用水量</w:t>
      </w:r>
      <w:r>
        <w:rPr>
          <w:rFonts w:hint="eastAsia" w:ascii="Times New Roman" w:hAnsi="Times New Roman" w:eastAsia="宋体" w:cs="Times New Roman"/>
          <w:color w:val="auto"/>
          <w:szCs w:val="24"/>
          <w:highlight w:val="none"/>
        </w:rPr>
        <w:t>6</w:t>
      </w:r>
      <w:r>
        <w:rPr>
          <w:rFonts w:ascii="Times New Roman" w:hAnsi="Times New Roman" w:eastAsia="宋体" w:cs="Times New Roman"/>
          <w:color w:val="auto"/>
          <w:szCs w:val="24"/>
          <w:highlight w:val="none"/>
        </w:rPr>
        <w:t>.0m</w:t>
      </w:r>
      <w:r>
        <w:rPr>
          <w:rFonts w:ascii="Times New Roman" w:hAnsi="Times New Roman" w:eastAsia="宋体" w:cs="Times New Roman"/>
          <w:color w:val="auto"/>
          <w:szCs w:val="24"/>
          <w:highlight w:val="none"/>
          <w:vertAlign w:val="superscript"/>
        </w:rPr>
        <w:t>3</w:t>
      </w:r>
      <w:r>
        <w:rPr>
          <w:rFonts w:ascii="Times New Roman" w:hAnsi="Times New Roman" w:eastAsia="宋体" w:cs="Times New Roman"/>
          <w:color w:val="auto"/>
          <w:szCs w:val="24"/>
          <w:highlight w:val="none"/>
        </w:rPr>
        <w:t>/d，排水量按80%计算，施工人员生活污水排放量</w:t>
      </w:r>
      <w:r>
        <w:rPr>
          <w:rFonts w:hint="eastAsia" w:ascii="Times New Roman" w:hAnsi="Times New Roman" w:eastAsia="宋体" w:cs="Times New Roman"/>
          <w:color w:val="auto"/>
          <w:szCs w:val="24"/>
          <w:highlight w:val="none"/>
        </w:rPr>
        <w:t>4</w:t>
      </w:r>
      <w:r>
        <w:rPr>
          <w:rFonts w:ascii="Times New Roman" w:hAnsi="Times New Roman" w:eastAsia="宋体" w:cs="Times New Roman"/>
          <w:color w:val="auto"/>
          <w:szCs w:val="24"/>
          <w:highlight w:val="none"/>
        </w:rPr>
        <w:t>.8m</w:t>
      </w:r>
      <w:r>
        <w:rPr>
          <w:rFonts w:ascii="Times New Roman" w:hAnsi="Times New Roman" w:eastAsia="宋体" w:cs="Times New Roman"/>
          <w:color w:val="auto"/>
          <w:szCs w:val="24"/>
          <w:highlight w:val="none"/>
          <w:vertAlign w:val="superscript"/>
        </w:rPr>
        <w:t>3</w:t>
      </w:r>
      <w:r>
        <w:rPr>
          <w:rFonts w:ascii="Times New Roman" w:hAnsi="Times New Roman" w:eastAsia="宋体" w:cs="Times New Roman"/>
          <w:color w:val="auto"/>
          <w:szCs w:val="24"/>
          <w:highlight w:val="none"/>
        </w:rPr>
        <w:t>/d。</w:t>
      </w:r>
      <w:r>
        <w:rPr>
          <w:rFonts w:ascii="Times New Roman" w:hAnsi="Times New Roman" w:eastAsia="宋体" w:cs="Times New Roman"/>
          <w:bCs/>
          <w:color w:val="auto"/>
          <w:szCs w:val="24"/>
          <w:highlight w:val="none"/>
        </w:rPr>
        <w:t>生活污水</w:t>
      </w:r>
      <w:r>
        <w:rPr>
          <w:rFonts w:ascii="Times New Roman" w:hAnsi="Times New Roman" w:eastAsia="宋体" w:cs="Times New Roman"/>
          <w:color w:val="auto"/>
          <w:szCs w:val="24"/>
          <w:highlight w:val="none"/>
        </w:rPr>
        <w:t>中主要污染物为COD、BOD</w:t>
      </w:r>
      <w:r>
        <w:rPr>
          <w:rFonts w:ascii="Times New Roman" w:hAnsi="Times New Roman" w:eastAsia="宋体" w:cs="Times New Roman"/>
          <w:color w:val="auto"/>
          <w:szCs w:val="24"/>
          <w:highlight w:val="none"/>
          <w:vertAlign w:val="subscript"/>
        </w:rPr>
        <w:t>5</w:t>
      </w:r>
      <w:r>
        <w:rPr>
          <w:rFonts w:ascii="Times New Roman" w:hAnsi="Times New Roman" w:eastAsia="宋体" w:cs="Times New Roman"/>
          <w:color w:val="auto"/>
          <w:szCs w:val="24"/>
          <w:highlight w:val="none"/>
        </w:rPr>
        <w:t>、NH</w:t>
      </w:r>
      <w:r>
        <w:rPr>
          <w:rFonts w:ascii="Times New Roman" w:hAnsi="Times New Roman" w:eastAsia="宋体" w:cs="Times New Roman"/>
          <w:color w:val="auto"/>
          <w:szCs w:val="24"/>
          <w:highlight w:val="none"/>
          <w:vertAlign w:val="subscript"/>
        </w:rPr>
        <w:t>3</w:t>
      </w:r>
      <w:r>
        <w:rPr>
          <w:rFonts w:ascii="Times New Roman" w:hAnsi="Times New Roman" w:eastAsia="宋体" w:cs="Times New Roman"/>
          <w:color w:val="auto"/>
          <w:szCs w:val="24"/>
          <w:highlight w:val="none"/>
        </w:rPr>
        <w:t>-N、SS，</w:t>
      </w:r>
      <w:r>
        <w:rPr>
          <w:rFonts w:ascii="Times New Roman" w:hAnsi="Times New Roman" w:eastAsia="宋体" w:cs="Times New Roman"/>
          <w:bCs/>
          <w:color w:val="auto"/>
          <w:szCs w:val="24"/>
          <w:highlight w:val="none"/>
        </w:rPr>
        <w:t>经化粪池处理后，</w:t>
      </w:r>
      <w:r>
        <w:rPr>
          <w:rFonts w:ascii="Times New Roman" w:hAnsi="Times New Roman" w:eastAsia="宋体" w:cs="Times New Roman"/>
          <w:color w:val="auto"/>
          <w:szCs w:val="24"/>
          <w:highlight w:val="none"/>
        </w:rPr>
        <w:t>用于周边旱地施肥。施工期生活污水及主要污染物产生及排放情况见下表。</w:t>
      </w:r>
    </w:p>
    <w:p>
      <w:pPr>
        <w:adjustRightInd w:val="0"/>
        <w:snapToGrid w:val="0"/>
        <w:spacing w:line="240" w:lineRule="auto"/>
        <w:ind w:firstLine="0" w:firstLineChars="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表2.</w:t>
      </w:r>
      <w:r>
        <w:rPr>
          <w:rFonts w:hint="eastAsia" w:ascii="Times New Roman" w:hAnsi="Times New Roman" w:eastAsia="宋体" w:cs="Times New Roman"/>
          <w:b/>
          <w:color w:val="auto"/>
          <w:szCs w:val="20"/>
          <w:highlight w:val="none"/>
        </w:rPr>
        <w:t>5-</w:t>
      </w:r>
      <w:r>
        <w:rPr>
          <w:rFonts w:hint="eastAsia" w:cs="Times New Roman"/>
          <w:b/>
          <w:color w:val="auto"/>
          <w:szCs w:val="20"/>
          <w:highlight w:val="none"/>
          <w:lang w:val="en-US" w:eastAsia="zh-CN"/>
        </w:rPr>
        <w:t>4</w:t>
      </w:r>
      <w:r>
        <w:rPr>
          <w:rFonts w:ascii="Times New Roman" w:hAnsi="Times New Roman" w:eastAsia="宋体" w:cs="Times New Roman"/>
          <w:b/>
          <w:color w:val="auto"/>
          <w:szCs w:val="20"/>
          <w:highlight w:val="none"/>
        </w:rPr>
        <w:t xml:space="preserve"> 施工期生活污水及主要污染物产生及排放情况</w:t>
      </w:r>
    </w:p>
    <w:tbl>
      <w:tblPr>
        <w:tblStyle w:val="48"/>
        <w:tblW w:w="9071" w:type="dxa"/>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1379"/>
        <w:gridCol w:w="2556"/>
        <w:gridCol w:w="1266"/>
        <w:gridCol w:w="1266"/>
        <w:gridCol w:w="1266"/>
        <w:gridCol w:w="1338"/>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3935" w:type="dxa"/>
            <w:gridSpan w:val="2"/>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w:t>
            </w:r>
          </w:p>
        </w:tc>
        <w:tc>
          <w:tcPr>
            <w:tcW w:w="1266"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COD</w:t>
            </w:r>
            <w:r>
              <w:rPr>
                <w:rFonts w:ascii="Times New Roman" w:hAnsi="Times New Roman" w:eastAsia="宋体" w:cs="Times New Roman"/>
                <w:color w:val="auto"/>
                <w:highlight w:val="none"/>
                <w:vertAlign w:val="subscript"/>
              </w:rPr>
              <w:t>cr</w:t>
            </w:r>
          </w:p>
        </w:tc>
        <w:tc>
          <w:tcPr>
            <w:tcW w:w="1266"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BOD</w:t>
            </w:r>
            <w:r>
              <w:rPr>
                <w:rFonts w:ascii="Times New Roman" w:hAnsi="Times New Roman" w:eastAsia="宋体" w:cs="Times New Roman"/>
                <w:color w:val="auto"/>
                <w:highlight w:val="none"/>
                <w:vertAlign w:val="subscript"/>
              </w:rPr>
              <w:t>5</w:t>
            </w:r>
          </w:p>
        </w:tc>
        <w:tc>
          <w:tcPr>
            <w:tcW w:w="1266"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SS</w:t>
            </w:r>
          </w:p>
        </w:tc>
        <w:tc>
          <w:tcPr>
            <w:tcW w:w="1338"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NH</w:t>
            </w:r>
            <w:r>
              <w:rPr>
                <w:rFonts w:ascii="Times New Roman" w:hAnsi="Times New Roman" w:eastAsia="宋体" w:cs="Times New Roman"/>
                <w:color w:val="auto"/>
                <w:highlight w:val="none"/>
                <w:vertAlign w:val="subscript"/>
              </w:rPr>
              <w:t>3</w:t>
            </w:r>
            <w:r>
              <w:rPr>
                <w:rFonts w:ascii="Times New Roman" w:hAnsi="Times New Roman" w:eastAsia="宋体" w:cs="Times New Roman"/>
                <w:color w:val="auto"/>
                <w:highlight w:val="none"/>
              </w:rPr>
              <w:t>-N</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379" w:type="dxa"/>
            <w:vMerge w:val="restart"/>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szCs w:val="24"/>
                <w:highlight w:val="none"/>
              </w:rPr>
              <w:t>生活污水</w:t>
            </w:r>
            <w:r>
              <w:rPr>
                <w:rFonts w:hint="eastAsia" w:ascii="Times New Roman" w:hAnsi="Times New Roman" w:eastAsia="宋体" w:cs="Times New Roman"/>
                <w:b w:val="0"/>
                <w:bCs/>
                <w:color w:val="auto"/>
                <w:highlight w:val="none"/>
              </w:rPr>
              <w:t>4</w:t>
            </w:r>
            <w:r>
              <w:rPr>
                <w:rFonts w:ascii="Times New Roman" w:hAnsi="Times New Roman" w:eastAsia="宋体" w:cs="Times New Roman"/>
                <w:b w:val="0"/>
                <w:bCs/>
                <w:color w:val="auto"/>
                <w:highlight w:val="none"/>
              </w:rPr>
              <w:t>.8m</w:t>
            </w:r>
            <w:r>
              <w:rPr>
                <w:rFonts w:ascii="Times New Roman" w:hAnsi="Times New Roman" w:eastAsia="宋体" w:cs="Times New Roman"/>
                <w:b w:val="0"/>
                <w:bCs/>
                <w:color w:val="auto"/>
                <w:highlight w:val="none"/>
                <w:vertAlign w:val="superscript"/>
              </w:rPr>
              <w:t>3</w:t>
            </w:r>
            <w:r>
              <w:rPr>
                <w:rFonts w:ascii="Times New Roman" w:hAnsi="Times New Roman" w:eastAsia="宋体" w:cs="Times New Roman"/>
                <w:b w:val="0"/>
                <w:bCs/>
                <w:color w:val="auto"/>
                <w:highlight w:val="none"/>
              </w:rPr>
              <w:t>/d</w:t>
            </w:r>
          </w:p>
        </w:tc>
        <w:tc>
          <w:tcPr>
            <w:tcW w:w="255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产生浓度(mg/L)</w:t>
            </w:r>
          </w:p>
        </w:tc>
        <w:tc>
          <w:tcPr>
            <w:tcW w:w="126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300</w:t>
            </w:r>
          </w:p>
        </w:tc>
        <w:tc>
          <w:tcPr>
            <w:tcW w:w="126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2</w:t>
            </w:r>
            <w:r>
              <w:rPr>
                <w:rFonts w:hint="eastAsia" w:ascii="Times New Roman" w:hAnsi="Times New Roman" w:eastAsia="宋体" w:cs="Times New Roman"/>
                <w:b w:val="0"/>
                <w:bCs/>
                <w:color w:val="auto"/>
                <w:highlight w:val="none"/>
              </w:rPr>
              <w:t>0</w:t>
            </w:r>
            <w:r>
              <w:rPr>
                <w:rFonts w:ascii="Times New Roman" w:hAnsi="Times New Roman" w:eastAsia="宋体" w:cs="Times New Roman"/>
                <w:b w:val="0"/>
                <w:bCs/>
                <w:color w:val="auto"/>
                <w:highlight w:val="none"/>
              </w:rPr>
              <w:t>0</w:t>
            </w:r>
          </w:p>
        </w:tc>
        <w:tc>
          <w:tcPr>
            <w:tcW w:w="126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2</w:t>
            </w:r>
            <w:r>
              <w:rPr>
                <w:rFonts w:hint="eastAsia" w:ascii="Times New Roman" w:hAnsi="Times New Roman" w:eastAsia="宋体" w:cs="Times New Roman"/>
                <w:b w:val="0"/>
                <w:bCs/>
                <w:color w:val="auto"/>
                <w:highlight w:val="none"/>
              </w:rPr>
              <w:t>0</w:t>
            </w:r>
            <w:r>
              <w:rPr>
                <w:rFonts w:ascii="Times New Roman" w:hAnsi="Times New Roman" w:eastAsia="宋体" w:cs="Times New Roman"/>
                <w:b w:val="0"/>
                <w:bCs/>
                <w:color w:val="auto"/>
                <w:highlight w:val="none"/>
              </w:rPr>
              <w:t>0</w:t>
            </w:r>
          </w:p>
        </w:tc>
        <w:tc>
          <w:tcPr>
            <w:tcW w:w="1338" w:type="dxa"/>
            <w:noWrap w:val="0"/>
            <w:vAlign w:val="center"/>
          </w:tcPr>
          <w:p>
            <w:pPr>
              <w:pStyle w:val="86"/>
              <w:rPr>
                <w:rFonts w:hint="eastAsia"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3</w:t>
            </w:r>
            <w:r>
              <w:rPr>
                <w:rFonts w:hint="eastAsia" w:ascii="Times New Roman" w:hAnsi="Times New Roman" w:eastAsia="宋体" w:cs="Times New Roman"/>
                <w:b w:val="0"/>
                <w:bCs/>
                <w:color w:val="auto"/>
                <w:highlight w:val="none"/>
              </w:rPr>
              <w:t>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379" w:type="dxa"/>
            <w:vMerge w:val="continue"/>
            <w:noWrap w:val="0"/>
            <w:vAlign w:val="center"/>
          </w:tcPr>
          <w:p>
            <w:pPr>
              <w:pStyle w:val="86"/>
              <w:rPr>
                <w:rFonts w:ascii="Times New Roman" w:hAnsi="Times New Roman" w:eastAsia="宋体" w:cs="Times New Roman"/>
                <w:b w:val="0"/>
                <w:bCs/>
                <w:color w:val="auto"/>
                <w:highlight w:val="none"/>
              </w:rPr>
            </w:pPr>
          </w:p>
        </w:tc>
        <w:tc>
          <w:tcPr>
            <w:tcW w:w="255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产生量(kg/d)</w:t>
            </w:r>
          </w:p>
        </w:tc>
        <w:tc>
          <w:tcPr>
            <w:tcW w:w="1266" w:type="dxa"/>
            <w:noWrap w:val="0"/>
            <w:vAlign w:val="center"/>
          </w:tcPr>
          <w:p>
            <w:pPr>
              <w:pStyle w:val="86"/>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1.4</w:t>
            </w:r>
            <w:r>
              <w:rPr>
                <w:rFonts w:ascii="Times New Roman" w:hAnsi="Times New Roman" w:eastAsia="宋体" w:cs="Times New Roman"/>
                <w:b w:val="0"/>
                <w:bCs/>
                <w:color w:val="auto"/>
                <w:highlight w:val="none"/>
              </w:rPr>
              <w:t>4</w:t>
            </w:r>
          </w:p>
        </w:tc>
        <w:tc>
          <w:tcPr>
            <w:tcW w:w="1266" w:type="dxa"/>
            <w:noWrap w:val="0"/>
            <w:vAlign w:val="center"/>
          </w:tcPr>
          <w:p>
            <w:pPr>
              <w:pStyle w:val="86"/>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0.96</w:t>
            </w:r>
          </w:p>
        </w:tc>
        <w:tc>
          <w:tcPr>
            <w:tcW w:w="126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96</w:t>
            </w:r>
          </w:p>
        </w:tc>
        <w:tc>
          <w:tcPr>
            <w:tcW w:w="133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144</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379" w:type="dxa"/>
            <w:vMerge w:val="continue"/>
            <w:noWrap w:val="0"/>
            <w:vAlign w:val="center"/>
          </w:tcPr>
          <w:p>
            <w:pPr>
              <w:pStyle w:val="86"/>
              <w:rPr>
                <w:rFonts w:ascii="Times New Roman" w:hAnsi="Times New Roman" w:eastAsia="宋体" w:cs="Times New Roman"/>
                <w:b w:val="0"/>
                <w:bCs/>
                <w:color w:val="auto"/>
                <w:highlight w:val="none"/>
              </w:rPr>
            </w:pPr>
          </w:p>
        </w:tc>
        <w:tc>
          <w:tcPr>
            <w:tcW w:w="255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化粪池处理效率（%）</w:t>
            </w:r>
          </w:p>
        </w:tc>
        <w:tc>
          <w:tcPr>
            <w:tcW w:w="126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15</w:t>
            </w:r>
          </w:p>
        </w:tc>
        <w:tc>
          <w:tcPr>
            <w:tcW w:w="126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10</w:t>
            </w:r>
          </w:p>
        </w:tc>
        <w:tc>
          <w:tcPr>
            <w:tcW w:w="126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30</w:t>
            </w:r>
          </w:p>
        </w:tc>
        <w:tc>
          <w:tcPr>
            <w:tcW w:w="133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379" w:type="dxa"/>
            <w:vMerge w:val="continue"/>
            <w:noWrap w:val="0"/>
            <w:vAlign w:val="center"/>
          </w:tcPr>
          <w:p>
            <w:pPr>
              <w:pStyle w:val="86"/>
              <w:rPr>
                <w:rFonts w:ascii="Times New Roman" w:hAnsi="Times New Roman" w:eastAsia="宋体" w:cs="Times New Roman"/>
                <w:b w:val="0"/>
                <w:bCs/>
                <w:color w:val="auto"/>
                <w:highlight w:val="none"/>
              </w:rPr>
            </w:pPr>
          </w:p>
        </w:tc>
        <w:tc>
          <w:tcPr>
            <w:tcW w:w="255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排放浓度(mg/L)</w:t>
            </w:r>
          </w:p>
        </w:tc>
        <w:tc>
          <w:tcPr>
            <w:tcW w:w="126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255</w:t>
            </w:r>
          </w:p>
        </w:tc>
        <w:tc>
          <w:tcPr>
            <w:tcW w:w="1266" w:type="dxa"/>
            <w:noWrap w:val="0"/>
            <w:vAlign w:val="center"/>
          </w:tcPr>
          <w:p>
            <w:pPr>
              <w:pStyle w:val="86"/>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180</w:t>
            </w:r>
          </w:p>
        </w:tc>
        <w:tc>
          <w:tcPr>
            <w:tcW w:w="126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1</w:t>
            </w:r>
            <w:r>
              <w:rPr>
                <w:rFonts w:hint="eastAsia" w:ascii="Times New Roman" w:hAnsi="Times New Roman" w:eastAsia="宋体" w:cs="Times New Roman"/>
                <w:b w:val="0"/>
                <w:bCs/>
                <w:color w:val="auto"/>
                <w:highlight w:val="none"/>
              </w:rPr>
              <w:t>40</w:t>
            </w:r>
          </w:p>
        </w:tc>
        <w:tc>
          <w:tcPr>
            <w:tcW w:w="133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3</w:t>
            </w:r>
            <w:r>
              <w:rPr>
                <w:rFonts w:hint="eastAsia" w:ascii="Times New Roman" w:hAnsi="Times New Roman" w:eastAsia="宋体" w:cs="Times New Roman"/>
                <w:b w:val="0"/>
                <w:bCs/>
                <w:color w:val="auto"/>
                <w:highlight w:val="none"/>
              </w:rPr>
              <w:t>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379" w:type="dxa"/>
            <w:vMerge w:val="continue"/>
            <w:noWrap w:val="0"/>
            <w:vAlign w:val="center"/>
          </w:tcPr>
          <w:p>
            <w:pPr>
              <w:pStyle w:val="86"/>
              <w:rPr>
                <w:rFonts w:ascii="Times New Roman" w:hAnsi="Times New Roman" w:eastAsia="宋体" w:cs="Times New Roman"/>
                <w:b w:val="0"/>
                <w:bCs/>
                <w:color w:val="auto"/>
                <w:highlight w:val="none"/>
              </w:rPr>
            </w:pPr>
          </w:p>
        </w:tc>
        <w:tc>
          <w:tcPr>
            <w:tcW w:w="255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排放量(kg/d)</w:t>
            </w:r>
          </w:p>
        </w:tc>
        <w:tc>
          <w:tcPr>
            <w:tcW w:w="1266" w:type="dxa"/>
            <w:noWrap w:val="0"/>
            <w:vAlign w:val="center"/>
          </w:tcPr>
          <w:p>
            <w:pPr>
              <w:pStyle w:val="86"/>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1.224</w:t>
            </w:r>
          </w:p>
        </w:tc>
        <w:tc>
          <w:tcPr>
            <w:tcW w:w="126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864</w:t>
            </w:r>
          </w:p>
        </w:tc>
        <w:tc>
          <w:tcPr>
            <w:tcW w:w="126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672</w:t>
            </w:r>
          </w:p>
        </w:tc>
        <w:tc>
          <w:tcPr>
            <w:tcW w:w="133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144</w:t>
            </w:r>
          </w:p>
        </w:tc>
      </w:tr>
    </w:tbl>
    <w:p>
      <w:pPr>
        <w:ind w:firstLine="482"/>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4"/>
          <w:highlight w:val="none"/>
        </w:rPr>
        <w:t>3、</w:t>
      </w:r>
      <w:r>
        <w:rPr>
          <w:rFonts w:ascii="Times New Roman" w:hAnsi="Times New Roman" w:eastAsia="宋体" w:cs="Times New Roman"/>
          <w:b/>
          <w:color w:val="auto"/>
          <w:szCs w:val="20"/>
          <w:highlight w:val="none"/>
        </w:rPr>
        <w:t>固体废物</w:t>
      </w:r>
    </w:p>
    <w:p>
      <w:pPr>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highlight w:val="none"/>
        </w:rPr>
        <w:t>（1）</w:t>
      </w:r>
      <w:r>
        <w:rPr>
          <w:rFonts w:ascii="Times New Roman" w:hAnsi="Times New Roman" w:eastAsia="宋体" w:cs="Times New Roman"/>
          <w:color w:val="auto"/>
          <w:szCs w:val="20"/>
          <w:highlight w:val="none"/>
        </w:rPr>
        <w:t>施工建筑垃圾</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szCs w:val="24"/>
          <w:highlight w:val="none"/>
        </w:rPr>
        <w:t>建筑垃圾主要来自拆除破旧设备、安装除尘设备等过程产生的残砖、废弃混凝土、废旧设备等，产生量约为</w:t>
      </w:r>
      <w:r>
        <w:rPr>
          <w:rFonts w:hint="eastAsia" w:ascii="Times New Roman" w:hAnsi="Times New Roman" w:eastAsia="宋体" w:cs="Times New Roman"/>
          <w:color w:val="auto"/>
          <w:szCs w:val="24"/>
          <w:highlight w:val="none"/>
        </w:rPr>
        <w:t>7</w:t>
      </w:r>
      <w:r>
        <w:rPr>
          <w:rFonts w:ascii="Times New Roman" w:hAnsi="Times New Roman" w:eastAsia="宋体" w:cs="Times New Roman"/>
          <w:color w:val="auto"/>
          <w:szCs w:val="24"/>
          <w:highlight w:val="none"/>
        </w:rPr>
        <w:t>5t。根据资源综合利用的原则，残砖、废弃混凝土全部用于进场道路的建设，废旧设备收集后外卖。</w:t>
      </w:r>
    </w:p>
    <w:p>
      <w:pPr>
        <w:ind w:firstLine="480"/>
        <w:jc w:val="left"/>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（2）施工人员生活垃圾</w:t>
      </w:r>
    </w:p>
    <w:p>
      <w:pPr>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施工期施工人数为</w:t>
      </w:r>
      <w:r>
        <w:rPr>
          <w:rFonts w:hint="eastAsia" w:ascii="Times New Roman" w:hAnsi="Times New Roman" w:eastAsia="宋体" w:cs="Times New Roman"/>
          <w:color w:val="auto"/>
          <w:szCs w:val="20"/>
          <w:highlight w:val="none"/>
        </w:rPr>
        <w:t>4</w:t>
      </w:r>
      <w:r>
        <w:rPr>
          <w:rFonts w:ascii="Times New Roman" w:hAnsi="Times New Roman" w:eastAsia="宋体" w:cs="Times New Roman"/>
          <w:color w:val="auto"/>
          <w:szCs w:val="20"/>
          <w:highlight w:val="none"/>
        </w:rPr>
        <w:t>0人，</w:t>
      </w:r>
      <w:r>
        <w:rPr>
          <w:rFonts w:hint="eastAsia" w:ascii="Times New Roman" w:hAnsi="Times New Roman" w:eastAsia="宋体" w:cs="Times New Roman"/>
          <w:color w:val="auto"/>
          <w:szCs w:val="20"/>
          <w:highlight w:val="none"/>
        </w:rPr>
        <w:t>均</w:t>
      </w:r>
      <w:r>
        <w:rPr>
          <w:rFonts w:ascii="Times New Roman" w:hAnsi="Times New Roman" w:eastAsia="宋体" w:cs="Times New Roman"/>
          <w:color w:val="auto"/>
          <w:szCs w:val="20"/>
          <w:highlight w:val="none"/>
        </w:rPr>
        <w:t>在场内食宿，生活垃圾按平均每人</w:t>
      </w:r>
      <w:r>
        <w:rPr>
          <w:rFonts w:hint="eastAsia" w:ascii="Times New Roman" w:hAnsi="Times New Roman" w:eastAsia="宋体" w:cs="Times New Roman"/>
          <w:color w:val="auto"/>
          <w:szCs w:val="20"/>
          <w:highlight w:val="none"/>
        </w:rPr>
        <w:t>1.0</w:t>
      </w:r>
      <w:r>
        <w:rPr>
          <w:rFonts w:ascii="Times New Roman" w:hAnsi="Times New Roman" w:eastAsia="宋体" w:cs="Times New Roman"/>
          <w:color w:val="auto"/>
          <w:szCs w:val="20"/>
          <w:highlight w:val="none"/>
        </w:rPr>
        <w:t>kg/d，则生活垃圾产生量约为</w:t>
      </w:r>
      <w:r>
        <w:rPr>
          <w:rFonts w:hint="eastAsia" w:ascii="Times New Roman" w:hAnsi="Times New Roman" w:eastAsia="宋体" w:cs="Times New Roman"/>
          <w:color w:val="auto"/>
          <w:szCs w:val="20"/>
          <w:highlight w:val="none"/>
        </w:rPr>
        <w:t>40</w:t>
      </w:r>
      <w:r>
        <w:rPr>
          <w:rFonts w:ascii="Times New Roman" w:hAnsi="Times New Roman" w:eastAsia="宋体" w:cs="Times New Roman"/>
          <w:color w:val="auto"/>
          <w:szCs w:val="20"/>
          <w:highlight w:val="none"/>
        </w:rPr>
        <w:t>kg/d。生活垃圾</w:t>
      </w:r>
      <w:r>
        <w:rPr>
          <w:rFonts w:ascii="Times New Roman" w:hAnsi="Times New Roman" w:eastAsia="宋体" w:cs="Times New Roman"/>
          <w:color w:val="auto"/>
          <w:szCs w:val="24"/>
          <w:highlight w:val="none"/>
        </w:rPr>
        <w:t>收集后由环卫部门处理</w:t>
      </w:r>
      <w:r>
        <w:rPr>
          <w:rFonts w:ascii="Times New Roman" w:hAnsi="Times New Roman" w:eastAsia="宋体" w:cs="Times New Roman"/>
          <w:color w:val="auto"/>
          <w:szCs w:val="20"/>
          <w:highlight w:val="none"/>
        </w:rPr>
        <w:t>。</w:t>
      </w:r>
    </w:p>
    <w:p>
      <w:pPr>
        <w:ind w:firstLine="482"/>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0"/>
          <w:highlight w:val="none"/>
        </w:rPr>
        <w:t>4、</w:t>
      </w:r>
      <w:r>
        <w:rPr>
          <w:rFonts w:ascii="Times New Roman" w:hAnsi="Times New Roman" w:eastAsia="宋体" w:cs="Times New Roman"/>
          <w:b/>
          <w:color w:val="auto"/>
          <w:szCs w:val="24"/>
          <w:highlight w:val="none"/>
        </w:rPr>
        <w:t>噪声污染源</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 xml:space="preserve">施工期的噪声主要来源于施工现场的挖掘机、搅拌机、运输车辆等各类机械设备和物料运输的交通噪声，源强在85dB(A)~90dB(A)之间。 </w:t>
      </w:r>
    </w:p>
    <w:p>
      <w:pPr>
        <w:ind w:firstLine="482"/>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4"/>
          <w:highlight w:val="none"/>
        </w:rPr>
        <w:t xml:space="preserve">5、生态环境影响 </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项目为</w:t>
      </w:r>
      <w:r>
        <w:rPr>
          <w:rFonts w:hint="eastAsia" w:ascii="Times New Roman" w:hAnsi="Times New Roman" w:eastAsia="宋体" w:cs="Times New Roman"/>
          <w:color w:val="auto"/>
          <w:highlight w:val="none"/>
        </w:rPr>
        <w:t>整合</w:t>
      </w:r>
      <w:r>
        <w:rPr>
          <w:rFonts w:ascii="Times New Roman" w:hAnsi="Times New Roman" w:eastAsia="宋体" w:cs="Times New Roman"/>
          <w:color w:val="auto"/>
          <w:highlight w:val="none"/>
        </w:rPr>
        <w:t xml:space="preserve">工程，拆除破旧设备、重新铺设生产线、完善开拓运输道路、开挖截排水沟等过程将导致地表暂时的裸露，在雨水和地表径流作用下将产生一定程度的水土流失，当地表径流携带泥沙沿着附近排水沟进入附近水体后，容易造成对水体的污染和溪沟堵塞。施工场地地面的开挖、土地的利用，易使土壤结构破坏，凝聚力降低，产生新的水土流失。物料的堆放对周围的景观产生不良的影响。 </w:t>
      </w:r>
    </w:p>
    <w:p>
      <w:pPr>
        <w:spacing w:line="500" w:lineRule="exact"/>
        <w:ind w:firstLine="480"/>
        <w:jc w:val="left"/>
        <w:rPr>
          <w:rFonts w:ascii="Times New Roman" w:hAnsi="Times New Roman" w:eastAsia="宋体" w:cs="Times New Roman"/>
          <w:color w:val="auto"/>
          <w:highlight w:val="none"/>
        </w:rPr>
      </w:pPr>
      <w:r>
        <w:rPr>
          <w:rFonts w:ascii="Times New Roman" w:hAnsi="Times New Roman" w:eastAsia="宋体" w:cs="Times New Roman"/>
          <w:color w:val="auto"/>
          <w:highlight w:val="none"/>
        </w:rPr>
        <w:t>施工在已开发利用地面进行建设，占用土地和植被面积较小，对生态环境的影响较小。</w:t>
      </w:r>
    </w:p>
    <w:p>
      <w:pPr>
        <w:spacing w:line="500" w:lineRule="exact"/>
        <w:ind w:firstLine="482"/>
        <w:jc w:val="left"/>
        <w:rPr>
          <w:rFonts w:ascii="Times New Roman" w:hAnsi="Times New Roman" w:eastAsia="宋体"/>
          <w:b/>
          <w:color w:val="auto"/>
          <w:highlight w:val="none"/>
        </w:rPr>
      </w:pPr>
      <w:r>
        <w:rPr>
          <w:rFonts w:ascii="Times New Roman" w:hAnsi="Times New Roman" w:eastAsia="宋体"/>
          <w:b/>
          <w:color w:val="auto"/>
          <w:highlight w:val="none"/>
        </w:rPr>
        <w:t>6、施工期污染物排放情况汇总</w:t>
      </w:r>
    </w:p>
    <w:p>
      <w:pPr>
        <w:pStyle w:val="12"/>
        <w:spacing w:line="500" w:lineRule="exact"/>
        <w:ind w:firstLine="480"/>
        <w:rPr>
          <w:rFonts w:hint="eastAsia" w:ascii="Times New Roman" w:hAnsi="Times New Roman" w:eastAsia="宋体"/>
          <w:color w:val="auto"/>
          <w:highlight w:val="none"/>
        </w:rPr>
      </w:pPr>
      <w:r>
        <w:rPr>
          <w:rFonts w:ascii="Times New Roman" w:hAnsi="Times New Roman" w:eastAsia="宋体"/>
          <w:color w:val="auto"/>
          <w:highlight w:val="none"/>
        </w:rPr>
        <w:t>项目施工期污染物排放情况汇总详见表2.</w:t>
      </w:r>
      <w:r>
        <w:rPr>
          <w:rFonts w:hint="eastAsia" w:ascii="Times New Roman" w:hAnsi="Times New Roman" w:eastAsia="宋体"/>
          <w:color w:val="auto"/>
          <w:highlight w:val="none"/>
        </w:rPr>
        <w:t>5</w:t>
      </w:r>
      <w:r>
        <w:rPr>
          <w:rFonts w:ascii="Times New Roman" w:hAnsi="Times New Roman" w:eastAsia="宋体"/>
          <w:color w:val="auto"/>
          <w:highlight w:val="none"/>
        </w:rPr>
        <w:t>-</w:t>
      </w:r>
      <w:r>
        <w:rPr>
          <w:rFonts w:hint="eastAsia"/>
          <w:color w:val="auto"/>
          <w:highlight w:val="none"/>
          <w:lang w:val="en-US" w:eastAsia="zh-CN"/>
        </w:rPr>
        <w:t>5</w:t>
      </w:r>
      <w:r>
        <w:rPr>
          <w:rFonts w:ascii="Times New Roman" w:hAnsi="Times New Roman" w:eastAsia="宋体"/>
          <w:color w:val="auto"/>
          <w:highlight w:val="none"/>
        </w:rPr>
        <w:t>所示。</w:t>
      </w:r>
    </w:p>
    <w:p>
      <w:pPr>
        <w:pStyle w:val="13"/>
        <w:rPr>
          <w:rFonts w:ascii="Times New Roman" w:hAnsi="Times New Roman" w:eastAsia="宋体"/>
          <w:color w:val="auto"/>
          <w:highlight w:val="none"/>
        </w:rPr>
      </w:pPr>
      <w:r>
        <w:rPr>
          <w:rFonts w:ascii="Times New Roman" w:hAnsi="Times New Roman" w:eastAsia="宋体"/>
          <w:color w:val="auto"/>
          <w:highlight w:val="none"/>
        </w:rPr>
        <w:t>表2.</w:t>
      </w:r>
      <w:r>
        <w:rPr>
          <w:rFonts w:hint="eastAsia" w:ascii="Times New Roman" w:hAnsi="Times New Roman" w:eastAsia="宋体"/>
          <w:color w:val="auto"/>
          <w:highlight w:val="none"/>
        </w:rPr>
        <w:t>5</w:t>
      </w:r>
      <w:r>
        <w:rPr>
          <w:rFonts w:ascii="Times New Roman" w:hAnsi="Times New Roman" w:eastAsia="宋体"/>
          <w:color w:val="auto"/>
          <w:highlight w:val="none"/>
        </w:rPr>
        <w:t>-</w:t>
      </w:r>
      <w:r>
        <w:rPr>
          <w:rFonts w:hint="eastAsia"/>
          <w:color w:val="auto"/>
          <w:highlight w:val="none"/>
          <w:lang w:val="en-US" w:eastAsia="zh-CN"/>
        </w:rPr>
        <w:t>5</w:t>
      </w:r>
      <w:r>
        <w:rPr>
          <w:rFonts w:ascii="Times New Roman" w:hAnsi="Times New Roman" w:eastAsia="宋体"/>
          <w:color w:val="auto"/>
          <w:highlight w:val="none"/>
        </w:rPr>
        <w:t xml:space="preserve">  项目施工期污染物产生及排放情况汇总表</w:t>
      </w:r>
    </w:p>
    <w:tbl>
      <w:tblPr>
        <w:tblStyle w:val="48"/>
        <w:tblW w:w="907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55"/>
        <w:gridCol w:w="1656"/>
        <w:gridCol w:w="1125"/>
        <w:gridCol w:w="2115"/>
        <w:gridCol w:w="1789"/>
        <w:gridCol w:w="17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49" w:hRule="atLeast"/>
          <w:jc w:val="center"/>
        </w:trPr>
        <w:tc>
          <w:tcPr>
            <w:tcW w:w="655" w:type="dxa"/>
            <w:noWrap w:val="0"/>
            <w:vAlign w:val="center"/>
          </w:tcPr>
          <w:p>
            <w:pPr>
              <w:pStyle w:val="17"/>
              <w:adjustRightInd w:val="0"/>
              <w:snapToGrid w:val="0"/>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项目</w:t>
            </w:r>
          </w:p>
        </w:tc>
        <w:tc>
          <w:tcPr>
            <w:tcW w:w="1656" w:type="dxa"/>
            <w:noWrap w:val="0"/>
            <w:vAlign w:val="center"/>
          </w:tcPr>
          <w:p>
            <w:pPr>
              <w:pStyle w:val="17"/>
              <w:adjustRightInd w:val="0"/>
              <w:snapToGrid w:val="0"/>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排放源</w:t>
            </w:r>
          </w:p>
        </w:tc>
        <w:tc>
          <w:tcPr>
            <w:tcW w:w="1125" w:type="dxa"/>
            <w:noWrap w:val="0"/>
            <w:vAlign w:val="center"/>
          </w:tcPr>
          <w:p>
            <w:pPr>
              <w:pStyle w:val="17"/>
              <w:adjustRightInd w:val="0"/>
              <w:snapToGrid w:val="0"/>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污染因子</w:t>
            </w:r>
          </w:p>
        </w:tc>
        <w:tc>
          <w:tcPr>
            <w:tcW w:w="2115" w:type="dxa"/>
            <w:noWrap w:val="0"/>
            <w:vAlign w:val="center"/>
          </w:tcPr>
          <w:p>
            <w:pPr>
              <w:pStyle w:val="17"/>
              <w:adjustRightInd w:val="0"/>
              <w:snapToGrid w:val="0"/>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产生量</w:t>
            </w:r>
          </w:p>
        </w:tc>
        <w:tc>
          <w:tcPr>
            <w:tcW w:w="1789" w:type="dxa"/>
            <w:noWrap w:val="0"/>
            <w:vAlign w:val="center"/>
          </w:tcPr>
          <w:p>
            <w:pPr>
              <w:pStyle w:val="17"/>
              <w:adjustRightInd w:val="0"/>
              <w:snapToGrid w:val="0"/>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削减量</w:t>
            </w:r>
          </w:p>
        </w:tc>
        <w:tc>
          <w:tcPr>
            <w:tcW w:w="1731" w:type="dxa"/>
            <w:noWrap w:val="0"/>
            <w:vAlign w:val="center"/>
          </w:tcPr>
          <w:p>
            <w:pPr>
              <w:pStyle w:val="17"/>
              <w:adjustRightInd w:val="0"/>
              <w:snapToGrid w:val="0"/>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49" w:hRule="atLeast"/>
          <w:jc w:val="center"/>
        </w:trPr>
        <w:tc>
          <w:tcPr>
            <w:tcW w:w="655" w:type="dxa"/>
            <w:vMerge w:val="restart"/>
            <w:noWrap w:val="0"/>
            <w:vAlign w:val="center"/>
          </w:tcPr>
          <w:p>
            <w:pPr>
              <w:pStyle w:val="17"/>
              <w:adjustRightInd w:val="0"/>
              <w:snapToGrid w:val="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废气</w:t>
            </w:r>
          </w:p>
        </w:tc>
        <w:tc>
          <w:tcPr>
            <w:tcW w:w="1656"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场地扬尘</w:t>
            </w:r>
          </w:p>
        </w:tc>
        <w:tc>
          <w:tcPr>
            <w:tcW w:w="112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颗粒物</w:t>
            </w:r>
          </w:p>
        </w:tc>
        <w:tc>
          <w:tcPr>
            <w:tcW w:w="211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少量</w:t>
            </w:r>
          </w:p>
        </w:tc>
        <w:tc>
          <w:tcPr>
            <w:tcW w:w="1789"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p>
        </w:tc>
        <w:tc>
          <w:tcPr>
            <w:tcW w:w="1731"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少量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49" w:hRule="atLeast"/>
          <w:jc w:val="center"/>
        </w:trPr>
        <w:tc>
          <w:tcPr>
            <w:tcW w:w="655" w:type="dxa"/>
            <w:vMerge w:val="continue"/>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p>
        </w:tc>
        <w:tc>
          <w:tcPr>
            <w:tcW w:w="1656" w:type="dxa"/>
            <w:vMerge w:val="restart"/>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施工机械</w:t>
            </w:r>
          </w:p>
        </w:tc>
        <w:tc>
          <w:tcPr>
            <w:tcW w:w="112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CO</w:t>
            </w:r>
          </w:p>
        </w:tc>
        <w:tc>
          <w:tcPr>
            <w:tcW w:w="211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少量</w:t>
            </w:r>
          </w:p>
        </w:tc>
        <w:tc>
          <w:tcPr>
            <w:tcW w:w="1789"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p>
        </w:tc>
        <w:tc>
          <w:tcPr>
            <w:tcW w:w="1731"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少量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49" w:hRule="atLeast"/>
          <w:jc w:val="center"/>
        </w:trPr>
        <w:tc>
          <w:tcPr>
            <w:tcW w:w="655" w:type="dxa"/>
            <w:vMerge w:val="continue"/>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p>
        </w:tc>
        <w:tc>
          <w:tcPr>
            <w:tcW w:w="1656" w:type="dxa"/>
            <w:vMerge w:val="continue"/>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p>
        </w:tc>
        <w:tc>
          <w:tcPr>
            <w:tcW w:w="112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NO</w:t>
            </w:r>
            <w:r>
              <w:rPr>
                <w:rFonts w:ascii="Times New Roman" w:hAnsi="Times New Roman" w:eastAsia="宋体" w:cs="Times New Roman"/>
                <w:color w:val="auto"/>
                <w:sz w:val="21"/>
                <w:szCs w:val="21"/>
                <w:highlight w:val="none"/>
                <w:vertAlign w:val="subscript"/>
              </w:rPr>
              <w:t>X</w:t>
            </w:r>
          </w:p>
        </w:tc>
        <w:tc>
          <w:tcPr>
            <w:tcW w:w="211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少量</w:t>
            </w:r>
          </w:p>
        </w:tc>
        <w:tc>
          <w:tcPr>
            <w:tcW w:w="1789"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p>
        </w:tc>
        <w:tc>
          <w:tcPr>
            <w:tcW w:w="1731"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少量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49" w:hRule="atLeast"/>
          <w:jc w:val="center"/>
        </w:trPr>
        <w:tc>
          <w:tcPr>
            <w:tcW w:w="655" w:type="dxa"/>
            <w:vMerge w:val="continue"/>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p>
        </w:tc>
        <w:tc>
          <w:tcPr>
            <w:tcW w:w="1656" w:type="dxa"/>
            <w:vMerge w:val="continue"/>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p>
        </w:tc>
        <w:tc>
          <w:tcPr>
            <w:tcW w:w="1125" w:type="dxa"/>
            <w:noWrap w:val="0"/>
            <w:vAlign w:val="center"/>
          </w:tcPr>
          <w:p>
            <w:pPr>
              <w:pStyle w:val="17"/>
              <w:adjustRightInd w:val="0"/>
              <w:snapToGrid w:val="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THC</w:t>
            </w:r>
          </w:p>
        </w:tc>
        <w:tc>
          <w:tcPr>
            <w:tcW w:w="211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少量</w:t>
            </w:r>
          </w:p>
        </w:tc>
        <w:tc>
          <w:tcPr>
            <w:tcW w:w="1789"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p>
        </w:tc>
        <w:tc>
          <w:tcPr>
            <w:tcW w:w="1731"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少量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49" w:hRule="atLeast"/>
          <w:jc w:val="center"/>
        </w:trPr>
        <w:tc>
          <w:tcPr>
            <w:tcW w:w="655" w:type="dxa"/>
            <w:vMerge w:val="restart"/>
            <w:noWrap w:val="0"/>
            <w:vAlign w:val="center"/>
          </w:tcPr>
          <w:p>
            <w:pPr>
              <w:pStyle w:val="17"/>
              <w:adjustRightInd w:val="0"/>
              <w:snapToGrid w:val="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废水</w:t>
            </w:r>
          </w:p>
        </w:tc>
        <w:tc>
          <w:tcPr>
            <w:tcW w:w="1656"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施工</w:t>
            </w:r>
            <w:r>
              <w:rPr>
                <w:rFonts w:ascii="Times New Roman" w:hAnsi="Times New Roman" w:eastAsia="宋体" w:cs="Times New Roman"/>
                <w:color w:val="auto"/>
                <w:sz w:val="21"/>
                <w:szCs w:val="21"/>
                <w:highlight w:val="none"/>
              </w:rPr>
              <w:t>废水</w:t>
            </w:r>
          </w:p>
        </w:tc>
        <w:tc>
          <w:tcPr>
            <w:tcW w:w="112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废水量</w:t>
            </w:r>
          </w:p>
        </w:tc>
        <w:tc>
          <w:tcPr>
            <w:tcW w:w="211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少量</w:t>
            </w:r>
          </w:p>
        </w:tc>
        <w:tc>
          <w:tcPr>
            <w:tcW w:w="1789"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沉淀后回用</w:t>
            </w:r>
          </w:p>
        </w:tc>
        <w:tc>
          <w:tcPr>
            <w:tcW w:w="1731"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少量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49" w:hRule="atLeast"/>
          <w:jc w:val="center"/>
        </w:trPr>
        <w:tc>
          <w:tcPr>
            <w:tcW w:w="655" w:type="dxa"/>
            <w:vMerge w:val="continue"/>
            <w:noWrap w:val="0"/>
            <w:vAlign w:val="center"/>
          </w:tcPr>
          <w:p>
            <w:pPr>
              <w:pStyle w:val="141"/>
              <w:spacing w:line="260" w:lineRule="exact"/>
              <w:ind w:firstLine="420"/>
              <w:rPr>
                <w:rFonts w:ascii="Times New Roman" w:hAnsi="Times New Roman" w:eastAsia="宋体"/>
                <w:color w:val="auto"/>
                <w:highlight w:val="none"/>
              </w:rPr>
            </w:pPr>
          </w:p>
        </w:tc>
        <w:tc>
          <w:tcPr>
            <w:tcW w:w="1656" w:type="dxa"/>
            <w:vMerge w:val="restart"/>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生活污水</w:t>
            </w:r>
          </w:p>
        </w:tc>
        <w:tc>
          <w:tcPr>
            <w:tcW w:w="112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废水量</w:t>
            </w:r>
          </w:p>
        </w:tc>
        <w:tc>
          <w:tcPr>
            <w:tcW w:w="211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highlight w:val="none"/>
              </w:rPr>
              <w:t>4</w:t>
            </w:r>
            <w:r>
              <w:rPr>
                <w:rFonts w:ascii="Times New Roman" w:hAnsi="Times New Roman" w:eastAsia="宋体" w:cs="Times New Roman"/>
                <w:color w:val="auto"/>
                <w:highlight w:val="none"/>
              </w:rPr>
              <w:t>.8m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/d</w:t>
            </w:r>
          </w:p>
        </w:tc>
        <w:tc>
          <w:tcPr>
            <w:tcW w:w="1789"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p>
        </w:tc>
        <w:tc>
          <w:tcPr>
            <w:tcW w:w="1731"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highlight w:val="none"/>
              </w:rPr>
              <w:t>4</w:t>
            </w:r>
            <w:r>
              <w:rPr>
                <w:rFonts w:ascii="Times New Roman" w:hAnsi="Times New Roman" w:eastAsia="宋体" w:cs="Times New Roman"/>
                <w:color w:val="auto"/>
                <w:highlight w:val="none"/>
              </w:rPr>
              <w:t>.8m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49" w:hRule="atLeast"/>
          <w:jc w:val="center"/>
        </w:trPr>
        <w:tc>
          <w:tcPr>
            <w:tcW w:w="655" w:type="dxa"/>
            <w:vMerge w:val="continue"/>
            <w:noWrap w:val="0"/>
            <w:vAlign w:val="center"/>
          </w:tcPr>
          <w:p>
            <w:pPr>
              <w:pStyle w:val="141"/>
              <w:spacing w:line="260" w:lineRule="exact"/>
              <w:ind w:firstLine="420"/>
              <w:rPr>
                <w:rFonts w:ascii="Times New Roman" w:hAnsi="Times New Roman" w:eastAsia="宋体"/>
                <w:color w:val="auto"/>
                <w:highlight w:val="none"/>
              </w:rPr>
            </w:pPr>
          </w:p>
        </w:tc>
        <w:tc>
          <w:tcPr>
            <w:tcW w:w="1656" w:type="dxa"/>
            <w:vMerge w:val="continue"/>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p>
        </w:tc>
        <w:tc>
          <w:tcPr>
            <w:tcW w:w="112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COD</w:t>
            </w:r>
            <w:r>
              <w:rPr>
                <w:rFonts w:ascii="Times New Roman" w:hAnsi="Times New Roman" w:eastAsia="宋体" w:cs="Times New Roman"/>
                <w:color w:val="auto"/>
                <w:sz w:val="21"/>
                <w:szCs w:val="21"/>
                <w:highlight w:val="none"/>
                <w:vertAlign w:val="subscript"/>
              </w:rPr>
              <w:t>Cr</w:t>
            </w:r>
          </w:p>
        </w:tc>
        <w:tc>
          <w:tcPr>
            <w:tcW w:w="211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highlight w:val="none"/>
              </w:rPr>
              <w:t>1.4</w:t>
            </w:r>
            <w:r>
              <w:rPr>
                <w:rFonts w:ascii="Times New Roman" w:hAnsi="Times New Roman" w:eastAsia="宋体" w:cs="Times New Roman"/>
                <w:color w:val="auto"/>
                <w:highlight w:val="none"/>
              </w:rPr>
              <w:t>4kg/d</w:t>
            </w:r>
          </w:p>
        </w:tc>
        <w:tc>
          <w:tcPr>
            <w:tcW w:w="1789"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rPr>
              <w:t>21</w:t>
            </w:r>
            <w:r>
              <w:rPr>
                <w:rFonts w:ascii="Times New Roman" w:hAnsi="Times New Roman" w:eastAsia="宋体" w:cs="Times New Roman"/>
                <w:color w:val="auto"/>
                <w:sz w:val="21"/>
                <w:szCs w:val="21"/>
                <w:highlight w:val="none"/>
              </w:rPr>
              <w:t>6</w:t>
            </w:r>
            <w:r>
              <w:rPr>
                <w:rFonts w:ascii="Times New Roman" w:hAnsi="Times New Roman" w:eastAsia="宋体" w:cs="Times New Roman"/>
                <w:color w:val="auto"/>
                <w:highlight w:val="none"/>
              </w:rPr>
              <w:t>kg/d</w:t>
            </w:r>
          </w:p>
        </w:tc>
        <w:tc>
          <w:tcPr>
            <w:tcW w:w="1731"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highlight w:val="none"/>
              </w:rPr>
              <w:t>1.224</w:t>
            </w:r>
            <w:r>
              <w:rPr>
                <w:rFonts w:ascii="Times New Roman" w:hAnsi="Times New Roman" w:eastAsia="宋体" w:cs="Times New Roman"/>
                <w:color w:val="auto"/>
                <w:highlight w:val="none"/>
              </w:rPr>
              <w:t>kg/d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49" w:hRule="atLeast"/>
          <w:jc w:val="center"/>
        </w:trPr>
        <w:tc>
          <w:tcPr>
            <w:tcW w:w="655" w:type="dxa"/>
            <w:vMerge w:val="continue"/>
            <w:noWrap w:val="0"/>
            <w:vAlign w:val="center"/>
          </w:tcPr>
          <w:p>
            <w:pPr>
              <w:pStyle w:val="141"/>
              <w:spacing w:line="260" w:lineRule="exact"/>
              <w:ind w:firstLine="420"/>
              <w:rPr>
                <w:rFonts w:ascii="Times New Roman" w:hAnsi="Times New Roman" w:eastAsia="宋体"/>
                <w:color w:val="auto"/>
                <w:highlight w:val="none"/>
              </w:rPr>
            </w:pPr>
          </w:p>
        </w:tc>
        <w:tc>
          <w:tcPr>
            <w:tcW w:w="1656" w:type="dxa"/>
            <w:vMerge w:val="continue"/>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p>
        </w:tc>
        <w:tc>
          <w:tcPr>
            <w:tcW w:w="112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BOD</w:t>
            </w:r>
            <w:r>
              <w:rPr>
                <w:rFonts w:ascii="Times New Roman" w:hAnsi="Times New Roman" w:eastAsia="宋体" w:cs="Times New Roman"/>
                <w:color w:val="auto"/>
                <w:sz w:val="21"/>
                <w:szCs w:val="21"/>
                <w:highlight w:val="none"/>
                <w:vertAlign w:val="subscript"/>
              </w:rPr>
              <w:t>5</w:t>
            </w:r>
          </w:p>
        </w:tc>
        <w:tc>
          <w:tcPr>
            <w:tcW w:w="211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highlight w:val="none"/>
              </w:rPr>
              <w:t>0.96</w:t>
            </w:r>
            <w:r>
              <w:rPr>
                <w:rFonts w:ascii="Times New Roman" w:hAnsi="Times New Roman" w:eastAsia="宋体" w:cs="Times New Roman"/>
                <w:color w:val="auto"/>
                <w:highlight w:val="none"/>
              </w:rPr>
              <w:t>kg/d</w:t>
            </w:r>
          </w:p>
        </w:tc>
        <w:tc>
          <w:tcPr>
            <w:tcW w:w="1789"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rPr>
              <w:t>096</w:t>
            </w:r>
            <w:r>
              <w:rPr>
                <w:rFonts w:ascii="Times New Roman" w:hAnsi="Times New Roman" w:eastAsia="宋体" w:cs="Times New Roman"/>
                <w:color w:val="auto"/>
                <w:highlight w:val="none"/>
              </w:rPr>
              <w:t>kg/d</w:t>
            </w:r>
          </w:p>
        </w:tc>
        <w:tc>
          <w:tcPr>
            <w:tcW w:w="1731"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highlight w:val="none"/>
              </w:rPr>
              <w:t>0.</w:t>
            </w:r>
            <w:r>
              <w:rPr>
                <w:rFonts w:hint="eastAsia" w:ascii="Times New Roman" w:hAnsi="Times New Roman" w:eastAsia="宋体" w:cs="Times New Roman"/>
                <w:color w:val="auto"/>
                <w:highlight w:val="none"/>
              </w:rPr>
              <w:t>864</w:t>
            </w:r>
            <w:r>
              <w:rPr>
                <w:rFonts w:ascii="Times New Roman" w:hAnsi="Times New Roman" w:eastAsia="宋体" w:cs="Times New Roman"/>
                <w:color w:val="auto"/>
                <w:highlight w:val="none"/>
              </w:rPr>
              <w:t>kg/d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49" w:hRule="atLeast"/>
          <w:jc w:val="center"/>
        </w:trPr>
        <w:tc>
          <w:tcPr>
            <w:tcW w:w="655" w:type="dxa"/>
            <w:vMerge w:val="continue"/>
            <w:noWrap w:val="0"/>
            <w:vAlign w:val="center"/>
          </w:tcPr>
          <w:p>
            <w:pPr>
              <w:pStyle w:val="141"/>
              <w:spacing w:line="260" w:lineRule="exact"/>
              <w:ind w:firstLine="420"/>
              <w:rPr>
                <w:rFonts w:ascii="Times New Roman" w:hAnsi="Times New Roman" w:eastAsia="宋体"/>
                <w:color w:val="auto"/>
                <w:highlight w:val="none"/>
              </w:rPr>
            </w:pPr>
          </w:p>
        </w:tc>
        <w:tc>
          <w:tcPr>
            <w:tcW w:w="1656" w:type="dxa"/>
            <w:vMerge w:val="continue"/>
            <w:noWrap w:val="0"/>
            <w:vAlign w:val="center"/>
          </w:tcPr>
          <w:p>
            <w:pPr>
              <w:pStyle w:val="121"/>
              <w:adjustRightInd w:val="0"/>
              <w:snapToGrid w:val="0"/>
              <w:spacing w:line="260" w:lineRule="exact"/>
              <w:ind w:firstLine="420"/>
              <w:jc w:val="center"/>
              <w:rPr>
                <w:rFonts w:ascii="Times New Roman" w:hAnsi="Times New Roman" w:eastAsia="宋体" w:cs="Times New Roman"/>
                <w:color w:val="auto"/>
                <w:sz w:val="21"/>
                <w:szCs w:val="21"/>
                <w:highlight w:val="none"/>
              </w:rPr>
            </w:pPr>
          </w:p>
        </w:tc>
        <w:tc>
          <w:tcPr>
            <w:tcW w:w="112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SS</w:t>
            </w:r>
          </w:p>
        </w:tc>
        <w:tc>
          <w:tcPr>
            <w:tcW w:w="211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highlight w:val="none"/>
              </w:rPr>
              <w:t>0.</w:t>
            </w:r>
            <w:r>
              <w:rPr>
                <w:rFonts w:hint="eastAsia" w:ascii="Times New Roman" w:hAnsi="Times New Roman" w:eastAsia="宋体" w:cs="Times New Roman"/>
                <w:color w:val="auto"/>
                <w:highlight w:val="none"/>
              </w:rPr>
              <w:t>96</w:t>
            </w:r>
            <w:r>
              <w:rPr>
                <w:rFonts w:ascii="Times New Roman" w:hAnsi="Times New Roman" w:eastAsia="宋体" w:cs="Times New Roman"/>
                <w:color w:val="auto"/>
                <w:highlight w:val="none"/>
              </w:rPr>
              <w:t>kg/d</w:t>
            </w:r>
          </w:p>
        </w:tc>
        <w:tc>
          <w:tcPr>
            <w:tcW w:w="1789"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rPr>
              <w:t>288</w:t>
            </w:r>
            <w:r>
              <w:rPr>
                <w:rFonts w:ascii="Times New Roman" w:hAnsi="Times New Roman" w:eastAsia="宋体" w:cs="Times New Roman"/>
                <w:color w:val="auto"/>
                <w:highlight w:val="none"/>
              </w:rPr>
              <w:t>kg/d</w:t>
            </w:r>
          </w:p>
        </w:tc>
        <w:tc>
          <w:tcPr>
            <w:tcW w:w="1731"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highlight w:val="none"/>
              </w:rPr>
              <w:t>0.</w:t>
            </w:r>
            <w:r>
              <w:rPr>
                <w:rFonts w:hint="eastAsia" w:ascii="Times New Roman" w:hAnsi="Times New Roman" w:eastAsia="宋体" w:cs="Times New Roman"/>
                <w:color w:val="auto"/>
                <w:highlight w:val="none"/>
              </w:rPr>
              <w:t>672</w:t>
            </w:r>
            <w:r>
              <w:rPr>
                <w:rFonts w:ascii="Times New Roman" w:hAnsi="Times New Roman" w:eastAsia="宋体" w:cs="Times New Roman"/>
                <w:color w:val="auto"/>
                <w:highlight w:val="none"/>
              </w:rPr>
              <w:t>kg/d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49" w:hRule="atLeast"/>
          <w:jc w:val="center"/>
        </w:trPr>
        <w:tc>
          <w:tcPr>
            <w:tcW w:w="655" w:type="dxa"/>
            <w:vMerge w:val="continue"/>
            <w:noWrap w:val="0"/>
            <w:vAlign w:val="center"/>
          </w:tcPr>
          <w:p>
            <w:pPr>
              <w:pStyle w:val="141"/>
              <w:spacing w:line="260" w:lineRule="exact"/>
              <w:ind w:firstLine="420"/>
              <w:rPr>
                <w:rFonts w:ascii="Times New Roman" w:hAnsi="Times New Roman" w:eastAsia="宋体"/>
                <w:color w:val="auto"/>
                <w:highlight w:val="none"/>
              </w:rPr>
            </w:pPr>
          </w:p>
        </w:tc>
        <w:tc>
          <w:tcPr>
            <w:tcW w:w="1656" w:type="dxa"/>
            <w:vMerge w:val="continue"/>
            <w:noWrap w:val="0"/>
            <w:vAlign w:val="center"/>
          </w:tcPr>
          <w:p>
            <w:pPr>
              <w:pStyle w:val="121"/>
              <w:adjustRightInd w:val="0"/>
              <w:snapToGrid w:val="0"/>
              <w:spacing w:line="260" w:lineRule="exact"/>
              <w:ind w:firstLine="420"/>
              <w:jc w:val="center"/>
              <w:rPr>
                <w:rFonts w:ascii="Times New Roman" w:hAnsi="Times New Roman" w:eastAsia="宋体" w:cs="Times New Roman"/>
                <w:color w:val="auto"/>
                <w:sz w:val="21"/>
                <w:szCs w:val="21"/>
                <w:highlight w:val="none"/>
              </w:rPr>
            </w:pPr>
          </w:p>
        </w:tc>
        <w:tc>
          <w:tcPr>
            <w:tcW w:w="112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NH</w:t>
            </w:r>
            <w:r>
              <w:rPr>
                <w:rFonts w:ascii="Times New Roman" w:hAnsi="Times New Roman" w:eastAsia="宋体" w:cs="Times New Roman"/>
                <w:color w:val="auto"/>
                <w:sz w:val="21"/>
                <w:szCs w:val="21"/>
                <w:highlight w:val="none"/>
                <w:vertAlign w:val="subscript"/>
              </w:rPr>
              <w:t>3</w:t>
            </w:r>
            <w:r>
              <w:rPr>
                <w:rFonts w:ascii="Times New Roman" w:hAnsi="Times New Roman" w:eastAsia="宋体" w:cs="Times New Roman"/>
                <w:color w:val="auto"/>
                <w:sz w:val="21"/>
                <w:szCs w:val="21"/>
                <w:highlight w:val="none"/>
              </w:rPr>
              <w:t>-N</w:t>
            </w:r>
          </w:p>
        </w:tc>
        <w:tc>
          <w:tcPr>
            <w:tcW w:w="211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highlight w:val="none"/>
              </w:rPr>
              <w:t>0.</w:t>
            </w:r>
            <w:r>
              <w:rPr>
                <w:rFonts w:hint="eastAsia" w:ascii="Times New Roman" w:hAnsi="Times New Roman" w:eastAsia="宋体" w:cs="Times New Roman"/>
                <w:color w:val="auto"/>
                <w:highlight w:val="none"/>
              </w:rPr>
              <w:t>144</w:t>
            </w:r>
            <w:r>
              <w:rPr>
                <w:rFonts w:ascii="Times New Roman" w:hAnsi="Times New Roman" w:eastAsia="宋体" w:cs="Times New Roman"/>
                <w:color w:val="auto"/>
                <w:highlight w:val="none"/>
              </w:rPr>
              <w:t>kg/d</w:t>
            </w:r>
          </w:p>
        </w:tc>
        <w:tc>
          <w:tcPr>
            <w:tcW w:w="1789"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p>
        </w:tc>
        <w:tc>
          <w:tcPr>
            <w:tcW w:w="1731"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highlight w:val="none"/>
              </w:rPr>
              <w:t>0.</w:t>
            </w:r>
            <w:r>
              <w:rPr>
                <w:rFonts w:hint="eastAsia" w:ascii="Times New Roman" w:hAnsi="Times New Roman" w:eastAsia="宋体" w:cs="Times New Roman"/>
                <w:color w:val="auto"/>
                <w:highlight w:val="none"/>
              </w:rPr>
              <w:t>144</w:t>
            </w:r>
            <w:r>
              <w:rPr>
                <w:rFonts w:ascii="Times New Roman" w:hAnsi="Times New Roman" w:eastAsia="宋体" w:cs="Times New Roman"/>
                <w:color w:val="auto"/>
                <w:highlight w:val="none"/>
              </w:rPr>
              <w:t>kg/d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49" w:hRule="atLeast"/>
          <w:jc w:val="center"/>
        </w:trPr>
        <w:tc>
          <w:tcPr>
            <w:tcW w:w="65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噪声</w:t>
            </w:r>
          </w:p>
        </w:tc>
        <w:tc>
          <w:tcPr>
            <w:tcW w:w="1656"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施工机械、设备</w:t>
            </w:r>
          </w:p>
        </w:tc>
        <w:tc>
          <w:tcPr>
            <w:tcW w:w="112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Leq（A）</w:t>
            </w:r>
          </w:p>
        </w:tc>
        <w:tc>
          <w:tcPr>
            <w:tcW w:w="2115" w:type="dxa"/>
            <w:noWrap w:val="0"/>
            <w:vAlign w:val="center"/>
          </w:tcPr>
          <w:p>
            <w:pPr>
              <w:pStyle w:val="17"/>
              <w:adjustRightInd w:val="0"/>
              <w:snapToGrid w:val="0"/>
              <w:jc w:val="both"/>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8</w:t>
            </w:r>
            <w:r>
              <w:rPr>
                <w:rFonts w:ascii="Times New Roman" w:hAnsi="Times New Roman" w:eastAsia="宋体" w:cs="Times New Roman"/>
                <w:color w:val="auto"/>
                <w:sz w:val="21"/>
                <w:szCs w:val="21"/>
                <w:highlight w:val="none"/>
              </w:rPr>
              <w:t>5dB（A）～9</w:t>
            </w:r>
            <w:r>
              <w:rPr>
                <w:rFonts w:hint="eastAsia" w:ascii="Times New Roman" w:hAnsi="Times New Roman" w:eastAsia="宋体" w:cs="Times New Roman"/>
                <w:color w:val="auto"/>
                <w:sz w:val="21"/>
                <w:szCs w:val="21"/>
                <w:highlight w:val="none"/>
              </w:rPr>
              <w:t>0</w:t>
            </w:r>
            <w:r>
              <w:rPr>
                <w:rFonts w:ascii="Times New Roman" w:hAnsi="Times New Roman" w:eastAsia="宋体" w:cs="Times New Roman"/>
                <w:color w:val="auto"/>
                <w:sz w:val="21"/>
                <w:szCs w:val="21"/>
                <w:highlight w:val="none"/>
              </w:rPr>
              <w:t>dB（A）</w:t>
            </w:r>
          </w:p>
        </w:tc>
        <w:tc>
          <w:tcPr>
            <w:tcW w:w="1789" w:type="dxa"/>
            <w:noWrap w:val="0"/>
            <w:vAlign w:val="center"/>
          </w:tcPr>
          <w:p>
            <w:pPr>
              <w:pStyle w:val="17"/>
              <w:adjustRightInd w:val="0"/>
              <w:snapToGrid w:val="0"/>
              <w:jc w:val="both"/>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10 dB（A）～20dB（A）</w:t>
            </w:r>
          </w:p>
        </w:tc>
        <w:tc>
          <w:tcPr>
            <w:tcW w:w="1731" w:type="dxa"/>
            <w:noWrap w:val="0"/>
            <w:vAlign w:val="center"/>
          </w:tcPr>
          <w:p>
            <w:pPr>
              <w:pStyle w:val="17"/>
              <w:adjustRightInd w:val="0"/>
              <w:snapToGrid w:val="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55dB（A）～75dB（A）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49" w:hRule="atLeast"/>
          <w:jc w:val="center"/>
        </w:trPr>
        <w:tc>
          <w:tcPr>
            <w:tcW w:w="655" w:type="dxa"/>
            <w:vMerge w:val="restart"/>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固体废物</w:t>
            </w:r>
          </w:p>
        </w:tc>
        <w:tc>
          <w:tcPr>
            <w:tcW w:w="1656"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施工场地</w:t>
            </w:r>
          </w:p>
        </w:tc>
        <w:tc>
          <w:tcPr>
            <w:tcW w:w="112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建筑垃圾</w:t>
            </w:r>
          </w:p>
        </w:tc>
        <w:tc>
          <w:tcPr>
            <w:tcW w:w="211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75</w:t>
            </w:r>
            <w:r>
              <w:rPr>
                <w:rFonts w:ascii="Times New Roman" w:hAnsi="Times New Roman" w:eastAsia="宋体" w:cs="Times New Roman"/>
                <w:color w:val="auto"/>
                <w:sz w:val="21"/>
                <w:szCs w:val="21"/>
                <w:highlight w:val="none"/>
              </w:rPr>
              <w:t>t</w:t>
            </w:r>
          </w:p>
        </w:tc>
        <w:tc>
          <w:tcPr>
            <w:tcW w:w="1789"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75t</w:t>
            </w:r>
          </w:p>
        </w:tc>
        <w:tc>
          <w:tcPr>
            <w:tcW w:w="1731"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49" w:hRule="atLeast"/>
          <w:jc w:val="center"/>
        </w:trPr>
        <w:tc>
          <w:tcPr>
            <w:tcW w:w="655" w:type="dxa"/>
            <w:vMerge w:val="continue"/>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p>
        </w:tc>
        <w:tc>
          <w:tcPr>
            <w:tcW w:w="1656"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施工场地</w:t>
            </w:r>
          </w:p>
        </w:tc>
        <w:tc>
          <w:tcPr>
            <w:tcW w:w="112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生活垃圾</w:t>
            </w:r>
          </w:p>
        </w:tc>
        <w:tc>
          <w:tcPr>
            <w:tcW w:w="2115"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highlight w:val="none"/>
              </w:rPr>
              <w:t>0.04t</w:t>
            </w:r>
            <w:r>
              <w:rPr>
                <w:rFonts w:ascii="Times New Roman" w:hAnsi="Times New Roman" w:eastAsia="宋体" w:cs="Times New Roman"/>
                <w:color w:val="auto"/>
                <w:highlight w:val="none"/>
              </w:rPr>
              <w:t>/d</w:t>
            </w:r>
          </w:p>
        </w:tc>
        <w:tc>
          <w:tcPr>
            <w:tcW w:w="1789" w:type="dxa"/>
            <w:noWrap w:val="0"/>
            <w:vAlign w:val="center"/>
          </w:tcPr>
          <w:p>
            <w:pPr>
              <w:pStyle w:val="17"/>
              <w:adjustRightInd w:val="0"/>
              <w:snapToGrid w:val="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highlight w:val="none"/>
              </w:rPr>
              <w:t>0.04t</w:t>
            </w:r>
            <w:r>
              <w:rPr>
                <w:rFonts w:ascii="Times New Roman" w:hAnsi="Times New Roman" w:eastAsia="宋体" w:cs="Times New Roman"/>
                <w:color w:val="auto"/>
                <w:highlight w:val="none"/>
              </w:rPr>
              <w:t>/d</w:t>
            </w:r>
          </w:p>
        </w:tc>
        <w:tc>
          <w:tcPr>
            <w:tcW w:w="1731" w:type="dxa"/>
            <w:noWrap w:val="0"/>
            <w:vAlign w:val="center"/>
          </w:tcPr>
          <w:p>
            <w:pPr>
              <w:pStyle w:val="17"/>
              <w:adjustRightInd w:val="0"/>
              <w:snapToGrid w:val="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w:t>
            </w:r>
          </w:p>
        </w:tc>
      </w:tr>
    </w:tbl>
    <w:p>
      <w:pPr>
        <w:pStyle w:val="5"/>
        <w:rPr>
          <w:rFonts w:ascii="Times New Roman" w:hAnsi="Times New Roman" w:eastAsia="宋体"/>
          <w:color w:val="auto"/>
          <w:highlight w:val="none"/>
        </w:rPr>
      </w:pPr>
      <w:r>
        <w:rPr>
          <w:rFonts w:ascii="Times New Roman" w:hAnsi="Times New Roman" w:eastAsia="宋体"/>
          <w:color w:val="auto"/>
          <w:highlight w:val="none"/>
        </w:rPr>
        <w:t>2.</w:t>
      </w:r>
      <w:r>
        <w:rPr>
          <w:rFonts w:hint="eastAsia" w:ascii="Times New Roman" w:hAnsi="Times New Roman" w:eastAsia="宋体"/>
          <w:color w:val="auto"/>
          <w:highlight w:val="none"/>
        </w:rPr>
        <w:t>5</w:t>
      </w:r>
      <w:r>
        <w:rPr>
          <w:rFonts w:ascii="Times New Roman" w:hAnsi="Times New Roman" w:eastAsia="宋体"/>
          <w:color w:val="auto"/>
          <w:highlight w:val="none"/>
        </w:rPr>
        <w:t>.5 运营期污染源分析</w:t>
      </w:r>
    </w:p>
    <w:p>
      <w:pPr>
        <w:pStyle w:val="6"/>
        <w:rPr>
          <w:rFonts w:ascii="Times New Roman" w:hAnsi="Times New Roman" w:eastAsia="宋体"/>
          <w:color w:val="auto"/>
          <w:highlight w:val="none"/>
        </w:rPr>
      </w:pPr>
      <w:r>
        <w:rPr>
          <w:rFonts w:ascii="Times New Roman" w:hAnsi="Times New Roman" w:eastAsia="宋体"/>
          <w:color w:val="auto"/>
          <w:highlight w:val="none"/>
        </w:rPr>
        <w:t>2.</w:t>
      </w:r>
      <w:r>
        <w:rPr>
          <w:rFonts w:hint="eastAsia" w:ascii="Times New Roman" w:hAnsi="Times New Roman" w:eastAsia="宋体"/>
          <w:color w:val="auto"/>
          <w:highlight w:val="none"/>
        </w:rPr>
        <w:t>5</w:t>
      </w:r>
      <w:r>
        <w:rPr>
          <w:rFonts w:ascii="Times New Roman" w:hAnsi="Times New Roman" w:eastAsia="宋体"/>
          <w:color w:val="auto"/>
          <w:highlight w:val="none"/>
        </w:rPr>
        <w:t>.5.1 废气</w:t>
      </w:r>
    </w:p>
    <w:p>
      <w:pPr>
        <w:widowControl/>
        <w:adjustRightInd w:val="0"/>
        <w:snapToGrid w:val="0"/>
        <w:ind w:firstLine="480"/>
        <w:rPr>
          <w:rFonts w:ascii="Times New Roman" w:hAnsi="Times New Roman" w:eastAsia="宋体" w:cs="Times New Roman"/>
          <w:color w:val="auto"/>
          <w:szCs w:val="24"/>
          <w:highlight w:val="none"/>
        </w:rPr>
      </w:pPr>
      <w:bookmarkStart w:id="126" w:name="_Toc42935042"/>
      <w:r>
        <w:rPr>
          <w:rFonts w:ascii="Times New Roman" w:hAnsi="Times New Roman" w:eastAsia="宋体" w:cs="Times New Roman"/>
          <w:color w:val="auto"/>
          <w:szCs w:val="24"/>
          <w:highlight w:val="none"/>
        </w:rPr>
        <w:t>项目废气污染源主要为露天开采工作面（凿岩钻孔、爆破、采装、破碎筛分、堆料场、装卸等过程）产生的颗粒物；爆破过程产生的废气；转运过程产生的汽车尾气；职工生活产生的厨房油烟和燃气废气等。</w:t>
      </w:r>
    </w:p>
    <w:p>
      <w:pPr>
        <w:ind w:firstLine="482"/>
        <w:rPr>
          <w:rFonts w:ascii="Times New Roman" w:hAnsi="Times New Roman" w:eastAsia="宋体"/>
          <w:b/>
          <w:bCs/>
          <w:color w:val="auto"/>
          <w:highlight w:val="none"/>
        </w:rPr>
      </w:pPr>
      <w:r>
        <w:rPr>
          <w:rFonts w:hint="eastAsia" w:ascii="Times New Roman" w:hAnsi="Times New Roman" w:eastAsia="宋体"/>
          <w:b/>
          <w:bCs/>
          <w:color w:val="auto"/>
          <w:highlight w:val="none"/>
        </w:rPr>
        <w:t>1、矿石开采加工过程排放</w:t>
      </w:r>
    </w:p>
    <w:p>
      <w:pPr>
        <w:ind w:firstLine="480" w:firstLineChars="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1）表土剥离</w:t>
      </w:r>
    </w:p>
    <w:p>
      <w:pPr>
        <w:ind w:firstLine="480" w:firstLineChars="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项目矿区</w:t>
      </w:r>
      <w:r>
        <w:rPr>
          <w:rFonts w:hint="eastAsia" w:ascii="Times New Roman" w:hAnsi="Times New Roman" w:eastAsia="宋体" w:cs="Times New Roman"/>
          <w:color w:val="auto"/>
          <w:szCs w:val="24"/>
          <w:highlight w:val="none"/>
        </w:rPr>
        <w:t>硅质岩</w:t>
      </w:r>
      <w:r>
        <w:rPr>
          <w:rFonts w:ascii="Times New Roman" w:hAnsi="Times New Roman" w:eastAsia="宋体" w:cs="Times New Roman"/>
          <w:color w:val="auto"/>
          <w:szCs w:val="24"/>
          <w:highlight w:val="none"/>
        </w:rPr>
        <w:t>矿体基本裸露地表，仅局部被少量薄层表土覆盖，清理表土采用的设备为挖掘机，剥离过程中在挖掘机附近区域会有扬尘产生，其影响范围与天气状况和矿山表土性质有关，一般在数米之内。</w:t>
      </w:r>
      <w:r>
        <w:rPr>
          <w:rFonts w:hint="eastAsia" w:cs="Times New Roman"/>
          <w:color w:val="auto"/>
          <w:szCs w:val="24"/>
          <w:highlight w:val="none"/>
          <w:u w:val="single"/>
          <w:lang w:val="en-US" w:eastAsia="zh-CN"/>
        </w:rPr>
        <w:t>表土剥离</w:t>
      </w:r>
      <w:r>
        <w:rPr>
          <w:rFonts w:ascii="Times New Roman" w:hAnsi="Times New Roman" w:eastAsia="宋体" w:cs="Times New Roman"/>
          <w:color w:val="auto"/>
          <w:szCs w:val="24"/>
          <w:highlight w:val="none"/>
          <w:u w:val="single"/>
        </w:rPr>
        <w:t>颗粒物产生量较少，本项目</w:t>
      </w:r>
      <w:r>
        <w:rPr>
          <w:rFonts w:hint="eastAsia" w:cs="Times New Roman"/>
          <w:color w:val="auto"/>
          <w:szCs w:val="24"/>
          <w:highlight w:val="none"/>
          <w:u w:val="single"/>
          <w:lang w:val="en-US" w:eastAsia="zh-CN"/>
        </w:rPr>
        <w:t>在</w:t>
      </w:r>
      <w:r>
        <w:rPr>
          <w:rFonts w:ascii="Times New Roman" w:hAnsi="Times New Roman" w:eastAsia="宋体" w:cs="Times New Roman"/>
          <w:color w:val="auto"/>
          <w:szCs w:val="24"/>
          <w:highlight w:val="none"/>
          <w:u w:val="single"/>
        </w:rPr>
        <w:t>表土</w:t>
      </w:r>
      <w:r>
        <w:rPr>
          <w:rFonts w:hint="eastAsia" w:cs="Times New Roman"/>
          <w:color w:val="auto"/>
          <w:szCs w:val="24"/>
          <w:highlight w:val="none"/>
          <w:u w:val="single"/>
          <w:lang w:val="en-US" w:eastAsia="zh-CN"/>
        </w:rPr>
        <w:t>剥离前进行洒水作业，增加表土层</w:t>
      </w:r>
      <w:r>
        <w:rPr>
          <w:rFonts w:ascii="Times New Roman" w:hAnsi="Times New Roman" w:eastAsia="宋体" w:cs="Times New Roman"/>
          <w:color w:val="auto"/>
          <w:szCs w:val="24"/>
          <w:highlight w:val="none"/>
          <w:u w:val="single"/>
        </w:rPr>
        <w:t>含水量，</w:t>
      </w:r>
      <w:r>
        <w:rPr>
          <w:rFonts w:hint="eastAsia" w:cs="Times New Roman"/>
          <w:color w:val="auto"/>
          <w:szCs w:val="24"/>
          <w:highlight w:val="none"/>
          <w:u w:val="single"/>
          <w:lang w:val="en-US" w:eastAsia="zh-CN"/>
        </w:rPr>
        <w:t>可大大降低表土剥离过程粉尘产生量，故</w:t>
      </w:r>
      <w:r>
        <w:rPr>
          <w:rFonts w:ascii="Times New Roman" w:hAnsi="Times New Roman" w:eastAsia="宋体" w:cs="Times New Roman"/>
          <w:color w:val="auto"/>
          <w:szCs w:val="24"/>
          <w:highlight w:val="none"/>
          <w:u w:val="single"/>
        </w:rPr>
        <w:t>本环评</w:t>
      </w:r>
      <w:r>
        <w:rPr>
          <w:rFonts w:hint="eastAsia" w:cs="Times New Roman"/>
          <w:color w:val="auto"/>
          <w:szCs w:val="24"/>
          <w:highlight w:val="none"/>
          <w:u w:val="single"/>
          <w:lang w:val="en-US" w:eastAsia="zh-CN"/>
        </w:rPr>
        <w:t>不考虑</w:t>
      </w:r>
      <w:r>
        <w:rPr>
          <w:rFonts w:ascii="Times New Roman" w:hAnsi="Times New Roman" w:eastAsia="宋体" w:cs="Times New Roman"/>
          <w:color w:val="auto"/>
          <w:szCs w:val="24"/>
          <w:highlight w:val="none"/>
          <w:u w:val="single"/>
        </w:rPr>
        <w:t>表土剥离过程的</w:t>
      </w:r>
      <w:r>
        <w:rPr>
          <w:rFonts w:hint="eastAsia" w:cs="Times New Roman"/>
          <w:color w:val="auto"/>
          <w:szCs w:val="24"/>
          <w:highlight w:val="none"/>
          <w:u w:val="single"/>
          <w:lang w:val="en-US" w:eastAsia="zh-CN"/>
        </w:rPr>
        <w:t>粉尘的影响</w:t>
      </w:r>
      <w:r>
        <w:rPr>
          <w:rFonts w:ascii="Times New Roman" w:hAnsi="Times New Roman" w:eastAsia="宋体" w:cs="Times New Roman"/>
          <w:color w:val="auto"/>
          <w:szCs w:val="24"/>
          <w:highlight w:val="none"/>
          <w:u w:val="single"/>
        </w:rPr>
        <w:t>。</w:t>
      </w:r>
    </w:p>
    <w:p>
      <w:pPr>
        <w:ind w:firstLine="480" w:firstLineChars="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2）凿岩钻孔</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szCs w:val="24"/>
          <w:highlight w:val="none"/>
        </w:rPr>
        <w:t>凿岩钻孔时，钻头撞击岩石产生颗粒物。参照《逸散性工业颗粒物控制技术》（中国环境科学出版社）表1-17数据，钻孔颗粒物的排放系数为0.004kg/t（矿石），项目年开采量为</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0万吨，则矿山钻孔过程颗粒物产生量为</w:t>
      </w:r>
      <w:r>
        <w:rPr>
          <w:rFonts w:hint="eastAsia" w:ascii="Times New Roman" w:hAnsi="Times New Roman" w:eastAsia="宋体" w:cs="Times New Roman"/>
          <w:color w:val="auto"/>
          <w:szCs w:val="24"/>
          <w:highlight w:val="none"/>
        </w:rPr>
        <w:t>2</w:t>
      </w:r>
      <w:r>
        <w:rPr>
          <w:rFonts w:ascii="Times New Roman" w:hAnsi="Times New Roman" w:eastAsia="宋体" w:cs="Times New Roman"/>
          <w:color w:val="auto"/>
          <w:szCs w:val="24"/>
          <w:highlight w:val="none"/>
        </w:rPr>
        <w:t>.0t/a。在未设防尘措施的条件下，长时间工作的作业场所空气中含尘量可达60~800mg/m</w:t>
      </w:r>
      <w:r>
        <w:rPr>
          <w:rFonts w:ascii="Times New Roman" w:hAnsi="Times New Roman" w:eastAsia="宋体" w:cs="Times New Roman"/>
          <w:color w:val="auto"/>
          <w:szCs w:val="24"/>
          <w:highlight w:val="none"/>
          <w:vertAlign w:val="superscript"/>
        </w:rPr>
        <w:t>3</w:t>
      </w:r>
      <w:r>
        <w:rPr>
          <w:rFonts w:ascii="Times New Roman" w:hAnsi="Times New Roman" w:eastAsia="宋体" w:cs="Times New Roman"/>
          <w:color w:val="auto"/>
          <w:szCs w:val="24"/>
          <w:highlight w:val="none"/>
        </w:rPr>
        <w:t>，凿</w:t>
      </w:r>
      <w:r>
        <w:rPr>
          <w:rFonts w:ascii="Times New Roman" w:hAnsi="Times New Roman" w:eastAsia="宋体" w:cs="Times New Roman"/>
          <w:color w:val="auto"/>
          <w:highlight w:val="none"/>
        </w:rPr>
        <w:t>岩钻孔颗粒物影响范围一般在20m以内，因此对钻孔工人产生影响较大。本项目采用湿式凿岩钻孔机作业，可以有效的减少颗粒物的产生，大部分颗粒物随水流沉淀下来。根据湿式作业法工作原理，湿式凿岩除尘是通过</w:t>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HYPERLINK "https://baike.sogou.com/lemma/ShowInnerLink.htm?lemmaId=7877624&amp;ss_c=ssc.citiao.link" \t "https://baike.sogou.com/_blank"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凿岩机</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t>钎杆的</w:t>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HYPERLINK "https://baike.sogou.com/lemma/ShowInnerLink.htm?lemmaId=57086990&amp;ss_c=ssc.citiao.link" \t "https://baike.sogou.com/_blank"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中心孔</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t>，将压力水送入钻孔底部，捕获和携带矿尘，并将其排于孔外。湿式凿岩作业，应先供水后供压气，停机时应先停压气后停水。向钻孔供水的方式为中心供水，即利用穿过凿岩机膛的水针，将凿岩机的供水阀与钎杆中心孔联通，压力水经水针、钎杆中心孔和钎头出水孔送到钻孔底部。根据《露天采矿湿式凿岩技术的试验与实践》（采矿技术，侯顺生，2012）一文，湿法作业时抑尘效率可达94%以上，本项目除尘效率取90%，故凿岩钻孔颗粒物</w:t>
      </w:r>
      <w:r>
        <w:rPr>
          <w:rFonts w:hint="eastAsia" w:ascii="Times New Roman" w:hAnsi="Times New Roman" w:eastAsia="宋体" w:cs="Times New Roman"/>
          <w:color w:val="auto"/>
          <w:highlight w:val="none"/>
        </w:rPr>
        <w:t>无组织</w:t>
      </w:r>
      <w:r>
        <w:rPr>
          <w:rFonts w:ascii="Times New Roman" w:hAnsi="Times New Roman" w:eastAsia="宋体" w:cs="Times New Roman"/>
          <w:color w:val="auto"/>
          <w:highlight w:val="none"/>
        </w:rPr>
        <w:t>排放量约为0.</w:t>
      </w:r>
      <w:r>
        <w:rPr>
          <w:rFonts w:hint="eastAsia" w:ascii="Times New Roman" w:hAnsi="Times New Roman" w:eastAsia="宋体" w:cs="Times New Roman"/>
          <w:color w:val="auto"/>
          <w:highlight w:val="none"/>
        </w:rPr>
        <w:t>2</w:t>
      </w:r>
      <w:r>
        <w:rPr>
          <w:rFonts w:ascii="Times New Roman" w:hAnsi="Times New Roman" w:eastAsia="宋体" w:cs="Times New Roman"/>
          <w:color w:val="auto"/>
          <w:highlight w:val="none"/>
        </w:rPr>
        <w:t>t/a。</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3）爆破</w:t>
      </w:r>
    </w:p>
    <w:p>
      <w:pPr>
        <w:ind w:firstLine="480"/>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矿山爆破使用乳化炸药和雷管，炸药的主要成分为硝酸铵，分子式：NH</w:t>
      </w:r>
      <w:r>
        <w:rPr>
          <w:rFonts w:ascii="Times New Roman" w:hAnsi="Times New Roman" w:eastAsia="宋体" w:cs="Times New Roman"/>
          <w:color w:val="auto"/>
          <w:kern w:val="0"/>
          <w:szCs w:val="24"/>
          <w:highlight w:val="none"/>
          <w:vertAlign w:val="subscript"/>
        </w:rPr>
        <w:t>4</w:t>
      </w:r>
      <w:r>
        <w:rPr>
          <w:rFonts w:ascii="Times New Roman" w:hAnsi="Times New Roman" w:eastAsia="宋体" w:cs="Times New Roman"/>
          <w:color w:val="auto"/>
          <w:kern w:val="0"/>
          <w:szCs w:val="24"/>
          <w:highlight w:val="none"/>
        </w:rPr>
        <w:t>NO</w:t>
      </w:r>
      <w:r>
        <w:rPr>
          <w:rFonts w:ascii="Times New Roman" w:hAnsi="Times New Roman" w:eastAsia="宋体" w:cs="Times New Roman"/>
          <w:color w:val="auto"/>
          <w:kern w:val="0"/>
          <w:szCs w:val="24"/>
          <w:highlight w:val="none"/>
          <w:vertAlign w:val="subscript"/>
        </w:rPr>
        <w:t>3</w:t>
      </w:r>
      <w:r>
        <w:rPr>
          <w:rFonts w:ascii="Times New Roman" w:hAnsi="Times New Roman" w:eastAsia="宋体" w:cs="Times New Roman"/>
          <w:color w:val="auto"/>
          <w:kern w:val="0"/>
          <w:szCs w:val="24"/>
          <w:highlight w:val="none"/>
        </w:rPr>
        <w:t>，分子量为80.05，是一种无色无臭的透明结晶或呈白色的小颗粒，有潮解性化学物品，极易溶于水。硝酸铵爆炸时威力较大，用于硬岩等各种土岩的井下或露天爆破。</w:t>
      </w:r>
    </w:p>
    <w:p>
      <w:pPr>
        <w:ind w:firstLine="480"/>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爆破时产生爆破炮烟，爆破炮烟中有毒有害气体主要是CO、NO</w:t>
      </w:r>
      <w:r>
        <w:rPr>
          <w:rFonts w:ascii="Times New Roman" w:hAnsi="Times New Roman" w:eastAsia="宋体" w:cs="Times New Roman"/>
          <w:color w:val="auto"/>
          <w:kern w:val="0"/>
          <w:szCs w:val="24"/>
          <w:highlight w:val="none"/>
          <w:vertAlign w:val="subscript"/>
        </w:rPr>
        <w:t>x</w:t>
      </w:r>
      <w:r>
        <w:rPr>
          <w:rFonts w:ascii="Times New Roman" w:hAnsi="Times New Roman" w:eastAsia="宋体" w:cs="Times New Roman"/>
          <w:color w:val="auto"/>
          <w:kern w:val="0"/>
          <w:szCs w:val="24"/>
          <w:highlight w:val="none"/>
        </w:rPr>
        <w:t>和颗粒物。CO、NO</w:t>
      </w:r>
      <w:r>
        <w:rPr>
          <w:rFonts w:ascii="Times New Roman" w:hAnsi="Times New Roman" w:eastAsia="宋体" w:cs="Times New Roman"/>
          <w:color w:val="auto"/>
          <w:kern w:val="0"/>
          <w:szCs w:val="24"/>
          <w:highlight w:val="none"/>
          <w:vertAlign w:val="subscript"/>
        </w:rPr>
        <w:t>x</w:t>
      </w:r>
      <w:r>
        <w:rPr>
          <w:rFonts w:ascii="Times New Roman" w:hAnsi="Times New Roman" w:eastAsia="宋体" w:cs="Times New Roman"/>
          <w:color w:val="auto"/>
          <w:kern w:val="0"/>
          <w:szCs w:val="24"/>
          <w:highlight w:val="none"/>
        </w:rPr>
        <w:t>和颗粒物的产生量与炸药使用量有关。根据《炮烟中有毒气体含量的确定》（吕早生.爆破.2004(9)）中实验测定，1kg岩石炸药爆炸后CO、NO</w:t>
      </w:r>
      <w:r>
        <w:rPr>
          <w:rFonts w:ascii="Times New Roman" w:hAnsi="Times New Roman" w:eastAsia="宋体" w:cs="Times New Roman"/>
          <w:color w:val="auto"/>
          <w:kern w:val="0"/>
          <w:szCs w:val="24"/>
          <w:highlight w:val="none"/>
          <w:vertAlign w:val="subscript"/>
        </w:rPr>
        <w:t>x</w:t>
      </w:r>
      <w:r>
        <w:rPr>
          <w:rFonts w:ascii="Times New Roman" w:hAnsi="Times New Roman" w:eastAsia="宋体" w:cs="Times New Roman"/>
          <w:color w:val="auto"/>
          <w:kern w:val="0"/>
          <w:szCs w:val="24"/>
          <w:highlight w:val="none"/>
        </w:rPr>
        <w:t>产生量分别为44.42g、11.50g。根据</w:t>
      </w:r>
      <w:r>
        <w:rPr>
          <w:rFonts w:ascii="Times New Roman" w:hAnsi="Times New Roman" w:eastAsia="宋体" w:cs="Times New Roman"/>
          <w:color w:val="auto"/>
          <w:szCs w:val="24"/>
          <w:highlight w:val="none"/>
        </w:rPr>
        <w:t>《逸散性工业颗粒物控制技术》（中国环境科学出版社），</w:t>
      </w:r>
      <w:r>
        <w:rPr>
          <w:rFonts w:hint="eastAsia" w:ascii="Times New Roman" w:hAnsi="Times New Roman" w:eastAsia="宋体" w:cs="Times New Roman"/>
          <w:color w:val="auto"/>
          <w:szCs w:val="24"/>
          <w:highlight w:val="none"/>
        </w:rPr>
        <w:t>爆破过程</w:t>
      </w:r>
      <w:r>
        <w:rPr>
          <w:rFonts w:ascii="Times New Roman" w:hAnsi="Times New Roman" w:eastAsia="宋体" w:cs="Times New Roman"/>
          <w:color w:val="auto"/>
          <w:szCs w:val="24"/>
          <w:highlight w:val="none"/>
        </w:rPr>
        <w:t>颗粒物排放系数为0.0</w:t>
      </w:r>
      <w:r>
        <w:rPr>
          <w:rFonts w:hint="eastAsia" w:ascii="Times New Roman" w:hAnsi="Times New Roman" w:eastAsia="宋体" w:cs="Times New Roman"/>
          <w:color w:val="auto"/>
          <w:szCs w:val="24"/>
          <w:highlight w:val="none"/>
        </w:rPr>
        <w:t>8</w:t>
      </w:r>
      <w:r>
        <w:rPr>
          <w:rFonts w:ascii="Times New Roman" w:hAnsi="Times New Roman" w:eastAsia="宋体" w:cs="Times New Roman"/>
          <w:color w:val="auto"/>
          <w:szCs w:val="24"/>
          <w:highlight w:val="none"/>
        </w:rPr>
        <w:t>kg/t（矿石），</w:t>
      </w:r>
      <w:r>
        <w:rPr>
          <w:rFonts w:hint="eastAsia" w:ascii="Times New Roman" w:hAnsi="Times New Roman" w:eastAsia="宋体" w:cs="Times New Roman"/>
          <w:color w:val="auto"/>
          <w:szCs w:val="24"/>
          <w:highlight w:val="none"/>
        </w:rPr>
        <w:t>项目矿石</w:t>
      </w:r>
      <w:r>
        <w:rPr>
          <w:rFonts w:ascii="Times New Roman" w:hAnsi="Times New Roman" w:eastAsia="宋体" w:cs="Times New Roman"/>
          <w:color w:val="auto"/>
          <w:szCs w:val="24"/>
          <w:highlight w:val="none"/>
        </w:rPr>
        <w:t>开采量</w:t>
      </w:r>
      <w:r>
        <w:rPr>
          <w:rFonts w:hint="eastAsia" w:ascii="Times New Roman" w:hAnsi="Times New Roman" w:eastAsia="宋体" w:cs="Times New Roman"/>
          <w:color w:val="auto"/>
          <w:szCs w:val="24"/>
          <w:highlight w:val="none"/>
        </w:rPr>
        <w:t>50</w:t>
      </w:r>
      <w:r>
        <w:rPr>
          <w:rFonts w:ascii="Times New Roman" w:hAnsi="Times New Roman" w:eastAsia="宋体" w:cs="Times New Roman"/>
          <w:color w:val="auto"/>
          <w:szCs w:val="24"/>
          <w:highlight w:val="none"/>
        </w:rPr>
        <w:t>万t/a，则</w:t>
      </w:r>
      <w:r>
        <w:rPr>
          <w:rFonts w:ascii="Times New Roman" w:hAnsi="Times New Roman" w:eastAsia="宋体" w:cs="Times New Roman"/>
          <w:color w:val="auto"/>
          <w:kern w:val="0"/>
          <w:szCs w:val="24"/>
          <w:highlight w:val="none"/>
        </w:rPr>
        <w:t xml:space="preserve">爆破过程产生的颗粒物量为 </w:t>
      </w:r>
      <w:r>
        <w:rPr>
          <w:rFonts w:hint="eastAsia" w:ascii="Times New Roman" w:hAnsi="Times New Roman" w:eastAsia="宋体" w:cs="Times New Roman"/>
          <w:color w:val="auto"/>
          <w:kern w:val="0"/>
          <w:szCs w:val="24"/>
          <w:highlight w:val="none"/>
        </w:rPr>
        <w:t>40t</w:t>
      </w:r>
      <w:r>
        <w:rPr>
          <w:rFonts w:ascii="Times New Roman" w:hAnsi="Times New Roman" w:eastAsia="宋体" w:cs="Times New Roman"/>
          <w:color w:val="auto"/>
          <w:kern w:val="0"/>
          <w:szCs w:val="24"/>
          <w:highlight w:val="none"/>
        </w:rPr>
        <w:t>/</w:t>
      </w:r>
      <w:r>
        <w:rPr>
          <w:rFonts w:hint="eastAsia" w:ascii="Times New Roman" w:hAnsi="Times New Roman" w:eastAsia="宋体" w:cs="Times New Roman"/>
          <w:color w:val="auto"/>
          <w:kern w:val="0"/>
          <w:szCs w:val="24"/>
          <w:highlight w:val="none"/>
        </w:rPr>
        <w:t>a</w:t>
      </w:r>
      <w:r>
        <w:rPr>
          <w:rFonts w:ascii="Times New Roman" w:hAnsi="Times New Roman" w:eastAsia="宋体" w:cs="Times New Roman"/>
          <w:color w:val="auto"/>
          <w:kern w:val="0"/>
          <w:szCs w:val="24"/>
          <w:highlight w:val="none"/>
        </w:rPr>
        <w:t>。</w:t>
      </w:r>
    </w:p>
    <w:p>
      <w:pPr>
        <w:ind w:firstLine="480"/>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根据项目开发利用方案，矿山平均每</w:t>
      </w:r>
      <w:r>
        <w:rPr>
          <w:rFonts w:hint="eastAsia" w:ascii="Times New Roman" w:hAnsi="Times New Roman" w:eastAsia="宋体" w:cs="Times New Roman"/>
          <w:color w:val="auto"/>
          <w:kern w:val="0"/>
          <w:szCs w:val="24"/>
          <w:highlight w:val="none"/>
        </w:rPr>
        <w:t>6</w:t>
      </w:r>
      <w:r>
        <w:rPr>
          <w:rFonts w:ascii="Times New Roman" w:hAnsi="Times New Roman" w:eastAsia="宋体" w:cs="Times New Roman"/>
          <w:color w:val="auto"/>
          <w:kern w:val="0"/>
          <w:szCs w:val="24"/>
          <w:highlight w:val="none"/>
        </w:rPr>
        <w:t>天台阶爆破1次，年需爆破</w:t>
      </w:r>
      <w:r>
        <w:rPr>
          <w:rFonts w:hint="eastAsia" w:ascii="Times New Roman" w:hAnsi="Times New Roman" w:eastAsia="宋体" w:cs="Times New Roman"/>
          <w:color w:val="auto"/>
          <w:kern w:val="0"/>
          <w:szCs w:val="24"/>
          <w:highlight w:val="none"/>
        </w:rPr>
        <w:t>5</w:t>
      </w:r>
      <w:r>
        <w:rPr>
          <w:rFonts w:ascii="Times New Roman" w:hAnsi="Times New Roman" w:eastAsia="宋体" w:cs="Times New Roman"/>
          <w:color w:val="auto"/>
          <w:kern w:val="0"/>
          <w:szCs w:val="24"/>
          <w:highlight w:val="none"/>
        </w:rPr>
        <w:t>0次，根据</w:t>
      </w:r>
      <w:r>
        <w:rPr>
          <w:rFonts w:ascii="Times New Roman" w:hAnsi="Times New Roman" w:eastAsia="宋体" w:cs="Times New Roman"/>
          <w:color w:val="auto"/>
          <w:highlight w:val="none"/>
        </w:rPr>
        <w:t>穿孔爆破设计，</w:t>
      </w:r>
      <w:r>
        <w:rPr>
          <w:rFonts w:ascii="Times New Roman" w:hAnsi="Times New Roman" w:eastAsia="宋体" w:cs="Times New Roman"/>
          <w:color w:val="auto"/>
          <w:kern w:val="0"/>
          <w:szCs w:val="24"/>
          <w:highlight w:val="none"/>
        </w:rPr>
        <w:t>每次爆破炸药量约为</w:t>
      </w:r>
      <w:r>
        <w:rPr>
          <w:rFonts w:hint="eastAsia" w:ascii="Times New Roman" w:hAnsi="Times New Roman" w:eastAsia="宋体" w:cs="Times New Roman"/>
          <w:color w:val="auto"/>
          <w:kern w:val="0"/>
          <w:szCs w:val="24"/>
          <w:highlight w:val="none"/>
        </w:rPr>
        <w:t>2.304</w:t>
      </w:r>
      <w:r>
        <w:rPr>
          <w:rFonts w:ascii="Times New Roman" w:hAnsi="Times New Roman" w:eastAsia="宋体" w:cs="Times New Roman"/>
          <w:color w:val="auto"/>
          <w:kern w:val="0"/>
          <w:szCs w:val="24"/>
          <w:highlight w:val="none"/>
        </w:rPr>
        <w:t>t，项目炸药使用</w:t>
      </w:r>
      <w:r>
        <w:rPr>
          <w:rFonts w:hint="eastAsia" w:ascii="Times New Roman" w:hAnsi="Times New Roman" w:eastAsia="宋体" w:cs="Times New Roman"/>
          <w:color w:val="auto"/>
          <w:kern w:val="0"/>
          <w:szCs w:val="24"/>
          <w:highlight w:val="none"/>
        </w:rPr>
        <w:t>总</w:t>
      </w:r>
      <w:r>
        <w:rPr>
          <w:rFonts w:ascii="Times New Roman" w:hAnsi="Times New Roman" w:eastAsia="宋体" w:cs="Times New Roman"/>
          <w:color w:val="auto"/>
          <w:kern w:val="0"/>
          <w:szCs w:val="24"/>
          <w:highlight w:val="none"/>
        </w:rPr>
        <w:t>量为1</w:t>
      </w:r>
      <w:r>
        <w:rPr>
          <w:rFonts w:hint="eastAsia" w:ascii="Times New Roman" w:hAnsi="Times New Roman" w:eastAsia="宋体" w:cs="Times New Roman"/>
          <w:color w:val="auto"/>
          <w:kern w:val="0"/>
          <w:szCs w:val="24"/>
          <w:highlight w:val="none"/>
        </w:rPr>
        <w:t>15.2</w:t>
      </w:r>
      <w:r>
        <w:rPr>
          <w:rFonts w:ascii="Times New Roman" w:hAnsi="Times New Roman" w:eastAsia="宋体" w:cs="Times New Roman"/>
          <w:color w:val="auto"/>
          <w:kern w:val="0"/>
          <w:szCs w:val="24"/>
          <w:highlight w:val="none"/>
        </w:rPr>
        <w:t>t/a。则爆破废气中污染物产生量为CO：</w:t>
      </w:r>
      <w:r>
        <w:rPr>
          <w:rFonts w:hint="eastAsia" w:ascii="Times New Roman" w:hAnsi="Times New Roman" w:eastAsia="宋体" w:cs="Times New Roman"/>
          <w:color w:val="auto"/>
          <w:kern w:val="0"/>
          <w:szCs w:val="24"/>
          <w:highlight w:val="none"/>
        </w:rPr>
        <w:t>5.117</w:t>
      </w:r>
      <w:r>
        <w:rPr>
          <w:rFonts w:ascii="Times New Roman" w:hAnsi="Times New Roman" w:eastAsia="宋体" w:cs="Times New Roman"/>
          <w:color w:val="auto"/>
          <w:kern w:val="0"/>
          <w:szCs w:val="24"/>
          <w:highlight w:val="none"/>
        </w:rPr>
        <w:t>t/a，NO</w:t>
      </w:r>
      <w:r>
        <w:rPr>
          <w:rFonts w:ascii="Times New Roman" w:hAnsi="Times New Roman" w:eastAsia="宋体" w:cs="Times New Roman"/>
          <w:color w:val="auto"/>
          <w:kern w:val="0"/>
          <w:szCs w:val="24"/>
          <w:highlight w:val="none"/>
          <w:vertAlign w:val="subscript"/>
        </w:rPr>
        <w:t>x</w:t>
      </w:r>
      <w:r>
        <w:rPr>
          <w:rFonts w:ascii="Times New Roman" w:hAnsi="Times New Roman" w:eastAsia="宋体" w:cs="Times New Roman"/>
          <w:color w:val="auto"/>
          <w:kern w:val="0"/>
          <w:szCs w:val="24"/>
          <w:highlight w:val="none"/>
        </w:rPr>
        <w:t>：</w:t>
      </w:r>
      <w:r>
        <w:rPr>
          <w:rFonts w:hint="eastAsia" w:ascii="Times New Roman" w:hAnsi="Times New Roman" w:eastAsia="宋体" w:cs="Times New Roman"/>
          <w:color w:val="auto"/>
          <w:kern w:val="0"/>
          <w:szCs w:val="24"/>
          <w:highlight w:val="none"/>
        </w:rPr>
        <w:t>1.325</w:t>
      </w:r>
      <w:r>
        <w:rPr>
          <w:rFonts w:ascii="Times New Roman" w:hAnsi="Times New Roman" w:eastAsia="宋体" w:cs="Times New Roman"/>
          <w:color w:val="auto"/>
          <w:kern w:val="0"/>
          <w:szCs w:val="24"/>
          <w:highlight w:val="none"/>
        </w:rPr>
        <w:t>t/a，颗粒物：</w:t>
      </w:r>
      <w:r>
        <w:rPr>
          <w:rFonts w:hint="eastAsia" w:ascii="Times New Roman" w:hAnsi="Times New Roman" w:eastAsia="宋体" w:cs="Times New Roman"/>
          <w:color w:val="auto"/>
          <w:kern w:val="0"/>
          <w:szCs w:val="24"/>
          <w:highlight w:val="none"/>
        </w:rPr>
        <w:t>40</w:t>
      </w:r>
      <w:r>
        <w:rPr>
          <w:rFonts w:ascii="Times New Roman" w:hAnsi="Times New Roman" w:eastAsia="宋体" w:cs="Times New Roman"/>
          <w:color w:val="auto"/>
          <w:kern w:val="0"/>
          <w:szCs w:val="24"/>
          <w:highlight w:val="none"/>
        </w:rPr>
        <w:t>t/a。</w:t>
      </w:r>
    </w:p>
    <w:p>
      <w:pPr>
        <w:ind w:firstLine="480"/>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通过采用合理的炮孔网度和微差爆破以减少颗粒物产生量，并采用水封炮眼代替部分炮泥充填炮眼、向预爆区洒水、钻孔注水等措施人为地提高矿石湿度，爆破后开启雾炮机增湿及洒水装置进行洒水降尘</w:t>
      </w:r>
      <w:r>
        <w:rPr>
          <w:rFonts w:hint="eastAsia" w:ascii="Times New Roman" w:hAnsi="Times New Roman" w:eastAsia="宋体" w:cs="Times New Roman"/>
          <w:color w:val="auto"/>
          <w:kern w:val="0"/>
          <w:szCs w:val="24"/>
          <w:highlight w:val="none"/>
        </w:rPr>
        <w:t>，根据</w:t>
      </w:r>
      <w:r>
        <w:rPr>
          <w:rFonts w:ascii="Times New Roman" w:hAnsi="Times New Roman" w:eastAsia="宋体" w:cs="Times New Roman"/>
          <w:color w:val="auto"/>
          <w:szCs w:val="24"/>
          <w:highlight w:val="none"/>
        </w:rPr>
        <w:t>《逸散性工业颗粒物控制技术》（中国环境科学出版社）</w:t>
      </w:r>
      <w:r>
        <w:rPr>
          <w:rFonts w:hint="eastAsia" w:ascii="Times New Roman" w:hAnsi="Times New Roman" w:eastAsia="宋体" w:cs="Times New Roman"/>
          <w:color w:val="auto"/>
          <w:szCs w:val="24"/>
          <w:highlight w:val="none"/>
        </w:rPr>
        <w:t>，仅采取洒水降尘，颗粒物控制效率可达50%</w:t>
      </w:r>
      <w:r>
        <w:rPr>
          <w:rFonts w:hint="eastAsia" w:ascii="Times New Roman" w:hAnsi="Times New Roman" w:eastAsia="宋体" w:cs="Times New Roman"/>
          <w:color w:val="auto"/>
          <w:kern w:val="0"/>
          <w:szCs w:val="24"/>
          <w:highlight w:val="none"/>
        </w:rPr>
        <w:t>，本项目</w:t>
      </w:r>
      <w:r>
        <w:rPr>
          <w:rFonts w:ascii="Times New Roman" w:hAnsi="Times New Roman" w:eastAsia="宋体" w:cs="Times New Roman"/>
          <w:color w:val="auto"/>
          <w:kern w:val="0"/>
          <w:szCs w:val="24"/>
          <w:highlight w:val="none"/>
        </w:rPr>
        <w:t>通过采取以上</w:t>
      </w:r>
      <w:r>
        <w:rPr>
          <w:rFonts w:hint="eastAsia" w:ascii="Times New Roman" w:hAnsi="Times New Roman" w:eastAsia="宋体" w:cs="Times New Roman"/>
          <w:color w:val="auto"/>
          <w:kern w:val="0"/>
          <w:szCs w:val="24"/>
          <w:highlight w:val="none"/>
        </w:rPr>
        <w:t>综合</w:t>
      </w:r>
      <w:r>
        <w:rPr>
          <w:rFonts w:ascii="Times New Roman" w:hAnsi="Times New Roman" w:eastAsia="宋体" w:cs="Times New Roman"/>
          <w:color w:val="auto"/>
          <w:kern w:val="0"/>
          <w:szCs w:val="24"/>
          <w:highlight w:val="none"/>
        </w:rPr>
        <w:t>措施，爆破颗粒物量可减少约70%，则爆破废气污染物</w:t>
      </w:r>
      <w:r>
        <w:rPr>
          <w:rFonts w:hint="eastAsia" w:ascii="Times New Roman" w:hAnsi="Times New Roman" w:eastAsia="宋体" w:cs="Times New Roman"/>
          <w:color w:val="auto"/>
          <w:kern w:val="0"/>
          <w:szCs w:val="24"/>
          <w:highlight w:val="none"/>
        </w:rPr>
        <w:t>无组织</w:t>
      </w:r>
      <w:r>
        <w:rPr>
          <w:rFonts w:ascii="Times New Roman" w:hAnsi="Times New Roman" w:eastAsia="宋体" w:cs="Times New Roman"/>
          <w:color w:val="auto"/>
          <w:kern w:val="0"/>
          <w:szCs w:val="24"/>
          <w:highlight w:val="none"/>
        </w:rPr>
        <w:t>排放量为CO：</w:t>
      </w:r>
      <w:r>
        <w:rPr>
          <w:rFonts w:hint="eastAsia" w:ascii="Times New Roman" w:hAnsi="Times New Roman" w:eastAsia="宋体" w:cs="Times New Roman"/>
          <w:color w:val="auto"/>
          <w:kern w:val="0"/>
          <w:szCs w:val="24"/>
          <w:highlight w:val="none"/>
        </w:rPr>
        <w:t>5.117</w:t>
      </w:r>
      <w:r>
        <w:rPr>
          <w:rFonts w:ascii="Times New Roman" w:hAnsi="Times New Roman" w:eastAsia="宋体" w:cs="Times New Roman"/>
          <w:color w:val="auto"/>
          <w:kern w:val="0"/>
          <w:szCs w:val="24"/>
          <w:highlight w:val="none"/>
        </w:rPr>
        <w:t>t/a，NO</w:t>
      </w:r>
      <w:r>
        <w:rPr>
          <w:rFonts w:ascii="Times New Roman" w:hAnsi="Times New Roman" w:eastAsia="宋体" w:cs="Times New Roman"/>
          <w:color w:val="auto"/>
          <w:kern w:val="0"/>
          <w:szCs w:val="24"/>
          <w:highlight w:val="none"/>
          <w:vertAlign w:val="subscript"/>
        </w:rPr>
        <w:t>x</w:t>
      </w:r>
      <w:r>
        <w:rPr>
          <w:rFonts w:ascii="Times New Roman" w:hAnsi="Times New Roman" w:eastAsia="宋体" w:cs="Times New Roman"/>
          <w:color w:val="auto"/>
          <w:kern w:val="0"/>
          <w:szCs w:val="24"/>
          <w:highlight w:val="none"/>
        </w:rPr>
        <w:t>：</w:t>
      </w:r>
      <w:r>
        <w:rPr>
          <w:rFonts w:hint="eastAsia" w:ascii="Times New Roman" w:hAnsi="Times New Roman" w:eastAsia="宋体" w:cs="Times New Roman"/>
          <w:color w:val="auto"/>
          <w:kern w:val="0"/>
          <w:szCs w:val="24"/>
          <w:highlight w:val="none"/>
        </w:rPr>
        <w:t>1.325</w:t>
      </w:r>
      <w:r>
        <w:rPr>
          <w:rFonts w:ascii="Times New Roman" w:hAnsi="Times New Roman" w:eastAsia="宋体" w:cs="Times New Roman"/>
          <w:color w:val="auto"/>
          <w:kern w:val="0"/>
          <w:szCs w:val="24"/>
          <w:highlight w:val="none"/>
        </w:rPr>
        <w:t>t/a，颗粒物：</w:t>
      </w:r>
      <w:r>
        <w:rPr>
          <w:rFonts w:hint="eastAsia" w:ascii="Times New Roman" w:hAnsi="Times New Roman" w:eastAsia="宋体" w:cs="Times New Roman"/>
          <w:color w:val="auto"/>
          <w:kern w:val="0"/>
          <w:szCs w:val="24"/>
          <w:highlight w:val="none"/>
        </w:rPr>
        <w:t>12</w:t>
      </w:r>
      <w:r>
        <w:rPr>
          <w:rFonts w:ascii="Times New Roman" w:hAnsi="Times New Roman" w:eastAsia="宋体" w:cs="Times New Roman"/>
          <w:color w:val="auto"/>
          <w:kern w:val="0"/>
          <w:szCs w:val="24"/>
          <w:highlight w:val="none"/>
        </w:rPr>
        <w:t>t/a。</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w:t>
      </w:r>
      <w:r>
        <w:rPr>
          <w:rFonts w:ascii="Times New Roman" w:hAnsi="Times New Roman" w:eastAsia="宋体"/>
          <w:color w:val="auto"/>
          <w:highlight w:val="none"/>
        </w:rPr>
        <w:t>4）采装</w:t>
      </w:r>
    </w:p>
    <w:p>
      <w:pPr>
        <w:ind w:firstLine="480"/>
        <w:rPr>
          <w:rFonts w:ascii="Times New Roman" w:hAnsi="Times New Roman" w:eastAsia="宋体"/>
          <w:color w:val="auto"/>
          <w:highlight w:val="none"/>
        </w:rPr>
      </w:pPr>
      <w:r>
        <w:rPr>
          <w:rFonts w:ascii="Times New Roman" w:hAnsi="Times New Roman" w:eastAsia="宋体"/>
          <w:color w:val="auto"/>
          <w:highlight w:val="none"/>
        </w:rPr>
        <w:t>挖掘机将石料装入自卸车，卸料过程会产生扬尘。装载的矿石多为块石，逸散颗粒物产生量较小，根据《逸散性工业颗粒物控制技术》（中国环境科学出版社），采装过程逸散颗粒物排放系数为0.01kg/t（矿石），项目开采</w:t>
      </w:r>
      <w:r>
        <w:rPr>
          <w:rFonts w:hint="eastAsia" w:ascii="Times New Roman" w:hAnsi="Times New Roman" w:eastAsia="宋体"/>
          <w:color w:val="auto"/>
          <w:highlight w:val="none"/>
        </w:rPr>
        <w:t>矿</w:t>
      </w:r>
      <w:r>
        <w:rPr>
          <w:rFonts w:ascii="Times New Roman" w:hAnsi="Times New Roman" w:eastAsia="宋体"/>
          <w:color w:val="auto"/>
          <w:highlight w:val="none"/>
        </w:rPr>
        <w:t>石</w:t>
      </w:r>
      <w:r>
        <w:rPr>
          <w:rFonts w:hint="eastAsia" w:ascii="Times New Roman" w:hAnsi="Times New Roman" w:eastAsia="宋体"/>
          <w:color w:val="auto"/>
          <w:highlight w:val="none"/>
        </w:rPr>
        <w:t>5</w:t>
      </w:r>
      <w:r>
        <w:rPr>
          <w:rFonts w:ascii="Times New Roman" w:hAnsi="Times New Roman" w:eastAsia="宋体"/>
          <w:color w:val="auto"/>
          <w:highlight w:val="none"/>
        </w:rPr>
        <w:t>0万t/a，则本项目采装过程逸散颗粒物产生量约为</w:t>
      </w:r>
      <w:r>
        <w:rPr>
          <w:rFonts w:hint="eastAsia" w:ascii="Times New Roman" w:hAnsi="Times New Roman" w:eastAsia="宋体"/>
          <w:color w:val="auto"/>
          <w:highlight w:val="none"/>
        </w:rPr>
        <w:t>5</w:t>
      </w:r>
      <w:r>
        <w:rPr>
          <w:rFonts w:ascii="Times New Roman" w:hAnsi="Times New Roman" w:eastAsia="宋体"/>
          <w:color w:val="auto"/>
          <w:highlight w:val="none"/>
        </w:rPr>
        <w:t>t/a。根据《逸散性工业颗粒物控制技术》（中国环境科学出版社）相关数据，采装过程采用洒水降尘，控制效率为70%，则采装颗粒物</w:t>
      </w:r>
      <w:r>
        <w:rPr>
          <w:rFonts w:hint="eastAsia" w:ascii="Times New Roman" w:hAnsi="Times New Roman" w:eastAsia="宋体"/>
          <w:color w:val="auto"/>
          <w:highlight w:val="none"/>
        </w:rPr>
        <w:t>无组织</w:t>
      </w:r>
      <w:r>
        <w:rPr>
          <w:rFonts w:ascii="Times New Roman" w:hAnsi="Times New Roman" w:eastAsia="宋体"/>
          <w:color w:val="auto"/>
          <w:highlight w:val="none"/>
        </w:rPr>
        <w:t>排放量</w:t>
      </w:r>
      <w:r>
        <w:rPr>
          <w:rFonts w:hint="eastAsia" w:ascii="Times New Roman" w:hAnsi="Times New Roman" w:eastAsia="宋体"/>
          <w:color w:val="auto"/>
          <w:highlight w:val="none"/>
        </w:rPr>
        <w:t>1.5</w:t>
      </w:r>
      <w:r>
        <w:rPr>
          <w:rFonts w:ascii="Times New Roman" w:hAnsi="Times New Roman" w:eastAsia="宋体"/>
          <w:color w:val="auto"/>
          <w:highlight w:val="none"/>
        </w:rPr>
        <w:t>t/a。</w:t>
      </w:r>
    </w:p>
    <w:p>
      <w:pPr>
        <w:ind w:firstLine="480"/>
        <w:rPr>
          <w:rFonts w:ascii="Times New Roman" w:hAnsi="Times New Roman" w:eastAsia="宋体"/>
          <w:color w:val="auto"/>
          <w:highlight w:val="none"/>
        </w:rPr>
      </w:pPr>
      <w:r>
        <w:rPr>
          <w:rFonts w:ascii="Times New Roman" w:hAnsi="Times New Roman" w:eastAsia="宋体"/>
          <w:color w:val="auto"/>
          <w:highlight w:val="none"/>
        </w:rPr>
        <w:t>（</w:t>
      </w:r>
      <w:r>
        <w:rPr>
          <w:rFonts w:hint="eastAsia" w:ascii="Times New Roman" w:hAnsi="Times New Roman" w:eastAsia="宋体"/>
          <w:color w:val="auto"/>
          <w:highlight w:val="none"/>
        </w:rPr>
        <w:t>5</w:t>
      </w:r>
      <w:r>
        <w:rPr>
          <w:rFonts w:ascii="Times New Roman" w:hAnsi="Times New Roman" w:eastAsia="宋体"/>
          <w:color w:val="auto"/>
          <w:highlight w:val="none"/>
        </w:rPr>
        <w:t>）破碎筛分</w:t>
      </w:r>
    </w:p>
    <w:p>
      <w:pPr>
        <w:widowControl/>
        <w:snapToGrid w:val="0"/>
        <w:ind w:firstLine="480"/>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根据</w:t>
      </w:r>
      <w:r>
        <w:rPr>
          <w:rFonts w:ascii="Times New Roman" w:hAnsi="Times New Roman" w:eastAsia="宋体" w:cs="Times New Roman"/>
          <w:color w:val="auto"/>
          <w:szCs w:val="24"/>
          <w:highlight w:val="none"/>
        </w:rPr>
        <w:t>项目</w:t>
      </w:r>
      <w:r>
        <w:rPr>
          <w:rFonts w:hint="eastAsia" w:ascii="Times New Roman" w:hAnsi="Times New Roman" w:eastAsia="宋体" w:cs="Times New Roman"/>
          <w:color w:val="auto"/>
          <w:szCs w:val="24"/>
          <w:highlight w:val="none"/>
        </w:rPr>
        <w:t>开采设计，整合后矿山年开采加工矿石50万t，</w:t>
      </w:r>
      <w:r>
        <w:rPr>
          <w:rFonts w:hint="eastAsia"/>
          <w:color w:val="auto"/>
          <w:highlight w:val="none"/>
          <w:u w:val="single"/>
          <w:lang w:eastAsia="zh-CN"/>
        </w:rPr>
        <w:t>破碎场①</w:t>
      </w:r>
      <w:r>
        <w:rPr>
          <w:rFonts w:hint="eastAsia" w:ascii="Times New Roman" w:hAnsi="Times New Roman" w:eastAsia="宋体" w:cs="Times New Roman"/>
          <w:color w:val="auto"/>
          <w:szCs w:val="24"/>
          <w:highlight w:val="none"/>
          <w:u w:val="single"/>
        </w:rPr>
        <w:t>、</w:t>
      </w:r>
      <w:r>
        <w:rPr>
          <w:rFonts w:hint="eastAsia" w:cs="Times New Roman"/>
          <w:color w:val="auto"/>
          <w:szCs w:val="24"/>
          <w:highlight w:val="none"/>
          <w:u w:val="single"/>
          <w:lang w:eastAsia="zh-CN"/>
        </w:rPr>
        <w:t>破碎场②</w:t>
      </w:r>
      <w:r>
        <w:rPr>
          <w:rFonts w:hint="eastAsia" w:ascii="Times New Roman" w:hAnsi="Times New Roman" w:eastAsia="宋体" w:cs="Times New Roman"/>
          <w:color w:val="auto"/>
          <w:szCs w:val="24"/>
          <w:highlight w:val="none"/>
        </w:rPr>
        <w:t>分别</w:t>
      </w:r>
      <w:r>
        <w:rPr>
          <w:rFonts w:ascii="Times New Roman" w:hAnsi="Times New Roman" w:eastAsia="宋体" w:cs="Times New Roman"/>
          <w:color w:val="auto"/>
          <w:szCs w:val="24"/>
          <w:highlight w:val="none"/>
        </w:rPr>
        <w:t>设置</w:t>
      </w:r>
      <w:r>
        <w:rPr>
          <w:rFonts w:hint="eastAsia" w:ascii="Times New Roman" w:hAnsi="Times New Roman" w:eastAsia="宋体" w:cs="Times New Roman"/>
          <w:color w:val="auto"/>
          <w:szCs w:val="24"/>
          <w:highlight w:val="none"/>
        </w:rPr>
        <w:t>1</w:t>
      </w:r>
      <w:r>
        <w:rPr>
          <w:rFonts w:ascii="Times New Roman" w:hAnsi="Times New Roman" w:eastAsia="宋体" w:cs="Times New Roman"/>
          <w:color w:val="auto"/>
          <w:szCs w:val="24"/>
          <w:highlight w:val="none"/>
        </w:rPr>
        <w:t>条破碎筛分生产线，</w:t>
      </w:r>
      <w:r>
        <w:rPr>
          <w:rFonts w:hint="eastAsia" w:ascii="Times New Roman" w:hAnsi="Times New Roman" w:eastAsia="宋体" w:cs="Times New Roman"/>
          <w:color w:val="auto"/>
          <w:szCs w:val="24"/>
          <w:highlight w:val="none"/>
        </w:rPr>
        <w:t>每条生产线产能均为25万t/a。</w:t>
      </w:r>
      <w:r>
        <w:rPr>
          <w:rFonts w:hint="eastAsia" w:cs="Times New Roman"/>
          <w:color w:val="auto"/>
          <w:szCs w:val="24"/>
          <w:highlight w:val="none"/>
          <w:u w:val="single"/>
          <w:lang w:eastAsia="zh-CN"/>
        </w:rPr>
        <w:t>破碎场①</w:t>
      </w:r>
      <w:r>
        <w:rPr>
          <w:rFonts w:hint="eastAsia" w:ascii="Times New Roman" w:hAnsi="Times New Roman" w:eastAsia="宋体" w:cs="Times New Roman"/>
          <w:color w:val="auto"/>
          <w:szCs w:val="24"/>
          <w:highlight w:val="none"/>
        </w:rPr>
        <w:t>所有矿石原料均需经过三级破碎工序，筛分得到不同粒径碎石22.5万t/a，需采取水洗砂工艺石粉为2.5万t/a；</w:t>
      </w:r>
      <w:r>
        <w:rPr>
          <w:rFonts w:hint="eastAsia" w:cs="Times New Roman"/>
          <w:color w:val="auto"/>
          <w:szCs w:val="24"/>
          <w:highlight w:val="none"/>
          <w:u w:val="single"/>
          <w:lang w:eastAsia="zh-CN"/>
        </w:rPr>
        <w:t>破碎场②</w:t>
      </w:r>
      <w:r>
        <w:rPr>
          <w:rFonts w:hint="eastAsia" w:ascii="Times New Roman" w:hAnsi="Times New Roman" w:eastAsia="宋体" w:cs="Times New Roman"/>
          <w:color w:val="auto"/>
          <w:szCs w:val="24"/>
          <w:highlight w:val="none"/>
        </w:rPr>
        <w:t>二级破碎后可筛分出不同粒径碎石成品22.5万t/a，经制沙机处理得到石粉成品的小粒径碎石量为2.5万t/a。</w:t>
      </w:r>
    </w:p>
    <w:p>
      <w:pPr>
        <w:widowControl/>
        <w:snapToGrid w:val="0"/>
        <w:ind w:firstLine="48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项目为硅质岩矿，粉化率较小，破碎加工过程产尘量较小，参照</w:t>
      </w:r>
      <w:r>
        <w:rPr>
          <w:rFonts w:ascii="Times New Roman" w:hAnsi="Times New Roman" w:eastAsia="宋体" w:cs="Times New Roman"/>
          <w:color w:val="auto"/>
          <w:szCs w:val="24"/>
          <w:highlight w:val="none"/>
        </w:rPr>
        <w:t>《逸散性工业颗粒物控制技术》（中国环境科学出版社），</w:t>
      </w:r>
      <w:r>
        <w:rPr>
          <w:rFonts w:hint="eastAsia" w:ascii="Times New Roman" w:hAnsi="Times New Roman" w:eastAsia="宋体" w:cs="Times New Roman"/>
          <w:color w:val="auto"/>
          <w:szCs w:val="24"/>
          <w:highlight w:val="none"/>
        </w:rPr>
        <w:t>本项目筛选</w:t>
      </w:r>
      <w:r>
        <w:rPr>
          <w:rFonts w:ascii="Times New Roman" w:hAnsi="Times New Roman" w:eastAsia="宋体" w:cs="Times New Roman"/>
          <w:color w:val="auto"/>
          <w:szCs w:val="24"/>
          <w:highlight w:val="none"/>
        </w:rPr>
        <w:t>破碎、</w:t>
      </w:r>
      <w:r>
        <w:rPr>
          <w:rFonts w:hint="eastAsia" w:ascii="Times New Roman" w:hAnsi="Times New Roman" w:eastAsia="宋体" w:cs="Times New Roman"/>
          <w:color w:val="auto"/>
          <w:szCs w:val="24"/>
          <w:highlight w:val="none"/>
        </w:rPr>
        <w:t>二级破碎筛分</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三级破碎筛分</w:t>
      </w:r>
      <w:r>
        <w:rPr>
          <w:rFonts w:ascii="Times New Roman" w:hAnsi="Times New Roman" w:eastAsia="宋体" w:cs="Times New Roman"/>
          <w:color w:val="auto"/>
          <w:szCs w:val="24"/>
          <w:highlight w:val="none"/>
        </w:rPr>
        <w:t>产尘系数分别取0.25kg/t、0.5</w:t>
      </w:r>
      <w:r>
        <w:rPr>
          <w:rFonts w:hint="eastAsia" w:ascii="Times New Roman" w:hAnsi="Times New Roman" w:eastAsia="宋体" w:cs="Times New Roman"/>
          <w:color w:val="auto"/>
          <w:szCs w:val="24"/>
          <w:highlight w:val="none"/>
        </w:rPr>
        <w:t>0</w:t>
      </w:r>
      <w:r>
        <w:rPr>
          <w:rFonts w:ascii="Times New Roman" w:hAnsi="Times New Roman" w:eastAsia="宋体" w:cs="Times New Roman"/>
          <w:color w:val="auto"/>
          <w:szCs w:val="24"/>
          <w:highlight w:val="none"/>
        </w:rPr>
        <w:t>kg/t、</w:t>
      </w:r>
      <w:r>
        <w:rPr>
          <w:rFonts w:hint="eastAsia" w:ascii="Times New Roman" w:hAnsi="Times New Roman" w:eastAsia="宋体" w:cs="Times New Roman"/>
          <w:color w:val="auto"/>
          <w:szCs w:val="24"/>
          <w:highlight w:val="none"/>
        </w:rPr>
        <w:t>1.0</w:t>
      </w:r>
      <w:r>
        <w:rPr>
          <w:rFonts w:ascii="Times New Roman" w:hAnsi="Times New Roman" w:eastAsia="宋体" w:cs="Times New Roman"/>
          <w:color w:val="auto"/>
          <w:szCs w:val="24"/>
          <w:highlight w:val="none"/>
        </w:rPr>
        <w:t>kg/t。破碎和筛分前均对矿石采取喷淋洒水措施，增大物料含水率，可大大抑制矿石加工颗粒物的产生量，根据《逸散性工业颗粒物控制技术》（中国环境科学出版社）表18-2数据，喷淋洒水措施抑尘效果可达70%。本项目破碎筛分过程颗粒物产生量统计情况见表2.</w:t>
      </w:r>
      <w:r>
        <w:rPr>
          <w:rFonts w:hint="eastAsia" w:ascii="Times New Roman" w:hAnsi="Times New Roman" w:eastAsia="宋体" w:cs="Times New Roman"/>
          <w:color w:val="auto"/>
          <w:szCs w:val="24"/>
          <w:highlight w:val="none"/>
        </w:rPr>
        <w:t>5-</w:t>
      </w:r>
      <w:r>
        <w:rPr>
          <w:rFonts w:hint="eastAsia" w:cs="Times New Roman"/>
          <w:color w:val="auto"/>
          <w:szCs w:val="24"/>
          <w:highlight w:val="none"/>
          <w:lang w:val="en-US" w:eastAsia="zh-CN"/>
        </w:rPr>
        <w:t>6</w:t>
      </w:r>
      <w:r>
        <w:rPr>
          <w:rFonts w:ascii="Times New Roman" w:hAnsi="Times New Roman" w:eastAsia="宋体" w:cs="Times New Roman"/>
          <w:color w:val="auto"/>
          <w:szCs w:val="24"/>
          <w:highlight w:val="none"/>
        </w:rPr>
        <w:t>。</w:t>
      </w:r>
    </w:p>
    <w:p>
      <w:pPr>
        <w:pStyle w:val="13"/>
        <w:rPr>
          <w:rFonts w:ascii="Times New Roman" w:hAnsi="Times New Roman" w:eastAsia="宋体"/>
          <w:color w:val="auto"/>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13"/>
        <w:rPr>
          <w:rFonts w:ascii="Times New Roman" w:hAnsi="Times New Roman" w:eastAsia="宋体"/>
          <w:color w:val="auto"/>
          <w:highlight w:val="none"/>
        </w:rPr>
      </w:pPr>
      <w:r>
        <w:rPr>
          <w:rFonts w:ascii="Times New Roman" w:hAnsi="Times New Roman" w:eastAsia="宋体"/>
          <w:color w:val="auto"/>
          <w:highlight w:val="none"/>
        </w:rPr>
        <w:t>表2.</w:t>
      </w:r>
      <w:r>
        <w:rPr>
          <w:rFonts w:hint="eastAsia" w:ascii="Times New Roman" w:hAnsi="Times New Roman" w:eastAsia="宋体"/>
          <w:color w:val="auto"/>
          <w:highlight w:val="none"/>
        </w:rPr>
        <w:t>5-</w:t>
      </w:r>
      <w:r>
        <w:rPr>
          <w:rFonts w:hint="eastAsia"/>
          <w:color w:val="auto"/>
          <w:highlight w:val="none"/>
          <w:lang w:val="en-US" w:eastAsia="zh-CN"/>
        </w:rPr>
        <w:t>6</w:t>
      </w:r>
      <w:r>
        <w:rPr>
          <w:rFonts w:ascii="Times New Roman" w:hAnsi="Times New Roman" w:eastAsia="宋体"/>
          <w:color w:val="auto"/>
          <w:highlight w:val="none"/>
        </w:rPr>
        <w:t xml:space="preserve"> 破碎筛分过程颗粒物产生排放情况表</w:t>
      </w:r>
    </w:p>
    <w:tbl>
      <w:tblPr>
        <w:tblStyle w:val="48"/>
        <w:tblW w:w="9166"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2010"/>
        <w:gridCol w:w="1252"/>
        <w:gridCol w:w="1718"/>
        <w:gridCol w:w="1600"/>
        <w:gridCol w:w="1422"/>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64"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b/>
                <w:color w:val="auto"/>
                <w:sz w:val="21"/>
                <w:highlight w:val="none"/>
                <w:u w:val="single"/>
                <w:lang w:eastAsia="zh-CN"/>
              </w:rPr>
            </w:pPr>
            <w:r>
              <w:rPr>
                <w:rFonts w:hint="eastAsia" w:cs="Times New Roman"/>
                <w:b/>
                <w:color w:val="auto"/>
                <w:sz w:val="21"/>
                <w:highlight w:val="none"/>
                <w:u w:val="single"/>
                <w:lang w:val="en-US" w:eastAsia="zh-CN"/>
              </w:rPr>
              <w:t>破碎场</w:t>
            </w:r>
          </w:p>
        </w:tc>
        <w:tc>
          <w:tcPr>
            <w:tcW w:w="2010"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污染源</w:t>
            </w:r>
          </w:p>
        </w:tc>
        <w:tc>
          <w:tcPr>
            <w:tcW w:w="125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产能</w:t>
            </w:r>
          </w:p>
          <w:p>
            <w:pPr>
              <w:widowControl/>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(万t/a)</w:t>
            </w:r>
          </w:p>
        </w:tc>
        <w:tc>
          <w:tcPr>
            <w:tcW w:w="1718"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无控制产尘</w:t>
            </w:r>
          </w:p>
          <w:p>
            <w:pPr>
              <w:widowControl/>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系数(kg/t)</w:t>
            </w:r>
          </w:p>
        </w:tc>
        <w:tc>
          <w:tcPr>
            <w:tcW w:w="160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控制后产尘系数(kg/t)</w:t>
            </w:r>
          </w:p>
        </w:tc>
        <w:tc>
          <w:tcPr>
            <w:tcW w:w="142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产生量</w:t>
            </w:r>
          </w:p>
          <w:p>
            <w:pPr>
              <w:widowControl/>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(t/a)</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64" w:type="dxa"/>
            <w:vMerge w:val="restart"/>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u w:val="single"/>
                <w:lang w:eastAsia="zh-CN"/>
              </w:rPr>
            </w:pPr>
            <w:r>
              <w:rPr>
                <w:rFonts w:hint="eastAsia" w:cs="Times New Roman"/>
                <w:color w:val="auto"/>
                <w:sz w:val="21"/>
                <w:highlight w:val="none"/>
                <w:u w:val="single"/>
                <w:lang w:eastAsia="zh-CN"/>
              </w:rPr>
              <w:t>破碎场①</w:t>
            </w:r>
          </w:p>
        </w:tc>
        <w:tc>
          <w:tcPr>
            <w:tcW w:w="201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①</w:t>
            </w:r>
          </w:p>
        </w:tc>
        <w:tc>
          <w:tcPr>
            <w:tcW w:w="125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w:t>
            </w:r>
          </w:p>
        </w:tc>
        <w:tc>
          <w:tcPr>
            <w:tcW w:w="1718"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0.25</w:t>
            </w:r>
          </w:p>
        </w:tc>
        <w:tc>
          <w:tcPr>
            <w:tcW w:w="160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0.075</w:t>
            </w:r>
          </w:p>
        </w:tc>
        <w:tc>
          <w:tcPr>
            <w:tcW w:w="142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18.75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64" w:type="dxa"/>
            <w:vMerge w:val="continue"/>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u w:val="single"/>
              </w:rPr>
            </w:pPr>
          </w:p>
        </w:tc>
        <w:tc>
          <w:tcPr>
            <w:tcW w:w="2010"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w:t>
            </w:r>
            <w:r>
              <w:rPr>
                <w:rFonts w:hint="eastAsia" w:ascii="Times New Roman" w:hAnsi="Times New Roman" w:eastAsia="宋体"/>
                <w:color w:val="auto"/>
                <w:sz w:val="21"/>
                <w:highlight w:val="none"/>
              </w:rPr>
              <w:t>①</w:t>
            </w:r>
          </w:p>
        </w:tc>
        <w:tc>
          <w:tcPr>
            <w:tcW w:w="125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w:t>
            </w:r>
          </w:p>
        </w:tc>
        <w:tc>
          <w:tcPr>
            <w:tcW w:w="1718"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r>
              <w:rPr>
                <w:rFonts w:hint="eastAsia" w:ascii="Times New Roman" w:hAnsi="Times New Roman" w:eastAsia="宋体" w:cs="Times New Roman"/>
                <w:color w:val="auto"/>
                <w:sz w:val="21"/>
                <w:highlight w:val="none"/>
              </w:rPr>
              <w:t>0</w:t>
            </w:r>
          </w:p>
        </w:tc>
        <w:tc>
          <w:tcPr>
            <w:tcW w:w="160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1</w:t>
            </w:r>
            <w:r>
              <w:rPr>
                <w:rFonts w:ascii="Times New Roman" w:hAnsi="Times New Roman" w:eastAsia="宋体" w:cs="Times New Roman"/>
                <w:color w:val="auto"/>
                <w:sz w:val="21"/>
                <w:highlight w:val="none"/>
              </w:rPr>
              <w:t>5</w:t>
            </w:r>
          </w:p>
        </w:tc>
        <w:tc>
          <w:tcPr>
            <w:tcW w:w="142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37.5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64" w:type="dxa"/>
            <w:vMerge w:val="continue"/>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u w:val="single"/>
              </w:rPr>
            </w:pPr>
          </w:p>
        </w:tc>
        <w:tc>
          <w:tcPr>
            <w:tcW w:w="2010"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①</w:t>
            </w:r>
          </w:p>
        </w:tc>
        <w:tc>
          <w:tcPr>
            <w:tcW w:w="125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r>
              <w:rPr>
                <w:rFonts w:ascii="Times New Roman" w:hAnsi="Times New Roman" w:eastAsia="宋体" w:cs="Times New Roman"/>
                <w:color w:val="auto"/>
                <w:sz w:val="21"/>
                <w:highlight w:val="none"/>
              </w:rPr>
              <w:t>5</w:t>
            </w:r>
          </w:p>
        </w:tc>
        <w:tc>
          <w:tcPr>
            <w:tcW w:w="1718"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600"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3</w:t>
            </w:r>
          </w:p>
        </w:tc>
        <w:tc>
          <w:tcPr>
            <w:tcW w:w="142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64" w:type="dxa"/>
            <w:vMerge w:val="restart"/>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u w:val="single"/>
                <w:lang w:eastAsia="zh-CN"/>
              </w:rPr>
            </w:pPr>
            <w:r>
              <w:rPr>
                <w:rFonts w:hint="eastAsia" w:cs="Times New Roman"/>
                <w:color w:val="auto"/>
                <w:sz w:val="21"/>
                <w:highlight w:val="none"/>
                <w:u w:val="single"/>
                <w:lang w:eastAsia="zh-CN"/>
              </w:rPr>
              <w:t>破碎场②</w:t>
            </w:r>
          </w:p>
        </w:tc>
        <w:tc>
          <w:tcPr>
            <w:tcW w:w="2010"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②</w:t>
            </w:r>
          </w:p>
        </w:tc>
        <w:tc>
          <w:tcPr>
            <w:tcW w:w="125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w:t>
            </w:r>
          </w:p>
        </w:tc>
        <w:tc>
          <w:tcPr>
            <w:tcW w:w="1718"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0.25</w:t>
            </w:r>
          </w:p>
        </w:tc>
        <w:tc>
          <w:tcPr>
            <w:tcW w:w="160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0.075</w:t>
            </w:r>
          </w:p>
        </w:tc>
        <w:tc>
          <w:tcPr>
            <w:tcW w:w="1422"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18.75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64" w:type="dxa"/>
            <w:vMerge w:val="continue"/>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2010"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二级破碎筛分</w:t>
            </w:r>
            <w:r>
              <w:rPr>
                <w:rFonts w:hint="eastAsia" w:ascii="Times New Roman" w:hAnsi="Times New Roman" w:eastAsia="宋体"/>
                <w:color w:val="auto"/>
                <w:sz w:val="21"/>
                <w:highlight w:val="none"/>
              </w:rPr>
              <w:t>②</w:t>
            </w:r>
          </w:p>
        </w:tc>
        <w:tc>
          <w:tcPr>
            <w:tcW w:w="125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w:t>
            </w:r>
          </w:p>
        </w:tc>
        <w:tc>
          <w:tcPr>
            <w:tcW w:w="1718"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r>
              <w:rPr>
                <w:rFonts w:hint="eastAsia" w:ascii="Times New Roman" w:hAnsi="Times New Roman" w:eastAsia="宋体" w:cs="Times New Roman"/>
                <w:color w:val="auto"/>
                <w:sz w:val="21"/>
                <w:highlight w:val="none"/>
              </w:rPr>
              <w:t>0</w:t>
            </w:r>
          </w:p>
        </w:tc>
        <w:tc>
          <w:tcPr>
            <w:tcW w:w="160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1</w:t>
            </w:r>
            <w:r>
              <w:rPr>
                <w:rFonts w:ascii="Times New Roman" w:hAnsi="Times New Roman" w:eastAsia="宋体" w:cs="Times New Roman"/>
                <w:color w:val="auto"/>
                <w:sz w:val="21"/>
                <w:highlight w:val="none"/>
              </w:rPr>
              <w:t>5</w:t>
            </w:r>
          </w:p>
        </w:tc>
        <w:tc>
          <w:tcPr>
            <w:tcW w:w="1422"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37.5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64" w:type="dxa"/>
            <w:vMerge w:val="continue"/>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2010"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②</w:t>
            </w:r>
          </w:p>
        </w:tc>
        <w:tc>
          <w:tcPr>
            <w:tcW w:w="125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r>
              <w:rPr>
                <w:rFonts w:ascii="Times New Roman" w:hAnsi="Times New Roman" w:eastAsia="宋体" w:cs="Times New Roman"/>
                <w:color w:val="auto"/>
                <w:sz w:val="21"/>
                <w:highlight w:val="none"/>
              </w:rPr>
              <w:t>5</w:t>
            </w:r>
          </w:p>
        </w:tc>
        <w:tc>
          <w:tcPr>
            <w:tcW w:w="1718"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60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3</w:t>
            </w:r>
          </w:p>
        </w:tc>
        <w:tc>
          <w:tcPr>
            <w:tcW w:w="1422"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7.5</w:t>
            </w:r>
          </w:p>
        </w:tc>
      </w:tr>
    </w:tbl>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根据《砂石行业绿色矿山建设规范》（DZ/T</w:t>
      </w:r>
      <w:r>
        <w:rPr>
          <w:rFonts w:hint="eastAsia" w:ascii="Times New Roman" w:hAnsi="Times New Roman" w:eastAsia="宋体"/>
          <w:color w:val="auto"/>
          <w:highlight w:val="none"/>
          <w:lang w:val="en-US" w:eastAsia="zh-CN"/>
        </w:rPr>
        <w:t xml:space="preserve"> </w:t>
      </w:r>
      <w:r>
        <w:rPr>
          <w:rFonts w:hint="eastAsia" w:ascii="Times New Roman" w:hAnsi="Times New Roman" w:eastAsia="宋体"/>
          <w:color w:val="auto"/>
          <w:highlight w:val="none"/>
        </w:rPr>
        <w:t>0316-2018）要求，生产加工车间的产尘点要封闭，有利于形成负压除尘。本项目筛选</w:t>
      </w:r>
      <w:r>
        <w:rPr>
          <w:rFonts w:ascii="Times New Roman" w:hAnsi="Times New Roman" w:eastAsia="宋体"/>
          <w:color w:val="auto"/>
          <w:highlight w:val="none"/>
        </w:rPr>
        <w:t>破碎、</w:t>
      </w:r>
      <w:r>
        <w:rPr>
          <w:rFonts w:hint="eastAsia" w:ascii="Times New Roman" w:hAnsi="Times New Roman" w:eastAsia="宋体"/>
          <w:color w:val="auto"/>
          <w:highlight w:val="none"/>
        </w:rPr>
        <w:t>二级破碎筛分</w:t>
      </w:r>
      <w:r>
        <w:rPr>
          <w:rFonts w:ascii="Times New Roman" w:hAnsi="Times New Roman" w:eastAsia="宋体"/>
          <w:color w:val="auto"/>
          <w:highlight w:val="none"/>
        </w:rPr>
        <w:t>、</w:t>
      </w:r>
      <w:r>
        <w:rPr>
          <w:rFonts w:hint="eastAsia" w:ascii="Times New Roman" w:hAnsi="Times New Roman" w:eastAsia="宋体"/>
          <w:color w:val="auto"/>
          <w:highlight w:val="none"/>
        </w:rPr>
        <w:t>三级破碎筛分三处产尘点拟</w:t>
      </w:r>
      <w:r>
        <w:rPr>
          <w:rFonts w:ascii="Times New Roman" w:hAnsi="Times New Roman" w:eastAsia="宋体"/>
          <w:color w:val="auto"/>
          <w:highlight w:val="none"/>
        </w:rPr>
        <w:t>分别设置</w:t>
      </w:r>
      <w:r>
        <w:rPr>
          <w:rFonts w:hint="eastAsia" w:ascii="Times New Roman" w:hAnsi="Times New Roman" w:eastAsia="宋体"/>
          <w:color w:val="auto"/>
          <w:highlight w:val="none"/>
        </w:rPr>
        <w:t>封闭厂房</w:t>
      </w:r>
      <w:r>
        <w:rPr>
          <w:rFonts w:ascii="Times New Roman" w:hAnsi="Times New Roman" w:eastAsia="宋体"/>
          <w:color w:val="auto"/>
          <w:highlight w:val="none"/>
        </w:rPr>
        <w:t>，</w:t>
      </w:r>
      <w:r>
        <w:rPr>
          <w:rFonts w:hint="eastAsia" w:ascii="Times New Roman" w:hAnsi="Times New Roman" w:eastAsia="宋体"/>
          <w:color w:val="auto"/>
          <w:highlight w:val="none"/>
        </w:rPr>
        <w:t>设置负压收集装置，</w:t>
      </w:r>
      <w:r>
        <w:rPr>
          <w:rFonts w:ascii="Times New Roman" w:hAnsi="Times New Roman" w:eastAsia="宋体"/>
          <w:color w:val="auto"/>
          <w:highlight w:val="none"/>
        </w:rPr>
        <w:t>颗粒物</w:t>
      </w:r>
      <w:r>
        <w:rPr>
          <w:rFonts w:hint="eastAsia" w:ascii="Times New Roman" w:hAnsi="Times New Roman" w:eastAsia="宋体"/>
          <w:color w:val="auto"/>
          <w:highlight w:val="none"/>
        </w:rPr>
        <w:t>经收集后</w:t>
      </w:r>
      <w:r>
        <w:rPr>
          <w:rFonts w:ascii="Times New Roman" w:hAnsi="Times New Roman" w:eastAsia="宋体"/>
          <w:color w:val="auto"/>
          <w:highlight w:val="none"/>
        </w:rPr>
        <w:t>分别由袋式除尘器处理</w:t>
      </w:r>
      <w:r>
        <w:rPr>
          <w:rFonts w:hint="eastAsia" w:ascii="Times New Roman" w:hAnsi="Times New Roman" w:eastAsia="宋体"/>
          <w:color w:val="auto"/>
          <w:highlight w:val="none"/>
        </w:rPr>
        <w:t>，最终</w:t>
      </w:r>
      <w:r>
        <w:rPr>
          <w:rFonts w:ascii="Times New Roman" w:hAnsi="Times New Roman" w:eastAsia="宋体"/>
          <w:color w:val="auto"/>
          <w:highlight w:val="none"/>
        </w:rPr>
        <w:t>经高度均为15m的排气筒排放。</w:t>
      </w:r>
      <w:r>
        <w:rPr>
          <w:rFonts w:hint="eastAsia" w:ascii="Times New Roman" w:hAnsi="Times New Roman" w:eastAsia="宋体"/>
          <w:color w:val="auto"/>
          <w:highlight w:val="none"/>
        </w:rPr>
        <w:t>筛选</w:t>
      </w:r>
      <w:r>
        <w:rPr>
          <w:rFonts w:ascii="Times New Roman" w:hAnsi="Times New Roman" w:eastAsia="宋体"/>
          <w:color w:val="auto"/>
          <w:highlight w:val="none"/>
        </w:rPr>
        <w:t>破碎、</w:t>
      </w:r>
      <w:r>
        <w:rPr>
          <w:rFonts w:hint="eastAsia" w:ascii="Times New Roman" w:hAnsi="Times New Roman" w:eastAsia="宋体"/>
          <w:color w:val="auto"/>
          <w:highlight w:val="none"/>
        </w:rPr>
        <w:t>二级破碎筛分</w:t>
      </w:r>
      <w:r>
        <w:rPr>
          <w:rFonts w:ascii="Times New Roman" w:hAnsi="Times New Roman" w:eastAsia="宋体"/>
          <w:color w:val="auto"/>
          <w:highlight w:val="none"/>
        </w:rPr>
        <w:t>、</w:t>
      </w:r>
      <w:r>
        <w:rPr>
          <w:rFonts w:hint="eastAsia" w:ascii="Times New Roman" w:hAnsi="Times New Roman" w:eastAsia="宋体"/>
          <w:color w:val="auto"/>
          <w:highlight w:val="none"/>
        </w:rPr>
        <w:t>三级破碎筛分过程废气负压收集效率按90%进行计算，未收集粉尘将以无组织形式排放。项目筛选</w:t>
      </w:r>
      <w:r>
        <w:rPr>
          <w:rFonts w:ascii="Times New Roman" w:hAnsi="Times New Roman" w:eastAsia="宋体"/>
          <w:color w:val="auto"/>
          <w:highlight w:val="none"/>
        </w:rPr>
        <w:t>破碎、</w:t>
      </w:r>
      <w:r>
        <w:rPr>
          <w:rFonts w:hint="eastAsia" w:ascii="Times New Roman" w:hAnsi="Times New Roman" w:eastAsia="宋体"/>
          <w:color w:val="auto"/>
          <w:highlight w:val="none"/>
        </w:rPr>
        <w:t>二级破碎筛分</w:t>
      </w:r>
      <w:r>
        <w:rPr>
          <w:rFonts w:ascii="Times New Roman" w:hAnsi="Times New Roman" w:eastAsia="宋体"/>
          <w:color w:val="auto"/>
          <w:highlight w:val="none"/>
        </w:rPr>
        <w:t>、</w:t>
      </w:r>
      <w:r>
        <w:rPr>
          <w:rFonts w:hint="eastAsia" w:ascii="Times New Roman" w:hAnsi="Times New Roman" w:eastAsia="宋体"/>
          <w:color w:val="auto"/>
          <w:highlight w:val="none"/>
        </w:rPr>
        <w:t>三级破碎筛分按封闭厂房进行建设，未收集粉尘大部分可自然沉降于封闭厂房内，项目同时在破碎筛分区增加一台雾炮机，可有效降低无组织粉尘的排放。根据《逸散性工业颗粒物控制技术》（中国环境科学出版社），采用喷淋控制技术颗粒物有效控制效率为70%.。本项目破碎筛分过程无组织排放粉尘经封闭+喷淋处理，综合处理效率取90%，破碎筛分过程颗粒物无组织排放情况见下表。</w:t>
      </w:r>
    </w:p>
    <w:p>
      <w:pPr>
        <w:widowControl/>
        <w:adjustRightInd w:val="0"/>
        <w:snapToGrid w:val="0"/>
        <w:spacing w:line="240" w:lineRule="auto"/>
        <w:ind w:firstLine="0" w:firstLineChars="0"/>
        <w:jc w:val="center"/>
        <w:rPr>
          <w:rFonts w:ascii="Times New Roman" w:hAnsi="Times New Roman" w:eastAsia="宋体" w:cs="Times New Roman"/>
          <w:color w:val="auto"/>
          <w:szCs w:val="24"/>
          <w:highlight w:val="none"/>
        </w:rPr>
      </w:pPr>
      <w:r>
        <w:rPr>
          <w:rFonts w:ascii="Times New Roman" w:hAnsi="Times New Roman" w:eastAsia="宋体" w:cs="Times New Roman"/>
          <w:b/>
          <w:color w:val="auto"/>
          <w:kern w:val="0"/>
          <w:szCs w:val="24"/>
          <w:highlight w:val="none"/>
        </w:rPr>
        <w:t>表2.</w:t>
      </w:r>
      <w:r>
        <w:rPr>
          <w:rFonts w:hint="eastAsia" w:ascii="Times New Roman" w:hAnsi="Times New Roman" w:eastAsia="宋体" w:cs="Times New Roman"/>
          <w:b/>
          <w:color w:val="auto"/>
          <w:kern w:val="0"/>
          <w:szCs w:val="24"/>
          <w:highlight w:val="none"/>
        </w:rPr>
        <w:t>5-</w:t>
      </w:r>
      <w:r>
        <w:rPr>
          <w:rFonts w:hint="eastAsia" w:cs="Times New Roman"/>
          <w:b/>
          <w:color w:val="auto"/>
          <w:kern w:val="0"/>
          <w:szCs w:val="24"/>
          <w:highlight w:val="none"/>
          <w:lang w:val="en-US" w:eastAsia="zh-CN"/>
        </w:rPr>
        <w:t>7</w:t>
      </w:r>
      <w:r>
        <w:rPr>
          <w:rFonts w:ascii="Times New Roman" w:hAnsi="Times New Roman" w:eastAsia="宋体" w:cs="Times New Roman"/>
          <w:b/>
          <w:color w:val="auto"/>
          <w:kern w:val="0"/>
          <w:szCs w:val="24"/>
          <w:highlight w:val="none"/>
        </w:rPr>
        <w:t xml:space="preserve"> 破碎筛分过程颗粒物</w:t>
      </w:r>
      <w:r>
        <w:rPr>
          <w:rFonts w:hint="eastAsia" w:ascii="Times New Roman" w:hAnsi="Times New Roman" w:eastAsia="宋体" w:cs="Times New Roman"/>
          <w:b/>
          <w:color w:val="auto"/>
          <w:kern w:val="0"/>
          <w:szCs w:val="24"/>
          <w:highlight w:val="none"/>
        </w:rPr>
        <w:t>无组织排放</w:t>
      </w:r>
      <w:r>
        <w:rPr>
          <w:rFonts w:ascii="Times New Roman" w:hAnsi="Times New Roman" w:eastAsia="宋体" w:cs="Times New Roman"/>
          <w:b/>
          <w:color w:val="auto"/>
          <w:kern w:val="0"/>
          <w:szCs w:val="24"/>
          <w:highlight w:val="none"/>
        </w:rPr>
        <w:t>情况表</w:t>
      </w:r>
    </w:p>
    <w:tbl>
      <w:tblPr>
        <w:tblStyle w:val="48"/>
        <w:tblW w:w="9166"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2043"/>
        <w:gridCol w:w="1162"/>
        <w:gridCol w:w="1718"/>
        <w:gridCol w:w="1600"/>
        <w:gridCol w:w="1422"/>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21"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b/>
                <w:color w:val="auto"/>
                <w:sz w:val="21"/>
                <w:highlight w:val="none"/>
                <w:u w:val="single"/>
                <w:lang w:eastAsia="zh-CN"/>
              </w:rPr>
            </w:pPr>
            <w:r>
              <w:rPr>
                <w:rFonts w:hint="eastAsia" w:cs="Times New Roman"/>
                <w:b/>
                <w:color w:val="auto"/>
                <w:sz w:val="21"/>
                <w:highlight w:val="none"/>
                <w:u w:val="single"/>
                <w:lang w:val="en-US" w:eastAsia="zh-CN"/>
              </w:rPr>
              <w:t>破碎场</w:t>
            </w:r>
          </w:p>
        </w:tc>
        <w:tc>
          <w:tcPr>
            <w:tcW w:w="2043"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位置</w:t>
            </w:r>
          </w:p>
        </w:tc>
        <w:tc>
          <w:tcPr>
            <w:tcW w:w="116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产生</w:t>
            </w:r>
            <w:r>
              <w:rPr>
                <w:rFonts w:ascii="Times New Roman" w:hAnsi="Times New Roman" w:eastAsia="宋体" w:cs="Times New Roman"/>
                <w:b/>
                <w:color w:val="auto"/>
                <w:sz w:val="21"/>
                <w:highlight w:val="none"/>
              </w:rPr>
              <w:t>(t/a)</w:t>
            </w:r>
          </w:p>
        </w:tc>
        <w:tc>
          <w:tcPr>
            <w:tcW w:w="1718"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处理措施</w:t>
            </w:r>
          </w:p>
        </w:tc>
        <w:tc>
          <w:tcPr>
            <w:tcW w:w="160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处理效率</w:t>
            </w:r>
            <w:r>
              <w:rPr>
                <w:rFonts w:ascii="Times New Roman" w:hAnsi="Times New Roman" w:eastAsia="宋体" w:cs="Times New Roman"/>
                <w:b/>
                <w:color w:val="auto"/>
                <w:sz w:val="21"/>
                <w:highlight w:val="none"/>
              </w:rPr>
              <w:t>(</w:t>
            </w:r>
            <w:r>
              <w:rPr>
                <w:rFonts w:hint="eastAsia" w:ascii="Times New Roman" w:hAnsi="Times New Roman" w:eastAsia="宋体" w:cs="Times New Roman"/>
                <w:b/>
                <w:color w:val="auto"/>
                <w:sz w:val="21"/>
                <w:highlight w:val="none"/>
              </w:rPr>
              <w:t>%</w:t>
            </w:r>
            <w:r>
              <w:rPr>
                <w:rFonts w:ascii="Times New Roman" w:hAnsi="Times New Roman" w:eastAsia="宋体" w:cs="Times New Roman"/>
                <w:b/>
                <w:color w:val="auto"/>
                <w:sz w:val="21"/>
                <w:highlight w:val="none"/>
              </w:rPr>
              <w:t>)</w:t>
            </w:r>
          </w:p>
        </w:tc>
        <w:tc>
          <w:tcPr>
            <w:tcW w:w="142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排放</w:t>
            </w:r>
            <w:r>
              <w:rPr>
                <w:rFonts w:ascii="Times New Roman" w:hAnsi="Times New Roman" w:eastAsia="宋体" w:cs="Times New Roman"/>
                <w:b/>
                <w:color w:val="auto"/>
                <w:sz w:val="21"/>
                <w:highlight w:val="none"/>
              </w:rPr>
              <w:t>量</w:t>
            </w:r>
          </w:p>
          <w:p>
            <w:pPr>
              <w:widowControl/>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(t/a)</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21" w:type="dxa"/>
            <w:vMerge w:val="restart"/>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u w:val="single"/>
                <w:lang w:eastAsia="zh-CN"/>
              </w:rPr>
            </w:pPr>
            <w:r>
              <w:rPr>
                <w:rFonts w:hint="eastAsia" w:cs="Times New Roman"/>
                <w:color w:val="auto"/>
                <w:sz w:val="21"/>
                <w:highlight w:val="none"/>
                <w:u w:val="single"/>
                <w:lang w:eastAsia="zh-CN"/>
              </w:rPr>
              <w:t>破碎场①</w:t>
            </w:r>
          </w:p>
        </w:tc>
        <w:tc>
          <w:tcPr>
            <w:tcW w:w="2043"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①</w:t>
            </w:r>
          </w:p>
        </w:tc>
        <w:tc>
          <w:tcPr>
            <w:tcW w:w="116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1.875</w:t>
            </w:r>
          </w:p>
        </w:tc>
        <w:tc>
          <w:tcPr>
            <w:tcW w:w="1718" w:type="dxa"/>
            <w:vMerge w:val="restart"/>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封闭+喷淋</w:t>
            </w:r>
          </w:p>
        </w:tc>
        <w:tc>
          <w:tcPr>
            <w:tcW w:w="1600" w:type="dxa"/>
            <w:vMerge w:val="restart"/>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90</w:t>
            </w:r>
          </w:p>
        </w:tc>
        <w:tc>
          <w:tcPr>
            <w:tcW w:w="142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0.188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21" w:type="dxa"/>
            <w:vMerge w:val="continue"/>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u w:val="single"/>
              </w:rPr>
            </w:pPr>
          </w:p>
        </w:tc>
        <w:tc>
          <w:tcPr>
            <w:tcW w:w="2043"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w:t>
            </w:r>
            <w:r>
              <w:rPr>
                <w:rFonts w:hint="eastAsia" w:ascii="Times New Roman" w:hAnsi="Times New Roman" w:eastAsia="宋体"/>
                <w:color w:val="auto"/>
                <w:sz w:val="21"/>
                <w:highlight w:val="none"/>
              </w:rPr>
              <w:t>①</w:t>
            </w:r>
          </w:p>
        </w:tc>
        <w:tc>
          <w:tcPr>
            <w:tcW w:w="1162"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3.75</w:t>
            </w:r>
          </w:p>
        </w:tc>
        <w:tc>
          <w:tcPr>
            <w:tcW w:w="1718"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0"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2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0.375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21" w:type="dxa"/>
            <w:vMerge w:val="continue"/>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u w:val="single"/>
              </w:rPr>
            </w:pPr>
          </w:p>
        </w:tc>
        <w:tc>
          <w:tcPr>
            <w:tcW w:w="2043"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①</w:t>
            </w:r>
          </w:p>
        </w:tc>
        <w:tc>
          <w:tcPr>
            <w:tcW w:w="116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7.5</w:t>
            </w:r>
          </w:p>
        </w:tc>
        <w:tc>
          <w:tcPr>
            <w:tcW w:w="1718"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0"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2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0.75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21" w:type="dxa"/>
            <w:vMerge w:val="restart"/>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u w:val="single"/>
                <w:lang w:eastAsia="zh-CN"/>
              </w:rPr>
            </w:pPr>
            <w:r>
              <w:rPr>
                <w:rFonts w:hint="eastAsia" w:cs="Times New Roman"/>
                <w:color w:val="auto"/>
                <w:sz w:val="21"/>
                <w:highlight w:val="none"/>
                <w:u w:val="single"/>
                <w:lang w:eastAsia="zh-CN"/>
              </w:rPr>
              <w:t>破碎场②</w:t>
            </w:r>
          </w:p>
        </w:tc>
        <w:tc>
          <w:tcPr>
            <w:tcW w:w="2043"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②</w:t>
            </w:r>
          </w:p>
        </w:tc>
        <w:tc>
          <w:tcPr>
            <w:tcW w:w="1162"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1.875</w:t>
            </w:r>
          </w:p>
        </w:tc>
        <w:tc>
          <w:tcPr>
            <w:tcW w:w="1718"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0"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2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0.188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21" w:type="dxa"/>
            <w:vMerge w:val="continue"/>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2043"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二级破碎筛分</w:t>
            </w:r>
            <w:r>
              <w:rPr>
                <w:rFonts w:hint="eastAsia" w:ascii="Times New Roman" w:hAnsi="Times New Roman" w:eastAsia="宋体"/>
                <w:color w:val="auto"/>
                <w:sz w:val="21"/>
                <w:highlight w:val="none"/>
              </w:rPr>
              <w:t>②</w:t>
            </w:r>
          </w:p>
        </w:tc>
        <w:tc>
          <w:tcPr>
            <w:tcW w:w="1162"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3.75</w:t>
            </w:r>
          </w:p>
        </w:tc>
        <w:tc>
          <w:tcPr>
            <w:tcW w:w="1718"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0"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2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0.375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221" w:type="dxa"/>
            <w:vMerge w:val="continue"/>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2043"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②</w:t>
            </w:r>
          </w:p>
        </w:tc>
        <w:tc>
          <w:tcPr>
            <w:tcW w:w="1162"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0.75</w:t>
            </w:r>
          </w:p>
        </w:tc>
        <w:tc>
          <w:tcPr>
            <w:tcW w:w="1718"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00"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22"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0.075</w:t>
            </w:r>
          </w:p>
        </w:tc>
      </w:tr>
    </w:tbl>
    <w:p>
      <w:pPr>
        <w:widowControl/>
        <w:snapToGrid w:val="0"/>
        <w:ind w:firstLine="480"/>
        <w:rPr>
          <w:rFonts w:ascii="Times New Roman" w:hAnsi="Times New Roman" w:eastAsia="宋体" w:cs="Times New Roman"/>
          <w:b/>
          <w:bCs/>
          <w:color w:val="auto"/>
          <w:highlight w:val="none"/>
        </w:rPr>
      </w:pPr>
      <w:r>
        <w:rPr>
          <w:rFonts w:hint="eastAsia"/>
          <w:color w:val="auto"/>
          <w:highlight w:val="none"/>
          <w:u w:val="single"/>
          <w:lang w:eastAsia="zh-CN"/>
        </w:rPr>
        <w:t>破碎场①</w:t>
      </w:r>
      <w:r>
        <w:rPr>
          <w:rFonts w:hint="eastAsia" w:ascii="Times New Roman" w:hAnsi="Times New Roman" w:eastAsia="宋体"/>
          <w:color w:val="auto"/>
          <w:highlight w:val="none"/>
          <w:u w:val="single"/>
        </w:rPr>
        <w:t>和</w:t>
      </w:r>
      <w:r>
        <w:rPr>
          <w:rFonts w:hint="eastAsia"/>
          <w:color w:val="auto"/>
          <w:highlight w:val="none"/>
          <w:u w:val="single"/>
          <w:lang w:eastAsia="zh-CN"/>
        </w:rPr>
        <w:t>破碎场②</w:t>
      </w:r>
      <w:r>
        <w:rPr>
          <w:rFonts w:hint="eastAsia" w:ascii="Times New Roman" w:hAnsi="Times New Roman" w:eastAsia="宋体"/>
          <w:color w:val="auto"/>
          <w:highlight w:val="none"/>
        </w:rPr>
        <w:t>筛选破碎</w:t>
      </w:r>
      <w:r>
        <w:rPr>
          <w:rFonts w:ascii="Times New Roman" w:hAnsi="Times New Roman" w:eastAsia="宋体"/>
          <w:color w:val="auto"/>
          <w:highlight w:val="none"/>
        </w:rPr>
        <w:t>、</w:t>
      </w:r>
      <w:r>
        <w:rPr>
          <w:rFonts w:hint="eastAsia" w:ascii="Times New Roman" w:hAnsi="Times New Roman" w:eastAsia="宋体"/>
          <w:color w:val="auto"/>
          <w:highlight w:val="none"/>
        </w:rPr>
        <w:t>二级破碎筛分</w:t>
      </w:r>
      <w:r>
        <w:rPr>
          <w:rFonts w:ascii="Times New Roman" w:hAnsi="Times New Roman" w:eastAsia="宋体"/>
          <w:color w:val="auto"/>
          <w:highlight w:val="none"/>
        </w:rPr>
        <w:t>、</w:t>
      </w:r>
      <w:r>
        <w:rPr>
          <w:rFonts w:hint="eastAsia" w:ascii="Times New Roman" w:hAnsi="Times New Roman" w:eastAsia="宋体"/>
          <w:color w:val="auto"/>
          <w:highlight w:val="none"/>
        </w:rPr>
        <w:t>三级破碎筛分过程有组织废气产生及排放情况</w:t>
      </w:r>
      <w:r>
        <w:rPr>
          <w:rFonts w:ascii="Times New Roman" w:hAnsi="Times New Roman" w:eastAsia="宋体" w:cs="Times New Roman"/>
          <w:color w:val="auto"/>
          <w:szCs w:val="24"/>
          <w:highlight w:val="none"/>
        </w:rPr>
        <w:t>见表2.</w:t>
      </w:r>
      <w:r>
        <w:rPr>
          <w:rFonts w:hint="eastAsia" w:ascii="Times New Roman" w:hAnsi="Times New Roman" w:eastAsia="宋体" w:cs="Times New Roman"/>
          <w:color w:val="auto"/>
          <w:szCs w:val="24"/>
          <w:highlight w:val="none"/>
        </w:rPr>
        <w:t>5-</w:t>
      </w:r>
      <w:r>
        <w:rPr>
          <w:rFonts w:hint="eastAsia" w:cs="Times New Roman"/>
          <w:color w:val="auto"/>
          <w:szCs w:val="24"/>
          <w:highlight w:val="none"/>
          <w:lang w:val="en-US" w:eastAsia="zh-CN"/>
        </w:rPr>
        <w:t>8</w:t>
      </w:r>
      <w:r>
        <w:rPr>
          <w:rFonts w:ascii="Times New Roman" w:hAnsi="Times New Roman" w:eastAsia="宋体" w:cs="Times New Roman"/>
          <w:color w:val="auto"/>
          <w:szCs w:val="24"/>
          <w:highlight w:val="none"/>
        </w:rPr>
        <w:t>。</w:t>
      </w:r>
    </w:p>
    <w:p>
      <w:pPr>
        <w:numPr>
          <w:ilvl w:val="0"/>
          <w:numId w:val="9"/>
        </w:numPr>
        <w:snapToGrid w:val="0"/>
        <w:ind w:firstLine="480"/>
        <w:rPr>
          <w:rFonts w:ascii="Times New Roman" w:hAnsi="Times New Roman" w:eastAsia="宋体" w:cs="Times New Roman"/>
          <w:color w:val="auto"/>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line="500" w:lineRule="exact"/>
        <w:ind w:firstLine="0" w:firstLineChars="0"/>
        <w:jc w:val="center"/>
        <w:rPr>
          <w:rFonts w:ascii="Times New Roman" w:hAnsi="Times New Roman" w:eastAsia="宋体" w:cs="Times New Roman"/>
          <w:color w:val="auto"/>
          <w:szCs w:val="24"/>
          <w:highlight w:val="none"/>
        </w:rPr>
      </w:pPr>
      <w:r>
        <w:rPr>
          <w:rFonts w:ascii="Times New Roman" w:hAnsi="Times New Roman" w:eastAsia="宋体" w:cs="Times New Roman"/>
          <w:b/>
          <w:color w:val="auto"/>
          <w:kern w:val="0"/>
          <w:szCs w:val="24"/>
          <w:highlight w:val="none"/>
        </w:rPr>
        <w:t>表2.</w:t>
      </w:r>
      <w:r>
        <w:rPr>
          <w:rFonts w:hint="eastAsia" w:ascii="Times New Roman" w:hAnsi="Times New Roman" w:eastAsia="宋体" w:cs="Times New Roman"/>
          <w:b/>
          <w:color w:val="auto"/>
          <w:kern w:val="0"/>
          <w:szCs w:val="24"/>
          <w:highlight w:val="none"/>
        </w:rPr>
        <w:t>5-</w:t>
      </w:r>
      <w:r>
        <w:rPr>
          <w:rFonts w:hint="eastAsia" w:cs="Times New Roman"/>
          <w:b/>
          <w:color w:val="auto"/>
          <w:kern w:val="0"/>
          <w:szCs w:val="24"/>
          <w:highlight w:val="none"/>
          <w:lang w:val="en-US" w:eastAsia="zh-CN"/>
        </w:rPr>
        <w:t>8</w:t>
      </w:r>
      <w:r>
        <w:rPr>
          <w:rFonts w:ascii="Times New Roman" w:hAnsi="Times New Roman" w:eastAsia="宋体" w:cs="Times New Roman"/>
          <w:b/>
          <w:color w:val="auto"/>
          <w:kern w:val="0"/>
          <w:szCs w:val="24"/>
          <w:highlight w:val="none"/>
        </w:rPr>
        <w:t xml:space="preserve"> 有组织废气产生排放情况汇总一览表</w:t>
      </w:r>
    </w:p>
    <w:tbl>
      <w:tblPr>
        <w:tblStyle w:val="48"/>
        <w:tblW w:w="14743" w:type="dxa"/>
        <w:jc w:val="center"/>
        <w:tblInd w:w="-15"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0" w:type="dxa"/>
          <w:bottom w:w="0" w:type="dxa"/>
          <w:right w:w="0" w:type="dxa"/>
        </w:tblCellMar>
      </w:tblPr>
      <w:tblGrid>
        <w:gridCol w:w="577"/>
        <w:gridCol w:w="876"/>
        <w:gridCol w:w="1280"/>
        <w:gridCol w:w="734"/>
        <w:gridCol w:w="651"/>
        <w:gridCol w:w="788"/>
        <w:gridCol w:w="808"/>
        <w:gridCol w:w="755"/>
        <w:gridCol w:w="1189"/>
        <w:gridCol w:w="765"/>
        <w:gridCol w:w="651"/>
        <w:gridCol w:w="905"/>
        <w:gridCol w:w="832"/>
        <w:gridCol w:w="757"/>
        <w:gridCol w:w="491"/>
        <w:gridCol w:w="613"/>
        <w:gridCol w:w="615"/>
        <w:gridCol w:w="770"/>
        <w:gridCol w:w="686"/>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577" w:type="dxa"/>
            <w:vMerge w:val="restart"/>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排气筒编号</w:t>
            </w:r>
          </w:p>
        </w:tc>
        <w:tc>
          <w:tcPr>
            <w:tcW w:w="876" w:type="dxa"/>
            <w:vMerge w:val="restart"/>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b/>
                <w:color w:val="auto"/>
                <w:sz w:val="21"/>
                <w:highlight w:val="none"/>
                <w:u w:val="single"/>
                <w:lang w:eastAsia="zh-CN"/>
              </w:rPr>
            </w:pPr>
            <w:r>
              <w:rPr>
                <w:rFonts w:hint="eastAsia" w:cs="Times New Roman"/>
                <w:b/>
                <w:color w:val="auto"/>
                <w:sz w:val="21"/>
                <w:highlight w:val="none"/>
                <w:u w:val="single"/>
                <w:lang w:val="en-US" w:eastAsia="zh-CN"/>
              </w:rPr>
              <w:t>破碎场</w:t>
            </w:r>
          </w:p>
        </w:tc>
        <w:tc>
          <w:tcPr>
            <w:tcW w:w="1280" w:type="dxa"/>
            <w:vMerge w:val="restart"/>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污染源</w:t>
            </w:r>
          </w:p>
        </w:tc>
        <w:tc>
          <w:tcPr>
            <w:tcW w:w="734" w:type="dxa"/>
            <w:vMerge w:val="restart"/>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污染物</w:t>
            </w:r>
          </w:p>
        </w:tc>
        <w:tc>
          <w:tcPr>
            <w:tcW w:w="3002" w:type="dxa"/>
            <w:gridSpan w:val="4"/>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污染物产生</w:t>
            </w:r>
          </w:p>
        </w:tc>
        <w:tc>
          <w:tcPr>
            <w:tcW w:w="1189" w:type="dxa"/>
            <w:vMerge w:val="restart"/>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治理</w:t>
            </w:r>
          </w:p>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措施</w:t>
            </w:r>
          </w:p>
        </w:tc>
        <w:tc>
          <w:tcPr>
            <w:tcW w:w="765" w:type="dxa"/>
            <w:vMerge w:val="restart"/>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处理效率（%）</w:t>
            </w:r>
          </w:p>
        </w:tc>
        <w:tc>
          <w:tcPr>
            <w:tcW w:w="3145" w:type="dxa"/>
            <w:gridSpan w:val="4"/>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污染物排放</w:t>
            </w:r>
          </w:p>
        </w:tc>
        <w:tc>
          <w:tcPr>
            <w:tcW w:w="1719" w:type="dxa"/>
            <w:gridSpan w:val="3"/>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排放源参数</w:t>
            </w:r>
          </w:p>
        </w:tc>
        <w:tc>
          <w:tcPr>
            <w:tcW w:w="770" w:type="dxa"/>
            <w:vMerge w:val="restart"/>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排放浓度限值(mg/m</w:t>
            </w:r>
            <w:r>
              <w:rPr>
                <w:rFonts w:ascii="Times New Roman" w:hAnsi="Times New Roman" w:eastAsia="宋体" w:cs="Times New Roman"/>
                <w:b/>
                <w:color w:val="auto"/>
                <w:sz w:val="21"/>
                <w:highlight w:val="none"/>
                <w:vertAlign w:val="superscript"/>
              </w:rPr>
              <w:t>3</w:t>
            </w:r>
            <w:r>
              <w:rPr>
                <w:rFonts w:ascii="Times New Roman" w:hAnsi="Times New Roman" w:eastAsia="宋体" w:cs="Times New Roman"/>
                <w:b/>
                <w:color w:val="auto"/>
                <w:sz w:val="21"/>
                <w:highlight w:val="none"/>
              </w:rPr>
              <w:t>)</w:t>
            </w:r>
          </w:p>
        </w:tc>
        <w:tc>
          <w:tcPr>
            <w:tcW w:w="686" w:type="dxa"/>
            <w:vMerge w:val="restart"/>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排放</w:t>
            </w:r>
          </w:p>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时间（h）</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577" w:type="dxa"/>
            <w:vMerge w:val="continue"/>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p>
        </w:tc>
        <w:tc>
          <w:tcPr>
            <w:tcW w:w="876" w:type="dxa"/>
            <w:vMerge w:val="continue"/>
            <w:noWrap w:val="0"/>
            <w:vAlign w:val="center"/>
          </w:tcPr>
          <w:p>
            <w:pPr>
              <w:spacing w:line="240" w:lineRule="auto"/>
              <w:ind w:firstLine="0" w:firstLineChars="0"/>
              <w:jc w:val="center"/>
              <w:rPr>
                <w:rFonts w:ascii="Times New Roman" w:hAnsi="Times New Roman" w:eastAsia="宋体" w:cs="Times New Roman"/>
                <w:b/>
                <w:color w:val="auto"/>
                <w:sz w:val="21"/>
                <w:highlight w:val="none"/>
                <w:u w:val="single"/>
              </w:rPr>
            </w:pPr>
          </w:p>
        </w:tc>
        <w:tc>
          <w:tcPr>
            <w:tcW w:w="1280" w:type="dxa"/>
            <w:vMerge w:val="continue"/>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p>
        </w:tc>
        <w:tc>
          <w:tcPr>
            <w:tcW w:w="734" w:type="dxa"/>
            <w:vMerge w:val="continue"/>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p>
        </w:tc>
        <w:tc>
          <w:tcPr>
            <w:tcW w:w="651"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核算</w:t>
            </w:r>
          </w:p>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方法</w:t>
            </w:r>
          </w:p>
        </w:tc>
        <w:tc>
          <w:tcPr>
            <w:tcW w:w="788"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废气量</w:t>
            </w:r>
          </w:p>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（m</w:t>
            </w:r>
            <w:r>
              <w:rPr>
                <w:rFonts w:ascii="Times New Roman" w:hAnsi="Times New Roman" w:eastAsia="宋体" w:cs="Times New Roman"/>
                <w:b/>
                <w:color w:val="auto"/>
                <w:sz w:val="21"/>
                <w:highlight w:val="none"/>
                <w:vertAlign w:val="superscript"/>
              </w:rPr>
              <w:t>3</w:t>
            </w:r>
            <w:r>
              <w:rPr>
                <w:rFonts w:ascii="Times New Roman" w:hAnsi="Times New Roman" w:eastAsia="宋体" w:cs="Times New Roman"/>
                <w:b/>
                <w:color w:val="auto"/>
                <w:sz w:val="21"/>
                <w:highlight w:val="none"/>
              </w:rPr>
              <w:t>/h）</w:t>
            </w:r>
          </w:p>
        </w:tc>
        <w:tc>
          <w:tcPr>
            <w:tcW w:w="808"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浓度</w:t>
            </w:r>
          </w:p>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(mg/m</w:t>
            </w:r>
            <w:r>
              <w:rPr>
                <w:rFonts w:ascii="Times New Roman" w:hAnsi="Times New Roman" w:eastAsia="宋体" w:cs="Times New Roman"/>
                <w:b/>
                <w:color w:val="auto"/>
                <w:sz w:val="21"/>
                <w:highlight w:val="none"/>
                <w:vertAlign w:val="superscript"/>
              </w:rPr>
              <w:t>3</w:t>
            </w:r>
            <w:r>
              <w:rPr>
                <w:rFonts w:ascii="Times New Roman" w:hAnsi="Times New Roman" w:eastAsia="宋体" w:cs="Times New Roman"/>
                <w:b/>
                <w:color w:val="auto"/>
                <w:sz w:val="21"/>
                <w:highlight w:val="none"/>
              </w:rPr>
              <w:t>）</w:t>
            </w:r>
          </w:p>
        </w:tc>
        <w:tc>
          <w:tcPr>
            <w:tcW w:w="755"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产生量</w:t>
            </w:r>
          </w:p>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(kg/h)</w:t>
            </w:r>
          </w:p>
        </w:tc>
        <w:tc>
          <w:tcPr>
            <w:tcW w:w="1189" w:type="dxa"/>
            <w:vMerge w:val="continue"/>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p>
        </w:tc>
        <w:tc>
          <w:tcPr>
            <w:tcW w:w="765" w:type="dxa"/>
            <w:vMerge w:val="continue"/>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p>
        </w:tc>
        <w:tc>
          <w:tcPr>
            <w:tcW w:w="651"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核算</w:t>
            </w:r>
          </w:p>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方法</w:t>
            </w:r>
          </w:p>
        </w:tc>
        <w:tc>
          <w:tcPr>
            <w:tcW w:w="905"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排气量</w:t>
            </w:r>
          </w:p>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（m</w:t>
            </w:r>
            <w:r>
              <w:rPr>
                <w:rFonts w:ascii="Times New Roman" w:hAnsi="Times New Roman" w:eastAsia="宋体" w:cs="Times New Roman"/>
                <w:b/>
                <w:color w:val="auto"/>
                <w:sz w:val="21"/>
                <w:highlight w:val="none"/>
                <w:vertAlign w:val="superscript"/>
              </w:rPr>
              <w:t>3</w:t>
            </w:r>
            <w:r>
              <w:rPr>
                <w:rFonts w:ascii="Times New Roman" w:hAnsi="Times New Roman" w:eastAsia="宋体" w:cs="Times New Roman"/>
                <w:b/>
                <w:color w:val="auto"/>
                <w:sz w:val="21"/>
                <w:highlight w:val="none"/>
              </w:rPr>
              <w:t>/h）</w:t>
            </w:r>
          </w:p>
        </w:tc>
        <w:tc>
          <w:tcPr>
            <w:tcW w:w="832"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浓度</w:t>
            </w:r>
          </w:p>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(mg/m</w:t>
            </w:r>
            <w:r>
              <w:rPr>
                <w:rFonts w:ascii="Times New Roman" w:hAnsi="Times New Roman" w:eastAsia="宋体" w:cs="Times New Roman"/>
                <w:b/>
                <w:color w:val="auto"/>
                <w:sz w:val="21"/>
                <w:highlight w:val="none"/>
                <w:vertAlign w:val="superscript"/>
              </w:rPr>
              <w:t>3</w:t>
            </w:r>
            <w:r>
              <w:rPr>
                <w:rFonts w:ascii="Times New Roman" w:hAnsi="Times New Roman" w:eastAsia="宋体" w:cs="Times New Roman"/>
                <w:b/>
                <w:color w:val="auto"/>
                <w:sz w:val="21"/>
                <w:highlight w:val="none"/>
              </w:rPr>
              <w:t>)</w:t>
            </w:r>
          </w:p>
        </w:tc>
        <w:tc>
          <w:tcPr>
            <w:tcW w:w="757"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排放量</w:t>
            </w:r>
          </w:p>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(kg/h)</w:t>
            </w:r>
          </w:p>
        </w:tc>
        <w:tc>
          <w:tcPr>
            <w:tcW w:w="491"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高度(m)</w:t>
            </w:r>
          </w:p>
        </w:tc>
        <w:tc>
          <w:tcPr>
            <w:tcW w:w="613"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直径</w:t>
            </w:r>
          </w:p>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(m)</w:t>
            </w:r>
          </w:p>
        </w:tc>
        <w:tc>
          <w:tcPr>
            <w:tcW w:w="615"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温度</w:t>
            </w:r>
          </w:p>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w:t>
            </w:r>
          </w:p>
        </w:tc>
        <w:tc>
          <w:tcPr>
            <w:tcW w:w="7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686"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57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876" w:type="dxa"/>
            <w:vMerge w:val="restart"/>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u w:val="single"/>
                <w:lang w:eastAsia="zh-CN"/>
              </w:rPr>
            </w:pPr>
            <w:r>
              <w:rPr>
                <w:rFonts w:hint="eastAsia" w:cs="Times New Roman"/>
                <w:color w:val="auto"/>
                <w:sz w:val="21"/>
                <w:highlight w:val="none"/>
                <w:u w:val="single"/>
                <w:lang w:eastAsia="zh-CN"/>
              </w:rPr>
              <w:t>破碎场①</w:t>
            </w:r>
          </w:p>
        </w:tc>
        <w:tc>
          <w:tcPr>
            <w:tcW w:w="128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①</w:t>
            </w:r>
          </w:p>
        </w:tc>
        <w:tc>
          <w:tcPr>
            <w:tcW w:w="734"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颗粒物</w:t>
            </w:r>
          </w:p>
        </w:tc>
        <w:tc>
          <w:tcPr>
            <w:tcW w:w="651" w:type="dxa"/>
            <w:vMerge w:val="restart"/>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产污系数法</w:t>
            </w:r>
          </w:p>
        </w:tc>
        <w:tc>
          <w:tcPr>
            <w:tcW w:w="788"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10000</w:t>
            </w:r>
          </w:p>
        </w:tc>
        <w:tc>
          <w:tcPr>
            <w:tcW w:w="808"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781.3</w:t>
            </w:r>
          </w:p>
        </w:tc>
        <w:tc>
          <w:tcPr>
            <w:tcW w:w="75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7.813</w:t>
            </w:r>
          </w:p>
        </w:tc>
        <w:tc>
          <w:tcPr>
            <w:tcW w:w="1189" w:type="dxa"/>
            <w:vMerge w:val="restart"/>
            <w:noWrap w:val="0"/>
            <w:vAlign w:val="center"/>
          </w:tcPr>
          <w:p>
            <w:pPr>
              <w:widowControl/>
              <w:adjustRightInd w:val="0"/>
              <w:snapToGrid w:val="0"/>
              <w:spacing w:line="240" w:lineRule="auto"/>
              <w:ind w:firstLine="0" w:firstLineChars="0"/>
              <w:jc w:val="left"/>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喷淋</w:t>
            </w:r>
            <w:r>
              <w:rPr>
                <w:rFonts w:hint="eastAsia" w:ascii="Times New Roman" w:hAnsi="Times New Roman" w:eastAsia="宋体" w:cs="Times New Roman"/>
                <w:color w:val="auto"/>
                <w:sz w:val="21"/>
                <w:highlight w:val="none"/>
              </w:rPr>
              <w:t>+封闭+负压收集+袋式除尘器</w:t>
            </w:r>
          </w:p>
        </w:tc>
        <w:tc>
          <w:tcPr>
            <w:tcW w:w="765" w:type="dxa"/>
            <w:vMerge w:val="restart"/>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负压收集率90%</w:t>
            </w:r>
          </w:p>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带式除尘器除尘效率</w:t>
            </w:r>
            <w:r>
              <w:rPr>
                <w:rFonts w:ascii="Times New Roman" w:hAnsi="Times New Roman" w:eastAsia="宋体" w:cs="Times New Roman"/>
                <w:color w:val="auto"/>
                <w:sz w:val="21"/>
                <w:highlight w:val="none"/>
              </w:rPr>
              <w:t>99</w:t>
            </w:r>
            <w:r>
              <w:rPr>
                <w:rFonts w:hint="eastAsia" w:ascii="Times New Roman" w:hAnsi="Times New Roman" w:eastAsia="宋体" w:cs="Times New Roman"/>
                <w:color w:val="auto"/>
                <w:sz w:val="21"/>
                <w:highlight w:val="none"/>
              </w:rPr>
              <w:t>%</w:t>
            </w:r>
          </w:p>
        </w:tc>
        <w:tc>
          <w:tcPr>
            <w:tcW w:w="651" w:type="dxa"/>
            <w:vMerge w:val="restart"/>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排污系数法</w:t>
            </w:r>
          </w:p>
        </w:tc>
        <w:tc>
          <w:tcPr>
            <w:tcW w:w="90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10000</w:t>
            </w:r>
          </w:p>
        </w:tc>
        <w:tc>
          <w:tcPr>
            <w:tcW w:w="83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7.03</w:t>
            </w:r>
          </w:p>
        </w:tc>
        <w:tc>
          <w:tcPr>
            <w:tcW w:w="75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07</w:t>
            </w:r>
          </w:p>
        </w:tc>
        <w:tc>
          <w:tcPr>
            <w:tcW w:w="49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613"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c>
          <w:tcPr>
            <w:tcW w:w="61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w:t>
            </w:r>
          </w:p>
        </w:tc>
        <w:tc>
          <w:tcPr>
            <w:tcW w:w="77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120</w:t>
            </w:r>
          </w:p>
        </w:tc>
        <w:tc>
          <w:tcPr>
            <w:tcW w:w="686"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57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876"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p>
        </w:tc>
        <w:tc>
          <w:tcPr>
            <w:tcW w:w="1280"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w:t>
            </w:r>
            <w:r>
              <w:rPr>
                <w:rFonts w:hint="eastAsia" w:ascii="Times New Roman" w:hAnsi="Times New Roman" w:eastAsia="宋体"/>
                <w:color w:val="auto"/>
                <w:sz w:val="21"/>
                <w:highlight w:val="none"/>
              </w:rPr>
              <w:t>①</w:t>
            </w:r>
          </w:p>
        </w:tc>
        <w:tc>
          <w:tcPr>
            <w:tcW w:w="734"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颗粒物</w:t>
            </w:r>
          </w:p>
        </w:tc>
        <w:tc>
          <w:tcPr>
            <w:tcW w:w="651"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788"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10000</w:t>
            </w:r>
          </w:p>
        </w:tc>
        <w:tc>
          <w:tcPr>
            <w:tcW w:w="808"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1562.5</w:t>
            </w:r>
          </w:p>
        </w:tc>
        <w:tc>
          <w:tcPr>
            <w:tcW w:w="75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15.625</w:t>
            </w:r>
          </w:p>
        </w:tc>
        <w:tc>
          <w:tcPr>
            <w:tcW w:w="1189"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765" w:type="dxa"/>
            <w:vMerge w:val="continue"/>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651"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90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10000</w:t>
            </w:r>
          </w:p>
        </w:tc>
        <w:tc>
          <w:tcPr>
            <w:tcW w:w="83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14.06</w:t>
            </w:r>
          </w:p>
        </w:tc>
        <w:tc>
          <w:tcPr>
            <w:tcW w:w="75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141</w:t>
            </w:r>
          </w:p>
        </w:tc>
        <w:tc>
          <w:tcPr>
            <w:tcW w:w="49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613"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c>
          <w:tcPr>
            <w:tcW w:w="61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w:t>
            </w:r>
          </w:p>
        </w:tc>
        <w:tc>
          <w:tcPr>
            <w:tcW w:w="77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120</w:t>
            </w:r>
          </w:p>
        </w:tc>
        <w:tc>
          <w:tcPr>
            <w:tcW w:w="686"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57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876"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p>
        </w:tc>
        <w:tc>
          <w:tcPr>
            <w:tcW w:w="1280" w:type="dxa"/>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①</w:t>
            </w:r>
          </w:p>
        </w:tc>
        <w:tc>
          <w:tcPr>
            <w:tcW w:w="734"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颗粒物</w:t>
            </w:r>
          </w:p>
        </w:tc>
        <w:tc>
          <w:tcPr>
            <w:tcW w:w="651"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788"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10000</w:t>
            </w:r>
          </w:p>
        </w:tc>
        <w:tc>
          <w:tcPr>
            <w:tcW w:w="808"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3125</w:t>
            </w:r>
          </w:p>
        </w:tc>
        <w:tc>
          <w:tcPr>
            <w:tcW w:w="75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31.25</w:t>
            </w:r>
          </w:p>
        </w:tc>
        <w:tc>
          <w:tcPr>
            <w:tcW w:w="1189"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765" w:type="dxa"/>
            <w:vMerge w:val="continue"/>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651"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90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10000</w:t>
            </w:r>
          </w:p>
        </w:tc>
        <w:tc>
          <w:tcPr>
            <w:tcW w:w="83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28.13</w:t>
            </w:r>
          </w:p>
        </w:tc>
        <w:tc>
          <w:tcPr>
            <w:tcW w:w="75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281</w:t>
            </w:r>
          </w:p>
        </w:tc>
        <w:tc>
          <w:tcPr>
            <w:tcW w:w="49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613"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c>
          <w:tcPr>
            <w:tcW w:w="61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w:t>
            </w:r>
          </w:p>
        </w:tc>
        <w:tc>
          <w:tcPr>
            <w:tcW w:w="77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120</w:t>
            </w:r>
          </w:p>
        </w:tc>
        <w:tc>
          <w:tcPr>
            <w:tcW w:w="686"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57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w:t>
            </w:r>
            <w:r>
              <w:rPr>
                <w:rFonts w:ascii="Times New Roman" w:hAnsi="Times New Roman" w:eastAsia="宋体" w:cs="Times New Roman"/>
                <w:color w:val="auto"/>
                <w:sz w:val="21"/>
                <w:highlight w:val="none"/>
              </w:rPr>
              <w:t>#</w:t>
            </w:r>
          </w:p>
        </w:tc>
        <w:tc>
          <w:tcPr>
            <w:tcW w:w="876" w:type="dxa"/>
            <w:vMerge w:val="restart"/>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u w:val="single"/>
                <w:lang w:eastAsia="zh-CN"/>
              </w:rPr>
            </w:pPr>
            <w:r>
              <w:rPr>
                <w:rFonts w:hint="eastAsia" w:cs="Times New Roman"/>
                <w:color w:val="auto"/>
                <w:sz w:val="21"/>
                <w:highlight w:val="none"/>
                <w:u w:val="single"/>
                <w:lang w:eastAsia="zh-CN"/>
              </w:rPr>
              <w:t>破碎场②</w:t>
            </w:r>
          </w:p>
        </w:tc>
        <w:tc>
          <w:tcPr>
            <w:tcW w:w="1280"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②</w:t>
            </w:r>
          </w:p>
        </w:tc>
        <w:tc>
          <w:tcPr>
            <w:tcW w:w="734"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颗粒物</w:t>
            </w:r>
          </w:p>
        </w:tc>
        <w:tc>
          <w:tcPr>
            <w:tcW w:w="651"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788"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10000</w:t>
            </w:r>
          </w:p>
        </w:tc>
        <w:tc>
          <w:tcPr>
            <w:tcW w:w="808"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781.3</w:t>
            </w:r>
          </w:p>
        </w:tc>
        <w:tc>
          <w:tcPr>
            <w:tcW w:w="755"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7.813</w:t>
            </w:r>
          </w:p>
        </w:tc>
        <w:tc>
          <w:tcPr>
            <w:tcW w:w="1189"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765" w:type="dxa"/>
            <w:vMerge w:val="continue"/>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651"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90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10000</w:t>
            </w:r>
          </w:p>
        </w:tc>
        <w:tc>
          <w:tcPr>
            <w:tcW w:w="832"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7.03</w:t>
            </w:r>
          </w:p>
        </w:tc>
        <w:tc>
          <w:tcPr>
            <w:tcW w:w="75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07</w:t>
            </w:r>
          </w:p>
        </w:tc>
        <w:tc>
          <w:tcPr>
            <w:tcW w:w="49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613"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c>
          <w:tcPr>
            <w:tcW w:w="61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w:t>
            </w:r>
          </w:p>
        </w:tc>
        <w:tc>
          <w:tcPr>
            <w:tcW w:w="77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120</w:t>
            </w:r>
          </w:p>
        </w:tc>
        <w:tc>
          <w:tcPr>
            <w:tcW w:w="686"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57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r>
              <w:rPr>
                <w:rFonts w:ascii="Times New Roman" w:hAnsi="Times New Roman" w:eastAsia="宋体" w:cs="Times New Roman"/>
                <w:color w:val="auto"/>
                <w:sz w:val="21"/>
                <w:highlight w:val="none"/>
              </w:rPr>
              <w:t>#</w:t>
            </w:r>
          </w:p>
        </w:tc>
        <w:tc>
          <w:tcPr>
            <w:tcW w:w="876" w:type="dxa"/>
            <w:vMerge w:val="continue"/>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1280" w:type="dxa"/>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二级破碎筛分</w:t>
            </w:r>
            <w:r>
              <w:rPr>
                <w:rFonts w:hint="eastAsia" w:ascii="Times New Roman" w:hAnsi="Times New Roman" w:eastAsia="宋体"/>
                <w:color w:val="auto"/>
                <w:sz w:val="21"/>
                <w:highlight w:val="none"/>
              </w:rPr>
              <w:t>②</w:t>
            </w:r>
          </w:p>
        </w:tc>
        <w:tc>
          <w:tcPr>
            <w:tcW w:w="734"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颗粒物</w:t>
            </w:r>
          </w:p>
        </w:tc>
        <w:tc>
          <w:tcPr>
            <w:tcW w:w="651"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788"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10000</w:t>
            </w:r>
          </w:p>
        </w:tc>
        <w:tc>
          <w:tcPr>
            <w:tcW w:w="808"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1562.5</w:t>
            </w:r>
          </w:p>
        </w:tc>
        <w:tc>
          <w:tcPr>
            <w:tcW w:w="755"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15.625</w:t>
            </w:r>
          </w:p>
        </w:tc>
        <w:tc>
          <w:tcPr>
            <w:tcW w:w="1189"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765" w:type="dxa"/>
            <w:vMerge w:val="continue"/>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651"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90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10000</w:t>
            </w:r>
          </w:p>
        </w:tc>
        <w:tc>
          <w:tcPr>
            <w:tcW w:w="832"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14.06</w:t>
            </w:r>
          </w:p>
        </w:tc>
        <w:tc>
          <w:tcPr>
            <w:tcW w:w="75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141</w:t>
            </w:r>
          </w:p>
        </w:tc>
        <w:tc>
          <w:tcPr>
            <w:tcW w:w="49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613"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c>
          <w:tcPr>
            <w:tcW w:w="61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w:t>
            </w:r>
          </w:p>
        </w:tc>
        <w:tc>
          <w:tcPr>
            <w:tcW w:w="77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120</w:t>
            </w:r>
          </w:p>
        </w:tc>
        <w:tc>
          <w:tcPr>
            <w:tcW w:w="686"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57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w:t>
            </w:r>
            <w:r>
              <w:rPr>
                <w:rFonts w:ascii="Times New Roman" w:hAnsi="Times New Roman" w:eastAsia="宋体" w:cs="Times New Roman"/>
                <w:color w:val="auto"/>
                <w:sz w:val="21"/>
                <w:highlight w:val="none"/>
              </w:rPr>
              <w:t>#</w:t>
            </w:r>
          </w:p>
        </w:tc>
        <w:tc>
          <w:tcPr>
            <w:tcW w:w="876" w:type="dxa"/>
            <w:vMerge w:val="continue"/>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1280" w:type="dxa"/>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②</w:t>
            </w:r>
          </w:p>
        </w:tc>
        <w:tc>
          <w:tcPr>
            <w:tcW w:w="734"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颗粒物</w:t>
            </w:r>
          </w:p>
        </w:tc>
        <w:tc>
          <w:tcPr>
            <w:tcW w:w="651"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788"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10000</w:t>
            </w:r>
          </w:p>
        </w:tc>
        <w:tc>
          <w:tcPr>
            <w:tcW w:w="808"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312.5</w:t>
            </w:r>
          </w:p>
        </w:tc>
        <w:tc>
          <w:tcPr>
            <w:tcW w:w="75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3.125</w:t>
            </w:r>
          </w:p>
        </w:tc>
        <w:tc>
          <w:tcPr>
            <w:tcW w:w="1189"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765" w:type="dxa"/>
            <w:vMerge w:val="continue"/>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p>
        </w:tc>
        <w:tc>
          <w:tcPr>
            <w:tcW w:w="651"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90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10000</w:t>
            </w:r>
          </w:p>
        </w:tc>
        <w:tc>
          <w:tcPr>
            <w:tcW w:w="832"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2.81</w:t>
            </w:r>
          </w:p>
        </w:tc>
        <w:tc>
          <w:tcPr>
            <w:tcW w:w="75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028</w:t>
            </w:r>
          </w:p>
        </w:tc>
        <w:tc>
          <w:tcPr>
            <w:tcW w:w="49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613"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c>
          <w:tcPr>
            <w:tcW w:w="61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w:t>
            </w:r>
          </w:p>
        </w:tc>
        <w:tc>
          <w:tcPr>
            <w:tcW w:w="77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120</w:t>
            </w:r>
          </w:p>
        </w:tc>
        <w:tc>
          <w:tcPr>
            <w:tcW w:w="686"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r>
    </w:tbl>
    <w:p>
      <w:pPr>
        <w:pStyle w:val="47"/>
        <w:ind w:firstLine="480"/>
        <w:rPr>
          <w:rFonts w:ascii="Times New Roman" w:hAnsi="Times New Roman" w:eastAsia="宋体"/>
          <w:color w:val="auto"/>
          <w:highlight w:val="none"/>
        </w:rPr>
        <w:sectPr>
          <w:pgSz w:w="16838" w:h="11906" w:orient="landscape"/>
          <w:pgMar w:top="1440" w:right="1797" w:bottom="1440" w:left="1797" w:header="851" w:footer="992" w:gutter="0"/>
          <w:pgBorders>
            <w:top w:val="none" w:sz="0" w:space="0"/>
            <w:left w:val="none" w:sz="0" w:space="0"/>
            <w:bottom w:val="none" w:sz="0" w:space="0"/>
            <w:right w:val="none" w:sz="0" w:space="0"/>
          </w:pgBorders>
          <w:cols w:space="720" w:num="1"/>
          <w:docGrid w:type="lines" w:linePitch="312" w:charSpace="0"/>
        </w:sectPr>
      </w:pPr>
    </w:p>
    <w:p>
      <w:pPr>
        <w:ind w:firstLine="48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根据项目总平面布置，</w:t>
      </w:r>
      <w:r>
        <w:rPr>
          <w:rFonts w:hint="eastAsia" w:cs="Times New Roman"/>
          <w:color w:val="auto"/>
          <w:szCs w:val="24"/>
          <w:highlight w:val="none"/>
          <w:u w:val="single"/>
          <w:lang w:eastAsia="zh-CN"/>
        </w:rPr>
        <w:t>破碎场①</w:t>
      </w:r>
      <w:r>
        <w:rPr>
          <w:rFonts w:ascii="Times New Roman" w:hAnsi="Times New Roman" w:eastAsia="宋体" w:cs="Times New Roman"/>
          <w:color w:val="auto"/>
          <w:szCs w:val="24"/>
          <w:highlight w:val="none"/>
        </w:rPr>
        <w:t>1#、2#、3#排气筒</w:t>
      </w:r>
      <w:r>
        <w:rPr>
          <w:rFonts w:hint="eastAsia" w:ascii="Times New Roman" w:hAnsi="Times New Roman" w:eastAsia="宋体" w:cs="Times New Roman"/>
          <w:color w:val="auto"/>
          <w:szCs w:val="24"/>
          <w:highlight w:val="none"/>
        </w:rPr>
        <w:t>和</w:t>
      </w:r>
      <w:r>
        <w:rPr>
          <w:rFonts w:hint="eastAsia" w:cs="Times New Roman"/>
          <w:color w:val="auto"/>
          <w:szCs w:val="24"/>
          <w:highlight w:val="none"/>
          <w:u w:val="single"/>
          <w:lang w:eastAsia="zh-CN"/>
        </w:rPr>
        <w:t>破碎场②</w:t>
      </w:r>
      <w:r>
        <w:rPr>
          <w:rFonts w:hint="eastAsia" w:ascii="Times New Roman" w:hAnsi="Times New Roman" w:eastAsia="宋体" w:cs="Times New Roman"/>
          <w:color w:val="auto"/>
          <w:szCs w:val="24"/>
          <w:highlight w:val="none"/>
        </w:rPr>
        <w:t>5#、6#排气筒</w:t>
      </w:r>
      <w:r>
        <w:rPr>
          <w:rFonts w:ascii="Times New Roman" w:hAnsi="Times New Roman" w:eastAsia="宋体" w:cs="Times New Roman"/>
          <w:color w:val="auto"/>
          <w:szCs w:val="24"/>
          <w:highlight w:val="none"/>
        </w:rPr>
        <w:t>之间距离较近（两两之间均小于30m），</w:t>
      </w:r>
      <w:r>
        <w:rPr>
          <w:rFonts w:hint="eastAsia" w:ascii="Times New Roman" w:hAnsi="Times New Roman" w:eastAsia="宋体" w:cs="Times New Roman"/>
          <w:color w:val="auto"/>
          <w:szCs w:val="24"/>
          <w:highlight w:val="none"/>
        </w:rPr>
        <w:t>距4#排气筒最近排气筒为5#排气筒，直线距离约70m，不进行等效计算。</w:t>
      </w:r>
      <w:r>
        <w:rPr>
          <w:rFonts w:ascii="Times New Roman" w:hAnsi="Times New Roman" w:eastAsia="宋体" w:cs="Times New Roman"/>
          <w:color w:val="auto"/>
          <w:szCs w:val="24"/>
          <w:highlight w:val="none"/>
        </w:rPr>
        <w:t>根据《大气污染物综合排放标准》（GB</w:t>
      </w:r>
      <w:r>
        <w:rPr>
          <w:rFonts w:hint="eastAsia" w:ascii="Times New Roman" w:hAnsi="Times New Roman" w:eastAsia="宋体" w:cs="Times New Roman"/>
          <w:color w:val="auto"/>
          <w:szCs w:val="24"/>
          <w:highlight w:val="none"/>
          <w:lang w:val="en-US" w:eastAsia="zh-CN"/>
        </w:rPr>
        <w:t xml:space="preserve"> </w:t>
      </w:r>
      <w:r>
        <w:rPr>
          <w:rFonts w:ascii="Times New Roman" w:hAnsi="Times New Roman" w:eastAsia="宋体" w:cs="Times New Roman"/>
          <w:color w:val="auto"/>
          <w:szCs w:val="24"/>
          <w:highlight w:val="none"/>
        </w:rPr>
        <w:t>16297-1996）中要求</w:t>
      </w:r>
      <w:r>
        <w:rPr>
          <w:rFonts w:hint="eastAsia" w:ascii="Times New Roman" w:hAnsi="Times New Roman" w:eastAsia="宋体" w:cs="Times New Roman"/>
          <w:color w:val="auto"/>
          <w:szCs w:val="24"/>
          <w:highlight w:val="none"/>
        </w:rPr>
        <w:t>分别</w:t>
      </w:r>
      <w:r>
        <w:rPr>
          <w:rFonts w:ascii="Times New Roman" w:hAnsi="Times New Roman" w:eastAsia="宋体" w:cs="Times New Roman"/>
          <w:color w:val="auto"/>
          <w:szCs w:val="24"/>
          <w:highlight w:val="none"/>
        </w:rPr>
        <w:t>对根排气筒污染物排放情况进行等效，等效后污染物排放情况见下表。</w:t>
      </w:r>
    </w:p>
    <w:p>
      <w:pPr>
        <w:spacing w:line="240" w:lineRule="auto"/>
        <w:ind w:firstLine="0" w:firstLineChars="0"/>
        <w:jc w:val="center"/>
        <w:rPr>
          <w:rFonts w:ascii="Times New Roman" w:hAnsi="Times New Roman" w:eastAsia="宋体" w:cs="Times New Roman"/>
          <w:color w:val="auto"/>
          <w:szCs w:val="24"/>
          <w:highlight w:val="none"/>
        </w:rPr>
      </w:pPr>
      <w:r>
        <w:rPr>
          <w:rFonts w:ascii="Times New Roman" w:hAnsi="Times New Roman" w:eastAsia="宋体" w:cs="Times New Roman"/>
          <w:b/>
          <w:color w:val="auto"/>
          <w:kern w:val="0"/>
          <w:szCs w:val="24"/>
          <w:highlight w:val="none"/>
        </w:rPr>
        <w:t>表2.</w:t>
      </w:r>
      <w:r>
        <w:rPr>
          <w:rFonts w:hint="eastAsia" w:ascii="Times New Roman" w:hAnsi="Times New Roman" w:eastAsia="宋体" w:cs="Times New Roman"/>
          <w:b/>
          <w:color w:val="auto"/>
          <w:kern w:val="0"/>
          <w:szCs w:val="24"/>
          <w:highlight w:val="none"/>
        </w:rPr>
        <w:t>5-</w:t>
      </w:r>
      <w:r>
        <w:rPr>
          <w:rFonts w:hint="eastAsia" w:cs="Times New Roman"/>
          <w:b/>
          <w:color w:val="auto"/>
          <w:kern w:val="0"/>
          <w:szCs w:val="24"/>
          <w:highlight w:val="none"/>
          <w:lang w:val="en-US" w:eastAsia="zh-CN"/>
        </w:rPr>
        <w:t>9</w:t>
      </w:r>
      <w:r>
        <w:rPr>
          <w:rFonts w:ascii="Times New Roman" w:hAnsi="Times New Roman" w:eastAsia="宋体" w:cs="Times New Roman"/>
          <w:b/>
          <w:color w:val="auto"/>
          <w:kern w:val="0"/>
          <w:szCs w:val="24"/>
          <w:highlight w:val="none"/>
        </w:rPr>
        <w:t xml:space="preserve"> 拟建项目等效排气筒尾气排放情况表</w:t>
      </w:r>
    </w:p>
    <w:tbl>
      <w:tblPr>
        <w:tblStyle w:val="48"/>
        <w:tblW w:w="9071" w:type="dxa"/>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1843"/>
        <w:gridCol w:w="1272"/>
        <w:gridCol w:w="1510"/>
        <w:gridCol w:w="1184"/>
        <w:gridCol w:w="1360"/>
        <w:gridCol w:w="1902"/>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843" w:type="dxa"/>
            <w:vMerge w:val="restart"/>
            <w:noWrap w:val="0"/>
            <w:vAlign w:val="center"/>
          </w:tcPr>
          <w:p>
            <w:pPr>
              <w:pStyle w:val="86"/>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等效排气筒编号</w:t>
            </w:r>
          </w:p>
        </w:tc>
        <w:tc>
          <w:tcPr>
            <w:tcW w:w="1272" w:type="dxa"/>
            <w:vMerge w:val="restart"/>
            <w:noWrap w:val="0"/>
            <w:vAlign w:val="center"/>
          </w:tcPr>
          <w:p>
            <w:pPr>
              <w:pStyle w:val="86"/>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排气筒情况</w:t>
            </w:r>
          </w:p>
        </w:tc>
        <w:tc>
          <w:tcPr>
            <w:tcW w:w="1510" w:type="dxa"/>
            <w:vMerge w:val="restart"/>
            <w:noWrap w:val="0"/>
            <w:vAlign w:val="center"/>
          </w:tcPr>
          <w:p>
            <w:pPr>
              <w:pStyle w:val="86"/>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污染物名称</w:t>
            </w:r>
          </w:p>
        </w:tc>
        <w:tc>
          <w:tcPr>
            <w:tcW w:w="1184" w:type="dxa"/>
            <w:vMerge w:val="restart"/>
            <w:noWrap w:val="0"/>
            <w:vAlign w:val="center"/>
          </w:tcPr>
          <w:p>
            <w:pPr>
              <w:pStyle w:val="86"/>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等效高度m</w:t>
            </w:r>
          </w:p>
        </w:tc>
        <w:tc>
          <w:tcPr>
            <w:tcW w:w="1360" w:type="dxa"/>
            <w:vMerge w:val="restart"/>
            <w:noWrap w:val="0"/>
            <w:vAlign w:val="center"/>
          </w:tcPr>
          <w:p>
            <w:pPr>
              <w:pStyle w:val="86"/>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排放速率kg/h</w:t>
            </w:r>
          </w:p>
        </w:tc>
        <w:tc>
          <w:tcPr>
            <w:tcW w:w="1902" w:type="dxa"/>
            <w:noWrap w:val="0"/>
            <w:vAlign w:val="center"/>
          </w:tcPr>
          <w:p>
            <w:pPr>
              <w:tabs>
                <w:tab w:val="left" w:pos="5940"/>
              </w:tabs>
              <w:spacing w:line="260" w:lineRule="exact"/>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执行标准</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843" w:type="dxa"/>
            <w:vMerge w:val="continue"/>
            <w:noWrap w:val="0"/>
            <w:vAlign w:val="center"/>
          </w:tcPr>
          <w:p>
            <w:pPr>
              <w:pStyle w:val="86"/>
              <w:rPr>
                <w:rFonts w:ascii="Times New Roman" w:hAnsi="Times New Roman" w:eastAsia="宋体" w:cs="Times New Roman"/>
                <w:color w:val="auto"/>
                <w:szCs w:val="21"/>
                <w:highlight w:val="none"/>
              </w:rPr>
            </w:pPr>
          </w:p>
        </w:tc>
        <w:tc>
          <w:tcPr>
            <w:tcW w:w="1272" w:type="dxa"/>
            <w:vMerge w:val="continue"/>
            <w:noWrap w:val="0"/>
            <w:vAlign w:val="center"/>
          </w:tcPr>
          <w:p>
            <w:pPr>
              <w:pStyle w:val="86"/>
              <w:rPr>
                <w:rFonts w:ascii="Times New Roman" w:hAnsi="Times New Roman" w:eastAsia="宋体" w:cs="Times New Roman"/>
                <w:color w:val="auto"/>
                <w:szCs w:val="21"/>
                <w:highlight w:val="none"/>
              </w:rPr>
            </w:pPr>
          </w:p>
        </w:tc>
        <w:tc>
          <w:tcPr>
            <w:tcW w:w="1510" w:type="dxa"/>
            <w:vMerge w:val="continue"/>
            <w:noWrap w:val="0"/>
            <w:vAlign w:val="center"/>
          </w:tcPr>
          <w:p>
            <w:pPr>
              <w:pStyle w:val="86"/>
              <w:rPr>
                <w:rFonts w:ascii="Times New Roman" w:hAnsi="Times New Roman" w:eastAsia="宋体" w:cs="Times New Roman"/>
                <w:color w:val="auto"/>
                <w:szCs w:val="21"/>
                <w:highlight w:val="none"/>
              </w:rPr>
            </w:pPr>
          </w:p>
        </w:tc>
        <w:tc>
          <w:tcPr>
            <w:tcW w:w="1184" w:type="dxa"/>
            <w:vMerge w:val="continue"/>
            <w:noWrap w:val="0"/>
            <w:vAlign w:val="center"/>
          </w:tcPr>
          <w:p>
            <w:pPr>
              <w:pStyle w:val="86"/>
              <w:rPr>
                <w:rFonts w:ascii="Times New Roman" w:hAnsi="Times New Roman" w:eastAsia="宋体" w:cs="Times New Roman"/>
                <w:color w:val="auto"/>
                <w:szCs w:val="21"/>
                <w:highlight w:val="none"/>
              </w:rPr>
            </w:pPr>
          </w:p>
        </w:tc>
        <w:tc>
          <w:tcPr>
            <w:tcW w:w="1360" w:type="dxa"/>
            <w:vMerge w:val="continue"/>
            <w:noWrap w:val="0"/>
            <w:vAlign w:val="center"/>
          </w:tcPr>
          <w:p>
            <w:pPr>
              <w:pStyle w:val="86"/>
              <w:rPr>
                <w:rFonts w:ascii="Times New Roman" w:hAnsi="Times New Roman" w:eastAsia="宋体" w:cs="Times New Roman"/>
                <w:color w:val="auto"/>
                <w:szCs w:val="21"/>
                <w:highlight w:val="none"/>
              </w:rPr>
            </w:pPr>
          </w:p>
        </w:tc>
        <w:tc>
          <w:tcPr>
            <w:tcW w:w="1902" w:type="dxa"/>
            <w:noWrap w:val="0"/>
            <w:vAlign w:val="center"/>
          </w:tcPr>
          <w:p>
            <w:pPr>
              <w:pStyle w:val="86"/>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排放速率kg/h</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843" w:type="dxa"/>
            <w:noWrap w:val="0"/>
            <w:vAlign w:val="center"/>
          </w:tcPr>
          <w:p>
            <w:pPr>
              <w:pStyle w:val="86"/>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1#、2#、3#</w:t>
            </w:r>
          </w:p>
        </w:tc>
        <w:tc>
          <w:tcPr>
            <w:tcW w:w="1272" w:type="dxa"/>
            <w:noWrap w:val="0"/>
            <w:vAlign w:val="center"/>
          </w:tcPr>
          <w:p>
            <w:pPr>
              <w:pStyle w:val="86"/>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3根</w:t>
            </w:r>
          </w:p>
        </w:tc>
        <w:tc>
          <w:tcPr>
            <w:tcW w:w="1510" w:type="dxa"/>
            <w:noWrap w:val="0"/>
            <w:vAlign w:val="center"/>
          </w:tcPr>
          <w:p>
            <w:pPr>
              <w:pStyle w:val="86"/>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颗粒物</w:t>
            </w:r>
          </w:p>
        </w:tc>
        <w:tc>
          <w:tcPr>
            <w:tcW w:w="1184" w:type="dxa"/>
            <w:noWrap w:val="0"/>
            <w:vAlign w:val="center"/>
          </w:tcPr>
          <w:p>
            <w:pPr>
              <w:pStyle w:val="86"/>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15</w:t>
            </w:r>
          </w:p>
        </w:tc>
        <w:tc>
          <w:tcPr>
            <w:tcW w:w="1360" w:type="dxa"/>
            <w:noWrap w:val="0"/>
            <w:vAlign w:val="center"/>
          </w:tcPr>
          <w:p>
            <w:pPr>
              <w:pStyle w:val="86"/>
              <w:rPr>
                <w:rFonts w:ascii="Times New Roman" w:hAnsi="Times New Roman" w:eastAsia="宋体" w:cs="Times New Roman"/>
                <w:b w:val="0"/>
                <w:bCs/>
                <w:color w:val="auto"/>
                <w:szCs w:val="21"/>
                <w:highlight w:val="none"/>
              </w:rPr>
            </w:pPr>
            <w:r>
              <w:rPr>
                <w:rFonts w:hint="eastAsia" w:ascii="Times New Roman" w:hAnsi="Times New Roman" w:eastAsia="宋体" w:cs="Times New Roman"/>
                <w:b w:val="0"/>
                <w:bCs/>
                <w:color w:val="auto"/>
                <w:szCs w:val="21"/>
                <w:highlight w:val="none"/>
              </w:rPr>
              <w:t>0.365</w:t>
            </w:r>
          </w:p>
        </w:tc>
        <w:tc>
          <w:tcPr>
            <w:tcW w:w="1902" w:type="dxa"/>
            <w:vMerge w:val="restart"/>
            <w:noWrap w:val="0"/>
            <w:vAlign w:val="center"/>
          </w:tcPr>
          <w:p>
            <w:pPr>
              <w:pStyle w:val="86"/>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3.5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843" w:type="dxa"/>
            <w:noWrap w:val="0"/>
            <w:vAlign w:val="center"/>
          </w:tcPr>
          <w:p>
            <w:pPr>
              <w:pStyle w:val="86"/>
              <w:rPr>
                <w:rFonts w:ascii="Times New Roman" w:hAnsi="Times New Roman" w:eastAsia="宋体" w:cs="Times New Roman"/>
                <w:b w:val="0"/>
                <w:bCs/>
                <w:color w:val="auto"/>
                <w:szCs w:val="21"/>
                <w:highlight w:val="none"/>
              </w:rPr>
            </w:pPr>
            <w:r>
              <w:rPr>
                <w:rFonts w:hint="eastAsia" w:ascii="Times New Roman" w:hAnsi="Times New Roman" w:eastAsia="宋体" w:cs="Times New Roman"/>
                <w:b w:val="0"/>
                <w:bCs/>
                <w:color w:val="auto"/>
                <w:szCs w:val="21"/>
                <w:highlight w:val="none"/>
              </w:rPr>
              <w:t>5#、6#</w:t>
            </w:r>
          </w:p>
        </w:tc>
        <w:tc>
          <w:tcPr>
            <w:tcW w:w="1272" w:type="dxa"/>
            <w:noWrap w:val="0"/>
            <w:vAlign w:val="center"/>
          </w:tcPr>
          <w:p>
            <w:pPr>
              <w:pStyle w:val="86"/>
              <w:rPr>
                <w:rFonts w:ascii="Times New Roman" w:hAnsi="Times New Roman" w:eastAsia="宋体" w:cs="Times New Roman"/>
                <w:b w:val="0"/>
                <w:bCs/>
                <w:color w:val="auto"/>
                <w:szCs w:val="21"/>
                <w:highlight w:val="none"/>
              </w:rPr>
            </w:pPr>
            <w:r>
              <w:rPr>
                <w:rFonts w:hint="eastAsia" w:ascii="Times New Roman" w:hAnsi="Times New Roman" w:eastAsia="宋体" w:cs="Times New Roman"/>
                <w:b w:val="0"/>
                <w:bCs/>
                <w:color w:val="auto"/>
                <w:szCs w:val="21"/>
                <w:highlight w:val="none"/>
              </w:rPr>
              <w:t>2根</w:t>
            </w:r>
          </w:p>
        </w:tc>
        <w:tc>
          <w:tcPr>
            <w:tcW w:w="1510" w:type="dxa"/>
            <w:noWrap w:val="0"/>
            <w:vAlign w:val="center"/>
          </w:tcPr>
          <w:p>
            <w:pPr>
              <w:pStyle w:val="86"/>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颗粒物</w:t>
            </w:r>
          </w:p>
        </w:tc>
        <w:tc>
          <w:tcPr>
            <w:tcW w:w="1184" w:type="dxa"/>
            <w:noWrap w:val="0"/>
            <w:vAlign w:val="center"/>
          </w:tcPr>
          <w:p>
            <w:pPr>
              <w:pStyle w:val="86"/>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15</w:t>
            </w:r>
          </w:p>
        </w:tc>
        <w:tc>
          <w:tcPr>
            <w:tcW w:w="1360" w:type="dxa"/>
            <w:noWrap w:val="0"/>
            <w:vAlign w:val="center"/>
          </w:tcPr>
          <w:p>
            <w:pPr>
              <w:pStyle w:val="86"/>
              <w:rPr>
                <w:rFonts w:ascii="Times New Roman" w:hAnsi="Times New Roman" w:eastAsia="宋体" w:cs="Times New Roman"/>
                <w:b w:val="0"/>
                <w:bCs/>
                <w:color w:val="auto"/>
                <w:szCs w:val="21"/>
                <w:highlight w:val="none"/>
              </w:rPr>
            </w:pPr>
            <w:r>
              <w:rPr>
                <w:rFonts w:hint="eastAsia" w:ascii="Times New Roman" w:hAnsi="Times New Roman" w:eastAsia="宋体" w:cs="Times New Roman"/>
                <w:b w:val="0"/>
                <w:bCs/>
                <w:color w:val="auto"/>
                <w:szCs w:val="21"/>
                <w:highlight w:val="none"/>
              </w:rPr>
              <w:t>0.295</w:t>
            </w:r>
          </w:p>
        </w:tc>
        <w:tc>
          <w:tcPr>
            <w:tcW w:w="1902" w:type="dxa"/>
            <w:vMerge w:val="continue"/>
            <w:noWrap w:val="0"/>
            <w:vAlign w:val="center"/>
          </w:tcPr>
          <w:p>
            <w:pPr>
              <w:pStyle w:val="86"/>
              <w:rPr>
                <w:rFonts w:ascii="Times New Roman" w:hAnsi="Times New Roman" w:eastAsia="宋体" w:cs="Times New Roman"/>
                <w:b w:val="0"/>
                <w:bCs/>
                <w:color w:val="auto"/>
                <w:szCs w:val="21"/>
                <w:highlight w:val="none"/>
              </w:rPr>
            </w:pPr>
          </w:p>
        </w:tc>
      </w:tr>
    </w:tbl>
    <w:p>
      <w:pPr>
        <w:ind w:firstLine="480"/>
        <w:rPr>
          <w:rFonts w:ascii="Times New Roman" w:hAnsi="Times New Roman" w:eastAsia="宋体" w:cs="Times New Roman"/>
          <w:color w:val="auto"/>
          <w:highlight w:val="none"/>
        </w:rPr>
      </w:pPr>
      <w:r>
        <w:rPr>
          <w:rFonts w:ascii="Times New Roman" w:hAnsi="Times New Roman" w:eastAsia="宋体" w:cs="Times New Roman"/>
          <w:color w:val="auto"/>
          <w:szCs w:val="24"/>
          <w:highlight w:val="none"/>
        </w:rPr>
        <w:t>由上表可知，</w:t>
      </w:r>
      <w:r>
        <w:rPr>
          <w:rFonts w:hint="eastAsia" w:cs="Times New Roman"/>
          <w:color w:val="auto"/>
          <w:szCs w:val="24"/>
          <w:highlight w:val="none"/>
          <w:u w:val="single"/>
          <w:lang w:eastAsia="zh-CN"/>
        </w:rPr>
        <w:t>破碎场①</w:t>
      </w:r>
      <w:r>
        <w:rPr>
          <w:rFonts w:ascii="Times New Roman" w:hAnsi="Times New Roman" w:eastAsia="宋体" w:cs="Times New Roman"/>
          <w:color w:val="auto"/>
          <w:szCs w:val="24"/>
          <w:highlight w:val="none"/>
        </w:rPr>
        <w:t>1#、2#、3#排气筒</w:t>
      </w:r>
      <w:r>
        <w:rPr>
          <w:rFonts w:hint="eastAsia" w:ascii="Times New Roman" w:hAnsi="Times New Roman" w:eastAsia="宋体" w:cs="Times New Roman"/>
          <w:color w:val="auto"/>
          <w:szCs w:val="24"/>
          <w:highlight w:val="none"/>
        </w:rPr>
        <w:t>和</w:t>
      </w:r>
      <w:r>
        <w:rPr>
          <w:rFonts w:hint="eastAsia" w:cs="Times New Roman"/>
          <w:color w:val="auto"/>
          <w:szCs w:val="24"/>
          <w:highlight w:val="none"/>
          <w:u w:val="single"/>
          <w:lang w:eastAsia="zh-CN"/>
        </w:rPr>
        <w:t>破碎场②</w:t>
      </w:r>
      <w:r>
        <w:rPr>
          <w:rFonts w:hint="eastAsia" w:ascii="Times New Roman" w:hAnsi="Times New Roman" w:eastAsia="宋体" w:cs="Times New Roman"/>
          <w:color w:val="auto"/>
          <w:szCs w:val="24"/>
          <w:highlight w:val="none"/>
        </w:rPr>
        <w:t>5#、6#排气筒</w:t>
      </w:r>
      <w:r>
        <w:rPr>
          <w:rFonts w:ascii="Times New Roman" w:hAnsi="Times New Roman" w:eastAsia="宋体" w:cs="Times New Roman"/>
          <w:color w:val="auto"/>
          <w:szCs w:val="24"/>
          <w:highlight w:val="none"/>
        </w:rPr>
        <w:t>等效后颗粒物排放速率满足排放限值要求。</w:t>
      </w:r>
    </w:p>
    <w:p>
      <w:pPr>
        <w:widowControl/>
        <w:ind w:firstLine="480"/>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（6</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落料粉尘</w:t>
      </w:r>
    </w:p>
    <w:p>
      <w:pPr>
        <w:widowControl/>
        <w:ind w:firstLine="48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矿石经破碎筛分加工后，由输送带送至堆场，在送料上堆落料过程中产生粉尘，</w:t>
      </w:r>
      <w:r>
        <w:rPr>
          <w:rFonts w:ascii="Times New Roman" w:hAnsi="Times New Roman" w:eastAsia="宋体" w:cs="Times New Roman"/>
          <w:color w:val="auto"/>
          <w:szCs w:val="24"/>
          <w:highlight w:val="none"/>
        </w:rPr>
        <w:t>根据《逸散性工业颗粒物控制技术》（中国环境科学出版社），</w:t>
      </w:r>
      <w:r>
        <w:rPr>
          <w:rFonts w:hint="eastAsia" w:ascii="Times New Roman" w:hAnsi="Times New Roman" w:eastAsia="宋体" w:cs="Times New Roman"/>
          <w:color w:val="auto"/>
          <w:szCs w:val="24"/>
          <w:highlight w:val="none"/>
        </w:rPr>
        <w:t>碎石送料上堆过程</w:t>
      </w:r>
      <w:r>
        <w:rPr>
          <w:rFonts w:ascii="Times New Roman" w:hAnsi="Times New Roman" w:eastAsia="宋体" w:cs="Times New Roman"/>
          <w:color w:val="auto"/>
          <w:szCs w:val="24"/>
          <w:highlight w:val="none"/>
        </w:rPr>
        <w:t>逸散颗粒物</w:t>
      </w:r>
      <w:r>
        <w:rPr>
          <w:rFonts w:hint="eastAsia" w:ascii="Times New Roman" w:hAnsi="Times New Roman" w:eastAsia="宋体" w:cs="Times New Roman"/>
          <w:color w:val="auto"/>
          <w:szCs w:val="24"/>
          <w:highlight w:val="none"/>
        </w:rPr>
        <w:t>产生</w:t>
      </w:r>
      <w:r>
        <w:rPr>
          <w:rFonts w:ascii="Times New Roman" w:hAnsi="Times New Roman" w:eastAsia="宋体" w:cs="Times New Roman"/>
          <w:color w:val="auto"/>
          <w:szCs w:val="24"/>
          <w:highlight w:val="none"/>
        </w:rPr>
        <w:t>系数为0.0</w:t>
      </w:r>
      <w:r>
        <w:rPr>
          <w:rFonts w:hint="eastAsia" w:ascii="Times New Roman" w:hAnsi="Times New Roman" w:eastAsia="宋体" w:cs="Times New Roman"/>
          <w:color w:val="auto"/>
          <w:szCs w:val="24"/>
          <w:highlight w:val="none"/>
        </w:rPr>
        <w:t>007</w:t>
      </w:r>
      <w:r>
        <w:rPr>
          <w:rFonts w:ascii="Times New Roman" w:hAnsi="Times New Roman" w:eastAsia="宋体" w:cs="Times New Roman"/>
          <w:color w:val="auto"/>
          <w:szCs w:val="24"/>
          <w:highlight w:val="none"/>
        </w:rPr>
        <w:t>kg/t（矿石），</w:t>
      </w:r>
      <w:r>
        <w:rPr>
          <w:rFonts w:hint="eastAsia" w:ascii="Times New Roman" w:hAnsi="Times New Roman" w:eastAsia="宋体" w:cs="Times New Roman"/>
          <w:color w:val="auto"/>
          <w:szCs w:val="24"/>
          <w:highlight w:val="none"/>
        </w:rPr>
        <w:t>则落料过程颗粒物产生量0.35t/a。落料上堆过程使用可伸缩斜槽，可有效降低</w:t>
      </w:r>
      <w:r>
        <w:rPr>
          <w:rFonts w:ascii="Times New Roman" w:hAnsi="Times New Roman" w:eastAsia="宋体" w:cs="Times New Roman"/>
          <w:color w:val="auto"/>
          <w:szCs w:val="24"/>
          <w:highlight w:val="none"/>
        </w:rPr>
        <w:t>颗粒物</w:t>
      </w:r>
      <w:r>
        <w:rPr>
          <w:rFonts w:hint="eastAsia" w:ascii="Times New Roman" w:hAnsi="Times New Roman" w:eastAsia="宋体" w:cs="Times New Roman"/>
          <w:color w:val="auto"/>
          <w:szCs w:val="24"/>
          <w:highlight w:val="none"/>
        </w:rPr>
        <w:t>约75%，拟建项目矿石</w:t>
      </w:r>
      <w:r>
        <w:rPr>
          <w:rFonts w:ascii="Times New Roman" w:hAnsi="Times New Roman" w:eastAsia="宋体" w:cs="Times New Roman"/>
          <w:color w:val="auto"/>
          <w:szCs w:val="24"/>
          <w:highlight w:val="none"/>
        </w:rPr>
        <w:t>开</w:t>
      </w:r>
      <w:r>
        <w:rPr>
          <w:rFonts w:hint="eastAsia" w:ascii="Times New Roman" w:hAnsi="Times New Roman" w:eastAsia="宋体" w:cs="Times New Roman"/>
          <w:color w:val="auto"/>
          <w:szCs w:val="24"/>
          <w:highlight w:val="none"/>
        </w:rPr>
        <w:t>产</w:t>
      </w:r>
      <w:r>
        <w:rPr>
          <w:rFonts w:ascii="Times New Roman" w:hAnsi="Times New Roman" w:eastAsia="宋体" w:cs="Times New Roman"/>
          <w:color w:val="auto"/>
          <w:szCs w:val="24"/>
          <w:highlight w:val="none"/>
        </w:rPr>
        <w:t>量</w:t>
      </w:r>
      <w:r>
        <w:rPr>
          <w:rFonts w:hint="eastAsia" w:ascii="Times New Roman" w:hAnsi="Times New Roman" w:eastAsia="宋体" w:cs="Times New Roman"/>
          <w:color w:val="auto"/>
          <w:szCs w:val="24"/>
          <w:highlight w:val="none"/>
        </w:rPr>
        <w:t>50</w:t>
      </w:r>
      <w:r>
        <w:rPr>
          <w:rFonts w:ascii="Times New Roman" w:hAnsi="Times New Roman" w:eastAsia="宋体" w:cs="Times New Roman"/>
          <w:color w:val="auto"/>
          <w:szCs w:val="24"/>
          <w:highlight w:val="none"/>
        </w:rPr>
        <w:t>万t/a，则</w:t>
      </w:r>
      <w:r>
        <w:rPr>
          <w:rFonts w:hint="eastAsia" w:ascii="Times New Roman" w:hAnsi="Times New Roman" w:eastAsia="宋体" w:cs="Times New Roman"/>
          <w:color w:val="auto"/>
          <w:szCs w:val="24"/>
          <w:highlight w:val="none"/>
        </w:rPr>
        <w:t>落料过程</w:t>
      </w:r>
      <w:r>
        <w:rPr>
          <w:rFonts w:ascii="Times New Roman" w:hAnsi="Times New Roman" w:eastAsia="宋体" w:cs="Times New Roman"/>
          <w:color w:val="auto"/>
          <w:szCs w:val="24"/>
          <w:highlight w:val="none"/>
        </w:rPr>
        <w:t>逸散颗粒物排放量为0.</w:t>
      </w:r>
      <w:r>
        <w:rPr>
          <w:rFonts w:hint="eastAsia" w:ascii="Times New Roman" w:hAnsi="Times New Roman" w:eastAsia="宋体" w:cs="Times New Roman"/>
          <w:color w:val="auto"/>
          <w:szCs w:val="24"/>
          <w:highlight w:val="none"/>
        </w:rPr>
        <w:t>088</w:t>
      </w:r>
      <w:r>
        <w:rPr>
          <w:rFonts w:ascii="Times New Roman" w:hAnsi="Times New Roman" w:eastAsia="宋体" w:cs="Times New Roman"/>
          <w:color w:val="auto"/>
          <w:szCs w:val="24"/>
          <w:highlight w:val="none"/>
        </w:rPr>
        <w:t>t/a。</w:t>
      </w:r>
    </w:p>
    <w:p>
      <w:pPr>
        <w:widowControl/>
        <w:snapToGrid w:val="0"/>
        <w:ind w:firstLine="48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（7）</w:t>
      </w:r>
      <w:r>
        <w:rPr>
          <w:rFonts w:ascii="Times New Roman" w:hAnsi="Times New Roman" w:eastAsia="宋体" w:cs="Times New Roman"/>
          <w:color w:val="auto"/>
          <w:szCs w:val="24"/>
          <w:highlight w:val="none"/>
        </w:rPr>
        <w:t>堆场扬尘</w:t>
      </w:r>
    </w:p>
    <w:p>
      <w:pPr>
        <w:widowControl/>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u w:val="single"/>
        </w:rPr>
        <w:t>根据《扬尘源颗粒物排放清单编制技术指南（试行）》</w:t>
      </w:r>
      <w:r>
        <w:rPr>
          <w:rFonts w:hint="eastAsia" w:ascii="Times New Roman" w:hAnsi="Times New Roman" w:cs="Times New Roman"/>
          <w:color w:val="auto"/>
          <w:szCs w:val="24"/>
          <w:highlight w:val="none"/>
          <w:u w:val="single"/>
          <w:lang w:val="en-US" w:eastAsia="zh-CN"/>
        </w:rPr>
        <w:t>及计算公式（见本报告第2.2.9.1节）</w:t>
      </w:r>
      <w:r>
        <w:rPr>
          <w:rFonts w:ascii="Times New Roman" w:hAnsi="Times New Roman" w:eastAsia="宋体" w:cs="Times New Roman"/>
          <w:color w:val="auto"/>
          <w:szCs w:val="24"/>
          <w:highlight w:val="none"/>
          <w:u w:val="single"/>
        </w:rPr>
        <w:t>，未采取洒水措施时，</w:t>
      </w:r>
      <w:r>
        <w:rPr>
          <w:rStyle w:val="199"/>
          <w:rFonts w:ascii="Times New Roman" w:hAnsi="Times New Roman" w:eastAsia="宋体" w:cs="Times New Roman"/>
          <w:i w:val="0"/>
          <w:color w:val="auto"/>
          <w:sz w:val="24"/>
          <w:szCs w:val="24"/>
          <w:highlight w:val="none"/>
        </w:rPr>
        <w:t>堆场装卸扬尘的排放系数为</w:t>
      </w:r>
      <w:r>
        <w:rPr>
          <w:rFonts w:ascii="Times New Roman" w:hAnsi="Times New Roman" w:eastAsia="宋体" w:cs="Times New Roman"/>
          <w:color w:val="auto"/>
          <w:szCs w:val="24"/>
          <w:highlight w:val="none"/>
        </w:rPr>
        <w:t>0.000</w:t>
      </w:r>
      <w:r>
        <w:rPr>
          <w:rFonts w:hint="eastAsia" w:ascii="Times New Roman" w:hAnsi="Times New Roman" w:eastAsia="宋体" w:cs="Times New Roman"/>
          <w:color w:val="auto"/>
          <w:szCs w:val="24"/>
          <w:highlight w:val="none"/>
        </w:rPr>
        <w:t>558</w:t>
      </w:r>
      <w:r>
        <w:rPr>
          <w:rFonts w:ascii="Times New Roman" w:hAnsi="Times New Roman" w:eastAsia="宋体" w:cs="Times New Roman"/>
          <w:color w:val="auto"/>
          <w:szCs w:val="24"/>
          <w:highlight w:val="none"/>
        </w:rPr>
        <w:t>kg/t</w:t>
      </w:r>
      <w:r>
        <w:rPr>
          <w:rStyle w:val="199"/>
          <w:rFonts w:ascii="Times New Roman" w:hAnsi="Times New Roman" w:eastAsia="宋体" w:cs="Times New Roman"/>
          <w:i w:val="0"/>
          <w:color w:val="auto"/>
          <w:sz w:val="24"/>
          <w:szCs w:val="24"/>
          <w:highlight w:val="none"/>
        </w:rPr>
        <w:t>，采取洒水措施后，堆场装卸扬尘的排放系数</w:t>
      </w:r>
      <w:r>
        <w:rPr>
          <w:rFonts w:ascii="Times New Roman" w:hAnsi="Times New Roman" w:eastAsia="宋体" w:cs="Times New Roman"/>
          <w:color w:val="auto"/>
          <w:szCs w:val="24"/>
          <w:highlight w:val="none"/>
        </w:rPr>
        <w:t>为0.000</w:t>
      </w:r>
      <w:r>
        <w:rPr>
          <w:rFonts w:hint="eastAsia" w:ascii="Times New Roman" w:hAnsi="Times New Roman" w:eastAsia="宋体" w:cs="Times New Roman"/>
          <w:color w:val="auto"/>
          <w:szCs w:val="24"/>
          <w:highlight w:val="none"/>
        </w:rPr>
        <w:t>167</w:t>
      </w:r>
      <w:r>
        <w:rPr>
          <w:rFonts w:ascii="Times New Roman" w:hAnsi="Times New Roman" w:eastAsia="宋体" w:cs="Times New Roman"/>
          <w:color w:val="auto"/>
          <w:szCs w:val="24"/>
          <w:highlight w:val="none"/>
        </w:rPr>
        <w:t>kg/t。</w:t>
      </w:r>
      <w:r>
        <w:rPr>
          <w:rStyle w:val="199"/>
          <w:rFonts w:ascii="Times New Roman" w:hAnsi="Times New Roman" w:eastAsia="宋体" w:cs="Times New Roman"/>
          <w:i w:val="0"/>
          <w:color w:val="auto"/>
          <w:sz w:val="24"/>
          <w:szCs w:val="24"/>
          <w:highlight w:val="none"/>
        </w:rPr>
        <w:t>堆场装卸</w:t>
      </w:r>
      <w:r>
        <w:rPr>
          <w:rStyle w:val="199"/>
          <w:rFonts w:hint="eastAsia" w:ascii="Times New Roman" w:hAnsi="Times New Roman" w:eastAsia="宋体" w:cs="Times New Roman"/>
          <w:i w:val="0"/>
          <w:color w:val="auto"/>
          <w:sz w:val="24"/>
          <w:szCs w:val="24"/>
          <w:highlight w:val="none"/>
        </w:rPr>
        <w:t>矿石</w:t>
      </w:r>
      <w:r>
        <w:rPr>
          <w:rFonts w:ascii="Times New Roman" w:hAnsi="Times New Roman" w:eastAsia="宋体" w:cs="Times New Roman"/>
          <w:color w:val="auto"/>
          <w:szCs w:val="24"/>
          <w:highlight w:val="none"/>
        </w:rPr>
        <w:t>的装车量按2t/次计，项目装卸总量</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0万t/a，则装卸运输过程颗粒物产生量为0.</w:t>
      </w:r>
      <w:r>
        <w:rPr>
          <w:rFonts w:hint="eastAsia" w:ascii="Times New Roman" w:hAnsi="Times New Roman" w:eastAsia="宋体" w:cs="Times New Roman"/>
          <w:color w:val="auto"/>
          <w:szCs w:val="24"/>
          <w:highlight w:val="none"/>
        </w:rPr>
        <w:t>279</w:t>
      </w:r>
      <w:r>
        <w:rPr>
          <w:rFonts w:ascii="Times New Roman" w:hAnsi="Times New Roman" w:eastAsia="宋体" w:cs="Times New Roman"/>
          <w:color w:val="auto"/>
          <w:szCs w:val="24"/>
          <w:highlight w:val="none"/>
        </w:rPr>
        <w:t>t/a。采取洒水降尘措施后装卸运输扬尘量排放量为0.</w:t>
      </w:r>
      <w:r>
        <w:rPr>
          <w:rFonts w:hint="eastAsia" w:ascii="Times New Roman" w:hAnsi="Times New Roman" w:eastAsia="宋体" w:cs="Times New Roman"/>
          <w:color w:val="auto"/>
          <w:szCs w:val="24"/>
          <w:highlight w:val="none"/>
        </w:rPr>
        <w:t>084</w:t>
      </w:r>
      <w:r>
        <w:rPr>
          <w:rFonts w:ascii="Times New Roman" w:hAnsi="Times New Roman" w:eastAsia="宋体" w:cs="Times New Roman"/>
          <w:color w:val="auto"/>
          <w:szCs w:val="24"/>
          <w:highlight w:val="none"/>
        </w:rPr>
        <w:t>t/a。</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u w:val="single"/>
        </w:rPr>
        <w:t>根据《扬尘源颗粒物排放清单编制技术指南（试行）》</w:t>
      </w:r>
      <w:r>
        <w:rPr>
          <w:rFonts w:hint="eastAsia" w:cs="Times New Roman"/>
          <w:color w:val="auto"/>
          <w:szCs w:val="24"/>
          <w:highlight w:val="none"/>
          <w:u w:val="single"/>
          <w:lang w:val="en-US" w:eastAsia="zh-CN"/>
        </w:rPr>
        <w:t>计算公式</w:t>
      </w:r>
      <w:r>
        <w:rPr>
          <w:rFonts w:hint="eastAsia" w:ascii="Times New Roman" w:hAnsi="Times New Roman" w:cs="Times New Roman"/>
          <w:color w:val="auto"/>
          <w:szCs w:val="24"/>
          <w:highlight w:val="none"/>
          <w:u w:val="single"/>
          <w:lang w:val="en-US" w:eastAsia="zh-CN"/>
        </w:rPr>
        <w:t>（见本报告第2.2.9.1节）</w:t>
      </w:r>
      <w:r>
        <w:rPr>
          <w:rFonts w:hint="eastAsia" w:cs="Times New Roman"/>
          <w:color w:val="auto"/>
          <w:szCs w:val="24"/>
          <w:highlight w:val="none"/>
          <w:u w:val="single"/>
          <w:lang w:val="en-US" w:eastAsia="zh-CN"/>
        </w:rPr>
        <w:t>，</w:t>
      </w:r>
      <w:r>
        <w:rPr>
          <w:rFonts w:ascii="Times New Roman" w:hAnsi="Times New Roman" w:eastAsia="宋体" w:cs="Times New Roman"/>
          <w:color w:val="auto"/>
          <w:szCs w:val="24"/>
          <w:highlight w:val="none"/>
          <w:u w:val="single"/>
        </w:rPr>
        <w:t>未采取洒水措施时，</w:t>
      </w:r>
      <w:r>
        <w:rPr>
          <w:rStyle w:val="199"/>
          <w:rFonts w:ascii="Times New Roman" w:hAnsi="Times New Roman" w:eastAsia="宋体" w:cs="Times New Roman"/>
          <w:i w:val="0"/>
          <w:color w:val="auto"/>
          <w:sz w:val="24"/>
          <w:szCs w:val="24"/>
          <w:highlight w:val="none"/>
          <w:u w:val="single"/>
        </w:rPr>
        <w:t>堆场</w:t>
      </w:r>
      <w:r>
        <w:rPr>
          <w:rFonts w:ascii="Times New Roman" w:hAnsi="Times New Roman" w:eastAsia="宋体" w:cs="Times New Roman"/>
          <w:color w:val="auto"/>
          <w:szCs w:val="24"/>
          <w:highlight w:val="none"/>
          <w:u w:val="single"/>
        </w:rPr>
        <w:t>风蚀扬尘的排放系数</w:t>
      </w:r>
      <w:r>
        <w:rPr>
          <w:rStyle w:val="199"/>
          <w:rFonts w:ascii="Times New Roman" w:hAnsi="Times New Roman" w:eastAsia="宋体" w:cs="Times New Roman"/>
          <w:i w:val="0"/>
          <w:color w:val="auto"/>
          <w:sz w:val="24"/>
          <w:szCs w:val="24"/>
          <w:highlight w:val="none"/>
          <w:u w:val="single"/>
        </w:rPr>
        <w:t>为</w:t>
      </w:r>
      <w:r>
        <w:rPr>
          <w:rFonts w:ascii="Times New Roman" w:hAnsi="Times New Roman" w:eastAsia="宋体" w:cs="Times New Roman"/>
          <w:color w:val="auto"/>
          <w:szCs w:val="24"/>
          <w:highlight w:val="none"/>
          <w:u w:val="single"/>
        </w:rPr>
        <w:t>0.</w:t>
      </w:r>
      <w:r>
        <w:rPr>
          <w:rFonts w:hint="eastAsia" w:ascii="Times New Roman" w:hAnsi="Times New Roman" w:eastAsia="宋体" w:cs="Times New Roman"/>
          <w:color w:val="auto"/>
          <w:szCs w:val="24"/>
          <w:highlight w:val="none"/>
          <w:u w:val="single"/>
        </w:rPr>
        <w:t>1</w:t>
      </w:r>
      <w:r>
        <w:rPr>
          <w:rFonts w:ascii="Times New Roman" w:hAnsi="Times New Roman" w:eastAsia="宋体" w:cs="Times New Roman"/>
          <w:color w:val="auto"/>
          <w:szCs w:val="24"/>
          <w:highlight w:val="none"/>
          <w:u w:val="single"/>
        </w:rPr>
        <w:t>kg/m</w:t>
      </w:r>
      <w:r>
        <w:rPr>
          <w:rFonts w:ascii="Times New Roman" w:hAnsi="Times New Roman" w:eastAsia="宋体" w:cs="Times New Roman"/>
          <w:color w:val="auto"/>
          <w:szCs w:val="24"/>
          <w:highlight w:val="none"/>
          <w:u w:val="single"/>
          <w:vertAlign w:val="superscript"/>
        </w:rPr>
        <w:t>2</w:t>
      </w:r>
      <w:r>
        <w:rPr>
          <w:rStyle w:val="199"/>
          <w:rFonts w:ascii="Times New Roman" w:hAnsi="Times New Roman" w:eastAsia="宋体" w:cs="Times New Roman"/>
          <w:i w:val="0"/>
          <w:color w:val="auto"/>
          <w:sz w:val="24"/>
          <w:szCs w:val="24"/>
          <w:highlight w:val="none"/>
          <w:u w:val="single"/>
        </w:rPr>
        <w:t>，采取洒水措施后</w:t>
      </w:r>
      <w:r>
        <w:rPr>
          <w:rStyle w:val="199"/>
          <w:rFonts w:hint="eastAsia" w:cs="Times New Roman"/>
          <w:i w:val="0"/>
          <w:color w:val="auto"/>
          <w:sz w:val="24"/>
          <w:szCs w:val="24"/>
          <w:highlight w:val="none"/>
          <w:u w:val="single"/>
          <w:lang w:eastAsia="zh-CN"/>
        </w:rPr>
        <w:t>（</w:t>
      </w:r>
      <w:r>
        <w:rPr>
          <w:rStyle w:val="199"/>
          <w:rFonts w:hint="eastAsia" w:cs="Times New Roman"/>
          <w:i w:val="0"/>
          <w:color w:val="auto"/>
          <w:sz w:val="24"/>
          <w:szCs w:val="24"/>
          <w:highlight w:val="none"/>
          <w:u w:val="single"/>
          <w:lang w:val="en-US" w:eastAsia="zh-CN"/>
        </w:rPr>
        <w:t>控制效率</w:t>
      </w:r>
      <w:r>
        <w:rPr>
          <w:rStyle w:val="199"/>
          <w:rFonts w:hint="eastAsia" w:cs="Times New Roman"/>
          <w:i w:val="0"/>
          <w:color w:val="auto"/>
          <w:sz w:val="24"/>
          <w:szCs w:val="24"/>
          <w:highlight w:val="none"/>
          <w:u w:val="single"/>
          <w:lang w:eastAsia="zh-CN"/>
        </w:rPr>
        <w:t>取50%）</w:t>
      </w:r>
      <w:r>
        <w:rPr>
          <w:rStyle w:val="199"/>
          <w:rFonts w:ascii="Times New Roman" w:hAnsi="Times New Roman" w:eastAsia="宋体" w:cs="Times New Roman"/>
          <w:i w:val="0"/>
          <w:color w:val="auto"/>
          <w:sz w:val="24"/>
          <w:szCs w:val="24"/>
          <w:highlight w:val="none"/>
          <w:u w:val="single"/>
        </w:rPr>
        <w:t>，堆场</w:t>
      </w:r>
      <w:r>
        <w:rPr>
          <w:rFonts w:ascii="Times New Roman" w:hAnsi="Times New Roman" w:eastAsia="宋体" w:cs="Times New Roman"/>
          <w:color w:val="auto"/>
          <w:szCs w:val="24"/>
          <w:highlight w:val="none"/>
          <w:u w:val="single"/>
        </w:rPr>
        <w:t>风蚀</w:t>
      </w:r>
      <w:r>
        <w:rPr>
          <w:rStyle w:val="199"/>
          <w:rFonts w:ascii="Times New Roman" w:hAnsi="Times New Roman" w:eastAsia="宋体" w:cs="Times New Roman"/>
          <w:i w:val="0"/>
          <w:color w:val="auto"/>
          <w:sz w:val="24"/>
          <w:szCs w:val="24"/>
          <w:highlight w:val="none"/>
          <w:u w:val="single"/>
        </w:rPr>
        <w:t>扬尘的排放系数</w:t>
      </w:r>
      <w:r>
        <w:rPr>
          <w:rFonts w:ascii="Times New Roman" w:hAnsi="Times New Roman" w:eastAsia="宋体" w:cs="Times New Roman"/>
          <w:color w:val="auto"/>
          <w:szCs w:val="24"/>
          <w:highlight w:val="none"/>
          <w:u w:val="single"/>
        </w:rPr>
        <w:t>为0.</w:t>
      </w:r>
      <w:r>
        <w:rPr>
          <w:rFonts w:hint="eastAsia" w:ascii="Times New Roman" w:hAnsi="Times New Roman" w:eastAsia="宋体" w:cs="Times New Roman"/>
          <w:color w:val="auto"/>
          <w:szCs w:val="24"/>
          <w:highlight w:val="none"/>
          <w:u w:val="single"/>
        </w:rPr>
        <w:t>05</w:t>
      </w:r>
      <w:r>
        <w:rPr>
          <w:rFonts w:ascii="Times New Roman" w:hAnsi="Times New Roman" w:eastAsia="宋体" w:cs="Times New Roman"/>
          <w:color w:val="auto"/>
          <w:szCs w:val="24"/>
          <w:highlight w:val="none"/>
          <w:u w:val="single"/>
        </w:rPr>
        <w:t>kg/m</w:t>
      </w:r>
      <w:r>
        <w:rPr>
          <w:rFonts w:ascii="Times New Roman" w:hAnsi="Times New Roman" w:eastAsia="宋体" w:cs="Times New Roman"/>
          <w:color w:val="auto"/>
          <w:szCs w:val="24"/>
          <w:highlight w:val="none"/>
          <w:u w:val="single"/>
          <w:vertAlign w:val="superscript"/>
        </w:rPr>
        <w:t>2</w:t>
      </w:r>
      <w:r>
        <w:rPr>
          <w:rFonts w:ascii="Times New Roman" w:hAnsi="Times New Roman" w:eastAsia="宋体" w:cs="Times New Roman"/>
          <w:color w:val="auto"/>
          <w:szCs w:val="24"/>
          <w:highlight w:val="none"/>
          <w:u w:val="single"/>
        </w:rPr>
        <w:t>。</w:t>
      </w:r>
      <w:r>
        <w:rPr>
          <w:rFonts w:ascii="Times New Roman" w:hAnsi="Times New Roman" w:eastAsia="宋体" w:cs="Times New Roman"/>
          <w:color w:val="auto"/>
          <w:szCs w:val="24"/>
          <w:highlight w:val="none"/>
        </w:rPr>
        <w:t>项目</w:t>
      </w:r>
      <w:r>
        <w:rPr>
          <w:rFonts w:ascii="Times New Roman" w:hAnsi="Times New Roman" w:eastAsia="宋体" w:cs="Times New Roman"/>
          <w:color w:val="auto"/>
          <w:kern w:val="0"/>
          <w:highlight w:val="none"/>
        </w:rPr>
        <w:t>堆料场①、堆料场②</w:t>
      </w:r>
      <w:r>
        <w:rPr>
          <w:rFonts w:hint="eastAsia" w:ascii="Times New Roman" w:hAnsi="Times New Roman" w:eastAsia="宋体" w:cs="Times New Roman"/>
          <w:color w:val="auto"/>
          <w:kern w:val="0"/>
          <w:highlight w:val="none"/>
        </w:rPr>
        <w:t>、</w:t>
      </w:r>
      <w:r>
        <w:rPr>
          <w:rFonts w:ascii="Times New Roman" w:hAnsi="Times New Roman" w:eastAsia="宋体" w:cs="Times New Roman"/>
          <w:color w:val="auto"/>
          <w:kern w:val="0"/>
          <w:highlight w:val="none"/>
        </w:rPr>
        <w:t>堆料场</w:t>
      </w:r>
      <w:r>
        <w:rPr>
          <w:rFonts w:hint="eastAsia" w:ascii="Times New Roman" w:hAnsi="Times New Roman" w:eastAsia="宋体"/>
          <w:color w:val="auto"/>
          <w:kern w:val="0"/>
          <w:highlight w:val="none"/>
        </w:rPr>
        <w:t>③</w:t>
      </w:r>
      <w:r>
        <w:rPr>
          <w:rFonts w:ascii="Times New Roman" w:hAnsi="Times New Roman" w:eastAsia="宋体" w:cs="Times New Roman"/>
          <w:color w:val="auto"/>
          <w:kern w:val="0"/>
          <w:highlight w:val="none"/>
        </w:rPr>
        <w:t>、堆料场</w:t>
      </w:r>
      <w:r>
        <w:rPr>
          <w:rFonts w:hint="eastAsia" w:ascii="Times New Roman" w:hAnsi="Times New Roman" w:eastAsia="宋体"/>
          <w:color w:val="auto"/>
          <w:kern w:val="0"/>
          <w:highlight w:val="none"/>
        </w:rPr>
        <w:t>④</w:t>
      </w:r>
      <w:r>
        <w:rPr>
          <w:rFonts w:ascii="Times New Roman" w:hAnsi="Times New Roman" w:eastAsia="宋体" w:cs="Times New Roman"/>
          <w:color w:val="auto"/>
          <w:kern w:val="0"/>
          <w:highlight w:val="none"/>
        </w:rPr>
        <w:t>及</w:t>
      </w:r>
      <w:r>
        <w:rPr>
          <w:rFonts w:hint="eastAsia" w:ascii="Times New Roman" w:hAnsi="Times New Roman" w:eastAsia="宋体" w:cs="Times New Roman"/>
          <w:color w:val="auto"/>
          <w:kern w:val="0"/>
          <w:highlight w:val="none"/>
        </w:rPr>
        <w:t>临时排土场</w:t>
      </w:r>
      <w:r>
        <w:rPr>
          <w:rFonts w:hint="eastAsia" w:ascii="Times New Roman" w:hAnsi="Times New Roman" w:eastAsia="宋体"/>
          <w:color w:val="auto"/>
          <w:kern w:val="0"/>
          <w:highlight w:val="none"/>
        </w:rPr>
        <w:t>①</w:t>
      </w:r>
      <w:r>
        <w:rPr>
          <w:rFonts w:ascii="Times New Roman" w:hAnsi="Times New Roman" w:eastAsia="宋体" w:cs="Times New Roman"/>
          <w:color w:val="auto"/>
          <w:kern w:val="0"/>
          <w:highlight w:val="none"/>
        </w:rPr>
        <w:t>占地面积分别为</w:t>
      </w:r>
      <w:r>
        <w:rPr>
          <w:rFonts w:hint="eastAsia" w:ascii="Times New Roman" w:hAnsi="Times New Roman" w:eastAsia="宋体" w:cs="Times New Roman"/>
          <w:color w:val="auto"/>
          <w:kern w:val="0"/>
          <w:highlight w:val="none"/>
        </w:rPr>
        <w:t>2</w:t>
      </w:r>
      <w:r>
        <w:rPr>
          <w:rFonts w:ascii="Times New Roman" w:hAnsi="Times New Roman" w:eastAsia="宋体" w:cs="Times New Roman"/>
          <w:color w:val="auto"/>
          <w:kern w:val="0"/>
          <w:highlight w:val="none"/>
        </w:rPr>
        <w:t>000m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kern w:val="0"/>
          <w:highlight w:val="none"/>
        </w:rPr>
        <w:t>、</w:t>
      </w:r>
      <w:r>
        <w:rPr>
          <w:rFonts w:hint="eastAsia" w:ascii="Times New Roman" w:hAnsi="Times New Roman" w:eastAsia="宋体" w:cs="Times New Roman"/>
          <w:color w:val="auto"/>
          <w:kern w:val="0"/>
          <w:highlight w:val="none"/>
        </w:rPr>
        <w:t>15</w:t>
      </w:r>
      <w:r>
        <w:rPr>
          <w:rFonts w:ascii="Times New Roman" w:hAnsi="Times New Roman" w:eastAsia="宋体" w:cs="Times New Roman"/>
          <w:color w:val="auto"/>
          <w:kern w:val="0"/>
          <w:highlight w:val="none"/>
        </w:rPr>
        <w:t>00m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kern w:val="0"/>
          <w:highlight w:val="none"/>
        </w:rPr>
        <w:t>、</w:t>
      </w:r>
      <w:r>
        <w:rPr>
          <w:rFonts w:hint="eastAsia" w:ascii="Times New Roman" w:hAnsi="Times New Roman" w:eastAsia="宋体" w:cs="Times New Roman"/>
          <w:color w:val="auto"/>
          <w:kern w:val="0"/>
          <w:highlight w:val="none"/>
        </w:rPr>
        <w:t>15</w:t>
      </w:r>
      <w:r>
        <w:rPr>
          <w:rFonts w:ascii="Times New Roman" w:hAnsi="Times New Roman" w:eastAsia="宋体" w:cs="Times New Roman"/>
          <w:color w:val="auto"/>
          <w:kern w:val="0"/>
          <w:highlight w:val="none"/>
        </w:rPr>
        <w:t>00m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kern w:val="0"/>
          <w:highlight w:val="none"/>
        </w:rPr>
        <w:t>、</w:t>
      </w:r>
      <w:r>
        <w:rPr>
          <w:rFonts w:hint="eastAsia" w:ascii="Times New Roman" w:hAnsi="Times New Roman" w:eastAsia="宋体" w:cs="Times New Roman"/>
          <w:color w:val="auto"/>
          <w:kern w:val="0"/>
          <w:highlight w:val="none"/>
        </w:rPr>
        <w:t>1</w:t>
      </w:r>
      <w:r>
        <w:rPr>
          <w:rFonts w:ascii="Times New Roman" w:hAnsi="Times New Roman" w:eastAsia="宋体" w:cs="Times New Roman"/>
          <w:color w:val="auto"/>
          <w:kern w:val="0"/>
          <w:highlight w:val="none"/>
        </w:rPr>
        <w:t>000m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kern w:val="0"/>
          <w:highlight w:val="none"/>
        </w:rPr>
        <w:t>、</w:t>
      </w:r>
      <w:r>
        <w:rPr>
          <w:rFonts w:hint="eastAsia" w:ascii="Times New Roman" w:hAnsi="Times New Roman" w:eastAsia="宋体" w:cs="Times New Roman"/>
          <w:color w:val="auto"/>
          <w:kern w:val="0"/>
          <w:highlight w:val="none"/>
        </w:rPr>
        <w:t>2</w:t>
      </w:r>
      <w:r>
        <w:rPr>
          <w:rFonts w:ascii="Times New Roman" w:hAnsi="Times New Roman" w:eastAsia="宋体" w:cs="Times New Roman"/>
          <w:color w:val="auto"/>
          <w:kern w:val="0"/>
          <w:highlight w:val="none"/>
        </w:rPr>
        <w:t>000m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szCs w:val="24"/>
          <w:highlight w:val="none"/>
        </w:rPr>
        <w:t>，</w:t>
      </w:r>
      <w:r>
        <w:rPr>
          <w:rFonts w:ascii="Times New Roman" w:hAnsi="Times New Roman" w:eastAsia="宋体" w:cs="Times New Roman"/>
          <w:color w:val="auto"/>
          <w:kern w:val="0"/>
          <w:highlight w:val="none"/>
        </w:rPr>
        <w:t>堆料场</w:t>
      </w:r>
      <w:r>
        <w:rPr>
          <w:rFonts w:hint="eastAsia" w:ascii="Times New Roman" w:hAnsi="Times New Roman" w:eastAsia="宋体"/>
          <w:color w:val="auto"/>
          <w:kern w:val="0"/>
          <w:highlight w:val="none"/>
        </w:rPr>
        <w:t>⑤</w:t>
      </w:r>
      <w:r>
        <w:rPr>
          <w:rFonts w:ascii="Times New Roman" w:hAnsi="Times New Roman" w:eastAsia="宋体" w:cs="Times New Roman"/>
          <w:color w:val="auto"/>
          <w:kern w:val="0"/>
          <w:highlight w:val="none"/>
        </w:rPr>
        <w:t>、堆料场</w:t>
      </w:r>
      <w:r>
        <w:rPr>
          <w:rFonts w:hint="eastAsia" w:ascii="Times New Roman" w:hAnsi="Times New Roman" w:eastAsia="宋体"/>
          <w:color w:val="auto"/>
          <w:kern w:val="0"/>
          <w:highlight w:val="none"/>
        </w:rPr>
        <w:t>⑥</w:t>
      </w:r>
      <w:r>
        <w:rPr>
          <w:rFonts w:hint="eastAsia" w:ascii="Times New Roman" w:hAnsi="Times New Roman" w:eastAsia="宋体" w:cs="Times New Roman"/>
          <w:color w:val="auto"/>
          <w:kern w:val="0"/>
          <w:highlight w:val="none"/>
        </w:rPr>
        <w:t>、</w:t>
      </w:r>
      <w:r>
        <w:rPr>
          <w:rFonts w:ascii="Times New Roman" w:hAnsi="Times New Roman" w:eastAsia="宋体" w:cs="Times New Roman"/>
          <w:color w:val="auto"/>
          <w:kern w:val="0"/>
          <w:highlight w:val="none"/>
        </w:rPr>
        <w:t>堆料场</w:t>
      </w:r>
      <w:r>
        <w:rPr>
          <w:rFonts w:hint="eastAsia" w:ascii="Times New Roman" w:hAnsi="Times New Roman" w:eastAsia="宋体"/>
          <w:color w:val="auto"/>
          <w:kern w:val="0"/>
          <w:highlight w:val="none"/>
        </w:rPr>
        <w:t>⑦</w:t>
      </w:r>
      <w:r>
        <w:rPr>
          <w:rFonts w:ascii="Times New Roman" w:hAnsi="Times New Roman" w:eastAsia="宋体" w:cs="Times New Roman"/>
          <w:color w:val="auto"/>
          <w:kern w:val="0"/>
          <w:highlight w:val="none"/>
        </w:rPr>
        <w:t>、堆料场</w:t>
      </w:r>
      <w:r>
        <w:rPr>
          <w:rFonts w:hint="eastAsia" w:ascii="Times New Roman" w:hAnsi="Times New Roman" w:eastAsia="宋体"/>
          <w:color w:val="auto"/>
          <w:kern w:val="0"/>
          <w:highlight w:val="none"/>
        </w:rPr>
        <w:t>⑧</w:t>
      </w:r>
      <w:r>
        <w:rPr>
          <w:rFonts w:ascii="Times New Roman" w:hAnsi="Times New Roman" w:eastAsia="宋体" w:cs="Times New Roman"/>
          <w:color w:val="auto"/>
          <w:kern w:val="0"/>
          <w:highlight w:val="none"/>
        </w:rPr>
        <w:t>及</w:t>
      </w:r>
      <w:r>
        <w:rPr>
          <w:rFonts w:hint="eastAsia" w:ascii="Times New Roman" w:hAnsi="Times New Roman" w:eastAsia="宋体" w:cs="Times New Roman"/>
          <w:color w:val="auto"/>
          <w:kern w:val="0"/>
          <w:highlight w:val="none"/>
        </w:rPr>
        <w:t>临时排土场</w:t>
      </w:r>
      <w:r>
        <w:rPr>
          <w:rFonts w:hint="eastAsia" w:ascii="Times New Roman" w:hAnsi="Times New Roman" w:eastAsia="宋体"/>
          <w:color w:val="auto"/>
          <w:kern w:val="0"/>
          <w:highlight w:val="none"/>
        </w:rPr>
        <w:t>②</w:t>
      </w:r>
      <w:r>
        <w:rPr>
          <w:rFonts w:ascii="Times New Roman" w:hAnsi="Times New Roman" w:eastAsia="宋体" w:cs="Times New Roman"/>
          <w:color w:val="auto"/>
          <w:kern w:val="0"/>
          <w:highlight w:val="none"/>
        </w:rPr>
        <w:t>占地面积分别为</w:t>
      </w:r>
      <w:r>
        <w:rPr>
          <w:rFonts w:hint="eastAsia" w:ascii="Times New Roman" w:hAnsi="Times New Roman" w:eastAsia="宋体" w:cs="Times New Roman"/>
          <w:color w:val="auto"/>
          <w:kern w:val="0"/>
          <w:highlight w:val="none"/>
        </w:rPr>
        <w:t>2</w:t>
      </w:r>
      <w:r>
        <w:rPr>
          <w:rFonts w:ascii="Times New Roman" w:hAnsi="Times New Roman" w:eastAsia="宋体" w:cs="Times New Roman"/>
          <w:color w:val="auto"/>
          <w:kern w:val="0"/>
          <w:highlight w:val="none"/>
        </w:rPr>
        <w:t>000m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kern w:val="0"/>
          <w:highlight w:val="none"/>
        </w:rPr>
        <w:t>、</w:t>
      </w:r>
      <w:r>
        <w:rPr>
          <w:rFonts w:hint="eastAsia" w:ascii="Times New Roman" w:hAnsi="Times New Roman" w:eastAsia="宋体" w:cs="Times New Roman"/>
          <w:color w:val="auto"/>
          <w:kern w:val="0"/>
          <w:highlight w:val="none"/>
        </w:rPr>
        <w:t>15</w:t>
      </w:r>
      <w:r>
        <w:rPr>
          <w:rFonts w:ascii="Times New Roman" w:hAnsi="Times New Roman" w:eastAsia="宋体" w:cs="Times New Roman"/>
          <w:color w:val="auto"/>
          <w:kern w:val="0"/>
          <w:highlight w:val="none"/>
        </w:rPr>
        <w:t>00m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kern w:val="0"/>
          <w:highlight w:val="none"/>
        </w:rPr>
        <w:t>、</w:t>
      </w:r>
      <w:r>
        <w:rPr>
          <w:rFonts w:hint="eastAsia" w:ascii="Times New Roman" w:hAnsi="Times New Roman" w:eastAsia="宋体" w:cs="Times New Roman"/>
          <w:color w:val="auto"/>
          <w:kern w:val="0"/>
          <w:highlight w:val="none"/>
        </w:rPr>
        <w:t>15</w:t>
      </w:r>
      <w:r>
        <w:rPr>
          <w:rFonts w:ascii="Times New Roman" w:hAnsi="Times New Roman" w:eastAsia="宋体" w:cs="Times New Roman"/>
          <w:color w:val="auto"/>
          <w:kern w:val="0"/>
          <w:highlight w:val="none"/>
        </w:rPr>
        <w:t>00m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kern w:val="0"/>
          <w:highlight w:val="none"/>
        </w:rPr>
        <w:t>、</w:t>
      </w:r>
      <w:r>
        <w:rPr>
          <w:rFonts w:hint="eastAsia" w:ascii="Times New Roman" w:hAnsi="Times New Roman" w:eastAsia="宋体" w:cs="Times New Roman"/>
          <w:color w:val="auto"/>
          <w:kern w:val="0"/>
          <w:highlight w:val="none"/>
        </w:rPr>
        <w:t>1</w:t>
      </w:r>
      <w:r>
        <w:rPr>
          <w:rFonts w:ascii="Times New Roman" w:hAnsi="Times New Roman" w:eastAsia="宋体" w:cs="Times New Roman"/>
          <w:color w:val="auto"/>
          <w:kern w:val="0"/>
          <w:highlight w:val="none"/>
        </w:rPr>
        <w:t>000m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kern w:val="0"/>
          <w:highlight w:val="none"/>
        </w:rPr>
        <w:t>、</w:t>
      </w:r>
      <w:r>
        <w:rPr>
          <w:rFonts w:hint="eastAsia" w:ascii="Times New Roman" w:hAnsi="Times New Roman" w:eastAsia="宋体" w:cs="Times New Roman"/>
          <w:color w:val="auto"/>
          <w:kern w:val="0"/>
          <w:highlight w:val="none"/>
        </w:rPr>
        <w:t>2</w:t>
      </w:r>
      <w:r>
        <w:rPr>
          <w:rFonts w:ascii="Times New Roman" w:hAnsi="Times New Roman" w:eastAsia="宋体" w:cs="Times New Roman"/>
          <w:color w:val="auto"/>
          <w:kern w:val="0"/>
          <w:highlight w:val="none"/>
        </w:rPr>
        <w:t>000m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szCs w:val="24"/>
          <w:highlight w:val="none"/>
        </w:rPr>
        <w:t>，项目堆料场高度按10m，</w:t>
      </w:r>
      <w:r>
        <w:rPr>
          <w:rFonts w:hint="eastAsia" w:ascii="Times New Roman" w:hAnsi="Times New Roman" w:eastAsia="宋体" w:cs="Times New Roman"/>
          <w:color w:val="auto"/>
          <w:szCs w:val="24"/>
          <w:highlight w:val="none"/>
        </w:rPr>
        <w:t>排</w:t>
      </w:r>
      <w:r>
        <w:rPr>
          <w:rFonts w:ascii="Times New Roman" w:hAnsi="Times New Roman" w:eastAsia="宋体" w:cs="Times New Roman"/>
          <w:color w:val="auto"/>
          <w:szCs w:val="24"/>
          <w:highlight w:val="none"/>
        </w:rPr>
        <w:t>土场按3m计算，其</w:t>
      </w:r>
      <w:r>
        <w:rPr>
          <w:rFonts w:ascii="Times New Roman" w:hAnsi="Times New Roman" w:eastAsia="宋体" w:cs="Times New Roman"/>
          <w:color w:val="auto"/>
          <w:kern w:val="0"/>
          <w:highlight w:val="none"/>
        </w:rPr>
        <w:t>表面积</w:t>
      </w:r>
      <w:r>
        <w:rPr>
          <w:rFonts w:hint="eastAsia" w:ascii="Times New Roman" w:hAnsi="Times New Roman" w:eastAsia="宋体" w:cs="Times New Roman"/>
          <w:color w:val="auto"/>
          <w:kern w:val="0"/>
          <w:highlight w:val="none"/>
        </w:rPr>
        <w:t>近似等于占地面积，故</w:t>
      </w:r>
      <w:r>
        <w:rPr>
          <w:rFonts w:ascii="Times New Roman" w:hAnsi="Times New Roman" w:eastAsia="宋体" w:cs="Times New Roman"/>
          <w:color w:val="auto"/>
          <w:kern w:val="0"/>
          <w:highlight w:val="none"/>
        </w:rPr>
        <w:t>堆料场①、堆料场②</w:t>
      </w:r>
      <w:r>
        <w:rPr>
          <w:rFonts w:hint="eastAsia" w:ascii="Times New Roman" w:hAnsi="Times New Roman" w:eastAsia="宋体" w:cs="Times New Roman"/>
          <w:color w:val="auto"/>
          <w:kern w:val="0"/>
          <w:highlight w:val="none"/>
        </w:rPr>
        <w:t>、</w:t>
      </w:r>
      <w:r>
        <w:rPr>
          <w:rFonts w:ascii="Times New Roman" w:hAnsi="Times New Roman" w:eastAsia="宋体" w:cs="Times New Roman"/>
          <w:color w:val="auto"/>
          <w:kern w:val="0"/>
          <w:highlight w:val="none"/>
        </w:rPr>
        <w:t>堆料场</w:t>
      </w:r>
      <w:r>
        <w:rPr>
          <w:rFonts w:hint="eastAsia" w:ascii="Times New Roman" w:hAnsi="Times New Roman" w:eastAsia="宋体"/>
          <w:color w:val="auto"/>
          <w:kern w:val="0"/>
          <w:highlight w:val="none"/>
        </w:rPr>
        <w:t>③</w:t>
      </w:r>
      <w:r>
        <w:rPr>
          <w:rFonts w:ascii="Times New Roman" w:hAnsi="Times New Roman" w:eastAsia="宋体" w:cs="Times New Roman"/>
          <w:color w:val="auto"/>
          <w:kern w:val="0"/>
          <w:highlight w:val="none"/>
        </w:rPr>
        <w:t>、堆料场</w:t>
      </w:r>
      <w:r>
        <w:rPr>
          <w:rFonts w:hint="eastAsia" w:ascii="Times New Roman" w:hAnsi="Times New Roman" w:eastAsia="宋体"/>
          <w:color w:val="auto"/>
          <w:kern w:val="0"/>
          <w:highlight w:val="none"/>
        </w:rPr>
        <w:t>④</w:t>
      </w:r>
      <w:r>
        <w:rPr>
          <w:rFonts w:ascii="Times New Roman" w:hAnsi="Times New Roman" w:eastAsia="宋体" w:cs="Times New Roman"/>
          <w:color w:val="auto"/>
          <w:kern w:val="0"/>
          <w:highlight w:val="none"/>
        </w:rPr>
        <w:t>及</w:t>
      </w:r>
      <w:r>
        <w:rPr>
          <w:rFonts w:hint="eastAsia" w:ascii="Times New Roman" w:hAnsi="Times New Roman" w:eastAsia="宋体" w:cs="Times New Roman"/>
          <w:color w:val="auto"/>
          <w:kern w:val="0"/>
          <w:highlight w:val="none"/>
        </w:rPr>
        <w:t>临时排土场</w:t>
      </w:r>
      <w:r>
        <w:rPr>
          <w:rFonts w:hint="eastAsia" w:ascii="Times New Roman" w:hAnsi="Times New Roman" w:eastAsia="宋体"/>
          <w:color w:val="auto"/>
          <w:kern w:val="0"/>
          <w:highlight w:val="none"/>
        </w:rPr>
        <w:t>①</w:t>
      </w:r>
      <w:r>
        <w:rPr>
          <w:rFonts w:ascii="Times New Roman" w:hAnsi="Times New Roman" w:eastAsia="宋体" w:cs="Times New Roman"/>
          <w:color w:val="auto"/>
          <w:szCs w:val="24"/>
          <w:highlight w:val="none"/>
        </w:rPr>
        <w:t>风蚀扬尘产生量分别为</w:t>
      </w:r>
      <w:r>
        <w:rPr>
          <w:rFonts w:hint="eastAsia" w:ascii="Times New Roman" w:hAnsi="Times New Roman" w:eastAsia="宋体" w:cs="Times New Roman"/>
          <w:color w:val="auto"/>
          <w:szCs w:val="24"/>
          <w:highlight w:val="none"/>
        </w:rPr>
        <w:t>0.2</w:t>
      </w:r>
      <w:r>
        <w:rPr>
          <w:rFonts w:ascii="Times New Roman" w:hAnsi="Times New Roman" w:eastAsia="宋体" w:cs="Times New Roman"/>
          <w:color w:val="auto"/>
          <w:szCs w:val="24"/>
          <w:highlight w:val="none"/>
        </w:rPr>
        <w:t>t/a、0.</w:t>
      </w:r>
      <w:r>
        <w:rPr>
          <w:rFonts w:hint="eastAsia" w:ascii="Times New Roman" w:hAnsi="Times New Roman" w:eastAsia="宋体" w:cs="Times New Roman"/>
          <w:color w:val="auto"/>
          <w:szCs w:val="24"/>
          <w:highlight w:val="none"/>
        </w:rPr>
        <w:t>15</w:t>
      </w:r>
      <w:r>
        <w:rPr>
          <w:rFonts w:ascii="Times New Roman" w:hAnsi="Times New Roman" w:eastAsia="宋体" w:cs="Times New Roman"/>
          <w:color w:val="auto"/>
          <w:szCs w:val="24"/>
          <w:highlight w:val="none"/>
        </w:rPr>
        <w:t>t/a、</w:t>
      </w:r>
      <w:r>
        <w:rPr>
          <w:rFonts w:hint="eastAsia" w:ascii="Times New Roman" w:hAnsi="Times New Roman" w:eastAsia="宋体" w:cs="Times New Roman"/>
          <w:color w:val="auto"/>
          <w:szCs w:val="24"/>
          <w:highlight w:val="none"/>
        </w:rPr>
        <w:t>0.15</w:t>
      </w:r>
      <w:r>
        <w:rPr>
          <w:rFonts w:ascii="Times New Roman" w:hAnsi="Times New Roman" w:eastAsia="宋体" w:cs="Times New Roman"/>
          <w:color w:val="auto"/>
          <w:szCs w:val="24"/>
          <w:highlight w:val="none"/>
        </w:rPr>
        <w:t>t/a、0.</w:t>
      </w:r>
      <w:r>
        <w:rPr>
          <w:rFonts w:hint="eastAsia" w:ascii="Times New Roman" w:hAnsi="Times New Roman" w:eastAsia="宋体" w:cs="Times New Roman"/>
          <w:color w:val="auto"/>
          <w:szCs w:val="24"/>
          <w:highlight w:val="none"/>
        </w:rPr>
        <w:t>1</w:t>
      </w:r>
      <w:r>
        <w:rPr>
          <w:rFonts w:ascii="Times New Roman" w:hAnsi="Times New Roman" w:eastAsia="宋体" w:cs="Times New Roman"/>
          <w:color w:val="auto"/>
          <w:szCs w:val="24"/>
          <w:highlight w:val="none"/>
        </w:rPr>
        <w:t>t/a</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0.</w:t>
      </w:r>
      <w:r>
        <w:rPr>
          <w:rFonts w:hint="eastAsia" w:ascii="Times New Roman" w:hAnsi="Times New Roman" w:eastAsia="宋体" w:cs="Times New Roman"/>
          <w:color w:val="auto"/>
          <w:szCs w:val="24"/>
          <w:highlight w:val="none"/>
        </w:rPr>
        <w:t>2</w:t>
      </w:r>
      <w:r>
        <w:rPr>
          <w:rFonts w:ascii="Times New Roman" w:hAnsi="Times New Roman" w:eastAsia="宋体" w:cs="Times New Roman"/>
          <w:color w:val="auto"/>
          <w:szCs w:val="24"/>
          <w:highlight w:val="none"/>
        </w:rPr>
        <w:t>t/a</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kern w:val="0"/>
          <w:highlight w:val="none"/>
        </w:rPr>
        <w:t>堆料场</w:t>
      </w:r>
      <w:r>
        <w:rPr>
          <w:rFonts w:hint="eastAsia" w:ascii="Times New Roman" w:hAnsi="Times New Roman" w:eastAsia="宋体"/>
          <w:color w:val="auto"/>
          <w:kern w:val="0"/>
          <w:highlight w:val="none"/>
        </w:rPr>
        <w:t>⑤</w:t>
      </w:r>
      <w:r>
        <w:rPr>
          <w:rFonts w:ascii="Times New Roman" w:hAnsi="Times New Roman" w:eastAsia="宋体" w:cs="Times New Roman"/>
          <w:color w:val="auto"/>
          <w:kern w:val="0"/>
          <w:highlight w:val="none"/>
        </w:rPr>
        <w:t>、堆料场</w:t>
      </w:r>
      <w:r>
        <w:rPr>
          <w:rFonts w:hint="eastAsia" w:ascii="Times New Roman" w:hAnsi="Times New Roman" w:eastAsia="宋体"/>
          <w:color w:val="auto"/>
          <w:kern w:val="0"/>
          <w:highlight w:val="none"/>
        </w:rPr>
        <w:t>⑥</w:t>
      </w:r>
      <w:r>
        <w:rPr>
          <w:rFonts w:hint="eastAsia" w:ascii="Times New Roman" w:hAnsi="Times New Roman" w:eastAsia="宋体" w:cs="Times New Roman"/>
          <w:color w:val="auto"/>
          <w:kern w:val="0"/>
          <w:highlight w:val="none"/>
        </w:rPr>
        <w:t>、</w:t>
      </w:r>
      <w:r>
        <w:rPr>
          <w:rFonts w:ascii="Times New Roman" w:hAnsi="Times New Roman" w:eastAsia="宋体" w:cs="Times New Roman"/>
          <w:color w:val="auto"/>
          <w:kern w:val="0"/>
          <w:highlight w:val="none"/>
        </w:rPr>
        <w:t>堆料场</w:t>
      </w:r>
      <w:r>
        <w:rPr>
          <w:rFonts w:hint="eastAsia" w:ascii="Times New Roman" w:hAnsi="Times New Roman" w:eastAsia="宋体"/>
          <w:color w:val="auto"/>
          <w:kern w:val="0"/>
          <w:highlight w:val="none"/>
        </w:rPr>
        <w:t>⑦</w:t>
      </w:r>
      <w:r>
        <w:rPr>
          <w:rFonts w:ascii="Times New Roman" w:hAnsi="Times New Roman" w:eastAsia="宋体" w:cs="Times New Roman"/>
          <w:color w:val="auto"/>
          <w:kern w:val="0"/>
          <w:highlight w:val="none"/>
        </w:rPr>
        <w:t>、堆料场</w:t>
      </w:r>
      <w:r>
        <w:rPr>
          <w:rFonts w:hint="eastAsia" w:ascii="Times New Roman" w:hAnsi="Times New Roman" w:eastAsia="宋体"/>
          <w:color w:val="auto"/>
          <w:kern w:val="0"/>
          <w:highlight w:val="none"/>
        </w:rPr>
        <w:t>⑧</w:t>
      </w:r>
      <w:r>
        <w:rPr>
          <w:rFonts w:ascii="Times New Roman" w:hAnsi="Times New Roman" w:eastAsia="宋体" w:cs="Times New Roman"/>
          <w:color w:val="auto"/>
          <w:kern w:val="0"/>
          <w:highlight w:val="none"/>
        </w:rPr>
        <w:t>及</w:t>
      </w:r>
      <w:r>
        <w:rPr>
          <w:rFonts w:hint="eastAsia" w:ascii="Times New Roman" w:hAnsi="Times New Roman" w:eastAsia="宋体" w:cs="Times New Roman"/>
          <w:color w:val="auto"/>
          <w:kern w:val="0"/>
          <w:highlight w:val="none"/>
        </w:rPr>
        <w:t>临时排土场</w:t>
      </w:r>
      <w:r>
        <w:rPr>
          <w:rFonts w:hint="eastAsia" w:ascii="Times New Roman" w:hAnsi="Times New Roman" w:eastAsia="宋体"/>
          <w:color w:val="auto"/>
          <w:kern w:val="0"/>
          <w:highlight w:val="none"/>
        </w:rPr>
        <w:t>②</w:t>
      </w:r>
      <w:r>
        <w:rPr>
          <w:rFonts w:ascii="Times New Roman" w:hAnsi="Times New Roman" w:eastAsia="宋体" w:cs="Times New Roman"/>
          <w:color w:val="auto"/>
          <w:szCs w:val="24"/>
          <w:highlight w:val="none"/>
        </w:rPr>
        <w:t>风蚀扬尘产生量分别为</w:t>
      </w:r>
      <w:r>
        <w:rPr>
          <w:rFonts w:hint="eastAsia" w:ascii="Times New Roman" w:hAnsi="Times New Roman" w:eastAsia="宋体" w:cs="Times New Roman"/>
          <w:color w:val="auto"/>
          <w:szCs w:val="24"/>
          <w:highlight w:val="none"/>
        </w:rPr>
        <w:t>0.2</w:t>
      </w:r>
      <w:r>
        <w:rPr>
          <w:rFonts w:ascii="Times New Roman" w:hAnsi="Times New Roman" w:eastAsia="宋体" w:cs="Times New Roman"/>
          <w:color w:val="auto"/>
          <w:szCs w:val="24"/>
          <w:highlight w:val="none"/>
        </w:rPr>
        <w:t>t/a、0.</w:t>
      </w:r>
      <w:r>
        <w:rPr>
          <w:rFonts w:hint="eastAsia" w:ascii="Times New Roman" w:hAnsi="Times New Roman" w:eastAsia="宋体" w:cs="Times New Roman"/>
          <w:color w:val="auto"/>
          <w:szCs w:val="24"/>
          <w:highlight w:val="none"/>
        </w:rPr>
        <w:t>15</w:t>
      </w:r>
      <w:r>
        <w:rPr>
          <w:rFonts w:ascii="Times New Roman" w:hAnsi="Times New Roman" w:eastAsia="宋体" w:cs="Times New Roman"/>
          <w:color w:val="auto"/>
          <w:szCs w:val="24"/>
          <w:highlight w:val="none"/>
        </w:rPr>
        <w:t>t/a、</w:t>
      </w:r>
      <w:r>
        <w:rPr>
          <w:rFonts w:hint="eastAsia" w:ascii="Times New Roman" w:hAnsi="Times New Roman" w:eastAsia="宋体" w:cs="Times New Roman"/>
          <w:color w:val="auto"/>
          <w:szCs w:val="24"/>
          <w:highlight w:val="none"/>
        </w:rPr>
        <w:t>0.15</w:t>
      </w:r>
      <w:r>
        <w:rPr>
          <w:rFonts w:ascii="Times New Roman" w:hAnsi="Times New Roman" w:eastAsia="宋体" w:cs="Times New Roman"/>
          <w:color w:val="auto"/>
          <w:szCs w:val="24"/>
          <w:highlight w:val="none"/>
        </w:rPr>
        <w:t>t/a、0.</w:t>
      </w:r>
      <w:r>
        <w:rPr>
          <w:rFonts w:hint="eastAsia" w:ascii="Times New Roman" w:hAnsi="Times New Roman" w:eastAsia="宋体" w:cs="Times New Roman"/>
          <w:color w:val="auto"/>
          <w:szCs w:val="24"/>
          <w:highlight w:val="none"/>
        </w:rPr>
        <w:t>1</w:t>
      </w:r>
      <w:r>
        <w:rPr>
          <w:rFonts w:ascii="Times New Roman" w:hAnsi="Times New Roman" w:eastAsia="宋体" w:cs="Times New Roman"/>
          <w:color w:val="auto"/>
          <w:szCs w:val="24"/>
          <w:highlight w:val="none"/>
        </w:rPr>
        <w:t>t/a</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0.</w:t>
      </w:r>
      <w:r>
        <w:rPr>
          <w:rFonts w:hint="eastAsia" w:ascii="Times New Roman" w:hAnsi="Times New Roman" w:eastAsia="宋体" w:cs="Times New Roman"/>
          <w:color w:val="auto"/>
          <w:szCs w:val="24"/>
          <w:highlight w:val="none"/>
        </w:rPr>
        <w:t>2</w:t>
      </w:r>
      <w:r>
        <w:rPr>
          <w:rFonts w:ascii="Times New Roman" w:hAnsi="Times New Roman" w:eastAsia="宋体" w:cs="Times New Roman"/>
          <w:color w:val="auto"/>
          <w:szCs w:val="24"/>
          <w:highlight w:val="none"/>
        </w:rPr>
        <w:t>t/a</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采取洒水降尘措施后，</w:t>
      </w:r>
      <w:r>
        <w:rPr>
          <w:rFonts w:ascii="Times New Roman" w:hAnsi="Times New Roman" w:eastAsia="宋体" w:cs="Times New Roman"/>
          <w:color w:val="auto"/>
          <w:kern w:val="0"/>
          <w:highlight w:val="none"/>
        </w:rPr>
        <w:t>堆料场①、堆料场②</w:t>
      </w:r>
      <w:r>
        <w:rPr>
          <w:rFonts w:hint="eastAsia" w:ascii="Times New Roman" w:hAnsi="Times New Roman" w:eastAsia="宋体" w:cs="Times New Roman"/>
          <w:color w:val="auto"/>
          <w:kern w:val="0"/>
          <w:highlight w:val="none"/>
        </w:rPr>
        <w:t>、</w:t>
      </w:r>
      <w:r>
        <w:rPr>
          <w:rFonts w:ascii="Times New Roman" w:hAnsi="Times New Roman" w:eastAsia="宋体" w:cs="Times New Roman"/>
          <w:color w:val="auto"/>
          <w:kern w:val="0"/>
          <w:highlight w:val="none"/>
        </w:rPr>
        <w:t>堆料场</w:t>
      </w:r>
      <w:r>
        <w:rPr>
          <w:rFonts w:hint="eastAsia" w:ascii="Times New Roman" w:hAnsi="Times New Roman" w:eastAsia="宋体"/>
          <w:color w:val="auto"/>
          <w:kern w:val="0"/>
          <w:highlight w:val="none"/>
        </w:rPr>
        <w:t>③</w:t>
      </w:r>
      <w:r>
        <w:rPr>
          <w:rFonts w:ascii="Times New Roman" w:hAnsi="Times New Roman" w:eastAsia="宋体" w:cs="Times New Roman"/>
          <w:color w:val="auto"/>
          <w:kern w:val="0"/>
          <w:highlight w:val="none"/>
        </w:rPr>
        <w:t>、堆料场</w:t>
      </w:r>
      <w:r>
        <w:rPr>
          <w:rFonts w:hint="eastAsia" w:ascii="Times New Roman" w:hAnsi="Times New Roman" w:eastAsia="宋体"/>
          <w:color w:val="auto"/>
          <w:kern w:val="0"/>
          <w:highlight w:val="none"/>
        </w:rPr>
        <w:t>④</w:t>
      </w:r>
      <w:r>
        <w:rPr>
          <w:rFonts w:ascii="Times New Roman" w:hAnsi="Times New Roman" w:eastAsia="宋体" w:cs="Times New Roman"/>
          <w:color w:val="auto"/>
          <w:kern w:val="0"/>
          <w:highlight w:val="none"/>
        </w:rPr>
        <w:t>及</w:t>
      </w:r>
      <w:r>
        <w:rPr>
          <w:rFonts w:hint="eastAsia" w:ascii="Times New Roman" w:hAnsi="Times New Roman" w:eastAsia="宋体" w:cs="Times New Roman"/>
          <w:color w:val="auto"/>
          <w:kern w:val="0"/>
          <w:highlight w:val="none"/>
        </w:rPr>
        <w:t>临时排土场</w:t>
      </w:r>
      <w:r>
        <w:rPr>
          <w:rFonts w:hint="eastAsia" w:ascii="Times New Roman" w:hAnsi="Times New Roman" w:eastAsia="宋体"/>
          <w:color w:val="auto"/>
          <w:kern w:val="0"/>
          <w:highlight w:val="none"/>
        </w:rPr>
        <w:t>①</w:t>
      </w:r>
      <w:r>
        <w:rPr>
          <w:rFonts w:ascii="Times New Roman" w:hAnsi="Times New Roman" w:eastAsia="宋体" w:cs="Times New Roman"/>
          <w:color w:val="auto"/>
          <w:szCs w:val="24"/>
          <w:highlight w:val="none"/>
        </w:rPr>
        <w:t>风蚀扬尘排放量分别为</w:t>
      </w:r>
      <w:r>
        <w:rPr>
          <w:rFonts w:hint="eastAsia" w:ascii="Times New Roman" w:hAnsi="Times New Roman" w:eastAsia="宋体" w:cs="Times New Roman"/>
          <w:color w:val="auto"/>
          <w:szCs w:val="24"/>
          <w:highlight w:val="none"/>
        </w:rPr>
        <w:t>0.1</w:t>
      </w:r>
      <w:r>
        <w:rPr>
          <w:rFonts w:ascii="Times New Roman" w:hAnsi="Times New Roman" w:eastAsia="宋体" w:cs="Times New Roman"/>
          <w:color w:val="auto"/>
          <w:szCs w:val="24"/>
          <w:highlight w:val="none"/>
        </w:rPr>
        <w:t>t/a、0.</w:t>
      </w:r>
      <w:r>
        <w:rPr>
          <w:rFonts w:hint="eastAsia" w:ascii="Times New Roman" w:hAnsi="Times New Roman" w:eastAsia="宋体" w:cs="Times New Roman"/>
          <w:color w:val="auto"/>
          <w:szCs w:val="24"/>
          <w:highlight w:val="none"/>
        </w:rPr>
        <w:t>075</w:t>
      </w:r>
      <w:r>
        <w:rPr>
          <w:rFonts w:ascii="Times New Roman" w:hAnsi="Times New Roman" w:eastAsia="宋体" w:cs="Times New Roman"/>
          <w:color w:val="auto"/>
          <w:szCs w:val="24"/>
          <w:highlight w:val="none"/>
        </w:rPr>
        <w:t>t/a、</w:t>
      </w:r>
      <w:r>
        <w:rPr>
          <w:rFonts w:hint="eastAsia" w:ascii="Times New Roman" w:hAnsi="Times New Roman" w:eastAsia="宋体" w:cs="Times New Roman"/>
          <w:color w:val="auto"/>
          <w:szCs w:val="24"/>
          <w:highlight w:val="none"/>
        </w:rPr>
        <w:t>0.075</w:t>
      </w:r>
      <w:r>
        <w:rPr>
          <w:rFonts w:ascii="Times New Roman" w:hAnsi="Times New Roman" w:eastAsia="宋体" w:cs="Times New Roman"/>
          <w:color w:val="auto"/>
          <w:szCs w:val="24"/>
          <w:highlight w:val="none"/>
        </w:rPr>
        <w:t>t/a、0.</w:t>
      </w:r>
      <w:r>
        <w:rPr>
          <w:rFonts w:hint="eastAsia" w:ascii="Times New Roman" w:hAnsi="Times New Roman" w:eastAsia="宋体" w:cs="Times New Roman"/>
          <w:color w:val="auto"/>
          <w:szCs w:val="24"/>
          <w:highlight w:val="none"/>
        </w:rPr>
        <w:t>05</w:t>
      </w:r>
      <w:r>
        <w:rPr>
          <w:rFonts w:ascii="Times New Roman" w:hAnsi="Times New Roman" w:eastAsia="宋体" w:cs="Times New Roman"/>
          <w:color w:val="auto"/>
          <w:szCs w:val="24"/>
          <w:highlight w:val="none"/>
        </w:rPr>
        <w:t>t/a</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0.</w:t>
      </w:r>
      <w:r>
        <w:rPr>
          <w:rFonts w:hint="eastAsia" w:ascii="Times New Roman" w:hAnsi="Times New Roman" w:eastAsia="宋体" w:cs="Times New Roman"/>
          <w:color w:val="auto"/>
          <w:szCs w:val="24"/>
          <w:highlight w:val="none"/>
        </w:rPr>
        <w:t>1</w:t>
      </w:r>
      <w:r>
        <w:rPr>
          <w:rFonts w:ascii="Times New Roman" w:hAnsi="Times New Roman" w:eastAsia="宋体" w:cs="Times New Roman"/>
          <w:color w:val="auto"/>
          <w:szCs w:val="24"/>
          <w:highlight w:val="none"/>
        </w:rPr>
        <w:t>t/a</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kern w:val="0"/>
          <w:highlight w:val="none"/>
        </w:rPr>
        <w:t>堆料场</w:t>
      </w:r>
      <w:r>
        <w:rPr>
          <w:rFonts w:hint="eastAsia" w:ascii="Times New Roman" w:hAnsi="Times New Roman" w:eastAsia="宋体"/>
          <w:color w:val="auto"/>
          <w:kern w:val="0"/>
          <w:highlight w:val="none"/>
        </w:rPr>
        <w:t>⑤</w:t>
      </w:r>
      <w:r>
        <w:rPr>
          <w:rFonts w:ascii="Times New Roman" w:hAnsi="Times New Roman" w:eastAsia="宋体" w:cs="Times New Roman"/>
          <w:color w:val="auto"/>
          <w:kern w:val="0"/>
          <w:highlight w:val="none"/>
        </w:rPr>
        <w:t>、堆料场</w:t>
      </w:r>
      <w:r>
        <w:rPr>
          <w:rFonts w:hint="eastAsia" w:ascii="Times New Roman" w:hAnsi="Times New Roman" w:eastAsia="宋体"/>
          <w:color w:val="auto"/>
          <w:kern w:val="0"/>
          <w:highlight w:val="none"/>
        </w:rPr>
        <w:t>⑥</w:t>
      </w:r>
      <w:r>
        <w:rPr>
          <w:rFonts w:hint="eastAsia" w:ascii="Times New Roman" w:hAnsi="Times New Roman" w:eastAsia="宋体" w:cs="Times New Roman"/>
          <w:color w:val="auto"/>
          <w:kern w:val="0"/>
          <w:highlight w:val="none"/>
        </w:rPr>
        <w:t>、</w:t>
      </w:r>
      <w:r>
        <w:rPr>
          <w:rFonts w:ascii="Times New Roman" w:hAnsi="Times New Roman" w:eastAsia="宋体" w:cs="Times New Roman"/>
          <w:color w:val="auto"/>
          <w:kern w:val="0"/>
          <w:highlight w:val="none"/>
        </w:rPr>
        <w:t>堆料场</w:t>
      </w:r>
      <w:r>
        <w:rPr>
          <w:rFonts w:hint="eastAsia" w:ascii="Times New Roman" w:hAnsi="Times New Roman" w:eastAsia="宋体"/>
          <w:color w:val="auto"/>
          <w:kern w:val="0"/>
          <w:highlight w:val="none"/>
        </w:rPr>
        <w:t>⑦</w:t>
      </w:r>
      <w:r>
        <w:rPr>
          <w:rFonts w:ascii="Times New Roman" w:hAnsi="Times New Roman" w:eastAsia="宋体" w:cs="Times New Roman"/>
          <w:color w:val="auto"/>
          <w:kern w:val="0"/>
          <w:highlight w:val="none"/>
        </w:rPr>
        <w:t>、堆料场</w:t>
      </w:r>
      <w:r>
        <w:rPr>
          <w:rFonts w:hint="eastAsia" w:ascii="Times New Roman" w:hAnsi="Times New Roman" w:eastAsia="宋体"/>
          <w:color w:val="auto"/>
          <w:kern w:val="0"/>
          <w:highlight w:val="none"/>
        </w:rPr>
        <w:t>⑧</w:t>
      </w:r>
      <w:r>
        <w:rPr>
          <w:rFonts w:ascii="Times New Roman" w:hAnsi="Times New Roman" w:eastAsia="宋体" w:cs="Times New Roman"/>
          <w:color w:val="auto"/>
          <w:kern w:val="0"/>
          <w:highlight w:val="none"/>
        </w:rPr>
        <w:t>及</w:t>
      </w:r>
      <w:r>
        <w:rPr>
          <w:rFonts w:hint="eastAsia" w:ascii="Times New Roman" w:hAnsi="Times New Roman" w:eastAsia="宋体" w:cs="Times New Roman"/>
          <w:color w:val="auto"/>
          <w:kern w:val="0"/>
          <w:highlight w:val="none"/>
        </w:rPr>
        <w:t>临时排土场</w:t>
      </w:r>
      <w:r>
        <w:rPr>
          <w:rFonts w:hint="eastAsia" w:ascii="Times New Roman" w:hAnsi="Times New Roman" w:eastAsia="宋体"/>
          <w:color w:val="auto"/>
          <w:kern w:val="0"/>
          <w:highlight w:val="none"/>
        </w:rPr>
        <w:t>②</w:t>
      </w:r>
      <w:r>
        <w:rPr>
          <w:rFonts w:ascii="Times New Roman" w:hAnsi="Times New Roman" w:eastAsia="宋体" w:cs="Times New Roman"/>
          <w:color w:val="auto"/>
          <w:szCs w:val="24"/>
          <w:highlight w:val="none"/>
        </w:rPr>
        <w:t>风蚀扬尘排放量分别为</w:t>
      </w:r>
      <w:r>
        <w:rPr>
          <w:rFonts w:hint="eastAsia" w:ascii="Times New Roman" w:hAnsi="Times New Roman" w:eastAsia="宋体" w:cs="Times New Roman"/>
          <w:color w:val="auto"/>
          <w:szCs w:val="24"/>
          <w:highlight w:val="none"/>
        </w:rPr>
        <w:t>0.1</w:t>
      </w:r>
      <w:r>
        <w:rPr>
          <w:rFonts w:ascii="Times New Roman" w:hAnsi="Times New Roman" w:eastAsia="宋体" w:cs="Times New Roman"/>
          <w:color w:val="auto"/>
          <w:szCs w:val="24"/>
          <w:highlight w:val="none"/>
        </w:rPr>
        <w:t>t/a、0.</w:t>
      </w:r>
      <w:r>
        <w:rPr>
          <w:rFonts w:hint="eastAsia" w:ascii="Times New Roman" w:hAnsi="Times New Roman" w:eastAsia="宋体" w:cs="Times New Roman"/>
          <w:color w:val="auto"/>
          <w:szCs w:val="24"/>
          <w:highlight w:val="none"/>
        </w:rPr>
        <w:t>075</w:t>
      </w:r>
      <w:r>
        <w:rPr>
          <w:rFonts w:ascii="Times New Roman" w:hAnsi="Times New Roman" w:eastAsia="宋体" w:cs="Times New Roman"/>
          <w:color w:val="auto"/>
          <w:szCs w:val="24"/>
          <w:highlight w:val="none"/>
        </w:rPr>
        <w:t>t/a、</w:t>
      </w:r>
      <w:r>
        <w:rPr>
          <w:rFonts w:hint="eastAsia" w:ascii="Times New Roman" w:hAnsi="Times New Roman" w:eastAsia="宋体" w:cs="Times New Roman"/>
          <w:color w:val="auto"/>
          <w:szCs w:val="24"/>
          <w:highlight w:val="none"/>
        </w:rPr>
        <w:t>0.075</w:t>
      </w:r>
      <w:r>
        <w:rPr>
          <w:rFonts w:ascii="Times New Roman" w:hAnsi="Times New Roman" w:eastAsia="宋体" w:cs="Times New Roman"/>
          <w:color w:val="auto"/>
          <w:szCs w:val="24"/>
          <w:highlight w:val="none"/>
        </w:rPr>
        <w:t>t/a、0.</w:t>
      </w:r>
      <w:r>
        <w:rPr>
          <w:rFonts w:hint="eastAsia" w:ascii="Times New Roman" w:hAnsi="Times New Roman" w:eastAsia="宋体" w:cs="Times New Roman"/>
          <w:color w:val="auto"/>
          <w:szCs w:val="24"/>
          <w:highlight w:val="none"/>
        </w:rPr>
        <w:t>05</w:t>
      </w:r>
      <w:r>
        <w:rPr>
          <w:rFonts w:ascii="Times New Roman" w:hAnsi="Times New Roman" w:eastAsia="宋体" w:cs="Times New Roman"/>
          <w:color w:val="auto"/>
          <w:szCs w:val="24"/>
          <w:highlight w:val="none"/>
        </w:rPr>
        <w:t>t/a</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0.</w:t>
      </w:r>
      <w:r>
        <w:rPr>
          <w:rFonts w:hint="eastAsia" w:ascii="Times New Roman" w:hAnsi="Times New Roman" w:eastAsia="宋体" w:cs="Times New Roman"/>
          <w:color w:val="auto"/>
          <w:szCs w:val="24"/>
          <w:highlight w:val="none"/>
        </w:rPr>
        <w:t>1</w:t>
      </w:r>
      <w:r>
        <w:rPr>
          <w:rFonts w:ascii="Times New Roman" w:hAnsi="Times New Roman" w:eastAsia="宋体" w:cs="Times New Roman"/>
          <w:color w:val="auto"/>
          <w:szCs w:val="24"/>
          <w:highlight w:val="none"/>
        </w:rPr>
        <w:t>t/a。</w:t>
      </w:r>
    </w:p>
    <w:p>
      <w:pPr>
        <w:widowControl/>
        <w:ind w:firstLine="480"/>
        <w:jc w:val="left"/>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（8</w:t>
      </w:r>
      <w:r>
        <w:rPr>
          <w:rFonts w:ascii="Times New Roman" w:hAnsi="Times New Roman" w:eastAsia="宋体" w:cs="Times New Roman"/>
          <w:color w:val="auto"/>
          <w:szCs w:val="24"/>
          <w:highlight w:val="none"/>
        </w:rPr>
        <w:t>）运输道路扬尘</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szCs w:val="24"/>
          <w:highlight w:val="none"/>
        </w:rPr>
        <w:t>矿山内部采场的矿石采用自卸汽车搬运到破碎场加工，运输车辆在矿山内道路行驶过程会产生颗粒物。项目车辆在矿山内公路采取慢速行驶（小于15km/h），由于道路在矿区范围内旋转弯曲，项目运输过程中产生的扬尘可视为面源污染、其产生时间主要为矿石运输至</w:t>
      </w:r>
      <w:r>
        <w:rPr>
          <w:rFonts w:hint="eastAsia" w:ascii="Times New Roman" w:hAnsi="Times New Roman" w:eastAsia="宋体" w:cs="Times New Roman"/>
          <w:color w:val="auto"/>
          <w:szCs w:val="24"/>
          <w:highlight w:val="none"/>
        </w:rPr>
        <w:t>投料</w:t>
      </w:r>
      <w:r>
        <w:rPr>
          <w:rFonts w:ascii="Times New Roman" w:hAnsi="Times New Roman" w:eastAsia="宋体" w:cs="Times New Roman"/>
          <w:color w:val="auto"/>
          <w:szCs w:val="24"/>
          <w:highlight w:val="none"/>
        </w:rPr>
        <w:t>口及车辆上山时，其产生情况为间歇式。</w:t>
      </w:r>
      <w:r>
        <w:rPr>
          <w:rFonts w:ascii="Times New Roman" w:hAnsi="Times New Roman" w:eastAsia="宋体" w:cs="Times New Roman"/>
          <w:color w:val="auto"/>
          <w:szCs w:val="24"/>
          <w:highlight w:val="none"/>
          <w:u w:val="single"/>
        </w:rPr>
        <w:t>根据《扬尘源颗粒物排放清单编制技术指南（试行）》</w:t>
      </w:r>
      <w:r>
        <w:rPr>
          <w:rFonts w:hint="eastAsia" w:cs="Times New Roman"/>
          <w:color w:val="auto"/>
          <w:szCs w:val="24"/>
          <w:highlight w:val="none"/>
          <w:u w:val="single"/>
          <w:lang w:val="en-US" w:eastAsia="zh-CN"/>
        </w:rPr>
        <w:t>计算公式</w:t>
      </w:r>
      <w:r>
        <w:rPr>
          <w:rFonts w:hint="eastAsia" w:ascii="Times New Roman" w:hAnsi="Times New Roman" w:cs="Times New Roman"/>
          <w:color w:val="auto"/>
          <w:szCs w:val="24"/>
          <w:highlight w:val="none"/>
          <w:u w:val="single"/>
          <w:lang w:val="en-US" w:eastAsia="zh-CN"/>
        </w:rPr>
        <w:t>（见本报告第2.2.9.1节）</w:t>
      </w:r>
      <w:r>
        <w:rPr>
          <w:rFonts w:hint="eastAsia" w:cs="Times New Roman"/>
          <w:color w:val="auto"/>
          <w:szCs w:val="24"/>
          <w:highlight w:val="none"/>
          <w:u w:val="single"/>
          <w:lang w:val="en-US" w:eastAsia="zh-CN"/>
        </w:rPr>
        <w:t>，</w:t>
      </w:r>
      <w:r>
        <w:rPr>
          <w:rFonts w:ascii="Times New Roman" w:hAnsi="Times New Roman" w:eastAsia="宋体" w:cs="Times New Roman"/>
          <w:color w:val="auto"/>
          <w:highlight w:val="none"/>
          <w:u w:val="single"/>
        </w:rPr>
        <w:t>未采取洒水降尘措施时，E</w:t>
      </w:r>
      <w:r>
        <w:rPr>
          <w:rFonts w:ascii="Times New Roman" w:hAnsi="Times New Roman" w:eastAsia="宋体" w:cs="Times New Roman"/>
          <w:color w:val="auto"/>
          <w:highlight w:val="none"/>
          <w:u w:val="single"/>
          <w:vertAlign w:val="subscript"/>
        </w:rPr>
        <w:t>UPi</w:t>
      </w:r>
      <w:r>
        <w:rPr>
          <w:rFonts w:ascii="Times New Roman" w:hAnsi="Times New Roman" w:eastAsia="宋体" w:cs="Times New Roman"/>
          <w:color w:val="auto"/>
          <w:highlight w:val="none"/>
          <w:u w:val="single"/>
        </w:rPr>
        <w:t>为498.33g/km，道路扬尘产生量1.</w:t>
      </w:r>
      <w:r>
        <w:rPr>
          <w:rFonts w:hint="eastAsia" w:ascii="Times New Roman" w:hAnsi="Times New Roman" w:eastAsia="宋体" w:cs="Times New Roman"/>
          <w:color w:val="auto"/>
          <w:highlight w:val="none"/>
          <w:u w:val="single"/>
        </w:rPr>
        <w:t>468t/a</w:t>
      </w:r>
      <w:r>
        <w:rPr>
          <w:rFonts w:ascii="Times New Roman" w:hAnsi="Times New Roman" w:eastAsia="宋体" w:cs="Times New Roman"/>
          <w:color w:val="auto"/>
          <w:highlight w:val="none"/>
          <w:u w:val="single"/>
        </w:rPr>
        <w:t>；</w:t>
      </w:r>
      <w:r>
        <w:rPr>
          <w:rStyle w:val="199"/>
          <w:rFonts w:ascii="Times New Roman" w:hAnsi="Times New Roman" w:eastAsia="宋体" w:cs="Times New Roman"/>
          <w:i w:val="0"/>
          <w:color w:val="auto"/>
          <w:sz w:val="24"/>
          <w:szCs w:val="24"/>
          <w:highlight w:val="none"/>
          <w:u w:val="single"/>
        </w:rPr>
        <w:t>采取洒水措施后</w:t>
      </w:r>
      <w:r>
        <w:rPr>
          <w:rStyle w:val="199"/>
          <w:rFonts w:hint="eastAsia" w:cs="Times New Roman"/>
          <w:i w:val="0"/>
          <w:color w:val="auto"/>
          <w:sz w:val="24"/>
          <w:szCs w:val="24"/>
          <w:highlight w:val="none"/>
          <w:u w:val="single"/>
          <w:lang w:eastAsia="zh-CN"/>
        </w:rPr>
        <w:t>（</w:t>
      </w:r>
      <w:r>
        <w:rPr>
          <w:rStyle w:val="199"/>
          <w:rFonts w:hint="eastAsia" w:cs="Times New Roman"/>
          <w:i w:val="0"/>
          <w:color w:val="auto"/>
          <w:sz w:val="24"/>
          <w:szCs w:val="24"/>
          <w:highlight w:val="none"/>
          <w:u w:val="single"/>
          <w:lang w:val="en-US" w:eastAsia="zh-CN"/>
        </w:rPr>
        <w:t>控制效率</w:t>
      </w:r>
      <w:r>
        <w:rPr>
          <w:rStyle w:val="199"/>
          <w:rFonts w:hint="eastAsia" w:cs="Times New Roman"/>
          <w:i w:val="0"/>
          <w:color w:val="auto"/>
          <w:sz w:val="24"/>
          <w:szCs w:val="24"/>
          <w:highlight w:val="none"/>
          <w:u w:val="single"/>
          <w:lang w:eastAsia="zh-CN"/>
        </w:rPr>
        <w:t>取</w:t>
      </w:r>
      <w:r>
        <w:rPr>
          <w:rStyle w:val="199"/>
          <w:rFonts w:hint="eastAsia" w:cs="Times New Roman"/>
          <w:i w:val="0"/>
          <w:color w:val="auto"/>
          <w:sz w:val="24"/>
          <w:szCs w:val="24"/>
          <w:highlight w:val="none"/>
          <w:u w:val="single"/>
          <w:lang w:val="en-US" w:eastAsia="zh-CN"/>
        </w:rPr>
        <w:t>6</w:t>
      </w:r>
      <w:r>
        <w:rPr>
          <w:rStyle w:val="199"/>
          <w:rFonts w:hint="eastAsia" w:cs="Times New Roman"/>
          <w:i w:val="0"/>
          <w:color w:val="auto"/>
          <w:sz w:val="24"/>
          <w:szCs w:val="24"/>
          <w:highlight w:val="none"/>
          <w:u w:val="single"/>
          <w:lang w:eastAsia="zh-CN"/>
        </w:rPr>
        <w:t>0%）</w:t>
      </w:r>
      <w:r>
        <w:rPr>
          <w:rStyle w:val="199"/>
          <w:rFonts w:ascii="Times New Roman" w:hAnsi="Times New Roman" w:eastAsia="宋体" w:cs="Times New Roman"/>
          <w:i w:val="0"/>
          <w:color w:val="auto"/>
          <w:sz w:val="24"/>
          <w:szCs w:val="24"/>
          <w:highlight w:val="none"/>
          <w:u w:val="single"/>
        </w:rPr>
        <w:t>，</w:t>
      </w:r>
      <w:r>
        <w:rPr>
          <w:rFonts w:ascii="Times New Roman" w:hAnsi="Times New Roman" w:eastAsia="宋体" w:cs="Times New Roman"/>
          <w:color w:val="auto"/>
          <w:highlight w:val="none"/>
          <w:u w:val="single"/>
        </w:rPr>
        <w:t>E</w:t>
      </w:r>
      <w:r>
        <w:rPr>
          <w:rFonts w:ascii="Times New Roman" w:hAnsi="Times New Roman" w:eastAsia="宋体" w:cs="Times New Roman"/>
          <w:color w:val="auto"/>
          <w:highlight w:val="none"/>
          <w:u w:val="single"/>
          <w:vertAlign w:val="subscript"/>
        </w:rPr>
        <w:t>UPi</w:t>
      </w:r>
      <w:r>
        <w:rPr>
          <w:rFonts w:ascii="Times New Roman" w:hAnsi="Times New Roman" w:eastAsia="宋体" w:cs="Times New Roman"/>
          <w:color w:val="auto"/>
          <w:highlight w:val="none"/>
          <w:u w:val="single"/>
        </w:rPr>
        <w:t>为199.33g/km，道路扬尘排放量0.</w:t>
      </w:r>
      <w:r>
        <w:rPr>
          <w:rFonts w:hint="eastAsia" w:ascii="Times New Roman" w:hAnsi="Times New Roman" w:eastAsia="宋体" w:cs="Times New Roman"/>
          <w:color w:val="auto"/>
          <w:highlight w:val="none"/>
          <w:u w:val="single"/>
        </w:rPr>
        <w:t>587</w:t>
      </w:r>
      <w:r>
        <w:rPr>
          <w:rFonts w:ascii="Times New Roman" w:hAnsi="Times New Roman" w:eastAsia="宋体" w:cs="Times New Roman"/>
          <w:color w:val="auto"/>
          <w:highlight w:val="none"/>
          <w:u w:val="single"/>
        </w:rPr>
        <w:t>t/a</w:t>
      </w:r>
      <w:r>
        <w:rPr>
          <w:rStyle w:val="199"/>
          <w:rFonts w:ascii="Times New Roman" w:hAnsi="Times New Roman" w:eastAsia="宋体" w:cs="Times New Roman"/>
          <w:i w:val="0"/>
          <w:color w:val="auto"/>
          <w:sz w:val="24"/>
          <w:szCs w:val="24"/>
          <w:highlight w:val="none"/>
          <w:u w:val="single"/>
        </w:rPr>
        <w:t>。</w:t>
      </w:r>
    </w:p>
    <w:p>
      <w:pPr>
        <w:ind w:firstLine="482"/>
        <w:rPr>
          <w:rFonts w:ascii="Times New Roman" w:hAnsi="Times New Roman" w:eastAsia="宋体" w:cs="Times New Roman"/>
          <w:b/>
          <w:color w:val="auto"/>
          <w:szCs w:val="24"/>
          <w:highlight w:val="none"/>
        </w:rPr>
      </w:pPr>
      <w:r>
        <w:rPr>
          <w:rFonts w:hint="eastAsia" w:ascii="Times New Roman" w:hAnsi="Times New Roman" w:eastAsia="宋体" w:cs="Times New Roman"/>
          <w:b/>
          <w:color w:val="auto"/>
          <w:szCs w:val="24"/>
          <w:highlight w:val="none"/>
        </w:rPr>
        <w:t>2、</w:t>
      </w:r>
      <w:r>
        <w:rPr>
          <w:rFonts w:ascii="Times New Roman" w:hAnsi="Times New Roman" w:eastAsia="宋体" w:cs="Times New Roman"/>
          <w:b/>
          <w:color w:val="auto"/>
          <w:szCs w:val="24"/>
          <w:highlight w:val="none"/>
        </w:rPr>
        <w:t>汽车尾气</w:t>
      </w:r>
    </w:p>
    <w:p>
      <w:pPr>
        <w:bidi w:val="0"/>
        <w:rPr>
          <w:rFonts w:ascii="Times New Roman" w:hAnsi="Times New Roman" w:eastAsia="宋体" w:cs="Times New Roman"/>
          <w:color w:val="auto"/>
          <w:szCs w:val="20"/>
          <w:highlight w:val="none"/>
        </w:rPr>
      </w:pPr>
      <w:r>
        <w:rPr>
          <w:rFonts w:ascii="Times New Roman" w:hAnsi="Times New Roman" w:eastAsia="宋体" w:cs="Times New Roman"/>
          <w:color w:val="auto"/>
          <w:szCs w:val="24"/>
          <w:highlight w:val="none"/>
        </w:rPr>
        <w:t>项目所使用设备中挖掘机、装载机等均为工程机械，使用的燃油为柴油，排放的尾气污染物主要污染因子为CO、NO</w:t>
      </w:r>
      <w:r>
        <w:rPr>
          <w:rFonts w:ascii="Times New Roman" w:hAnsi="Times New Roman" w:eastAsia="宋体" w:cs="Times New Roman"/>
          <w:color w:val="auto"/>
          <w:szCs w:val="24"/>
          <w:highlight w:val="none"/>
          <w:vertAlign w:val="subscript"/>
        </w:rPr>
        <w:t>x</w:t>
      </w:r>
      <w:r>
        <w:rPr>
          <w:rFonts w:ascii="Times New Roman" w:hAnsi="Times New Roman" w:eastAsia="宋体" w:cs="Times New Roman"/>
          <w:color w:val="auto"/>
          <w:szCs w:val="24"/>
          <w:highlight w:val="none"/>
        </w:rPr>
        <w:t>、HC。</w:t>
      </w:r>
      <w:r>
        <w:rPr>
          <w:rFonts w:ascii="Times New Roman" w:hAnsi="Times New Roman" w:eastAsia="宋体" w:cs="Times New Roman"/>
          <w:color w:val="auto"/>
          <w:szCs w:val="20"/>
          <w:highlight w:val="none"/>
        </w:rPr>
        <w:t>根据《非道路移动源大气污染源排放清单编制技术指南（试行）》，非道路移动机械大气污染物排放量计算公式如下：</w:t>
      </w:r>
    </w:p>
    <w:p>
      <w:pPr>
        <w:ind w:firstLine="480"/>
        <w:jc w:val="center"/>
        <w:rPr>
          <w:rFonts w:ascii="Times New Roman" w:hAnsi="Times New Roman" w:eastAsia="宋体" w:cs="Times New Roman"/>
          <w:color w:val="auto"/>
          <w:szCs w:val="20"/>
          <w:highlight w:val="none"/>
        </w:rPr>
      </w:pPr>
      <w:r>
        <w:rPr>
          <w:rFonts w:ascii="Times New Roman" w:hAnsi="Times New Roman" w:eastAsia="宋体" w:cs="Times New Roman"/>
          <w:color w:val="auto"/>
          <w:highlight w:val="none"/>
        </w:rPr>
        <w:drawing>
          <wp:inline distT="0" distB="0" distL="114300" distR="114300">
            <wp:extent cx="1914525" cy="342900"/>
            <wp:effectExtent l="0" t="0" r="9525" b="0"/>
            <wp:docPr id="50"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47"/>
                    <pic:cNvPicPr>
                      <a:picLocks noChangeAspect="1"/>
                    </pic:cNvPicPr>
                  </pic:nvPicPr>
                  <pic:blipFill>
                    <a:blip r:embed="rId58"/>
                    <a:stretch>
                      <a:fillRect/>
                    </a:stretch>
                  </pic:blipFill>
                  <pic:spPr>
                    <a:xfrm>
                      <a:off x="0" y="0"/>
                      <a:ext cx="1914525" cy="342900"/>
                    </a:xfrm>
                    <a:prstGeom prst="rect">
                      <a:avLst/>
                    </a:prstGeom>
                    <a:noFill/>
                    <a:ln>
                      <a:noFill/>
                    </a:ln>
                  </pic:spPr>
                </pic:pic>
              </a:graphicData>
            </a:graphic>
          </wp:inline>
        </w:drawing>
      </w:r>
    </w:p>
    <w:p>
      <w:pPr>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式中：</w:t>
      </w:r>
    </w:p>
    <w:p>
      <w:pPr>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E 为非道路移动机械的CO、HC、NO</w:t>
      </w:r>
      <w:r>
        <w:rPr>
          <w:rFonts w:ascii="Times New Roman" w:hAnsi="Times New Roman" w:eastAsia="宋体" w:cs="Times New Roman"/>
          <w:color w:val="auto"/>
          <w:szCs w:val="20"/>
          <w:highlight w:val="none"/>
          <w:vertAlign w:val="subscript"/>
        </w:rPr>
        <w:t>x</w:t>
      </w:r>
      <w:r>
        <w:rPr>
          <w:rFonts w:ascii="Times New Roman" w:hAnsi="Times New Roman" w:eastAsia="宋体" w:cs="Times New Roman"/>
          <w:color w:val="auto"/>
          <w:szCs w:val="20"/>
          <w:highlight w:val="none"/>
        </w:rPr>
        <w:t>排放量，单位为t；</w:t>
      </w:r>
    </w:p>
    <w:p>
      <w:pPr>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Y 为燃油消耗量，单位为kg；</w:t>
      </w:r>
    </w:p>
    <w:p>
      <w:pPr>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EF 为排放系数，单位为克/kg燃料。</w:t>
      </w:r>
    </w:p>
    <w:p>
      <w:pPr>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根据《非道路移动源大气污染源排放清单编制技术指南（试行）》表5数据，非道路移动机械评价排放系数见表2.</w:t>
      </w:r>
      <w:r>
        <w:rPr>
          <w:rFonts w:hint="eastAsia" w:ascii="Times New Roman" w:hAnsi="Times New Roman" w:eastAsia="宋体" w:cs="Times New Roman"/>
          <w:color w:val="auto"/>
          <w:szCs w:val="20"/>
          <w:highlight w:val="none"/>
        </w:rPr>
        <w:t>5-1</w:t>
      </w:r>
      <w:r>
        <w:rPr>
          <w:rFonts w:hint="eastAsia" w:cs="Times New Roman"/>
          <w:color w:val="auto"/>
          <w:szCs w:val="20"/>
          <w:highlight w:val="none"/>
          <w:lang w:val="en-US" w:eastAsia="zh-CN"/>
        </w:rPr>
        <w:t>0</w:t>
      </w:r>
      <w:r>
        <w:rPr>
          <w:rFonts w:ascii="Times New Roman" w:hAnsi="Times New Roman" w:eastAsia="宋体" w:cs="Times New Roman"/>
          <w:color w:val="auto"/>
          <w:szCs w:val="20"/>
          <w:highlight w:val="none"/>
        </w:rPr>
        <w:t>所示。</w:t>
      </w:r>
    </w:p>
    <w:p>
      <w:pPr>
        <w:adjustRightInd w:val="0"/>
        <w:snapToGrid w:val="0"/>
        <w:spacing w:line="240" w:lineRule="auto"/>
        <w:ind w:firstLine="0" w:firstLineChars="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表2.</w:t>
      </w:r>
      <w:r>
        <w:rPr>
          <w:rFonts w:hint="eastAsia" w:ascii="Times New Roman" w:hAnsi="Times New Roman" w:eastAsia="宋体" w:cs="Times New Roman"/>
          <w:b/>
          <w:color w:val="auto"/>
          <w:szCs w:val="20"/>
          <w:highlight w:val="none"/>
        </w:rPr>
        <w:t>5-1</w:t>
      </w:r>
      <w:r>
        <w:rPr>
          <w:rFonts w:hint="eastAsia" w:cs="Times New Roman"/>
          <w:b/>
          <w:color w:val="auto"/>
          <w:szCs w:val="20"/>
          <w:highlight w:val="none"/>
          <w:lang w:val="en-US" w:eastAsia="zh-CN"/>
        </w:rPr>
        <w:t>0</w:t>
      </w:r>
      <w:r>
        <w:rPr>
          <w:rFonts w:ascii="Times New Roman" w:hAnsi="Times New Roman" w:eastAsia="宋体" w:cs="Times New Roman"/>
          <w:b/>
          <w:color w:val="auto"/>
          <w:szCs w:val="20"/>
          <w:highlight w:val="none"/>
        </w:rPr>
        <w:t xml:space="preserve"> 非道路移动机械评价排放系数（g/kg）</w:t>
      </w:r>
    </w:p>
    <w:tbl>
      <w:tblPr>
        <w:tblStyle w:val="48"/>
        <w:tblW w:w="9093"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3123"/>
        <w:gridCol w:w="2027"/>
        <w:gridCol w:w="1970"/>
        <w:gridCol w:w="1973"/>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31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right"/>
              <w:textAlignment w:val="auto"/>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mc:AlternateContent>
                <mc:Choice Requires="wps">
                  <w:drawing>
                    <wp:anchor distT="0" distB="0" distL="114300" distR="114300" simplePos="0" relativeHeight="251659264" behindDoc="0" locked="0" layoutInCell="1" allowOverlap="1">
                      <wp:simplePos x="0" y="0"/>
                      <wp:positionH relativeFrom="column">
                        <wp:posOffset>-42545</wp:posOffset>
                      </wp:positionH>
                      <wp:positionV relativeFrom="paragraph">
                        <wp:posOffset>-6985</wp:posOffset>
                      </wp:positionV>
                      <wp:extent cx="1934210" cy="331470"/>
                      <wp:effectExtent l="1270" t="7620" r="7620" b="22860"/>
                      <wp:wrapNone/>
                      <wp:docPr id="2" name="自选图形 1026"/>
                      <wp:cNvGraphicFramePr/>
                      <a:graphic xmlns:a="http://schemas.openxmlformats.org/drawingml/2006/main">
                        <a:graphicData uri="http://schemas.microsoft.com/office/word/2010/wordprocessingShape">
                          <wps:wsp>
                            <wps:cNvCnPr/>
                            <wps:spPr>
                              <a:xfrm>
                                <a:off x="0" y="0"/>
                                <a:ext cx="1934210" cy="331470"/>
                              </a:xfrm>
                              <a:prstGeom prst="straightConnector1">
                                <a:avLst/>
                              </a:prstGeom>
                              <a:ln w="15875" cap="flat" cmpd="sng">
                                <a:solidFill>
                                  <a:srgbClr val="000000"/>
                                </a:solidFill>
                                <a:prstDash val="solid"/>
                                <a:headEnd type="none" w="med" len="med"/>
                                <a:tailEnd type="none" w="med" len="med"/>
                              </a:ln>
                            </wps:spPr>
                            <wps:bodyPr/>
                          </wps:wsp>
                        </a:graphicData>
                      </a:graphic>
                    </wp:anchor>
                  </w:drawing>
                </mc:Choice>
                <mc:Fallback>
                  <w:pict>
                    <v:shape id="自选图形 1026" o:spid="_x0000_s1026" o:spt="32" type="#_x0000_t32" style="position:absolute;left:0pt;margin-left:-3.35pt;margin-top:-0.55pt;height:26.1pt;width:152.3pt;z-index:251659264;mso-width-relative:page;mso-height-relative:page;" filled="f" stroked="t" coordsize="21600,21600" o:gfxdata="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9FngTdgAAAAI&#10;AQAADwAAAAAAAAABACAAAAAiAAAAZHJzL2Rvd25yZXYueG1sUEsBAhQAFAAAAAgAh07iQKeWNezj&#10;AQAAngMAAA4AAAAAAAAAAQAgAAAAJwEAAGRycy9lMm9Eb2MueG1sUEsFBgAAAAAGAAYAWQEAAHwF&#10;AAAAAA==&#10;">
                      <v:fill on="f" focussize="0,0"/>
                      <v:stroke weight="1.25pt" color="#000000" joinstyle="round"/>
                      <v:imagedata o:title=""/>
                      <o:lock v:ext="edit" aspectratio="f"/>
                    </v:shape>
                  </w:pict>
                </mc:Fallback>
              </mc:AlternateContent>
            </w:r>
            <w:r>
              <w:rPr>
                <w:rFonts w:ascii="Times New Roman" w:hAnsi="Times New Roman" w:eastAsia="宋体" w:cs="Times New Roman"/>
                <w:b/>
                <w:color w:val="auto"/>
                <w:sz w:val="21"/>
                <w:highlight w:val="none"/>
              </w:rPr>
              <w:t>污染物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车种</w:t>
            </w:r>
          </w:p>
        </w:tc>
        <w:tc>
          <w:tcPr>
            <w:tcW w:w="20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CO</w:t>
            </w:r>
          </w:p>
        </w:tc>
        <w:tc>
          <w:tcPr>
            <w:tcW w:w="19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HC</w:t>
            </w:r>
          </w:p>
        </w:tc>
        <w:tc>
          <w:tcPr>
            <w:tcW w:w="197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NO</w:t>
            </w:r>
            <w:r>
              <w:rPr>
                <w:rFonts w:ascii="Times New Roman" w:hAnsi="Times New Roman" w:eastAsia="宋体" w:cs="Times New Roman"/>
                <w:b/>
                <w:color w:val="auto"/>
                <w:sz w:val="21"/>
                <w:highlight w:val="none"/>
                <w:vertAlign w:val="subscript"/>
              </w:rPr>
              <w:t>x</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31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工程机械</w:t>
            </w:r>
          </w:p>
        </w:tc>
        <w:tc>
          <w:tcPr>
            <w:tcW w:w="20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10.72</w:t>
            </w:r>
          </w:p>
        </w:tc>
        <w:tc>
          <w:tcPr>
            <w:tcW w:w="19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3.39</w:t>
            </w:r>
          </w:p>
        </w:tc>
        <w:tc>
          <w:tcPr>
            <w:tcW w:w="197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32.79</w:t>
            </w:r>
          </w:p>
        </w:tc>
      </w:tr>
    </w:tbl>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根据项目设计，项目</w:t>
      </w:r>
      <w:r>
        <w:rPr>
          <w:rFonts w:hint="eastAsia" w:ascii="Times New Roman" w:hAnsi="Times New Roman" w:eastAsia="宋体" w:cs="Times New Roman"/>
          <w:color w:val="auto"/>
          <w:szCs w:val="24"/>
          <w:highlight w:val="none"/>
          <w:lang w:val="en-US" w:eastAsia="zh-CN"/>
        </w:rPr>
        <w:t>整合</w:t>
      </w:r>
      <w:r>
        <w:rPr>
          <w:rFonts w:ascii="Times New Roman" w:hAnsi="Times New Roman" w:eastAsia="宋体" w:cs="Times New Roman"/>
          <w:color w:val="auto"/>
          <w:szCs w:val="24"/>
          <w:highlight w:val="none"/>
        </w:rPr>
        <w:t>产后年消耗柴油约</w:t>
      </w:r>
      <w:r>
        <w:rPr>
          <w:rFonts w:hint="eastAsia" w:ascii="Times New Roman" w:hAnsi="Times New Roman" w:eastAsia="宋体" w:cs="Times New Roman"/>
          <w:color w:val="auto"/>
          <w:szCs w:val="24"/>
          <w:highlight w:val="none"/>
        </w:rPr>
        <w:t>6</w:t>
      </w:r>
      <w:r>
        <w:rPr>
          <w:rFonts w:ascii="Times New Roman" w:hAnsi="Times New Roman" w:eastAsia="宋体" w:cs="Times New Roman"/>
          <w:color w:val="auto"/>
          <w:szCs w:val="24"/>
          <w:highlight w:val="none"/>
        </w:rPr>
        <w:t>0t，经计算，污染物的排放量分别为CO：0.</w:t>
      </w:r>
      <w:r>
        <w:rPr>
          <w:rFonts w:hint="eastAsia" w:ascii="Times New Roman" w:hAnsi="Times New Roman" w:eastAsia="宋体" w:cs="Times New Roman"/>
          <w:color w:val="auto"/>
          <w:szCs w:val="24"/>
          <w:highlight w:val="none"/>
        </w:rPr>
        <w:t>643</w:t>
      </w:r>
      <w:r>
        <w:rPr>
          <w:rFonts w:ascii="Times New Roman" w:hAnsi="Times New Roman" w:eastAsia="宋体" w:cs="Times New Roman"/>
          <w:color w:val="auto"/>
          <w:szCs w:val="24"/>
          <w:highlight w:val="none"/>
        </w:rPr>
        <w:t>t/a、HC：0.</w:t>
      </w:r>
      <w:r>
        <w:rPr>
          <w:rFonts w:hint="eastAsia" w:ascii="Times New Roman" w:hAnsi="Times New Roman" w:eastAsia="宋体" w:cs="Times New Roman"/>
          <w:color w:val="auto"/>
          <w:szCs w:val="24"/>
          <w:highlight w:val="none"/>
        </w:rPr>
        <w:t>203</w:t>
      </w:r>
      <w:r>
        <w:rPr>
          <w:rFonts w:ascii="Times New Roman" w:hAnsi="Times New Roman" w:eastAsia="宋体" w:cs="Times New Roman"/>
          <w:color w:val="auto"/>
          <w:szCs w:val="24"/>
          <w:highlight w:val="none"/>
        </w:rPr>
        <w:t>t/a、</w:t>
      </w:r>
      <w:r>
        <w:rPr>
          <w:rFonts w:ascii="Times New Roman" w:hAnsi="Times New Roman" w:eastAsia="宋体" w:cs="Times New Roman"/>
          <w:color w:val="auto"/>
          <w:highlight w:val="none"/>
        </w:rPr>
        <w:t>NO</w:t>
      </w:r>
      <w:r>
        <w:rPr>
          <w:rFonts w:ascii="Times New Roman" w:hAnsi="Times New Roman" w:eastAsia="宋体" w:cs="Times New Roman"/>
          <w:color w:val="auto"/>
          <w:highlight w:val="none"/>
          <w:vertAlign w:val="subscript"/>
        </w:rPr>
        <w:t>x</w:t>
      </w:r>
      <w:r>
        <w:rPr>
          <w:rFonts w:ascii="Times New Roman" w:hAnsi="Times New Roman" w:eastAsia="宋体" w:cs="Times New Roman"/>
          <w:color w:val="auto"/>
          <w:szCs w:val="24"/>
          <w:highlight w:val="none"/>
        </w:rPr>
        <w:t>：1.</w:t>
      </w:r>
      <w:r>
        <w:rPr>
          <w:rFonts w:hint="eastAsia" w:ascii="Times New Roman" w:hAnsi="Times New Roman" w:eastAsia="宋体" w:cs="Times New Roman"/>
          <w:color w:val="auto"/>
          <w:szCs w:val="24"/>
          <w:highlight w:val="none"/>
        </w:rPr>
        <w:t>967</w:t>
      </w:r>
      <w:r>
        <w:rPr>
          <w:rFonts w:ascii="Times New Roman" w:hAnsi="Times New Roman" w:eastAsia="宋体" w:cs="Times New Roman"/>
          <w:color w:val="auto"/>
          <w:szCs w:val="24"/>
          <w:highlight w:val="none"/>
        </w:rPr>
        <w:t>t/a。</w:t>
      </w:r>
    </w:p>
    <w:p>
      <w:pPr>
        <w:widowControl/>
        <w:ind w:firstLine="482"/>
        <w:jc w:val="left"/>
        <w:rPr>
          <w:rFonts w:ascii="Times New Roman" w:hAnsi="Times New Roman" w:eastAsia="宋体" w:cs="Times New Roman"/>
          <w:b/>
          <w:color w:val="auto"/>
          <w:szCs w:val="24"/>
          <w:highlight w:val="none"/>
        </w:rPr>
      </w:pPr>
      <w:r>
        <w:rPr>
          <w:rFonts w:hint="eastAsia" w:ascii="Times New Roman" w:hAnsi="Times New Roman" w:eastAsia="宋体" w:cs="Times New Roman"/>
          <w:b/>
          <w:color w:val="auto"/>
          <w:szCs w:val="24"/>
          <w:highlight w:val="none"/>
        </w:rPr>
        <w:t>3、</w:t>
      </w:r>
      <w:r>
        <w:rPr>
          <w:rFonts w:ascii="Times New Roman" w:hAnsi="Times New Roman" w:eastAsia="宋体" w:cs="Times New Roman"/>
          <w:b/>
          <w:color w:val="auto"/>
          <w:szCs w:val="24"/>
          <w:highlight w:val="none"/>
        </w:rPr>
        <w:t>油烟、燃气废气</w:t>
      </w:r>
      <w:bookmarkEnd w:id="126"/>
    </w:p>
    <w:p>
      <w:pPr>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①油烟</w:t>
      </w:r>
    </w:p>
    <w:p>
      <w:pPr>
        <w:ind w:firstLine="480"/>
        <w:rPr>
          <w:rFonts w:ascii="Times New Roman" w:hAnsi="Times New Roman" w:eastAsia="宋体" w:cs="Times New Roman"/>
          <w:bCs/>
          <w:color w:val="auto"/>
          <w:szCs w:val="20"/>
          <w:highlight w:val="none"/>
        </w:rPr>
      </w:pPr>
      <w:r>
        <w:rPr>
          <w:rFonts w:hint="eastAsia" w:ascii="Times New Roman" w:hAnsi="Times New Roman" w:eastAsia="宋体" w:cs="Times New Roman"/>
          <w:color w:val="auto"/>
          <w:szCs w:val="24"/>
          <w:highlight w:val="none"/>
        </w:rPr>
        <w:t>整合项目</w:t>
      </w:r>
      <w:r>
        <w:rPr>
          <w:rFonts w:ascii="Times New Roman" w:hAnsi="Times New Roman" w:eastAsia="宋体" w:cs="Times New Roman"/>
          <w:color w:val="auto"/>
          <w:szCs w:val="24"/>
          <w:highlight w:val="none"/>
        </w:rPr>
        <w:t>劳动定员</w:t>
      </w:r>
      <w:r>
        <w:rPr>
          <w:rFonts w:hint="eastAsia" w:ascii="Times New Roman" w:hAnsi="Times New Roman" w:eastAsia="宋体" w:cs="Times New Roman"/>
          <w:color w:val="auto"/>
          <w:szCs w:val="24"/>
          <w:highlight w:val="none"/>
        </w:rPr>
        <w:t>45</w:t>
      </w:r>
      <w:r>
        <w:rPr>
          <w:rFonts w:ascii="Times New Roman" w:hAnsi="Times New Roman" w:eastAsia="宋体" w:cs="Times New Roman"/>
          <w:color w:val="auto"/>
          <w:szCs w:val="24"/>
          <w:highlight w:val="none"/>
        </w:rPr>
        <w:t>人，均在厂内食宿，</w:t>
      </w:r>
      <w:r>
        <w:rPr>
          <w:rFonts w:ascii="Times New Roman" w:hAnsi="Times New Roman" w:eastAsia="宋体" w:cs="Times New Roman"/>
          <w:bCs/>
          <w:color w:val="auto"/>
          <w:szCs w:val="20"/>
          <w:highlight w:val="none"/>
        </w:rPr>
        <w:t>人均食用油量（三餐）约0.03kg/d，则总耗油量约</w:t>
      </w:r>
      <w:r>
        <w:rPr>
          <w:rFonts w:hint="eastAsia" w:ascii="Times New Roman" w:hAnsi="Times New Roman" w:eastAsia="宋体" w:cs="Times New Roman"/>
          <w:bCs/>
          <w:color w:val="auto"/>
          <w:szCs w:val="20"/>
          <w:highlight w:val="none"/>
        </w:rPr>
        <w:t>1.35</w:t>
      </w:r>
      <w:r>
        <w:rPr>
          <w:rFonts w:ascii="Times New Roman" w:hAnsi="Times New Roman" w:eastAsia="宋体" w:cs="Times New Roman"/>
          <w:bCs/>
          <w:color w:val="auto"/>
          <w:szCs w:val="20"/>
          <w:highlight w:val="none"/>
        </w:rPr>
        <w:t>kg/d，一般油烟挥发量占总耗油量的3%，则油烟产生量约为0.0</w:t>
      </w:r>
      <w:r>
        <w:rPr>
          <w:rFonts w:hint="eastAsia" w:ascii="Times New Roman" w:hAnsi="Times New Roman" w:eastAsia="宋体" w:cs="Times New Roman"/>
          <w:bCs/>
          <w:color w:val="auto"/>
          <w:szCs w:val="20"/>
          <w:highlight w:val="none"/>
        </w:rPr>
        <w:t>405</w:t>
      </w:r>
      <w:r>
        <w:rPr>
          <w:rFonts w:ascii="Times New Roman" w:hAnsi="Times New Roman" w:eastAsia="宋体" w:cs="Times New Roman"/>
          <w:bCs/>
          <w:color w:val="auto"/>
          <w:szCs w:val="20"/>
          <w:highlight w:val="none"/>
        </w:rPr>
        <w:t>kg/d，按年营运</w:t>
      </w:r>
      <w:r>
        <w:rPr>
          <w:rFonts w:hint="eastAsia" w:ascii="Times New Roman" w:hAnsi="Times New Roman" w:eastAsia="宋体" w:cs="Times New Roman"/>
          <w:bCs/>
          <w:color w:val="auto"/>
          <w:szCs w:val="20"/>
          <w:highlight w:val="none"/>
        </w:rPr>
        <w:t>30</w:t>
      </w:r>
      <w:r>
        <w:rPr>
          <w:rFonts w:ascii="Times New Roman" w:hAnsi="Times New Roman" w:eastAsia="宋体" w:cs="Times New Roman"/>
          <w:bCs/>
          <w:color w:val="auto"/>
          <w:szCs w:val="20"/>
          <w:highlight w:val="none"/>
        </w:rPr>
        <w:t>0d，油烟产生总量为</w:t>
      </w:r>
      <w:r>
        <w:rPr>
          <w:rFonts w:hint="eastAsia" w:ascii="Times New Roman" w:hAnsi="Times New Roman" w:eastAsia="宋体" w:cs="Times New Roman"/>
          <w:bCs/>
          <w:color w:val="auto"/>
          <w:szCs w:val="20"/>
          <w:highlight w:val="none"/>
        </w:rPr>
        <w:t>12.1</w:t>
      </w:r>
      <w:r>
        <w:rPr>
          <w:rFonts w:ascii="Times New Roman" w:hAnsi="Times New Roman" w:eastAsia="宋体" w:cs="Times New Roman"/>
          <w:bCs/>
          <w:color w:val="auto"/>
          <w:szCs w:val="20"/>
          <w:highlight w:val="none"/>
        </w:rPr>
        <w:t>5kg/a。</w:t>
      </w:r>
      <w:r>
        <w:rPr>
          <w:rFonts w:ascii="Times New Roman" w:hAnsi="Times New Roman" w:eastAsia="宋体" w:cs="Times New Roman"/>
          <w:color w:val="auto"/>
          <w:highlight w:val="none"/>
        </w:rPr>
        <w:t>厨房设炒炉2个，每个炉头油烟产生量为2000m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/h，每天工作2h，油烟废气排放量为4000m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/h，则油烟产生浓度为</w:t>
      </w:r>
      <w:r>
        <w:rPr>
          <w:rFonts w:hint="eastAsia" w:ascii="Times New Roman" w:hAnsi="Times New Roman" w:eastAsia="宋体" w:cs="Times New Roman"/>
          <w:color w:val="auto"/>
          <w:highlight w:val="none"/>
        </w:rPr>
        <w:t>5.06</w:t>
      </w:r>
      <w:r>
        <w:rPr>
          <w:rFonts w:ascii="Times New Roman" w:hAnsi="Times New Roman" w:eastAsia="宋体" w:cs="Times New Roman"/>
          <w:color w:val="auto"/>
          <w:highlight w:val="none"/>
        </w:rPr>
        <w:t>mg/m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。油烟经油烟净化系统处理后排放，油烟净化器处理效率取80%，油烟排放浓度为</w:t>
      </w:r>
      <w:r>
        <w:rPr>
          <w:rFonts w:hint="eastAsia" w:ascii="Times New Roman" w:hAnsi="Times New Roman" w:eastAsia="宋体" w:cs="Times New Roman"/>
          <w:color w:val="auto"/>
          <w:highlight w:val="none"/>
        </w:rPr>
        <w:t>1.02</w:t>
      </w:r>
      <w:r>
        <w:rPr>
          <w:rFonts w:ascii="Times New Roman" w:hAnsi="Times New Roman" w:eastAsia="宋体" w:cs="Times New Roman"/>
          <w:color w:val="auto"/>
          <w:highlight w:val="none"/>
        </w:rPr>
        <w:t>mg/m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，排放量</w:t>
      </w:r>
      <w:r>
        <w:rPr>
          <w:rFonts w:hint="eastAsia" w:ascii="Times New Roman" w:hAnsi="Times New Roman" w:eastAsia="宋体" w:cs="Times New Roman"/>
          <w:color w:val="auto"/>
          <w:highlight w:val="none"/>
        </w:rPr>
        <w:t>2.43</w:t>
      </w:r>
      <w:r>
        <w:rPr>
          <w:rFonts w:ascii="Times New Roman" w:hAnsi="Times New Roman" w:eastAsia="宋体" w:cs="Times New Roman"/>
          <w:color w:val="auto"/>
          <w:highlight w:val="none"/>
        </w:rPr>
        <w:t>kg/a，满足《饮食业油烟排放标准》（GB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18483-2001）排放浓度限值2.0mg/m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的要求。</w:t>
      </w:r>
    </w:p>
    <w:p>
      <w:pPr>
        <w:widowControl/>
        <w:adjustRightInd w:val="0"/>
        <w:snapToGrid w:val="0"/>
        <w:ind w:firstLine="480"/>
        <w:jc w:val="left"/>
        <w:textAlignment w:val="baseline"/>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②燃气废气</w:t>
      </w:r>
    </w:p>
    <w:p>
      <w:pPr>
        <w:widowControl/>
        <w:adjustRightInd w:val="0"/>
        <w:snapToGrid w:val="0"/>
        <w:ind w:firstLine="480"/>
        <w:textAlignment w:val="baseline"/>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职工厨房燃料使用</w:t>
      </w:r>
      <w:r>
        <w:rPr>
          <w:rFonts w:ascii="Times New Roman" w:hAnsi="Times New Roman" w:eastAsia="宋体" w:cs="Times New Roman"/>
          <w:color w:val="auto"/>
          <w:szCs w:val="20"/>
          <w:highlight w:val="none"/>
          <w:u w:val="single"/>
        </w:rPr>
        <w:t>液化石油气</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lang w:val="en-US" w:eastAsia="zh-CN"/>
        </w:rPr>
        <w:t>其</w:t>
      </w:r>
      <w:r>
        <w:rPr>
          <w:rFonts w:ascii="Times New Roman" w:hAnsi="Times New Roman" w:eastAsia="宋体" w:cs="Times New Roman"/>
          <w:color w:val="auto"/>
          <w:szCs w:val="20"/>
          <w:highlight w:val="none"/>
        </w:rPr>
        <w:t>燃烧产生主要污染物为SO</w:t>
      </w:r>
      <w:r>
        <w:rPr>
          <w:rFonts w:ascii="Times New Roman" w:hAnsi="Times New Roman" w:eastAsia="宋体" w:cs="Times New Roman"/>
          <w:color w:val="auto"/>
          <w:szCs w:val="20"/>
          <w:highlight w:val="none"/>
          <w:vertAlign w:val="subscript"/>
        </w:rPr>
        <w:t>2</w:t>
      </w:r>
      <w:r>
        <w:rPr>
          <w:rFonts w:ascii="Times New Roman" w:hAnsi="Times New Roman" w:eastAsia="宋体" w:cs="Times New Roman"/>
          <w:color w:val="auto"/>
          <w:szCs w:val="20"/>
          <w:highlight w:val="none"/>
        </w:rPr>
        <w:t>、NO</w:t>
      </w:r>
      <w:r>
        <w:rPr>
          <w:rFonts w:ascii="Times New Roman" w:hAnsi="Times New Roman" w:eastAsia="宋体" w:cs="Times New Roman"/>
          <w:color w:val="auto"/>
          <w:szCs w:val="20"/>
          <w:highlight w:val="none"/>
          <w:vertAlign w:val="subscript"/>
        </w:rPr>
        <w:t>x</w:t>
      </w:r>
      <w:r>
        <w:rPr>
          <w:rFonts w:ascii="Times New Roman" w:hAnsi="Times New Roman" w:eastAsia="宋体" w:cs="Times New Roman"/>
          <w:color w:val="auto"/>
          <w:szCs w:val="20"/>
          <w:highlight w:val="none"/>
        </w:rPr>
        <w:t>和TSP等。</w:t>
      </w:r>
      <w:r>
        <w:rPr>
          <w:rFonts w:hint="eastAsia" w:ascii="Times New Roman" w:hAnsi="Times New Roman" w:eastAsia="宋体" w:cs="Times New Roman"/>
          <w:color w:val="auto"/>
          <w:szCs w:val="24"/>
          <w:highlight w:val="none"/>
        </w:rPr>
        <w:t>整合项目</w:t>
      </w:r>
      <w:r>
        <w:rPr>
          <w:rFonts w:ascii="Times New Roman" w:hAnsi="Times New Roman" w:eastAsia="宋体" w:cs="Times New Roman"/>
          <w:color w:val="auto"/>
          <w:szCs w:val="24"/>
          <w:highlight w:val="none"/>
        </w:rPr>
        <w:t>劳动定员</w:t>
      </w:r>
      <w:r>
        <w:rPr>
          <w:rFonts w:hint="eastAsia" w:ascii="Times New Roman" w:hAnsi="Times New Roman" w:eastAsia="宋体" w:cs="Times New Roman"/>
          <w:color w:val="auto"/>
          <w:szCs w:val="24"/>
          <w:highlight w:val="none"/>
        </w:rPr>
        <w:t>45</w:t>
      </w:r>
      <w:r>
        <w:rPr>
          <w:rFonts w:ascii="Times New Roman" w:hAnsi="Times New Roman" w:eastAsia="宋体" w:cs="Times New Roman"/>
          <w:color w:val="auto"/>
          <w:szCs w:val="24"/>
          <w:highlight w:val="none"/>
        </w:rPr>
        <w:t>人</w:t>
      </w:r>
      <w:r>
        <w:rPr>
          <w:rFonts w:ascii="Times New Roman" w:hAnsi="Times New Roman" w:eastAsia="宋体" w:cs="Times New Roman"/>
          <w:color w:val="auto"/>
          <w:szCs w:val="20"/>
          <w:highlight w:val="none"/>
        </w:rPr>
        <w:t>，平均每人消耗</w:t>
      </w:r>
      <w:r>
        <w:rPr>
          <w:rFonts w:ascii="Times New Roman" w:hAnsi="Times New Roman" w:eastAsia="宋体" w:cs="Times New Roman"/>
          <w:color w:val="auto"/>
          <w:szCs w:val="20"/>
          <w:highlight w:val="none"/>
          <w:u w:val="single"/>
        </w:rPr>
        <w:t>液化石油气</w:t>
      </w:r>
      <w:r>
        <w:rPr>
          <w:rFonts w:ascii="Times New Roman" w:hAnsi="Times New Roman" w:eastAsia="宋体" w:cs="Times New Roman"/>
          <w:color w:val="auto"/>
          <w:szCs w:val="20"/>
          <w:highlight w:val="none"/>
        </w:rPr>
        <w:t>0.2Nm</w:t>
      </w:r>
      <w:r>
        <w:rPr>
          <w:rFonts w:ascii="Times New Roman" w:hAnsi="Times New Roman" w:eastAsia="宋体" w:cs="Times New Roman"/>
          <w:color w:val="auto"/>
          <w:szCs w:val="20"/>
          <w:highlight w:val="none"/>
          <w:vertAlign w:val="superscript"/>
        </w:rPr>
        <w:t>3</w:t>
      </w:r>
      <w:r>
        <w:rPr>
          <w:rFonts w:ascii="Times New Roman" w:hAnsi="Times New Roman" w:eastAsia="宋体" w:cs="Times New Roman"/>
          <w:color w:val="auto"/>
          <w:szCs w:val="20"/>
          <w:highlight w:val="none"/>
        </w:rPr>
        <w:t>/d，总消耗量为</w:t>
      </w:r>
      <w:r>
        <w:rPr>
          <w:rFonts w:hint="eastAsia" w:ascii="Times New Roman" w:hAnsi="Times New Roman" w:eastAsia="宋体" w:cs="Times New Roman"/>
          <w:color w:val="auto"/>
          <w:szCs w:val="20"/>
          <w:highlight w:val="none"/>
        </w:rPr>
        <w:t>9</w:t>
      </w:r>
      <w:r>
        <w:rPr>
          <w:rFonts w:ascii="Times New Roman" w:hAnsi="Times New Roman" w:eastAsia="宋体" w:cs="Times New Roman"/>
          <w:color w:val="auto"/>
          <w:szCs w:val="20"/>
          <w:highlight w:val="none"/>
        </w:rPr>
        <w:t>Nm</w:t>
      </w:r>
      <w:r>
        <w:rPr>
          <w:rFonts w:ascii="Times New Roman" w:hAnsi="Times New Roman" w:eastAsia="宋体" w:cs="Times New Roman"/>
          <w:color w:val="auto"/>
          <w:szCs w:val="20"/>
          <w:highlight w:val="none"/>
          <w:vertAlign w:val="superscript"/>
        </w:rPr>
        <w:t>3</w:t>
      </w:r>
      <w:r>
        <w:rPr>
          <w:rFonts w:ascii="Times New Roman" w:hAnsi="Times New Roman" w:eastAsia="宋体" w:cs="Times New Roman"/>
          <w:color w:val="auto"/>
          <w:szCs w:val="20"/>
          <w:highlight w:val="none"/>
        </w:rPr>
        <w:t>/d。根据《环境影响评价工程师职业资格登记培训系列教材-社会区域》推荐的污染物排放系数，计算厨房用</w:t>
      </w:r>
      <w:r>
        <w:rPr>
          <w:rFonts w:ascii="Times New Roman" w:hAnsi="Times New Roman" w:eastAsia="宋体" w:cs="Times New Roman"/>
          <w:color w:val="auto"/>
          <w:szCs w:val="20"/>
          <w:highlight w:val="none"/>
          <w:u w:val="single"/>
        </w:rPr>
        <w:t>液化石油气</w:t>
      </w:r>
      <w:r>
        <w:rPr>
          <w:rFonts w:ascii="Times New Roman" w:hAnsi="Times New Roman" w:eastAsia="宋体" w:cs="Times New Roman"/>
          <w:color w:val="auto"/>
          <w:szCs w:val="20"/>
          <w:highlight w:val="none"/>
        </w:rPr>
        <w:t>排放的各污染物量如表2.</w:t>
      </w:r>
      <w:r>
        <w:rPr>
          <w:rFonts w:hint="eastAsia" w:ascii="Times New Roman" w:hAnsi="Times New Roman" w:eastAsia="宋体" w:cs="Times New Roman"/>
          <w:color w:val="auto"/>
          <w:szCs w:val="20"/>
          <w:highlight w:val="none"/>
        </w:rPr>
        <w:t>5-1</w:t>
      </w:r>
      <w:r>
        <w:rPr>
          <w:rFonts w:hint="eastAsia" w:cs="Times New Roman"/>
          <w:color w:val="auto"/>
          <w:szCs w:val="20"/>
          <w:highlight w:val="none"/>
          <w:lang w:val="en-US" w:eastAsia="zh-CN"/>
        </w:rPr>
        <w:t>1</w:t>
      </w:r>
      <w:r>
        <w:rPr>
          <w:rFonts w:ascii="Times New Roman" w:hAnsi="Times New Roman" w:eastAsia="宋体" w:cs="Times New Roman"/>
          <w:color w:val="auto"/>
          <w:szCs w:val="20"/>
          <w:highlight w:val="none"/>
        </w:rPr>
        <w:t>所示。</w:t>
      </w:r>
    </w:p>
    <w:p>
      <w:pPr>
        <w:adjustRightInd w:val="0"/>
        <w:snapToGrid w:val="0"/>
        <w:spacing w:line="240" w:lineRule="auto"/>
        <w:ind w:firstLine="0" w:firstLineChars="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表2.</w:t>
      </w:r>
      <w:r>
        <w:rPr>
          <w:rFonts w:hint="eastAsia" w:ascii="Times New Roman" w:hAnsi="Times New Roman" w:eastAsia="宋体" w:cs="Times New Roman"/>
          <w:b/>
          <w:color w:val="auto"/>
          <w:szCs w:val="20"/>
          <w:highlight w:val="none"/>
        </w:rPr>
        <w:t>5-1</w:t>
      </w:r>
      <w:r>
        <w:rPr>
          <w:rFonts w:hint="eastAsia" w:cs="Times New Roman"/>
          <w:b/>
          <w:color w:val="auto"/>
          <w:szCs w:val="20"/>
          <w:highlight w:val="none"/>
          <w:lang w:val="en-US" w:eastAsia="zh-CN"/>
        </w:rPr>
        <w:t>1</w:t>
      </w:r>
      <w:r>
        <w:rPr>
          <w:rFonts w:ascii="Times New Roman" w:hAnsi="Times New Roman" w:eastAsia="宋体" w:cs="Times New Roman"/>
          <w:b/>
          <w:color w:val="auto"/>
          <w:szCs w:val="20"/>
          <w:highlight w:val="none"/>
        </w:rPr>
        <w:t xml:space="preserve"> 厨房用液化石油气主要污染物排放量</w:t>
      </w:r>
    </w:p>
    <w:tbl>
      <w:tblPr>
        <w:tblStyle w:val="48"/>
        <w:tblW w:w="9093"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4341"/>
        <w:gridCol w:w="1693"/>
        <w:gridCol w:w="1609"/>
        <w:gridCol w:w="1450"/>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434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项目</w:t>
            </w:r>
          </w:p>
        </w:tc>
        <w:tc>
          <w:tcPr>
            <w:tcW w:w="169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b/>
                <w:color w:val="auto"/>
                <w:highlight w:val="none"/>
              </w:rPr>
            </w:pPr>
            <w:r>
              <w:rPr>
                <w:rFonts w:ascii="Times New Roman" w:hAnsi="Times New Roman" w:eastAsia="宋体" w:cs="Times New Roman"/>
                <w:b/>
                <w:color w:val="auto"/>
                <w:sz w:val="21"/>
                <w:highlight w:val="none"/>
              </w:rPr>
              <w:t>颗粒物</w:t>
            </w:r>
          </w:p>
        </w:tc>
        <w:tc>
          <w:tcPr>
            <w:tcW w:w="160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SO</w:t>
            </w:r>
            <w:r>
              <w:rPr>
                <w:rFonts w:ascii="Times New Roman" w:hAnsi="Times New Roman" w:eastAsia="宋体" w:cs="Times New Roman"/>
                <w:b/>
                <w:color w:val="auto"/>
                <w:sz w:val="21"/>
                <w:highlight w:val="none"/>
                <w:vertAlign w:val="subscript"/>
              </w:rPr>
              <w:t>2</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NO</w:t>
            </w:r>
            <w:r>
              <w:rPr>
                <w:rFonts w:ascii="Times New Roman" w:hAnsi="Times New Roman" w:eastAsia="宋体" w:cs="Times New Roman"/>
                <w:b/>
                <w:color w:val="auto"/>
                <w:sz w:val="21"/>
                <w:highlight w:val="none"/>
                <w:vertAlign w:val="subscript"/>
              </w:rPr>
              <w:t>x</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434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排放系数：kg/1×10</w:t>
            </w:r>
            <w:r>
              <w:rPr>
                <w:rFonts w:ascii="Times New Roman" w:hAnsi="Times New Roman" w:eastAsia="宋体" w:cs="Times New Roman"/>
                <w:bCs/>
                <w:color w:val="auto"/>
                <w:sz w:val="21"/>
                <w:highlight w:val="none"/>
                <w:vertAlign w:val="superscript"/>
              </w:rPr>
              <w:t>3</w:t>
            </w:r>
            <w:r>
              <w:rPr>
                <w:rFonts w:ascii="Times New Roman" w:hAnsi="Times New Roman" w:eastAsia="宋体" w:cs="Times New Roman"/>
                <w:bCs/>
                <w:color w:val="auto"/>
                <w:sz w:val="21"/>
                <w:highlight w:val="none"/>
              </w:rPr>
              <w:t>Nm</w:t>
            </w:r>
            <w:r>
              <w:rPr>
                <w:rFonts w:ascii="Times New Roman" w:hAnsi="Times New Roman" w:eastAsia="宋体" w:cs="Times New Roman"/>
                <w:bCs/>
                <w:color w:val="auto"/>
                <w:sz w:val="21"/>
                <w:highlight w:val="none"/>
                <w:vertAlign w:val="superscript"/>
              </w:rPr>
              <w:t>3</w:t>
            </w:r>
            <w:r>
              <w:rPr>
                <w:rFonts w:ascii="Times New Roman" w:hAnsi="Times New Roman" w:eastAsia="宋体" w:cs="Times New Roman"/>
                <w:bCs/>
                <w:color w:val="auto"/>
                <w:sz w:val="21"/>
                <w:highlight w:val="none"/>
              </w:rPr>
              <w:t>燃料</w:t>
            </w:r>
          </w:p>
        </w:tc>
        <w:tc>
          <w:tcPr>
            <w:tcW w:w="169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0.14</w:t>
            </w:r>
          </w:p>
        </w:tc>
        <w:tc>
          <w:tcPr>
            <w:tcW w:w="160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0.18</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1.76</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434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日排放量：（kg/d）</w:t>
            </w:r>
          </w:p>
        </w:tc>
        <w:tc>
          <w:tcPr>
            <w:tcW w:w="169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0.00</w:t>
            </w:r>
            <w:r>
              <w:rPr>
                <w:rFonts w:hint="eastAsia" w:ascii="Times New Roman" w:hAnsi="Times New Roman" w:eastAsia="宋体" w:cs="Times New Roman"/>
                <w:color w:val="auto"/>
                <w:sz w:val="21"/>
                <w:highlight w:val="none"/>
              </w:rPr>
              <w:t>126</w:t>
            </w:r>
          </w:p>
        </w:tc>
        <w:tc>
          <w:tcPr>
            <w:tcW w:w="160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0.001</w:t>
            </w:r>
            <w:r>
              <w:rPr>
                <w:rFonts w:hint="eastAsia" w:ascii="Times New Roman" w:hAnsi="Times New Roman" w:eastAsia="宋体" w:cs="Times New Roman"/>
                <w:color w:val="auto"/>
                <w:sz w:val="21"/>
                <w:highlight w:val="none"/>
              </w:rPr>
              <w:t>62</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0.015</w:t>
            </w:r>
            <w:r>
              <w:rPr>
                <w:rFonts w:hint="eastAsia" w:ascii="Times New Roman" w:hAnsi="Times New Roman" w:eastAsia="宋体" w:cs="Times New Roman"/>
                <w:color w:val="auto"/>
                <w:sz w:val="21"/>
                <w:highlight w:val="none"/>
              </w:rPr>
              <w:t>84</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434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运营期总排放量：（kg/a）</w:t>
            </w:r>
          </w:p>
        </w:tc>
        <w:tc>
          <w:tcPr>
            <w:tcW w:w="169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378</w:t>
            </w:r>
          </w:p>
        </w:tc>
        <w:tc>
          <w:tcPr>
            <w:tcW w:w="160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486</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4.752</w:t>
            </w:r>
          </w:p>
        </w:tc>
      </w:tr>
    </w:tbl>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根据总平面布置图平台标高，项目各无组织排放面源高度以最低平台</w:t>
      </w:r>
      <w:r>
        <w:rPr>
          <w:rFonts w:hint="eastAsia" w:ascii="Times New Roman" w:hAnsi="Times New Roman" w:eastAsia="宋体" w:cs="Times New Roman"/>
          <w:color w:val="auto"/>
          <w:highlight w:val="none"/>
        </w:rPr>
        <w:t>标高</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22</w:t>
      </w:r>
      <w:r>
        <w:rPr>
          <w:rFonts w:ascii="Times New Roman" w:hAnsi="Times New Roman" w:eastAsia="宋体" w:cs="Times New Roman"/>
          <w:color w:val="auto"/>
          <w:highlight w:val="none"/>
        </w:rPr>
        <w:t>7m为基准平面，凿岩钻孔和爆破平台</w:t>
      </w:r>
      <w:r>
        <w:rPr>
          <w:rFonts w:hint="eastAsia" w:ascii="Times New Roman" w:hAnsi="Times New Roman" w:eastAsia="宋体" w:cs="Times New Roman"/>
          <w:color w:val="auto"/>
          <w:highlight w:val="none"/>
        </w:rPr>
        <w:t>高度</w:t>
      </w:r>
      <w:r>
        <w:rPr>
          <w:rFonts w:ascii="Times New Roman" w:hAnsi="Times New Roman" w:eastAsia="宋体" w:cs="Times New Roman"/>
          <w:color w:val="auto"/>
          <w:highlight w:val="none"/>
        </w:rPr>
        <w:t>为</w:t>
      </w:r>
      <w:r>
        <w:rPr>
          <w:rFonts w:hint="eastAsia" w:ascii="Times New Roman" w:hAnsi="Times New Roman" w:eastAsia="宋体" w:cs="Times New Roman"/>
          <w:color w:val="auto"/>
          <w:highlight w:val="none"/>
        </w:rPr>
        <w:t>30</w:t>
      </w:r>
      <w:r>
        <w:rPr>
          <w:rFonts w:ascii="Times New Roman" w:hAnsi="Times New Roman" w:eastAsia="宋体" w:cs="Times New Roman"/>
          <w:color w:val="auto"/>
          <w:highlight w:val="none"/>
        </w:rPr>
        <w:t>m，采装平台</w:t>
      </w:r>
      <w:r>
        <w:rPr>
          <w:rFonts w:hint="eastAsia" w:ascii="Times New Roman" w:hAnsi="Times New Roman" w:eastAsia="宋体" w:cs="Times New Roman"/>
          <w:color w:val="auto"/>
          <w:highlight w:val="none"/>
        </w:rPr>
        <w:t>高度</w:t>
      </w:r>
      <w:r>
        <w:rPr>
          <w:rFonts w:ascii="Times New Roman" w:hAnsi="Times New Roman" w:eastAsia="宋体" w:cs="Times New Roman"/>
          <w:color w:val="auto"/>
          <w:highlight w:val="none"/>
        </w:rPr>
        <w:t>为</w:t>
      </w:r>
      <w:r>
        <w:rPr>
          <w:rFonts w:hint="eastAsia" w:ascii="Times New Roman" w:hAnsi="Times New Roman" w:eastAsia="宋体" w:cs="Times New Roman"/>
          <w:color w:val="auto"/>
          <w:highlight w:val="none"/>
        </w:rPr>
        <w:t>2</w:t>
      </w:r>
      <w:r>
        <w:rPr>
          <w:rFonts w:ascii="Times New Roman" w:hAnsi="Times New Roman" w:eastAsia="宋体" w:cs="Times New Roman"/>
          <w:color w:val="auto"/>
          <w:highlight w:val="none"/>
        </w:rPr>
        <w:t>0m，堆料场堆料高度约为10m，项目无组织排放情况汇总见下表2.</w:t>
      </w:r>
      <w:r>
        <w:rPr>
          <w:rFonts w:hint="eastAsia" w:ascii="Times New Roman" w:hAnsi="Times New Roman" w:eastAsia="宋体" w:cs="Times New Roman"/>
          <w:color w:val="auto"/>
          <w:highlight w:val="none"/>
        </w:rPr>
        <w:t>5-1</w:t>
      </w:r>
      <w:r>
        <w:rPr>
          <w:rFonts w:hint="eastAsia" w:cs="Times New Roman"/>
          <w:color w:val="auto"/>
          <w:highlight w:val="none"/>
          <w:lang w:val="en-US" w:eastAsia="zh-CN"/>
        </w:rPr>
        <w:t>2</w:t>
      </w:r>
      <w:r>
        <w:rPr>
          <w:rFonts w:ascii="Times New Roman" w:hAnsi="Times New Roman" w:eastAsia="宋体" w:cs="Times New Roman"/>
          <w:color w:val="auto"/>
          <w:highlight w:val="none"/>
        </w:rPr>
        <w:t>。</w:t>
      </w:r>
    </w:p>
    <w:p>
      <w:pPr>
        <w:widowControl/>
        <w:spacing w:line="240" w:lineRule="auto"/>
        <w:ind w:left="480" w:leftChars="200" w:firstLine="0" w:firstLineChars="0"/>
        <w:jc w:val="center"/>
        <w:rPr>
          <w:rFonts w:ascii="Times New Roman" w:hAnsi="Times New Roman" w:eastAsia="宋体" w:cs="Times New Roman"/>
          <w:color w:val="auto"/>
          <w:szCs w:val="24"/>
          <w:highlight w:val="none"/>
        </w:rPr>
      </w:pPr>
      <w:r>
        <w:rPr>
          <w:rFonts w:ascii="Times New Roman" w:hAnsi="Times New Roman" w:eastAsia="宋体" w:cs="Times New Roman"/>
          <w:b/>
          <w:color w:val="auto"/>
          <w:szCs w:val="20"/>
          <w:highlight w:val="none"/>
        </w:rPr>
        <w:t>表2.</w:t>
      </w:r>
      <w:r>
        <w:rPr>
          <w:rFonts w:hint="eastAsia" w:ascii="Times New Roman" w:hAnsi="Times New Roman" w:eastAsia="宋体" w:cs="Times New Roman"/>
          <w:b/>
          <w:color w:val="auto"/>
          <w:szCs w:val="20"/>
          <w:highlight w:val="none"/>
        </w:rPr>
        <w:t>5-1</w:t>
      </w:r>
      <w:r>
        <w:rPr>
          <w:rFonts w:hint="eastAsia" w:cs="Times New Roman"/>
          <w:b/>
          <w:color w:val="auto"/>
          <w:szCs w:val="20"/>
          <w:highlight w:val="none"/>
          <w:lang w:val="en-US" w:eastAsia="zh-CN"/>
        </w:rPr>
        <w:t>2</w:t>
      </w:r>
      <w:r>
        <w:rPr>
          <w:rFonts w:hint="eastAsia" w:ascii="Times New Roman" w:hAnsi="Times New Roman" w:eastAsia="宋体" w:cs="Times New Roman"/>
          <w:b/>
          <w:color w:val="auto"/>
          <w:szCs w:val="20"/>
          <w:highlight w:val="none"/>
        </w:rPr>
        <w:t xml:space="preserve"> </w:t>
      </w:r>
      <w:r>
        <w:rPr>
          <w:rFonts w:ascii="Times New Roman" w:hAnsi="Times New Roman" w:eastAsia="宋体" w:cs="Times New Roman"/>
          <w:b/>
          <w:color w:val="auto"/>
          <w:szCs w:val="20"/>
          <w:highlight w:val="none"/>
        </w:rPr>
        <w:t>拟建项目无组织排放废气产生排放汇总一览表</w:t>
      </w:r>
    </w:p>
    <w:tbl>
      <w:tblPr>
        <w:tblStyle w:val="48"/>
        <w:tblW w:w="9165"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2251"/>
        <w:gridCol w:w="885"/>
        <w:gridCol w:w="1095"/>
        <w:gridCol w:w="1080"/>
        <w:gridCol w:w="1620"/>
        <w:gridCol w:w="1460"/>
        <w:gridCol w:w="774"/>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vMerge w:val="restart"/>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污染源</w:t>
            </w:r>
          </w:p>
        </w:tc>
        <w:tc>
          <w:tcPr>
            <w:tcW w:w="885" w:type="dxa"/>
            <w:vMerge w:val="restart"/>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污染物</w:t>
            </w:r>
          </w:p>
        </w:tc>
        <w:tc>
          <w:tcPr>
            <w:tcW w:w="1095" w:type="dxa"/>
            <w:vMerge w:val="restart"/>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产生量（t/a）</w:t>
            </w:r>
          </w:p>
        </w:tc>
        <w:tc>
          <w:tcPr>
            <w:tcW w:w="1080" w:type="dxa"/>
            <w:vMerge w:val="restart"/>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消减量</w:t>
            </w:r>
            <w:r>
              <w:rPr>
                <w:rFonts w:ascii="Times New Roman" w:hAnsi="Times New Roman" w:eastAsia="宋体" w:cs="Times New Roman"/>
                <w:b/>
                <w:color w:val="auto"/>
                <w:sz w:val="21"/>
                <w:highlight w:val="none"/>
              </w:rPr>
              <w:t>（t/a）</w:t>
            </w:r>
          </w:p>
        </w:tc>
        <w:tc>
          <w:tcPr>
            <w:tcW w:w="1620" w:type="dxa"/>
            <w:vMerge w:val="restart"/>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排放量（t/a）</w:t>
            </w:r>
          </w:p>
        </w:tc>
        <w:tc>
          <w:tcPr>
            <w:tcW w:w="2234" w:type="dxa"/>
            <w:gridSpan w:val="2"/>
            <w:noWrap w:val="0"/>
            <w:vAlign w:val="center"/>
          </w:tcPr>
          <w:p>
            <w:pPr>
              <w:spacing w:line="240" w:lineRule="auto"/>
              <w:ind w:firstLine="0" w:firstLineChars="0"/>
              <w:jc w:val="center"/>
              <w:rPr>
                <w:rFonts w:ascii="Times New Roman" w:hAnsi="Times New Roman" w:eastAsia="宋体" w:cs="Times New Roman"/>
                <w:b/>
                <w:color w:val="auto"/>
                <w:spacing w:val="-10"/>
                <w:sz w:val="21"/>
                <w:highlight w:val="none"/>
              </w:rPr>
            </w:pPr>
            <w:r>
              <w:rPr>
                <w:rFonts w:ascii="Times New Roman" w:hAnsi="Times New Roman" w:eastAsia="宋体" w:cs="Times New Roman"/>
                <w:b/>
                <w:color w:val="auto"/>
                <w:spacing w:val="-10"/>
                <w:sz w:val="21"/>
                <w:highlight w:val="none"/>
              </w:rPr>
              <w:t>释放面源参数</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vMerge w:val="continue"/>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p>
        </w:tc>
        <w:tc>
          <w:tcPr>
            <w:tcW w:w="885" w:type="dxa"/>
            <w:vMerge w:val="continue"/>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p>
        </w:tc>
        <w:tc>
          <w:tcPr>
            <w:tcW w:w="1095" w:type="dxa"/>
            <w:vMerge w:val="continue"/>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p>
        </w:tc>
        <w:tc>
          <w:tcPr>
            <w:tcW w:w="1080" w:type="dxa"/>
            <w:vMerge w:val="continue"/>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p>
        </w:tc>
        <w:tc>
          <w:tcPr>
            <w:tcW w:w="1620" w:type="dxa"/>
            <w:vMerge w:val="continue"/>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p>
        </w:tc>
        <w:tc>
          <w:tcPr>
            <w:tcW w:w="1460" w:type="dxa"/>
            <w:noWrap w:val="0"/>
            <w:vAlign w:val="center"/>
          </w:tcPr>
          <w:p>
            <w:pPr>
              <w:spacing w:line="240" w:lineRule="auto"/>
              <w:ind w:firstLine="0" w:firstLineChars="0"/>
              <w:jc w:val="center"/>
              <w:rPr>
                <w:rFonts w:ascii="Times New Roman" w:hAnsi="Times New Roman" w:eastAsia="宋体" w:cs="Times New Roman"/>
                <w:b/>
                <w:color w:val="auto"/>
                <w:spacing w:val="-10"/>
                <w:sz w:val="21"/>
                <w:highlight w:val="none"/>
              </w:rPr>
            </w:pPr>
            <w:r>
              <w:rPr>
                <w:rFonts w:ascii="Times New Roman" w:hAnsi="Times New Roman" w:eastAsia="宋体" w:cs="Times New Roman"/>
                <w:b/>
                <w:color w:val="auto"/>
                <w:spacing w:val="-10"/>
                <w:sz w:val="21"/>
                <w:highlight w:val="none"/>
              </w:rPr>
              <w:t>长（m）×宽（m）或半径（m）</w:t>
            </w:r>
          </w:p>
        </w:tc>
        <w:tc>
          <w:tcPr>
            <w:tcW w:w="774" w:type="dxa"/>
            <w:noWrap w:val="0"/>
            <w:vAlign w:val="center"/>
          </w:tcPr>
          <w:p>
            <w:pPr>
              <w:spacing w:line="240" w:lineRule="auto"/>
              <w:ind w:firstLine="0" w:firstLineChars="0"/>
              <w:jc w:val="center"/>
              <w:rPr>
                <w:rFonts w:ascii="Times New Roman" w:hAnsi="Times New Roman" w:eastAsia="宋体" w:cs="Times New Roman"/>
                <w:b/>
                <w:color w:val="auto"/>
                <w:spacing w:val="-10"/>
                <w:sz w:val="21"/>
                <w:highlight w:val="none"/>
              </w:rPr>
            </w:pPr>
            <w:r>
              <w:rPr>
                <w:rFonts w:ascii="Times New Roman" w:hAnsi="Times New Roman" w:eastAsia="宋体" w:cs="Times New Roman"/>
                <w:b/>
                <w:color w:val="auto"/>
                <w:spacing w:val="-10"/>
                <w:sz w:val="21"/>
                <w:highlight w:val="none"/>
              </w:rPr>
              <w:t>高（m）</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表土剥离</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少量</w:t>
            </w:r>
          </w:p>
        </w:tc>
        <w:tc>
          <w:tcPr>
            <w:tcW w:w="108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少量</w:t>
            </w:r>
          </w:p>
        </w:tc>
        <w:tc>
          <w:tcPr>
            <w:tcW w:w="16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少量</w:t>
            </w:r>
          </w:p>
        </w:tc>
        <w:tc>
          <w:tcPr>
            <w:tcW w:w="14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77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凿岩钻孔</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r>
              <w:rPr>
                <w:rFonts w:ascii="Times New Roman" w:hAnsi="Times New Roman" w:eastAsia="宋体" w:cs="Times New Roman"/>
                <w:color w:val="auto"/>
                <w:sz w:val="21"/>
                <w:highlight w:val="none"/>
              </w:rPr>
              <w:t>.0</w:t>
            </w:r>
          </w:p>
        </w:tc>
        <w:tc>
          <w:tcPr>
            <w:tcW w:w="1080"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w:t>
            </w:r>
          </w:p>
        </w:tc>
        <w:tc>
          <w:tcPr>
            <w:tcW w:w="162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2</w:t>
            </w:r>
          </w:p>
        </w:tc>
        <w:tc>
          <w:tcPr>
            <w:tcW w:w="14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30</w:t>
            </w: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2</w:t>
            </w:r>
            <w:r>
              <w:rPr>
                <w:rFonts w:ascii="Times New Roman" w:hAnsi="Times New Roman" w:eastAsia="宋体" w:cs="Times New Roman"/>
                <w:color w:val="auto"/>
                <w:sz w:val="21"/>
                <w:highlight w:val="none"/>
              </w:rPr>
              <w:t>00</w:t>
            </w:r>
          </w:p>
        </w:tc>
        <w:tc>
          <w:tcPr>
            <w:tcW w:w="77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r>
              <w:rPr>
                <w:rFonts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爆破</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w:t>
            </w:r>
          </w:p>
        </w:tc>
        <w:tc>
          <w:tcPr>
            <w:tcW w:w="10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5.117</w:t>
            </w:r>
          </w:p>
        </w:tc>
        <w:tc>
          <w:tcPr>
            <w:tcW w:w="1080" w:type="dxa"/>
            <w:noWrap w:val="0"/>
            <w:vAlign w:val="bottom"/>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6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5.117</w:t>
            </w:r>
          </w:p>
        </w:tc>
        <w:tc>
          <w:tcPr>
            <w:tcW w:w="146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w:t>
            </w: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2</w:t>
            </w:r>
            <w:r>
              <w:rPr>
                <w:rFonts w:ascii="Times New Roman" w:hAnsi="Times New Roman" w:eastAsia="宋体" w:cs="Times New Roman"/>
                <w:color w:val="auto"/>
                <w:sz w:val="21"/>
                <w:highlight w:val="none"/>
              </w:rPr>
              <w:t>0</w:t>
            </w:r>
          </w:p>
        </w:tc>
        <w:tc>
          <w:tcPr>
            <w:tcW w:w="774"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0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bCs/>
                <w:color w:val="auto"/>
                <w:sz w:val="21"/>
                <w:highlight w:val="none"/>
              </w:rPr>
              <w:t>1.325</w:t>
            </w:r>
          </w:p>
        </w:tc>
        <w:tc>
          <w:tcPr>
            <w:tcW w:w="1080" w:type="dxa"/>
            <w:noWrap w:val="0"/>
            <w:vAlign w:val="bottom"/>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6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bCs/>
                <w:color w:val="auto"/>
                <w:sz w:val="21"/>
                <w:highlight w:val="none"/>
              </w:rPr>
              <w:t>1.325</w:t>
            </w:r>
          </w:p>
        </w:tc>
        <w:tc>
          <w:tcPr>
            <w:tcW w:w="146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774"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40</w:t>
            </w:r>
          </w:p>
        </w:tc>
        <w:tc>
          <w:tcPr>
            <w:tcW w:w="1080" w:type="dxa"/>
            <w:noWrap w:val="0"/>
            <w:vAlign w:val="bottom"/>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28</w:t>
            </w:r>
          </w:p>
        </w:tc>
        <w:tc>
          <w:tcPr>
            <w:tcW w:w="16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12</w:t>
            </w:r>
          </w:p>
        </w:tc>
        <w:tc>
          <w:tcPr>
            <w:tcW w:w="146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774"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采装</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5</w:t>
            </w:r>
          </w:p>
        </w:tc>
        <w:tc>
          <w:tcPr>
            <w:tcW w:w="1080" w:type="dxa"/>
            <w:noWrap w:val="0"/>
            <w:vAlign w:val="bottom"/>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3.5</w:t>
            </w:r>
          </w:p>
        </w:tc>
        <w:tc>
          <w:tcPr>
            <w:tcW w:w="162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1.5</w:t>
            </w:r>
          </w:p>
        </w:tc>
        <w:tc>
          <w:tcPr>
            <w:tcW w:w="14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30</w:t>
            </w:r>
            <w:r>
              <w:rPr>
                <w:rFonts w:ascii="Times New Roman" w:hAnsi="Times New Roman" w:eastAsia="宋体" w:cs="Times New Roman"/>
                <w:color w:val="auto"/>
                <w:sz w:val="21"/>
                <w:highlight w:val="none"/>
              </w:rPr>
              <w:t>0×200</w:t>
            </w:r>
          </w:p>
        </w:tc>
        <w:tc>
          <w:tcPr>
            <w:tcW w:w="77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①</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1.875</w:t>
            </w:r>
          </w:p>
        </w:tc>
        <w:tc>
          <w:tcPr>
            <w:tcW w:w="1080"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1.687</w:t>
            </w:r>
          </w:p>
        </w:tc>
        <w:tc>
          <w:tcPr>
            <w:tcW w:w="162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0.188</w:t>
            </w:r>
          </w:p>
        </w:tc>
        <w:tc>
          <w:tcPr>
            <w:tcW w:w="14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10</w:t>
            </w:r>
          </w:p>
        </w:tc>
        <w:tc>
          <w:tcPr>
            <w:tcW w:w="77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w:t>
            </w:r>
            <w:r>
              <w:rPr>
                <w:rFonts w:hint="eastAsia" w:ascii="Times New Roman" w:hAnsi="Times New Roman" w:eastAsia="宋体"/>
                <w:color w:val="auto"/>
                <w:sz w:val="21"/>
                <w:highlight w:val="none"/>
              </w:rPr>
              <w:t>①</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3.75</w:t>
            </w:r>
          </w:p>
        </w:tc>
        <w:tc>
          <w:tcPr>
            <w:tcW w:w="1080"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3.375</w:t>
            </w:r>
          </w:p>
        </w:tc>
        <w:tc>
          <w:tcPr>
            <w:tcW w:w="162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0.375</w:t>
            </w:r>
          </w:p>
        </w:tc>
        <w:tc>
          <w:tcPr>
            <w:tcW w:w="14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10</w:t>
            </w:r>
          </w:p>
        </w:tc>
        <w:tc>
          <w:tcPr>
            <w:tcW w:w="77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①</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7.5</w:t>
            </w:r>
          </w:p>
        </w:tc>
        <w:tc>
          <w:tcPr>
            <w:tcW w:w="1080" w:type="dxa"/>
            <w:noWrap w:val="0"/>
            <w:vAlign w:val="bottom"/>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6.75</w:t>
            </w:r>
          </w:p>
        </w:tc>
        <w:tc>
          <w:tcPr>
            <w:tcW w:w="162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0.75</w:t>
            </w:r>
          </w:p>
        </w:tc>
        <w:tc>
          <w:tcPr>
            <w:tcW w:w="14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10</w:t>
            </w:r>
          </w:p>
        </w:tc>
        <w:tc>
          <w:tcPr>
            <w:tcW w:w="77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②</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1.875</w:t>
            </w:r>
          </w:p>
        </w:tc>
        <w:tc>
          <w:tcPr>
            <w:tcW w:w="1080" w:type="dxa"/>
            <w:noWrap w:val="0"/>
            <w:vAlign w:val="bottom"/>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1.687</w:t>
            </w:r>
          </w:p>
        </w:tc>
        <w:tc>
          <w:tcPr>
            <w:tcW w:w="1620"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0.188</w:t>
            </w:r>
          </w:p>
        </w:tc>
        <w:tc>
          <w:tcPr>
            <w:tcW w:w="146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10</w:t>
            </w:r>
          </w:p>
        </w:tc>
        <w:tc>
          <w:tcPr>
            <w:tcW w:w="774"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二级破碎筛分</w:t>
            </w:r>
            <w:r>
              <w:rPr>
                <w:rFonts w:hint="eastAsia" w:ascii="Times New Roman" w:hAnsi="Times New Roman" w:eastAsia="宋体"/>
                <w:color w:val="auto"/>
                <w:sz w:val="21"/>
                <w:highlight w:val="none"/>
              </w:rPr>
              <w:t>②</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3.75</w:t>
            </w:r>
          </w:p>
        </w:tc>
        <w:tc>
          <w:tcPr>
            <w:tcW w:w="1080" w:type="dxa"/>
            <w:noWrap w:val="0"/>
            <w:vAlign w:val="bottom"/>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3.375</w:t>
            </w:r>
          </w:p>
        </w:tc>
        <w:tc>
          <w:tcPr>
            <w:tcW w:w="1620"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0.375</w:t>
            </w:r>
          </w:p>
        </w:tc>
        <w:tc>
          <w:tcPr>
            <w:tcW w:w="146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10</w:t>
            </w:r>
          </w:p>
        </w:tc>
        <w:tc>
          <w:tcPr>
            <w:tcW w:w="774"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②</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0.75</w:t>
            </w:r>
          </w:p>
        </w:tc>
        <w:tc>
          <w:tcPr>
            <w:tcW w:w="1080" w:type="dxa"/>
            <w:noWrap w:val="0"/>
            <w:vAlign w:val="bottom"/>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0.675</w:t>
            </w:r>
          </w:p>
        </w:tc>
        <w:tc>
          <w:tcPr>
            <w:tcW w:w="1620"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0.075</w:t>
            </w:r>
          </w:p>
        </w:tc>
        <w:tc>
          <w:tcPr>
            <w:tcW w:w="146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10</w:t>
            </w:r>
          </w:p>
        </w:tc>
        <w:tc>
          <w:tcPr>
            <w:tcW w:w="774"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落料</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35</w:t>
            </w:r>
          </w:p>
        </w:tc>
        <w:tc>
          <w:tcPr>
            <w:tcW w:w="1080" w:type="dxa"/>
            <w:noWrap w:val="0"/>
            <w:vAlign w:val="bottom"/>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0.262</w:t>
            </w:r>
          </w:p>
        </w:tc>
        <w:tc>
          <w:tcPr>
            <w:tcW w:w="16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088</w:t>
            </w:r>
          </w:p>
        </w:tc>
        <w:tc>
          <w:tcPr>
            <w:tcW w:w="146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30</w:t>
            </w:r>
            <w:r>
              <w:rPr>
                <w:rFonts w:ascii="Times New Roman" w:hAnsi="Times New Roman" w:eastAsia="宋体" w:cs="Times New Roman"/>
                <w:color w:val="auto"/>
                <w:sz w:val="21"/>
                <w:highlight w:val="none"/>
              </w:rPr>
              <w:t>0×200</w:t>
            </w:r>
          </w:p>
        </w:tc>
        <w:tc>
          <w:tcPr>
            <w:tcW w:w="774"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装卸</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279</w:t>
            </w:r>
          </w:p>
        </w:tc>
        <w:tc>
          <w:tcPr>
            <w:tcW w:w="1080" w:type="dxa"/>
            <w:noWrap w:val="0"/>
            <w:vAlign w:val="bottom"/>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0.195</w:t>
            </w:r>
          </w:p>
        </w:tc>
        <w:tc>
          <w:tcPr>
            <w:tcW w:w="16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084</w:t>
            </w:r>
          </w:p>
        </w:tc>
        <w:tc>
          <w:tcPr>
            <w:tcW w:w="14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30</w:t>
            </w:r>
            <w:r>
              <w:rPr>
                <w:rFonts w:ascii="Times New Roman" w:hAnsi="Times New Roman" w:eastAsia="宋体" w:cs="Times New Roman"/>
                <w:color w:val="auto"/>
                <w:sz w:val="21"/>
                <w:highlight w:val="none"/>
              </w:rPr>
              <w:t>0×200</w:t>
            </w:r>
          </w:p>
        </w:tc>
        <w:tc>
          <w:tcPr>
            <w:tcW w:w="774"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堆料场①</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0.2</w:t>
            </w:r>
          </w:p>
        </w:tc>
        <w:tc>
          <w:tcPr>
            <w:tcW w:w="1080"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w:t>
            </w:r>
          </w:p>
        </w:tc>
        <w:tc>
          <w:tcPr>
            <w:tcW w:w="1620"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w:t>
            </w:r>
          </w:p>
        </w:tc>
        <w:tc>
          <w:tcPr>
            <w:tcW w:w="14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25.24</w:t>
            </w:r>
          </w:p>
        </w:tc>
        <w:tc>
          <w:tcPr>
            <w:tcW w:w="77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堆料场②</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15</w:t>
            </w:r>
          </w:p>
        </w:tc>
        <w:tc>
          <w:tcPr>
            <w:tcW w:w="1080"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0.075</w:t>
            </w:r>
          </w:p>
        </w:tc>
        <w:tc>
          <w:tcPr>
            <w:tcW w:w="1620"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0.075</w:t>
            </w:r>
          </w:p>
        </w:tc>
        <w:tc>
          <w:tcPr>
            <w:tcW w:w="14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21.86</w:t>
            </w:r>
          </w:p>
        </w:tc>
        <w:tc>
          <w:tcPr>
            <w:tcW w:w="77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s="Times New Roman"/>
                <w:color w:val="auto"/>
                <w:sz w:val="21"/>
                <w:highlight w:val="none"/>
              </w:rPr>
              <w:t>③</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0.15</w:t>
            </w:r>
          </w:p>
        </w:tc>
        <w:tc>
          <w:tcPr>
            <w:tcW w:w="1080"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0.075</w:t>
            </w:r>
          </w:p>
        </w:tc>
        <w:tc>
          <w:tcPr>
            <w:tcW w:w="1620" w:type="dxa"/>
            <w:noWrap w:val="0"/>
            <w:vAlign w:val="bottom"/>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0.075</w:t>
            </w:r>
          </w:p>
        </w:tc>
        <w:tc>
          <w:tcPr>
            <w:tcW w:w="14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21.86</w:t>
            </w:r>
          </w:p>
        </w:tc>
        <w:tc>
          <w:tcPr>
            <w:tcW w:w="77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④</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w:t>
            </w:r>
          </w:p>
        </w:tc>
        <w:tc>
          <w:tcPr>
            <w:tcW w:w="1080"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0.05</w:t>
            </w:r>
          </w:p>
        </w:tc>
        <w:tc>
          <w:tcPr>
            <w:tcW w:w="1620" w:type="dxa"/>
            <w:noWrap w:val="0"/>
            <w:vAlign w:val="bottom"/>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0.05</w:t>
            </w:r>
          </w:p>
        </w:tc>
        <w:tc>
          <w:tcPr>
            <w:tcW w:w="14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17.85</w:t>
            </w:r>
          </w:p>
        </w:tc>
        <w:tc>
          <w:tcPr>
            <w:tcW w:w="77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⑤</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0.2</w:t>
            </w:r>
          </w:p>
        </w:tc>
        <w:tc>
          <w:tcPr>
            <w:tcW w:w="1080"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w:t>
            </w:r>
          </w:p>
        </w:tc>
        <w:tc>
          <w:tcPr>
            <w:tcW w:w="1620" w:type="dxa"/>
            <w:noWrap w:val="0"/>
            <w:vAlign w:val="bottom"/>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0.1</w:t>
            </w:r>
          </w:p>
        </w:tc>
        <w:tc>
          <w:tcPr>
            <w:tcW w:w="14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25.24</w:t>
            </w:r>
          </w:p>
        </w:tc>
        <w:tc>
          <w:tcPr>
            <w:tcW w:w="77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⑥</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15</w:t>
            </w:r>
          </w:p>
        </w:tc>
        <w:tc>
          <w:tcPr>
            <w:tcW w:w="1080" w:type="dxa"/>
            <w:noWrap w:val="0"/>
            <w:vAlign w:val="bottom"/>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0.075</w:t>
            </w:r>
          </w:p>
        </w:tc>
        <w:tc>
          <w:tcPr>
            <w:tcW w:w="1620" w:type="dxa"/>
            <w:noWrap w:val="0"/>
            <w:vAlign w:val="bottom"/>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0.075</w:t>
            </w:r>
          </w:p>
        </w:tc>
        <w:tc>
          <w:tcPr>
            <w:tcW w:w="14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21.86</w:t>
            </w:r>
          </w:p>
        </w:tc>
        <w:tc>
          <w:tcPr>
            <w:tcW w:w="77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⑦</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0.15</w:t>
            </w:r>
          </w:p>
        </w:tc>
        <w:tc>
          <w:tcPr>
            <w:tcW w:w="1080" w:type="dxa"/>
            <w:noWrap w:val="0"/>
            <w:vAlign w:val="bottom"/>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0.075</w:t>
            </w:r>
          </w:p>
        </w:tc>
        <w:tc>
          <w:tcPr>
            <w:tcW w:w="1620" w:type="dxa"/>
            <w:noWrap w:val="0"/>
            <w:vAlign w:val="bottom"/>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0.075</w:t>
            </w:r>
          </w:p>
        </w:tc>
        <w:tc>
          <w:tcPr>
            <w:tcW w:w="14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21.86</w:t>
            </w:r>
          </w:p>
        </w:tc>
        <w:tc>
          <w:tcPr>
            <w:tcW w:w="77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⑧</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w:t>
            </w:r>
          </w:p>
        </w:tc>
        <w:tc>
          <w:tcPr>
            <w:tcW w:w="1080" w:type="dxa"/>
            <w:noWrap w:val="0"/>
            <w:vAlign w:val="bottom"/>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0.05</w:t>
            </w:r>
          </w:p>
        </w:tc>
        <w:tc>
          <w:tcPr>
            <w:tcW w:w="1620" w:type="dxa"/>
            <w:noWrap w:val="0"/>
            <w:vAlign w:val="bottom"/>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0.05</w:t>
            </w:r>
          </w:p>
        </w:tc>
        <w:tc>
          <w:tcPr>
            <w:tcW w:w="14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17.85</w:t>
            </w:r>
          </w:p>
        </w:tc>
        <w:tc>
          <w:tcPr>
            <w:tcW w:w="77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临时排土场</w:t>
            </w:r>
            <w:r>
              <w:rPr>
                <w:rFonts w:hint="eastAsia" w:ascii="Times New Roman" w:hAnsi="Times New Roman" w:eastAsia="宋体"/>
                <w:color w:val="auto"/>
                <w:sz w:val="21"/>
                <w:highlight w:val="none"/>
              </w:rPr>
              <w:t>①</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2</w:t>
            </w:r>
          </w:p>
        </w:tc>
        <w:tc>
          <w:tcPr>
            <w:tcW w:w="1080"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w:t>
            </w:r>
          </w:p>
        </w:tc>
        <w:tc>
          <w:tcPr>
            <w:tcW w:w="1620"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w:t>
            </w:r>
          </w:p>
        </w:tc>
        <w:tc>
          <w:tcPr>
            <w:tcW w:w="14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4</w:t>
            </w:r>
            <w:r>
              <w:rPr>
                <w:rFonts w:ascii="Times New Roman" w:hAnsi="Times New Roman" w:eastAsia="宋体" w:cs="Times New Roman"/>
                <w:color w:val="auto"/>
                <w:sz w:val="21"/>
                <w:highlight w:val="none"/>
              </w:rPr>
              <w:t>0</w:t>
            </w:r>
          </w:p>
        </w:tc>
        <w:tc>
          <w:tcPr>
            <w:tcW w:w="774"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临时排土场</w:t>
            </w:r>
            <w:r>
              <w:rPr>
                <w:rFonts w:hint="eastAsia" w:ascii="Times New Roman" w:hAnsi="Times New Roman" w:eastAsia="宋体"/>
                <w:color w:val="auto"/>
                <w:sz w:val="21"/>
                <w:highlight w:val="none"/>
              </w:rPr>
              <w:t>②</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0.2</w:t>
            </w:r>
          </w:p>
        </w:tc>
        <w:tc>
          <w:tcPr>
            <w:tcW w:w="1080"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w:t>
            </w:r>
          </w:p>
        </w:tc>
        <w:tc>
          <w:tcPr>
            <w:tcW w:w="1620" w:type="dxa"/>
            <w:noWrap w:val="0"/>
            <w:vAlign w:val="bottom"/>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0.1</w:t>
            </w:r>
          </w:p>
        </w:tc>
        <w:tc>
          <w:tcPr>
            <w:tcW w:w="146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4</w:t>
            </w:r>
            <w:r>
              <w:rPr>
                <w:rFonts w:ascii="Times New Roman" w:hAnsi="Times New Roman" w:eastAsia="宋体" w:cs="Times New Roman"/>
                <w:color w:val="auto"/>
                <w:sz w:val="21"/>
                <w:highlight w:val="none"/>
              </w:rPr>
              <w:t>0</w:t>
            </w:r>
          </w:p>
        </w:tc>
        <w:tc>
          <w:tcPr>
            <w:tcW w:w="774"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道路扬尘</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1.</w:t>
            </w:r>
            <w:r>
              <w:rPr>
                <w:rFonts w:hint="eastAsia" w:ascii="Times New Roman" w:hAnsi="Times New Roman" w:eastAsia="宋体" w:cs="Times New Roman"/>
                <w:color w:val="auto"/>
                <w:kern w:val="0"/>
                <w:sz w:val="21"/>
                <w:highlight w:val="none"/>
              </w:rPr>
              <w:t>468</w:t>
            </w:r>
          </w:p>
        </w:tc>
        <w:tc>
          <w:tcPr>
            <w:tcW w:w="1080" w:type="dxa"/>
            <w:noWrap w:val="0"/>
            <w:vAlign w:val="bottom"/>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0.881</w:t>
            </w:r>
          </w:p>
        </w:tc>
        <w:tc>
          <w:tcPr>
            <w:tcW w:w="16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0.587</w:t>
            </w:r>
          </w:p>
        </w:tc>
        <w:tc>
          <w:tcPr>
            <w:tcW w:w="14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77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汽车尾气</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pacing w:val="2"/>
                <w:sz w:val="21"/>
                <w:highlight w:val="none"/>
              </w:rPr>
              <w:t>CO</w:t>
            </w:r>
          </w:p>
        </w:tc>
        <w:tc>
          <w:tcPr>
            <w:tcW w:w="10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643</w:t>
            </w:r>
          </w:p>
        </w:tc>
        <w:tc>
          <w:tcPr>
            <w:tcW w:w="108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6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643</w:t>
            </w:r>
          </w:p>
        </w:tc>
        <w:tc>
          <w:tcPr>
            <w:tcW w:w="146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774"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pacing w:val="2"/>
                <w:sz w:val="21"/>
                <w:highlight w:val="none"/>
              </w:rPr>
              <w:t>HC</w:t>
            </w:r>
          </w:p>
        </w:tc>
        <w:tc>
          <w:tcPr>
            <w:tcW w:w="10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203</w:t>
            </w:r>
          </w:p>
        </w:tc>
        <w:tc>
          <w:tcPr>
            <w:tcW w:w="108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6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203</w:t>
            </w:r>
          </w:p>
        </w:tc>
        <w:tc>
          <w:tcPr>
            <w:tcW w:w="146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774"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0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967</w:t>
            </w:r>
          </w:p>
        </w:tc>
        <w:tc>
          <w:tcPr>
            <w:tcW w:w="108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6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967</w:t>
            </w:r>
          </w:p>
        </w:tc>
        <w:tc>
          <w:tcPr>
            <w:tcW w:w="146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774"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厨房</w:t>
            </w:r>
          </w:p>
        </w:tc>
        <w:tc>
          <w:tcPr>
            <w:tcW w:w="8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油烟</w:t>
            </w:r>
          </w:p>
        </w:tc>
        <w:tc>
          <w:tcPr>
            <w:tcW w:w="10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0.0</w:t>
            </w:r>
            <w:r>
              <w:rPr>
                <w:rFonts w:hint="eastAsia" w:ascii="Times New Roman" w:hAnsi="Times New Roman" w:eastAsia="宋体" w:cs="Times New Roman"/>
                <w:bCs/>
                <w:color w:val="auto"/>
                <w:sz w:val="21"/>
                <w:highlight w:val="none"/>
              </w:rPr>
              <w:t>1215</w:t>
            </w:r>
          </w:p>
        </w:tc>
        <w:tc>
          <w:tcPr>
            <w:tcW w:w="1080"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hint="eastAsia" w:ascii="Times New Roman" w:hAnsi="Times New Roman" w:eastAsia="宋体" w:cs="Times New Roman"/>
                <w:bCs/>
                <w:color w:val="auto"/>
                <w:sz w:val="21"/>
                <w:highlight w:val="none"/>
              </w:rPr>
              <w:t>0.00972</w:t>
            </w:r>
          </w:p>
        </w:tc>
        <w:tc>
          <w:tcPr>
            <w:tcW w:w="16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0.00</w:t>
            </w:r>
            <w:r>
              <w:rPr>
                <w:rFonts w:hint="eastAsia" w:ascii="Times New Roman" w:hAnsi="Times New Roman" w:eastAsia="宋体" w:cs="Times New Roman"/>
                <w:bCs/>
                <w:color w:val="auto"/>
                <w:sz w:val="21"/>
                <w:highlight w:val="none"/>
              </w:rPr>
              <w:t>243</w:t>
            </w:r>
          </w:p>
        </w:tc>
        <w:tc>
          <w:tcPr>
            <w:tcW w:w="1460" w:type="dxa"/>
            <w:vMerge w:val="restart"/>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p>
        </w:tc>
        <w:tc>
          <w:tcPr>
            <w:tcW w:w="774" w:type="dxa"/>
            <w:vMerge w:val="restart"/>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885"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0.00</w:t>
            </w:r>
            <w:r>
              <w:rPr>
                <w:rFonts w:hint="eastAsia" w:ascii="Times New Roman" w:hAnsi="Times New Roman" w:eastAsia="宋体" w:cs="Times New Roman"/>
                <w:bCs/>
                <w:color w:val="auto"/>
                <w:sz w:val="21"/>
                <w:highlight w:val="none"/>
              </w:rPr>
              <w:t>0378</w:t>
            </w:r>
          </w:p>
        </w:tc>
        <w:tc>
          <w:tcPr>
            <w:tcW w:w="108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Cs/>
                <w:color w:val="auto"/>
                <w:sz w:val="21"/>
                <w:highlight w:val="none"/>
              </w:rPr>
            </w:pPr>
            <w:r>
              <w:rPr>
                <w:rFonts w:hint="eastAsia" w:ascii="Times New Roman" w:hAnsi="Times New Roman" w:eastAsia="宋体" w:cs="Times New Roman"/>
                <w:bCs/>
                <w:color w:val="auto"/>
                <w:sz w:val="21"/>
                <w:highlight w:val="none"/>
              </w:rPr>
              <w:t>0</w:t>
            </w:r>
          </w:p>
        </w:tc>
        <w:tc>
          <w:tcPr>
            <w:tcW w:w="16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0.00</w:t>
            </w:r>
            <w:r>
              <w:rPr>
                <w:rFonts w:hint="eastAsia" w:ascii="Times New Roman" w:hAnsi="Times New Roman" w:eastAsia="宋体" w:cs="Times New Roman"/>
                <w:bCs/>
                <w:color w:val="auto"/>
                <w:sz w:val="21"/>
                <w:highlight w:val="none"/>
              </w:rPr>
              <w:t>0378</w:t>
            </w:r>
          </w:p>
        </w:tc>
        <w:tc>
          <w:tcPr>
            <w:tcW w:w="146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774"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885"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SO</w:t>
            </w:r>
            <w:r>
              <w:rPr>
                <w:rFonts w:ascii="Times New Roman" w:hAnsi="Times New Roman" w:eastAsia="宋体" w:cs="Times New Roman"/>
                <w:color w:val="auto"/>
                <w:sz w:val="21"/>
                <w:highlight w:val="none"/>
                <w:vertAlign w:val="subscript"/>
              </w:rPr>
              <w:t>2</w:t>
            </w:r>
          </w:p>
        </w:tc>
        <w:tc>
          <w:tcPr>
            <w:tcW w:w="10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0.000</w:t>
            </w:r>
            <w:r>
              <w:rPr>
                <w:rFonts w:hint="eastAsia" w:ascii="Times New Roman" w:hAnsi="Times New Roman" w:eastAsia="宋体" w:cs="Times New Roman"/>
                <w:color w:val="auto"/>
                <w:sz w:val="21"/>
                <w:highlight w:val="none"/>
              </w:rPr>
              <w:t>486</w:t>
            </w:r>
          </w:p>
        </w:tc>
        <w:tc>
          <w:tcPr>
            <w:tcW w:w="108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6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0.000</w:t>
            </w:r>
            <w:r>
              <w:rPr>
                <w:rFonts w:hint="eastAsia" w:ascii="Times New Roman" w:hAnsi="Times New Roman" w:eastAsia="宋体" w:cs="Times New Roman"/>
                <w:color w:val="auto"/>
                <w:sz w:val="21"/>
                <w:highlight w:val="none"/>
              </w:rPr>
              <w:t>486</w:t>
            </w:r>
          </w:p>
        </w:tc>
        <w:tc>
          <w:tcPr>
            <w:tcW w:w="146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774"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251"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885"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0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w:t>
            </w:r>
            <w:r>
              <w:rPr>
                <w:rFonts w:hint="eastAsia" w:ascii="Times New Roman" w:hAnsi="Times New Roman" w:eastAsia="宋体" w:cs="Times New Roman"/>
                <w:color w:val="auto"/>
                <w:sz w:val="21"/>
                <w:highlight w:val="none"/>
              </w:rPr>
              <w:t>4752</w:t>
            </w:r>
          </w:p>
        </w:tc>
        <w:tc>
          <w:tcPr>
            <w:tcW w:w="108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6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w:t>
            </w:r>
            <w:r>
              <w:rPr>
                <w:rFonts w:hint="eastAsia" w:ascii="Times New Roman" w:hAnsi="Times New Roman" w:eastAsia="宋体" w:cs="Times New Roman"/>
                <w:color w:val="auto"/>
                <w:sz w:val="21"/>
                <w:highlight w:val="none"/>
              </w:rPr>
              <w:t>4752</w:t>
            </w:r>
          </w:p>
        </w:tc>
        <w:tc>
          <w:tcPr>
            <w:tcW w:w="146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774"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bl>
    <w:p>
      <w:pPr>
        <w:pStyle w:val="6"/>
        <w:rPr>
          <w:rFonts w:ascii="Times New Roman" w:hAnsi="Times New Roman" w:eastAsia="宋体"/>
          <w:color w:val="auto"/>
          <w:highlight w:val="none"/>
        </w:rPr>
      </w:pPr>
      <w:r>
        <w:rPr>
          <w:rFonts w:ascii="Times New Roman" w:hAnsi="Times New Roman" w:eastAsia="宋体"/>
          <w:color w:val="auto"/>
          <w:highlight w:val="none"/>
        </w:rPr>
        <w:t>2.</w:t>
      </w:r>
      <w:r>
        <w:rPr>
          <w:rFonts w:hint="eastAsia" w:ascii="Times New Roman" w:hAnsi="Times New Roman" w:eastAsia="宋体"/>
          <w:color w:val="auto"/>
          <w:highlight w:val="none"/>
        </w:rPr>
        <w:t>5</w:t>
      </w:r>
      <w:r>
        <w:rPr>
          <w:rFonts w:ascii="Times New Roman" w:hAnsi="Times New Roman" w:eastAsia="宋体"/>
          <w:color w:val="auto"/>
          <w:highlight w:val="none"/>
        </w:rPr>
        <w:t>.5.2 废水</w:t>
      </w:r>
    </w:p>
    <w:p>
      <w:pPr>
        <w:ind w:firstLine="480"/>
        <w:rPr>
          <w:rFonts w:ascii="Times New Roman" w:hAnsi="Times New Roman" w:eastAsia="宋体"/>
          <w:color w:val="auto"/>
          <w:highlight w:val="none"/>
        </w:rPr>
      </w:pPr>
      <w:r>
        <w:rPr>
          <w:rFonts w:ascii="Times New Roman" w:hAnsi="Times New Roman" w:eastAsia="宋体"/>
          <w:color w:val="auto"/>
          <w:highlight w:val="none"/>
        </w:rPr>
        <w:t>1、生产废水</w:t>
      </w:r>
    </w:p>
    <w:p>
      <w:pPr>
        <w:snapToGrid w:val="0"/>
        <w:ind w:left="480" w:firstLine="0" w:firstLineChars="0"/>
        <w:rPr>
          <w:rFonts w:ascii="Times New Roman" w:hAnsi="Times New Roman" w:eastAsia="宋体" w:cs="Times New Roman"/>
          <w:color w:val="auto"/>
          <w:spacing w:val="-2"/>
          <w:kern w:val="0"/>
          <w:szCs w:val="24"/>
          <w:highlight w:val="none"/>
        </w:rPr>
      </w:pPr>
      <w:r>
        <w:rPr>
          <w:rFonts w:ascii="Times New Roman" w:hAnsi="Times New Roman" w:eastAsia="宋体" w:cs="Times New Roman"/>
          <w:color w:val="auto"/>
          <w:spacing w:val="-2"/>
          <w:kern w:val="0"/>
          <w:szCs w:val="24"/>
          <w:highlight w:val="none"/>
        </w:rPr>
        <w:t>（1）凿岩</w:t>
      </w:r>
      <w:r>
        <w:rPr>
          <w:rFonts w:hint="eastAsia" w:ascii="Times New Roman" w:hAnsi="Times New Roman" w:eastAsia="宋体" w:cs="Times New Roman"/>
          <w:color w:val="auto"/>
          <w:spacing w:val="-2"/>
          <w:kern w:val="0"/>
          <w:szCs w:val="24"/>
          <w:highlight w:val="none"/>
        </w:rPr>
        <w:t>钻</w:t>
      </w:r>
      <w:r>
        <w:rPr>
          <w:rFonts w:ascii="Times New Roman" w:hAnsi="Times New Roman" w:eastAsia="宋体" w:cs="Times New Roman"/>
          <w:color w:val="auto"/>
          <w:spacing w:val="-2"/>
          <w:kern w:val="0"/>
          <w:szCs w:val="24"/>
          <w:highlight w:val="none"/>
        </w:rPr>
        <w:t>孔用水</w:t>
      </w:r>
    </w:p>
    <w:p>
      <w:pPr>
        <w:snapToGrid w:val="0"/>
        <w:ind w:firstLine="472"/>
        <w:rPr>
          <w:rFonts w:ascii="Times New Roman" w:hAnsi="Times New Roman" w:eastAsia="宋体" w:cs="Times New Roman"/>
          <w:color w:val="auto"/>
          <w:spacing w:val="-2"/>
          <w:kern w:val="0"/>
          <w:szCs w:val="24"/>
          <w:highlight w:val="none"/>
        </w:rPr>
      </w:pPr>
      <w:r>
        <w:rPr>
          <w:rFonts w:ascii="Times New Roman" w:hAnsi="Times New Roman" w:eastAsia="宋体" w:cs="Times New Roman"/>
          <w:color w:val="auto"/>
          <w:spacing w:val="-2"/>
          <w:kern w:val="0"/>
          <w:szCs w:val="24"/>
          <w:highlight w:val="none"/>
        </w:rPr>
        <w:t>项目凿岩打孔颗粒物产生量较小，影响范围主要为凿岩工作面20m范围内，因此，抑尘用水量较少，根据生产经验，凿岩降尘用水按0.001m</w:t>
      </w:r>
      <w:r>
        <w:rPr>
          <w:rFonts w:ascii="Times New Roman" w:hAnsi="Times New Roman" w:eastAsia="宋体" w:cs="Times New Roman"/>
          <w:color w:val="auto"/>
          <w:spacing w:val="-2"/>
          <w:kern w:val="0"/>
          <w:szCs w:val="24"/>
          <w:highlight w:val="none"/>
          <w:vertAlign w:val="superscript"/>
        </w:rPr>
        <w:t>3</w:t>
      </w:r>
      <w:r>
        <w:rPr>
          <w:rFonts w:ascii="Times New Roman" w:hAnsi="Times New Roman" w:eastAsia="宋体" w:cs="Times New Roman"/>
          <w:color w:val="auto"/>
          <w:spacing w:val="-2"/>
          <w:kern w:val="0"/>
          <w:szCs w:val="24"/>
          <w:highlight w:val="none"/>
        </w:rPr>
        <w:t>/t矿石计，矿石量</w:t>
      </w:r>
      <w:r>
        <w:rPr>
          <w:rFonts w:hint="eastAsia" w:ascii="Times New Roman" w:hAnsi="Times New Roman" w:eastAsia="宋体" w:cs="Times New Roman"/>
          <w:color w:val="auto"/>
          <w:spacing w:val="-2"/>
          <w:kern w:val="0"/>
          <w:szCs w:val="24"/>
          <w:highlight w:val="none"/>
        </w:rPr>
        <w:t>5</w:t>
      </w:r>
      <w:r>
        <w:rPr>
          <w:rFonts w:ascii="Times New Roman" w:hAnsi="Times New Roman" w:eastAsia="宋体" w:cs="Times New Roman"/>
          <w:color w:val="auto"/>
          <w:spacing w:val="-2"/>
          <w:kern w:val="0"/>
          <w:szCs w:val="24"/>
          <w:highlight w:val="none"/>
        </w:rPr>
        <w:t>0万t/a，则采场除尘用水量</w:t>
      </w:r>
      <w:r>
        <w:rPr>
          <w:rFonts w:hint="eastAsia" w:ascii="Times New Roman" w:hAnsi="Times New Roman" w:eastAsia="宋体" w:cs="Times New Roman"/>
          <w:color w:val="auto"/>
          <w:spacing w:val="-2"/>
          <w:kern w:val="0"/>
          <w:szCs w:val="24"/>
          <w:highlight w:val="none"/>
        </w:rPr>
        <w:t>5</w:t>
      </w:r>
      <w:r>
        <w:rPr>
          <w:rFonts w:ascii="Times New Roman" w:hAnsi="Times New Roman" w:eastAsia="宋体" w:cs="Times New Roman"/>
          <w:color w:val="auto"/>
          <w:spacing w:val="-2"/>
          <w:kern w:val="0"/>
          <w:szCs w:val="24"/>
          <w:highlight w:val="none"/>
        </w:rPr>
        <w:t>00m</w:t>
      </w:r>
      <w:r>
        <w:rPr>
          <w:rFonts w:ascii="Times New Roman" w:hAnsi="Times New Roman" w:eastAsia="宋体" w:cs="Times New Roman"/>
          <w:color w:val="auto"/>
          <w:spacing w:val="-2"/>
          <w:kern w:val="0"/>
          <w:szCs w:val="24"/>
          <w:highlight w:val="none"/>
          <w:vertAlign w:val="superscript"/>
        </w:rPr>
        <w:t>3</w:t>
      </w:r>
      <w:r>
        <w:rPr>
          <w:rFonts w:ascii="Times New Roman" w:hAnsi="Times New Roman" w:eastAsia="宋体" w:cs="Times New Roman"/>
          <w:color w:val="auto"/>
          <w:spacing w:val="-2"/>
          <w:kern w:val="0"/>
          <w:szCs w:val="24"/>
          <w:highlight w:val="none"/>
        </w:rPr>
        <w:t>/a，这部分水将全部蒸发或渗透入矿石</w:t>
      </w:r>
      <w:r>
        <w:rPr>
          <w:rFonts w:hint="eastAsia" w:ascii="Times New Roman" w:hAnsi="Times New Roman" w:eastAsia="宋体" w:cs="Times New Roman"/>
          <w:color w:val="auto"/>
          <w:spacing w:val="-2"/>
          <w:kern w:val="0"/>
          <w:szCs w:val="24"/>
          <w:highlight w:val="none"/>
        </w:rPr>
        <w:t>堆</w:t>
      </w:r>
      <w:r>
        <w:rPr>
          <w:rFonts w:ascii="Times New Roman" w:hAnsi="Times New Roman" w:eastAsia="宋体" w:cs="Times New Roman"/>
          <w:color w:val="auto"/>
          <w:spacing w:val="-2"/>
          <w:kern w:val="0"/>
          <w:szCs w:val="24"/>
          <w:highlight w:val="none"/>
        </w:rPr>
        <w:t>中。</w:t>
      </w:r>
    </w:p>
    <w:p>
      <w:pPr>
        <w:snapToGrid w:val="0"/>
        <w:ind w:left="480" w:firstLine="0" w:firstLineChars="0"/>
        <w:rPr>
          <w:rFonts w:ascii="Times New Roman" w:hAnsi="Times New Roman" w:eastAsia="宋体" w:cs="Times New Roman"/>
          <w:color w:val="auto"/>
          <w:spacing w:val="-2"/>
          <w:kern w:val="0"/>
          <w:szCs w:val="24"/>
          <w:highlight w:val="none"/>
        </w:rPr>
      </w:pPr>
      <w:r>
        <w:rPr>
          <w:rFonts w:ascii="Times New Roman" w:hAnsi="Times New Roman" w:eastAsia="宋体" w:cs="Times New Roman"/>
          <w:color w:val="auto"/>
          <w:spacing w:val="-2"/>
          <w:kern w:val="0"/>
          <w:szCs w:val="24"/>
          <w:highlight w:val="none"/>
        </w:rPr>
        <w:t>（2）爆破抑尘用水</w:t>
      </w:r>
    </w:p>
    <w:p>
      <w:pPr>
        <w:snapToGrid w:val="0"/>
        <w:ind w:firstLine="472"/>
        <w:rPr>
          <w:rFonts w:ascii="Times New Roman" w:hAnsi="Times New Roman" w:eastAsia="宋体" w:cs="Times New Roman"/>
          <w:color w:val="auto"/>
          <w:spacing w:val="-2"/>
          <w:kern w:val="0"/>
          <w:szCs w:val="24"/>
          <w:highlight w:val="none"/>
        </w:rPr>
      </w:pPr>
      <w:r>
        <w:rPr>
          <w:rFonts w:ascii="Times New Roman" w:hAnsi="Times New Roman" w:eastAsia="宋体" w:cs="Times New Roman"/>
          <w:color w:val="auto"/>
          <w:spacing w:val="-2"/>
          <w:kern w:val="0"/>
          <w:szCs w:val="24"/>
          <w:highlight w:val="none"/>
        </w:rPr>
        <w:t>项目为中深孔爆破，其颗粒物产生量较少，用水量约</w:t>
      </w:r>
      <w:r>
        <w:rPr>
          <w:rFonts w:hint="eastAsia" w:ascii="Times New Roman" w:hAnsi="Times New Roman" w:eastAsia="宋体" w:cs="Times New Roman"/>
          <w:color w:val="auto"/>
          <w:spacing w:val="-2"/>
          <w:kern w:val="0"/>
          <w:szCs w:val="24"/>
          <w:highlight w:val="none"/>
        </w:rPr>
        <w:t>0.5</w:t>
      </w:r>
      <w:r>
        <w:rPr>
          <w:rFonts w:ascii="Times New Roman" w:hAnsi="Times New Roman" w:eastAsia="宋体" w:cs="Times New Roman"/>
          <w:color w:val="auto"/>
          <w:spacing w:val="-2"/>
          <w:kern w:val="0"/>
          <w:szCs w:val="24"/>
          <w:highlight w:val="none"/>
        </w:rPr>
        <w:t>L/t矿石。矿山</w:t>
      </w:r>
      <w:r>
        <w:rPr>
          <w:rFonts w:hint="eastAsia" w:ascii="Times New Roman" w:hAnsi="Times New Roman" w:eastAsia="宋体" w:cs="Times New Roman"/>
          <w:color w:val="auto"/>
          <w:spacing w:val="-2"/>
          <w:kern w:val="0"/>
          <w:szCs w:val="24"/>
          <w:highlight w:val="none"/>
        </w:rPr>
        <w:t>矿石</w:t>
      </w:r>
      <w:r>
        <w:rPr>
          <w:rFonts w:ascii="Times New Roman" w:hAnsi="Times New Roman" w:eastAsia="宋体" w:cs="Times New Roman"/>
          <w:color w:val="auto"/>
          <w:spacing w:val="-2"/>
          <w:kern w:val="0"/>
          <w:szCs w:val="24"/>
          <w:highlight w:val="none"/>
        </w:rPr>
        <w:t>开采量</w:t>
      </w:r>
      <w:r>
        <w:rPr>
          <w:rFonts w:hint="eastAsia" w:ascii="Times New Roman" w:hAnsi="Times New Roman" w:eastAsia="宋体" w:cs="Times New Roman"/>
          <w:color w:val="auto"/>
          <w:spacing w:val="-2"/>
          <w:kern w:val="0"/>
          <w:szCs w:val="24"/>
          <w:highlight w:val="none"/>
        </w:rPr>
        <w:t>5</w:t>
      </w:r>
      <w:r>
        <w:rPr>
          <w:rFonts w:ascii="Times New Roman" w:hAnsi="Times New Roman" w:eastAsia="宋体" w:cs="Times New Roman"/>
          <w:color w:val="auto"/>
          <w:spacing w:val="-2"/>
          <w:kern w:val="0"/>
          <w:szCs w:val="24"/>
          <w:highlight w:val="none"/>
        </w:rPr>
        <w:t>0万t/a，用水量为</w:t>
      </w:r>
      <w:r>
        <w:rPr>
          <w:rFonts w:hint="eastAsia" w:ascii="Times New Roman" w:hAnsi="Times New Roman" w:eastAsia="宋体" w:cs="Times New Roman"/>
          <w:color w:val="auto"/>
          <w:spacing w:val="-2"/>
          <w:kern w:val="0"/>
          <w:szCs w:val="24"/>
          <w:highlight w:val="none"/>
        </w:rPr>
        <w:t>25</w:t>
      </w:r>
      <w:r>
        <w:rPr>
          <w:rFonts w:ascii="Times New Roman" w:hAnsi="Times New Roman" w:eastAsia="宋体" w:cs="Times New Roman"/>
          <w:color w:val="auto"/>
          <w:spacing w:val="-2"/>
          <w:kern w:val="0"/>
          <w:szCs w:val="24"/>
          <w:highlight w:val="none"/>
        </w:rPr>
        <w:t>0m</w:t>
      </w:r>
      <w:r>
        <w:rPr>
          <w:rFonts w:ascii="Times New Roman" w:hAnsi="Times New Roman" w:eastAsia="宋体" w:cs="Times New Roman"/>
          <w:color w:val="auto"/>
          <w:spacing w:val="-2"/>
          <w:kern w:val="0"/>
          <w:szCs w:val="24"/>
          <w:highlight w:val="none"/>
          <w:vertAlign w:val="superscript"/>
        </w:rPr>
        <w:t>3</w:t>
      </w:r>
      <w:r>
        <w:rPr>
          <w:rFonts w:ascii="Times New Roman" w:hAnsi="Times New Roman" w:eastAsia="宋体" w:cs="Times New Roman"/>
          <w:color w:val="auto"/>
          <w:spacing w:val="-2"/>
          <w:kern w:val="0"/>
          <w:szCs w:val="24"/>
          <w:highlight w:val="none"/>
        </w:rPr>
        <w:t>/a。该部分水全部蒸发或渗透入矿石</w:t>
      </w:r>
      <w:r>
        <w:rPr>
          <w:rFonts w:hint="eastAsia" w:ascii="Times New Roman" w:hAnsi="Times New Roman" w:eastAsia="宋体" w:cs="Times New Roman"/>
          <w:color w:val="auto"/>
          <w:spacing w:val="-2"/>
          <w:kern w:val="0"/>
          <w:szCs w:val="24"/>
          <w:highlight w:val="none"/>
        </w:rPr>
        <w:t>堆</w:t>
      </w:r>
      <w:r>
        <w:rPr>
          <w:rFonts w:ascii="Times New Roman" w:hAnsi="Times New Roman" w:eastAsia="宋体" w:cs="Times New Roman"/>
          <w:color w:val="auto"/>
          <w:spacing w:val="-2"/>
          <w:kern w:val="0"/>
          <w:szCs w:val="24"/>
          <w:highlight w:val="none"/>
        </w:rPr>
        <w:t>中。</w:t>
      </w:r>
    </w:p>
    <w:p>
      <w:pPr>
        <w:snapToGrid w:val="0"/>
        <w:ind w:left="480" w:firstLine="0" w:firstLineChars="0"/>
        <w:rPr>
          <w:rFonts w:ascii="Times New Roman" w:hAnsi="Times New Roman" w:eastAsia="宋体" w:cs="Times New Roman"/>
          <w:color w:val="auto"/>
          <w:spacing w:val="-2"/>
          <w:kern w:val="0"/>
          <w:szCs w:val="24"/>
          <w:highlight w:val="none"/>
        </w:rPr>
      </w:pPr>
      <w:r>
        <w:rPr>
          <w:rFonts w:ascii="Times New Roman" w:hAnsi="Times New Roman" w:eastAsia="宋体" w:cs="Times New Roman"/>
          <w:color w:val="auto"/>
          <w:spacing w:val="-2"/>
          <w:kern w:val="0"/>
          <w:szCs w:val="24"/>
          <w:highlight w:val="none"/>
        </w:rPr>
        <w:t>（3）矿山内运输道路抑尘用水</w:t>
      </w:r>
    </w:p>
    <w:p>
      <w:pPr>
        <w:snapToGrid w:val="0"/>
        <w:ind w:firstLine="472"/>
        <w:rPr>
          <w:rFonts w:ascii="Times New Roman" w:hAnsi="Times New Roman" w:eastAsia="宋体" w:cs="Times New Roman"/>
          <w:color w:val="auto"/>
          <w:spacing w:val="-2"/>
          <w:kern w:val="0"/>
          <w:szCs w:val="24"/>
          <w:highlight w:val="none"/>
        </w:rPr>
      </w:pPr>
      <w:r>
        <w:rPr>
          <w:rFonts w:ascii="Times New Roman" w:hAnsi="Times New Roman" w:eastAsia="宋体" w:cs="Times New Roman"/>
          <w:color w:val="auto"/>
          <w:spacing w:val="-2"/>
          <w:kern w:val="0"/>
          <w:szCs w:val="24"/>
          <w:highlight w:val="none"/>
        </w:rPr>
        <w:t>为减少采装、卸载和运输工作时的杨尘，对矿区内运输道路进行洒水扬尘，用水量为2m</w:t>
      </w:r>
      <w:r>
        <w:rPr>
          <w:rFonts w:ascii="Times New Roman" w:hAnsi="Times New Roman" w:eastAsia="宋体" w:cs="Times New Roman"/>
          <w:color w:val="auto"/>
          <w:spacing w:val="-2"/>
          <w:kern w:val="0"/>
          <w:szCs w:val="24"/>
          <w:highlight w:val="none"/>
          <w:vertAlign w:val="superscript"/>
        </w:rPr>
        <w:t>3</w:t>
      </w:r>
      <w:r>
        <w:rPr>
          <w:rFonts w:ascii="Times New Roman" w:hAnsi="Times New Roman" w:eastAsia="宋体" w:cs="Times New Roman"/>
          <w:color w:val="auto"/>
          <w:spacing w:val="-2"/>
          <w:kern w:val="0"/>
          <w:szCs w:val="24"/>
          <w:highlight w:val="none"/>
        </w:rPr>
        <w:t>/km，矿区内道路总长约为</w:t>
      </w:r>
      <w:r>
        <w:rPr>
          <w:rFonts w:hint="eastAsia" w:ascii="Times New Roman" w:hAnsi="Times New Roman" w:eastAsia="宋体" w:cs="Times New Roman"/>
          <w:color w:val="auto"/>
          <w:spacing w:val="-2"/>
          <w:kern w:val="0"/>
          <w:szCs w:val="24"/>
          <w:highlight w:val="none"/>
        </w:rPr>
        <w:t>2</w:t>
      </w:r>
      <w:r>
        <w:rPr>
          <w:rFonts w:ascii="Times New Roman" w:hAnsi="Times New Roman" w:eastAsia="宋体" w:cs="Times New Roman"/>
          <w:color w:val="auto"/>
          <w:spacing w:val="-2"/>
          <w:kern w:val="0"/>
          <w:szCs w:val="24"/>
          <w:highlight w:val="none"/>
        </w:rPr>
        <w:t>km，每天进行3次洒水，则用水量为</w:t>
      </w:r>
      <w:r>
        <w:rPr>
          <w:rFonts w:hint="eastAsia" w:ascii="Times New Roman" w:hAnsi="Times New Roman" w:eastAsia="宋体" w:cs="Times New Roman"/>
          <w:color w:val="auto"/>
          <w:spacing w:val="-2"/>
          <w:kern w:val="0"/>
          <w:szCs w:val="24"/>
          <w:highlight w:val="none"/>
        </w:rPr>
        <w:t>12</w:t>
      </w:r>
      <w:r>
        <w:rPr>
          <w:rFonts w:ascii="Times New Roman" w:hAnsi="Times New Roman" w:eastAsia="宋体" w:cs="Times New Roman"/>
          <w:color w:val="auto"/>
          <w:spacing w:val="-2"/>
          <w:kern w:val="0"/>
          <w:szCs w:val="24"/>
          <w:highlight w:val="none"/>
        </w:rPr>
        <w:t>m</w:t>
      </w:r>
      <w:r>
        <w:rPr>
          <w:rFonts w:ascii="Times New Roman" w:hAnsi="Times New Roman" w:eastAsia="宋体" w:cs="Times New Roman"/>
          <w:color w:val="auto"/>
          <w:spacing w:val="-2"/>
          <w:kern w:val="0"/>
          <w:szCs w:val="24"/>
          <w:highlight w:val="none"/>
          <w:vertAlign w:val="superscript"/>
        </w:rPr>
        <w:t>3</w:t>
      </w:r>
      <w:r>
        <w:rPr>
          <w:rFonts w:ascii="Times New Roman" w:hAnsi="Times New Roman" w:eastAsia="宋体" w:cs="Times New Roman"/>
          <w:color w:val="auto"/>
          <w:spacing w:val="-2"/>
          <w:kern w:val="0"/>
          <w:szCs w:val="24"/>
          <w:highlight w:val="none"/>
        </w:rPr>
        <w:t>/d（</w:t>
      </w:r>
      <w:r>
        <w:rPr>
          <w:rFonts w:hint="eastAsia" w:ascii="Times New Roman" w:hAnsi="Times New Roman" w:eastAsia="宋体" w:cs="Times New Roman"/>
          <w:color w:val="auto"/>
          <w:spacing w:val="-2"/>
          <w:kern w:val="0"/>
          <w:szCs w:val="24"/>
          <w:highlight w:val="none"/>
        </w:rPr>
        <w:t>36</w:t>
      </w:r>
      <w:r>
        <w:rPr>
          <w:rFonts w:ascii="Times New Roman" w:hAnsi="Times New Roman" w:eastAsia="宋体" w:cs="Times New Roman"/>
          <w:color w:val="auto"/>
          <w:spacing w:val="-2"/>
          <w:kern w:val="0"/>
          <w:szCs w:val="24"/>
          <w:highlight w:val="none"/>
        </w:rPr>
        <w:t>00m</w:t>
      </w:r>
      <w:r>
        <w:rPr>
          <w:rFonts w:ascii="Times New Roman" w:hAnsi="Times New Roman" w:eastAsia="宋体" w:cs="Times New Roman"/>
          <w:color w:val="auto"/>
          <w:spacing w:val="-2"/>
          <w:kern w:val="0"/>
          <w:szCs w:val="24"/>
          <w:highlight w:val="none"/>
          <w:vertAlign w:val="superscript"/>
        </w:rPr>
        <w:t>3</w:t>
      </w:r>
      <w:r>
        <w:rPr>
          <w:rFonts w:ascii="Times New Roman" w:hAnsi="Times New Roman" w:eastAsia="宋体" w:cs="Times New Roman"/>
          <w:color w:val="auto"/>
          <w:spacing w:val="-2"/>
          <w:kern w:val="0"/>
          <w:szCs w:val="24"/>
          <w:highlight w:val="none"/>
        </w:rPr>
        <w:t>/a）。该部分水将全部蒸发和渗透到地面。</w:t>
      </w:r>
    </w:p>
    <w:p>
      <w:pPr>
        <w:snapToGrid w:val="0"/>
        <w:ind w:left="480" w:firstLine="0" w:firstLineChars="0"/>
        <w:rPr>
          <w:rFonts w:ascii="Times New Roman" w:hAnsi="Times New Roman" w:eastAsia="宋体" w:cs="Times New Roman"/>
          <w:color w:val="auto"/>
          <w:spacing w:val="-2"/>
          <w:kern w:val="0"/>
          <w:szCs w:val="24"/>
          <w:highlight w:val="none"/>
        </w:rPr>
      </w:pPr>
      <w:r>
        <w:rPr>
          <w:rFonts w:ascii="Times New Roman" w:hAnsi="Times New Roman" w:eastAsia="宋体" w:cs="Times New Roman"/>
          <w:color w:val="auto"/>
          <w:spacing w:val="-2"/>
          <w:kern w:val="0"/>
          <w:szCs w:val="24"/>
          <w:highlight w:val="none"/>
        </w:rPr>
        <w:t>（4）破碎筛分喷淋降尘</w:t>
      </w:r>
    </w:p>
    <w:p>
      <w:pPr>
        <w:snapToGrid w:val="0"/>
        <w:ind w:firstLine="472"/>
        <w:rPr>
          <w:rFonts w:ascii="Times New Roman" w:hAnsi="Times New Roman" w:eastAsia="宋体" w:cs="Times New Roman"/>
          <w:color w:val="auto"/>
          <w:spacing w:val="-2"/>
          <w:kern w:val="0"/>
          <w:szCs w:val="24"/>
          <w:highlight w:val="none"/>
        </w:rPr>
      </w:pPr>
      <w:r>
        <w:rPr>
          <w:rFonts w:ascii="Times New Roman" w:hAnsi="Times New Roman" w:eastAsia="宋体" w:cs="Times New Roman"/>
          <w:color w:val="auto"/>
          <w:spacing w:val="-2"/>
          <w:kern w:val="0"/>
          <w:szCs w:val="24"/>
          <w:highlight w:val="none"/>
        </w:rPr>
        <w:t>根据项目喷淋装置设计标准，喷淋用水量约为0.0</w:t>
      </w:r>
      <w:r>
        <w:rPr>
          <w:rFonts w:hint="eastAsia" w:ascii="Times New Roman" w:hAnsi="Times New Roman" w:eastAsia="宋体" w:cs="Times New Roman"/>
          <w:color w:val="auto"/>
          <w:spacing w:val="-2"/>
          <w:kern w:val="0"/>
          <w:szCs w:val="24"/>
          <w:highlight w:val="none"/>
        </w:rPr>
        <w:t>2</w:t>
      </w:r>
      <w:r>
        <w:rPr>
          <w:rFonts w:ascii="Times New Roman" w:hAnsi="Times New Roman" w:eastAsia="宋体" w:cs="Times New Roman"/>
          <w:color w:val="auto"/>
          <w:spacing w:val="-2"/>
          <w:kern w:val="0"/>
          <w:szCs w:val="24"/>
          <w:highlight w:val="none"/>
        </w:rPr>
        <w:t>m</w:t>
      </w:r>
      <w:r>
        <w:rPr>
          <w:rFonts w:ascii="Times New Roman" w:hAnsi="Times New Roman" w:eastAsia="宋体" w:cs="Times New Roman"/>
          <w:color w:val="auto"/>
          <w:spacing w:val="-2"/>
          <w:kern w:val="0"/>
          <w:szCs w:val="24"/>
          <w:highlight w:val="none"/>
          <w:vertAlign w:val="superscript"/>
        </w:rPr>
        <w:t>3</w:t>
      </w:r>
      <w:r>
        <w:rPr>
          <w:rFonts w:ascii="Times New Roman" w:hAnsi="Times New Roman" w:eastAsia="宋体" w:cs="Times New Roman"/>
          <w:color w:val="auto"/>
          <w:spacing w:val="-2"/>
          <w:kern w:val="0"/>
          <w:szCs w:val="24"/>
          <w:highlight w:val="none"/>
        </w:rPr>
        <w:t>/t（矿石），项目矿石产量</w:t>
      </w:r>
      <w:r>
        <w:rPr>
          <w:rFonts w:hint="eastAsia" w:ascii="Times New Roman" w:hAnsi="Times New Roman" w:eastAsia="宋体" w:cs="Times New Roman"/>
          <w:color w:val="auto"/>
          <w:spacing w:val="-2"/>
          <w:kern w:val="0"/>
          <w:szCs w:val="24"/>
          <w:highlight w:val="none"/>
        </w:rPr>
        <w:t>5</w:t>
      </w:r>
      <w:r>
        <w:rPr>
          <w:rFonts w:ascii="Times New Roman" w:hAnsi="Times New Roman" w:eastAsia="宋体" w:cs="Times New Roman"/>
          <w:color w:val="auto"/>
          <w:spacing w:val="-2"/>
          <w:kern w:val="0"/>
          <w:szCs w:val="24"/>
          <w:highlight w:val="none"/>
        </w:rPr>
        <w:t>0万t/a，石料加工过程喷淋降尘用水量为</w:t>
      </w:r>
      <w:r>
        <w:rPr>
          <w:rFonts w:hint="eastAsia" w:ascii="Times New Roman" w:hAnsi="Times New Roman" w:eastAsia="宋体" w:cs="Times New Roman"/>
          <w:color w:val="auto"/>
          <w:spacing w:val="-2"/>
          <w:kern w:val="0"/>
          <w:szCs w:val="24"/>
          <w:highlight w:val="none"/>
        </w:rPr>
        <w:t>100</w:t>
      </w:r>
      <w:r>
        <w:rPr>
          <w:rFonts w:ascii="Times New Roman" w:hAnsi="Times New Roman" w:eastAsia="宋体" w:cs="Times New Roman"/>
          <w:color w:val="auto"/>
          <w:spacing w:val="-2"/>
          <w:kern w:val="0"/>
          <w:szCs w:val="24"/>
          <w:highlight w:val="none"/>
        </w:rPr>
        <w:t>00m</w:t>
      </w:r>
      <w:r>
        <w:rPr>
          <w:rFonts w:ascii="Times New Roman" w:hAnsi="Times New Roman" w:eastAsia="宋体" w:cs="Times New Roman"/>
          <w:color w:val="auto"/>
          <w:spacing w:val="-2"/>
          <w:kern w:val="0"/>
          <w:szCs w:val="24"/>
          <w:highlight w:val="none"/>
          <w:vertAlign w:val="superscript"/>
        </w:rPr>
        <w:t>3</w:t>
      </w:r>
      <w:r>
        <w:rPr>
          <w:rFonts w:ascii="Times New Roman" w:hAnsi="Times New Roman" w:eastAsia="宋体" w:cs="Times New Roman"/>
          <w:color w:val="auto"/>
          <w:spacing w:val="-2"/>
          <w:kern w:val="0"/>
          <w:szCs w:val="24"/>
          <w:highlight w:val="none"/>
        </w:rPr>
        <w:t>/a。这部分水全部蒸发或渗透入矿石</w:t>
      </w:r>
      <w:r>
        <w:rPr>
          <w:rFonts w:hint="eastAsia" w:ascii="Times New Roman" w:hAnsi="Times New Roman" w:eastAsia="宋体" w:cs="Times New Roman"/>
          <w:color w:val="auto"/>
          <w:spacing w:val="-2"/>
          <w:kern w:val="0"/>
          <w:szCs w:val="24"/>
          <w:highlight w:val="none"/>
        </w:rPr>
        <w:t>堆</w:t>
      </w:r>
      <w:r>
        <w:rPr>
          <w:rFonts w:ascii="Times New Roman" w:hAnsi="Times New Roman" w:eastAsia="宋体" w:cs="Times New Roman"/>
          <w:color w:val="auto"/>
          <w:spacing w:val="-2"/>
          <w:kern w:val="0"/>
          <w:szCs w:val="24"/>
          <w:highlight w:val="none"/>
        </w:rPr>
        <w:t>中。</w:t>
      </w:r>
    </w:p>
    <w:p>
      <w:pPr>
        <w:ind w:firstLine="480"/>
        <w:rPr>
          <w:rFonts w:ascii="Times New Roman" w:hAnsi="Times New Roman" w:eastAsia="宋体"/>
          <w:color w:val="auto"/>
          <w:highlight w:val="none"/>
        </w:rPr>
      </w:pPr>
      <w:r>
        <w:rPr>
          <w:rFonts w:ascii="Times New Roman" w:hAnsi="Times New Roman" w:eastAsia="宋体"/>
          <w:color w:val="auto"/>
          <w:highlight w:val="none"/>
        </w:rPr>
        <w:t>（5）堆场洒水降尘</w:t>
      </w:r>
    </w:p>
    <w:p>
      <w:pPr>
        <w:ind w:firstLine="472"/>
        <w:rPr>
          <w:rFonts w:ascii="Times New Roman" w:hAnsi="Times New Roman" w:eastAsia="宋体" w:cs="Times New Roman"/>
          <w:color w:val="auto"/>
          <w:spacing w:val="-2"/>
          <w:kern w:val="0"/>
          <w:szCs w:val="24"/>
          <w:highlight w:val="none"/>
        </w:rPr>
      </w:pPr>
      <w:r>
        <w:rPr>
          <w:rFonts w:ascii="Times New Roman" w:hAnsi="Times New Roman" w:eastAsia="宋体" w:cs="Times New Roman"/>
          <w:color w:val="auto"/>
          <w:spacing w:val="-2"/>
          <w:kern w:val="0"/>
          <w:szCs w:val="24"/>
          <w:highlight w:val="none"/>
        </w:rPr>
        <w:t>堆场降尘用水按照0.001m</w:t>
      </w:r>
      <w:r>
        <w:rPr>
          <w:rFonts w:ascii="Times New Roman" w:hAnsi="Times New Roman" w:eastAsia="宋体" w:cs="Times New Roman"/>
          <w:color w:val="auto"/>
          <w:spacing w:val="-2"/>
          <w:kern w:val="0"/>
          <w:szCs w:val="24"/>
          <w:highlight w:val="none"/>
          <w:vertAlign w:val="superscript"/>
        </w:rPr>
        <w:t>3</w:t>
      </w:r>
      <w:r>
        <w:rPr>
          <w:rFonts w:ascii="Times New Roman" w:hAnsi="Times New Roman" w:eastAsia="宋体" w:cs="Times New Roman"/>
          <w:color w:val="auto"/>
          <w:spacing w:val="-2"/>
          <w:kern w:val="0"/>
          <w:szCs w:val="24"/>
          <w:highlight w:val="none"/>
        </w:rPr>
        <w:t>/m</w:t>
      </w:r>
      <w:r>
        <w:rPr>
          <w:rFonts w:ascii="Times New Roman" w:hAnsi="Times New Roman" w:eastAsia="宋体" w:cs="Times New Roman"/>
          <w:color w:val="auto"/>
          <w:spacing w:val="-2"/>
          <w:kern w:val="0"/>
          <w:szCs w:val="24"/>
          <w:highlight w:val="none"/>
          <w:vertAlign w:val="superscript"/>
        </w:rPr>
        <w:t>2</w:t>
      </w:r>
      <w:r>
        <w:rPr>
          <w:rFonts w:ascii="Times New Roman" w:hAnsi="Times New Roman" w:eastAsia="宋体" w:cs="Times New Roman"/>
          <w:color w:val="auto"/>
          <w:spacing w:val="-2"/>
          <w:kern w:val="0"/>
          <w:szCs w:val="24"/>
          <w:highlight w:val="none"/>
        </w:rPr>
        <w:t>·d计算，本项目堆料场及</w:t>
      </w:r>
      <w:r>
        <w:rPr>
          <w:rFonts w:hint="eastAsia" w:ascii="Times New Roman" w:hAnsi="Times New Roman" w:eastAsia="宋体" w:cs="Times New Roman"/>
          <w:color w:val="auto"/>
          <w:spacing w:val="-2"/>
          <w:kern w:val="0"/>
          <w:szCs w:val="24"/>
          <w:highlight w:val="none"/>
        </w:rPr>
        <w:t>排</w:t>
      </w:r>
      <w:r>
        <w:rPr>
          <w:rFonts w:ascii="Times New Roman" w:hAnsi="Times New Roman" w:eastAsia="宋体" w:cs="Times New Roman"/>
          <w:color w:val="auto"/>
          <w:spacing w:val="-2"/>
          <w:kern w:val="0"/>
          <w:szCs w:val="24"/>
          <w:highlight w:val="none"/>
        </w:rPr>
        <w:t>土场总面积为</w:t>
      </w:r>
      <w:r>
        <w:rPr>
          <w:rFonts w:hint="eastAsia" w:ascii="Times New Roman" w:hAnsi="Times New Roman" w:eastAsia="宋体" w:cs="Times New Roman"/>
          <w:color w:val="auto"/>
          <w:spacing w:val="-2"/>
          <w:kern w:val="0"/>
          <w:szCs w:val="24"/>
          <w:highlight w:val="none"/>
        </w:rPr>
        <w:t>16</w:t>
      </w:r>
      <w:r>
        <w:rPr>
          <w:rFonts w:ascii="Times New Roman" w:hAnsi="Times New Roman" w:eastAsia="宋体" w:cs="Times New Roman"/>
          <w:color w:val="auto"/>
          <w:spacing w:val="-2"/>
          <w:kern w:val="0"/>
          <w:szCs w:val="24"/>
          <w:highlight w:val="none"/>
        </w:rPr>
        <w:t>000m</w:t>
      </w:r>
      <w:r>
        <w:rPr>
          <w:rFonts w:ascii="Times New Roman" w:hAnsi="Times New Roman" w:eastAsia="宋体" w:cs="Times New Roman"/>
          <w:color w:val="auto"/>
          <w:spacing w:val="-2"/>
          <w:kern w:val="0"/>
          <w:szCs w:val="24"/>
          <w:highlight w:val="none"/>
          <w:vertAlign w:val="superscript"/>
        </w:rPr>
        <w:t>2</w:t>
      </w:r>
      <w:r>
        <w:rPr>
          <w:rFonts w:ascii="Times New Roman" w:hAnsi="Times New Roman" w:eastAsia="宋体" w:cs="Times New Roman"/>
          <w:color w:val="auto"/>
          <w:spacing w:val="-2"/>
          <w:kern w:val="0"/>
          <w:szCs w:val="24"/>
          <w:highlight w:val="none"/>
        </w:rPr>
        <w:t>，则堆料场降尘用水量为</w:t>
      </w:r>
      <w:r>
        <w:rPr>
          <w:rFonts w:hint="eastAsia" w:ascii="Times New Roman" w:hAnsi="Times New Roman" w:eastAsia="宋体" w:cs="Times New Roman"/>
          <w:color w:val="auto"/>
          <w:spacing w:val="-2"/>
          <w:kern w:val="0"/>
          <w:szCs w:val="24"/>
          <w:highlight w:val="none"/>
        </w:rPr>
        <w:t>16</w:t>
      </w:r>
      <w:r>
        <w:rPr>
          <w:rFonts w:ascii="Times New Roman" w:hAnsi="Times New Roman" w:eastAsia="宋体" w:cs="Times New Roman"/>
          <w:color w:val="auto"/>
          <w:spacing w:val="-2"/>
          <w:kern w:val="0"/>
          <w:szCs w:val="24"/>
          <w:highlight w:val="none"/>
        </w:rPr>
        <w:t>.0m</w:t>
      </w:r>
      <w:r>
        <w:rPr>
          <w:rFonts w:ascii="Times New Roman" w:hAnsi="Times New Roman" w:eastAsia="宋体" w:cs="Times New Roman"/>
          <w:color w:val="auto"/>
          <w:spacing w:val="-2"/>
          <w:kern w:val="0"/>
          <w:szCs w:val="24"/>
          <w:highlight w:val="none"/>
          <w:vertAlign w:val="superscript"/>
        </w:rPr>
        <w:t>3</w:t>
      </w:r>
      <w:r>
        <w:rPr>
          <w:rFonts w:ascii="Times New Roman" w:hAnsi="Times New Roman" w:eastAsia="宋体" w:cs="Times New Roman"/>
          <w:color w:val="auto"/>
          <w:spacing w:val="-2"/>
          <w:kern w:val="0"/>
          <w:szCs w:val="24"/>
          <w:highlight w:val="none"/>
        </w:rPr>
        <w:t>/d（</w:t>
      </w:r>
      <w:r>
        <w:rPr>
          <w:rFonts w:hint="eastAsia" w:ascii="Times New Roman" w:hAnsi="Times New Roman" w:eastAsia="宋体" w:cs="Times New Roman"/>
          <w:color w:val="auto"/>
          <w:spacing w:val="-2"/>
          <w:kern w:val="0"/>
          <w:szCs w:val="24"/>
          <w:highlight w:val="none"/>
        </w:rPr>
        <w:t>480</w:t>
      </w:r>
      <w:r>
        <w:rPr>
          <w:rFonts w:ascii="Times New Roman" w:hAnsi="Times New Roman" w:eastAsia="宋体" w:cs="Times New Roman"/>
          <w:color w:val="auto"/>
          <w:spacing w:val="-2"/>
          <w:kern w:val="0"/>
          <w:szCs w:val="24"/>
          <w:highlight w:val="none"/>
        </w:rPr>
        <w:t>0m</w:t>
      </w:r>
      <w:r>
        <w:rPr>
          <w:rFonts w:ascii="Times New Roman" w:hAnsi="Times New Roman" w:eastAsia="宋体" w:cs="Times New Roman"/>
          <w:color w:val="auto"/>
          <w:spacing w:val="-2"/>
          <w:kern w:val="0"/>
          <w:szCs w:val="24"/>
          <w:highlight w:val="none"/>
          <w:vertAlign w:val="superscript"/>
        </w:rPr>
        <w:t>3</w:t>
      </w:r>
      <w:r>
        <w:rPr>
          <w:rFonts w:ascii="Times New Roman" w:hAnsi="Times New Roman" w:eastAsia="宋体" w:cs="Times New Roman"/>
          <w:color w:val="auto"/>
          <w:spacing w:val="-2"/>
          <w:kern w:val="0"/>
          <w:szCs w:val="24"/>
          <w:highlight w:val="none"/>
        </w:rPr>
        <w:t>/a）。该部分水</w:t>
      </w:r>
      <w:r>
        <w:rPr>
          <w:rFonts w:hint="eastAsia" w:ascii="Times New Roman" w:hAnsi="Times New Roman" w:eastAsia="宋体" w:cs="Times New Roman"/>
          <w:color w:val="auto"/>
          <w:spacing w:val="-2"/>
          <w:kern w:val="0"/>
          <w:szCs w:val="24"/>
          <w:highlight w:val="none"/>
        </w:rPr>
        <w:t>全部</w:t>
      </w:r>
      <w:r>
        <w:rPr>
          <w:rFonts w:ascii="Times New Roman" w:hAnsi="Times New Roman" w:eastAsia="宋体" w:cs="Times New Roman"/>
          <w:color w:val="auto"/>
          <w:spacing w:val="-2"/>
          <w:kern w:val="0"/>
          <w:szCs w:val="24"/>
          <w:highlight w:val="none"/>
        </w:rPr>
        <w:t>被矿石</w:t>
      </w:r>
      <w:r>
        <w:rPr>
          <w:rFonts w:hint="eastAsia" w:ascii="Times New Roman" w:hAnsi="Times New Roman" w:eastAsia="宋体" w:cs="Times New Roman"/>
          <w:color w:val="auto"/>
          <w:spacing w:val="-2"/>
          <w:kern w:val="0"/>
          <w:szCs w:val="24"/>
          <w:highlight w:val="none"/>
        </w:rPr>
        <w:t>堆</w:t>
      </w:r>
      <w:r>
        <w:rPr>
          <w:rFonts w:ascii="Times New Roman" w:hAnsi="Times New Roman" w:eastAsia="宋体" w:cs="Times New Roman"/>
          <w:color w:val="auto"/>
          <w:spacing w:val="-2"/>
          <w:kern w:val="0"/>
          <w:szCs w:val="24"/>
          <w:highlight w:val="none"/>
        </w:rPr>
        <w:t>吸收和蒸发。</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（6）雾炮机洒水降尘用水</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整合</w:t>
      </w:r>
      <w:r>
        <w:rPr>
          <w:rFonts w:hint="eastAsia" w:ascii="Times New Roman" w:hAnsi="Times New Roman" w:eastAsia="宋体"/>
          <w:color w:val="auto"/>
          <w:highlight w:val="none"/>
        </w:rPr>
        <w:t>项目新增4台雾炮机，分别设置在采区和加工区，雾炮机额定用水量为0.05m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/min，项目工作时间2400h/a，按每工作1小时需洒水2min计算，则项目需洒水总时间19200min/a，耗水量960m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/a。该部分水被矿石堆吸收和蒸发，没有废水外排。</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（7）</w:t>
      </w:r>
      <w:r>
        <w:rPr>
          <w:rFonts w:ascii="Times New Roman" w:hAnsi="Times New Roman" w:eastAsia="宋体"/>
          <w:color w:val="auto"/>
          <w:highlight w:val="none"/>
        </w:rPr>
        <w:t>车辆清洗用水</w:t>
      </w:r>
    </w:p>
    <w:p>
      <w:pPr>
        <w:ind w:firstLine="480"/>
        <w:rPr>
          <w:rFonts w:ascii="Times New Roman" w:hAnsi="Times New Roman" w:eastAsia="宋体"/>
          <w:color w:val="auto"/>
          <w:highlight w:val="none"/>
        </w:rPr>
      </w:pPr>
      <w:r>
        <w:rPr>
          <w:rFonts w:ascii="Times New Roman" w:hAnsi="Times New Roman" w:eastAsia="宋体" w:cs="Times New Roman"/>
          <w:color w:val="auto"/>
          <w:highlight w:val="none"/>
        </w:rPr>
        <w:t>项目每天需对外运输</w:t>
      </w:r>
      <w:r>
        <w:rPr>
          <w:rFonts w:hint="eastAsia" w:ascii="Times New Roman" w:hAnsi="Times New Roman" w:eastAsia="宋体" w:cs="Times New Roman"/>
          <w:color w:val="auto"/>
          <w:highlight w:val="none"/>
        </w:rPr>
        <w:t>28</w:t>
      </w:r>
      <w:r>
        <w:rPr>
          <w:rFonts w:ascii="Times New Roman" w:hAnsi="Times New Roman" w:eastAsia="宋体" w:cs="Times New Roman"/>
          <w:color w:val="auto"/>
          <w:highlight w:val="none"/>
        </w:rPr>
        <w:t>车次，即每天进出场约</w:t>
      </w:r>
      <w:r>
        <w:rPr>
          <w:rFonts w:hint="eastAsia" w:ascii="Times New Roman" w:hAnsi="Times New Roman" w:eastAsia="宋体" w:cs="Times New Roman"/>
          <w:color w:val="auto"/>
          <w:highlight w:val="none"/>
        </w:rPr>
        <w:t>56</w:t>
      </w:r>
      <w:r>
        <w:rPr>
          <w:rFonts w:ascii="Times New Roman" w:hAnsi="Times New Roman" w:eastAsia="宋体" w:cs="Times New Roman"/>
          <w:color w:val="auto"/>
          <w:highlight w:val="none"/>
        </w:rPr>
        <w:t>车次。运输车辆在进出场前需冲洗轮胎和底盘，以保证不带泥上路，此过程会产生一定量的冲洗废水。根据《建筑给排水设计规范》（2009年版）汽车冲洗用水定额，本项目</w:t>
      </w:r>
      <w:r>
        <w:rPr>
          <w:rFonts w:hint="eastAsia" w:ascii="Times New Roman" w:hAnsi="Times New Roman" w:eastAsia="宋体" w:cs="Times New Roman"/>
          <w:color w:val="auto"/>
          <w:highlight w:val="none"/>
        </w:rPr>
        <w:t>载重汽车循环</w:t>
      </w:r>
      <w:r>
        <w:rPr>
          <w:rFonts w:ascii="Times New Roman" w:hAnsi="Times New Roman" w:eastAsia="宋体" w:cs="Times New Roman"/>
          <w:color w:val="auto"/>
          <w:highlight w:val="none"/>
        </w:rPr>
        <w:t>用水冲洗定额按0.</w:t>
      </w:r>
      <w:r>
        <w:rPr>
          <w:rFonts w:hint="eastAsia" w:ascii="Times New Roman" w:hAnsi="Times New Roman" w:eastAsia="宋体" w:cs="Times New Roman"/>
          <w:color w:val="auto"/>
          <w:highlight w:val="none"/>
        </w:rPr>
        <w:t>05</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/辆•次计，则共需用水量</w:t>
      </w:r>
      <w:r>
        <w:rPr>
          <w:rFonts w:hint="eastAsia" w:ascii="Times New Roman" w:hAnsi="Times New Roman" w:eastAsia="宋体" w:cs="Times New Roman"/>
          <w:color w:val="auto"/>
          <w:highlight w:val="none"/>
        </w:rPr>
        <w:t>2.8</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/d（</w:t>
      </w:r>
      <w:r>
        <w:rPr>
          <w:rFonts w:hint="eastAsia" w:ascii="Times New Roman" w:hAnsi="Times New Roman" w:eastAsia="宋体" w:cs="Times New Roman"/>
          <w:color w:val="auto"/>
          <w:highlight w:val="none"/>
        </w:rPr>
        <w:t>84</w:t>
      </w:r>
      <w:r>
        <w:rPr>
          <w:rFonts w:ascii="Times New Roman" w:hAnsi="Times New Roman" w:eastAsia="宋体" w:cs="Times New Roman"/>
          <w:color w:val="auto"/>
          <w:highlight w:val="none"/>
        </w:rPr>
        <w:t>0m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/a），其中新鲜用水</w:t>
      </w:r>
      <w:r>
        <w:rPr>
          <w:rFonts w:hint="eastAsia" w:ascii="Times New Roman" w:hAnsi="Times New Roman" w:eastAsia="宋体" w:cs="Times New Roman"/>
          <w:color w:val="auto"/>
          <w:highlight w:val="none"/>
        </w:rPr>
        <w:t>0.4</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/d（</w:t>
      </w:r>
      <w:r>
        <w:rPr>
          <w:rFonts w:hint="eastAsia" w:ascii="Times New Roman" w:hAnsi="Times New Roman" w:eastAsia="宋体" w:cs="Times New Roman"/>
          <w:color w:val="auto"/>
          <w:highlight w:val="none"/>
        </w:rPr>
        <w:t>12</w:t>
      </w:r>
      <w:r>
        <w:rPr>
          <w:rFonts w:ascii="Times New Roman" w:hAnsi="Times New Roman" w:eastAsia="宋体" w:cs="Times New Roman"/>
          <w:color w:val="auto"/>
          <w:highlight w:val="none"/>
        </w:rPr>
        <w:t>0m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/a），循环用水</w:t>
      </w:r>
      <w:r>
        <w:rPr>
          <w:rFonts w:hint="eastAsia" w:ascii="Times New Roman" w:hAnsi="Times New Roman" w:eastAsia="宋体" w:cs="Times New Roman"/>
          <w:color w:val="auto"/>
          <w:highlight w:val="none"/>
        </w:rPr>
        <w:t>2.4</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/d（</w:t>
      </w:r>
      <w:r>
        <w:rPr>
          <w:rFonts w:hint="eastAsia" w:ascii="Times New Roman" w:hAnsi="Times New Roman" w:eastAsia="宋体" w:cs="Times New Roman"/>
          <w:color w:val="auto"/>
          <w:highlight w:val="none"/>
        </w:rPr>
        <w:t>72</w:t>
      </w:r>
      <w:r>
        <w:rPr>
          <w:rFonts w:ascii="Times New Roman" w:hAnsi="Times New Roman" w:eastAsia="宋体" w:cs="Times New Roman"/>
          <w:color w:val="auto"/>
          <w:highlight w:val="none"/>
        </w:rPr>
        <w:t>0m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/a）。</w:t>
      </w:r>
      <w:r>
        <w:rPr>
          <w:rFonts w:ascii="Times New Roman" w:hAnsi="Times New Roman" w:eastAsia="宋体"/>
          <w:color w:val="auto"/>
          <w:highlight w:val="none"/>
        </w:rPr>
        <w:t>车辆冲洗均在工业场地内进行，冲洗废水污染物为SS</w:t>
      </w:r>
      <w:r>
        <w:rPr>
          <w:rFonts w:hint="eastAsia" w:ascii="Times New Roman" w:hAnsi="Times New Roman" w:eastAsia="宋体"/>
          <w:color w:val="auto"/>
          <w:highlight w:val="none"/>
        </w:rPr>
        <w:t>和石油类</w:t>
      </w:r>
      <w:r>
        <w:rPr>
          <w:rFonts w:ascii="Times New Roman" w:hAnsi="Times New Roman" w:eastAsia="宋体"/>
          <w:color w:val="auto"/>
          <w:highlight w:val="none"/>
        </w:rPr>
        <w:t>。项目在自动洗车平台处设</w:t>
      </w:r>
      <w:r>
        <w:rPr>
          <w:rFonts w:hint="eastAsia" w:ascii="Times New Roman" w:hAnsi="Times New Roman" w:eastAsia="宋体"/>
          <w:color w:val="auto"/>
          <w:highlight w:val="none"/>
        </w:rPr>
        <w:t>隔油</w:t>
      </w:r>
      <w:r>
        <w:rPr>
          <w:rFonts w:ascii="Times New Roman" w:hAnsi="Times New Roman" w:eastAsia="宋体"/>
          <w:color w:val="auto"/>
          <w:highlight w:val="none"/>
        </w:rPr>
        <w:t>沉砂池，废水处理后循环利用。</w:t>
      </w:r>
    </w:p>
    <w:p>
      <w:pPr>
        <w:numPr>
          <w:ilvl w:val="0"/>
          <w:numId w:val="10"/>
        </w:num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洗砂用水</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w:t>
      </w:r>
      <w:r>
        <w:rPr>
          <w:rFonts w:hint="eastAsia"/>
          <w:color w:val="auto"/>
          <w:highlight w:val="none"/>
          <w:u w:val="single"/>
          <w:lang w:eastAsia="zh-CN"/>
        </w:rPr>
        <w:t>破碎场①</w:t>
      </w:r>
      <w:r>
        <w:rPr>
          <w:rFonts w:hint="eastAsia" w:ascii="Times New Roman" w:hAnsi="Times New Roman" w:eastAsia="宋体"/>
          <w:color w:val="auto"/>
          <w:highlight w:val="none"/>
        </w:rPr>
        <w:t>石粉中含有少量泥渣，需进行水洗除泥，根据项目设计，洗砂耗水量2</w:t>
      </w:r>
      <w:r>
        <w:rPr>
          <w:rFonts w:hint="eastAsia" w:ascii="Times New Roman" w:hAnsi="Times New Roman" w:eastAsia="宋体"/>
          <w:color w:val="auto"/>
          <w:highlight w:val="none"/>
          <w:lang w:val="en-US" w:eastAsia="zh-CN"/>
        </w:rPr>
        <w:t>5</w:t>
      </w:r>
      <w:r>
        <w:rPr>
          <w:rFonts w:hint="eastAsia" w:ascii="Times New Roman" w:hAnsi="Times New Roman" w:eastAsia="宋体"/>
          <w:color w:val="auto"/>
          <w:highlight w:val="none"/>
        </w:rPr>
        <w:t>0m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/d（75000m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/a），</w:t>
      </w:r>
      <w:r>
        <w:rPr>
          <w:rFonts w:ascii="Times New Roman" w:hAnsi="Times New Roman" w:eastAsia="宋体" w:cs="Times New Roman"/>
          <w:color w:val="auto"/>
          <w:highlight w:val="none"/>
        </w:rPr>
        <w:t>其中新鲜用水</w:t>
      </w:r>
      <w:r>
        <w:rPr>
          <w:rFonts w:hint="eastAsia" w:ascii="Times New Roman" w:hAnsi="Times New Roman" w:eastAsia="宋体" w:cs="Times New Roman"/>
          <w:color w:val="auto"/>
          <w:highlight w:val="none"/>
        </w:rPr>
        <w:t>10</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/d（</w:t>
      </w:r>
      <w:r>
        <w:rPr>
          <w:rFonts w:hint="eastAsia" w:ascii="Times New Roman" w:hAnsi="Times New Roman" w:eastAsia="宋体" w:cs="Times New Roman"/>
          <w:color w:val="auto"/>
          <w:highlight w:val="none"/>
        </w:rPr>
        <w:t>300</w:t>
      </w:r>
      <w:r>
        <w:rPr>
          <w:rFonts w:ascii="Times New Roman" w:hAnsi="Times New Roman" w:eastAsia="宋体" w:cs="Times New Roman"/>
          <w:color w:val="auto"/>
          <w:highlight w:val="none"/>
        </w:rPr>
        <w:t>0m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/a），循环用水</w:t>
      </w:r>
      <w:r>
        <w:rPr>
          <w:rFonts w:hint="eastAsia" w:ascii="Times New Roman" w:hAnsi="Times New Roman" w:eastAsia="宋体" w:cs="Times New Roman"/>
          <w:color w:val="auto"/>
          <w:highlight w:val="none"/>
        </w:rPr>
        <w:t>240</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/d（</w:t>
      </w:r>
      <w:r>
        <w:rPr>
          <w:rFonts w:hint="eastAsia" w:ascii="Times New Roman" w:hAnsi="Times New Roman" w:eastAsia="宋体" w:cs="Times New Roman"/>
          <w:color w:val="auto"/>
          <w:highlight w:val="none"/>
        </w:rPr>
        <w:t>72000</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/a），</w:t>
      </w:r>
      <w:r>
        <w:rPr>
          <w:rFonts w:hint="eastAsia" w:ascii="Times New Roman" w:hAnsi="Times New Roman" w:eastAsia="宋体" w:cs="Times New Roman"/>
          <w:color w:val="auto"/>
          <w:highlight w:val="none"/>
        </w:rPr>
        <w:t>废水中主要污染物为SS，浓度约2000mg/L，废水经沉淀后循环使用</w:t>
      </w:r>
      <w:r>
        <w:rPr>
          <w:rFonts w:ascii="Times New Roman" w:hAnsi="Times New Roman" w:eastAsia="宋体" w:cs="Times New Roman"/>
          <w:color w:val="auto"/>
          <w:highlight w:val="none"/>
        </w:rPr>
        <w:t>。</w:t>
      </w:r>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2、初期雨水</w:t>
      </w:r>
    </w:p>
    <w:p>
      <w:pPr>
        <w:snapToGrid w:val="0"/>
        <w:ind w:firstLine="480"/>
        <w:rPr>
          <w:rFonts w:ascii="Times New Roman" w:hAnsi="Times New Roman" w:eastAsia="宋体" w:cs="Times New Roman"/>
          <w:color w:val="auto"/>
          <w:kern w:val="0"/>
          <w:szCs w:val="24"/>
          <w:highlight w:val="none"/>
        </w:rPr>
      </w:pPr>
      <w:r>
        <w:rPr>
          <w:rFonts w:ascii="Times New Roman" w:hAnsi="Times New Roman" w:eastAsia="宋体" w:cs="Times New Roman"/>
          <w:color w:val="auto"/>
          <w:highlight w:val="none"/>
        </w:rPr>
        <w:t>项目运营过程中水污染源主要为采区和加工区初期雨水。</w:t>
      </w:r>
      <w:r>
        <w:rPr>
          <w:rFonts w:ascii="Times New Roman" w:hAnsi="Times New Roman" w:eastAsia="宋体" w:cs="Times New Roman"/>
          <w:color w:val="auto"/>
          <w:kern w:val="0"/>
          <w:szCs w:val="24"/>
          <w:highlight w:val="none"/>
        </w:rPr>
        <w:t>根据《室外排水设计规范》（GB</w:t>
      </w:r>
      <w:r>
        <w:rPr>
          <w:rFonts w:hint="eastAsia" w:ascii="Times New Roman" w:hAnsi="Times New Roman" w:eastAsia="宋体" w:cs="Times New Roman"/>
          <w:color w:val="auto"/>
          <w:kern w:val="0"/>
          <w:szCs w:val="24"/>
          <w:highlight w:val="none"/>
          <w:lang w:val="en-US" w:eastAsia="zh-CN"/>
        </w:rPr>
        <w:t xml:space="preserve"> </w:t>
      </w:r>
      <w:r>
        <w:rPr>
          <w:rFonts w:ascii="Times New Roman" w:hAnsi="Times New Roman" w:eastAsia="宋体" w:cs="Times New Roman"/>
          <w:color w:val="auto"/>
          <w:kern w:val="0"/>
          <w:szCs w:val="24"/>
          <w:highlight w:val="none"/>
        </w:rPr>
        <w:t>50014-2006）（2011年版），初期雨水按下式进行估算：</w:t>
      </w:r>
    </w:p>
    <w:p>
      <w:pPr>
        <w:snapToGrid w:val="0"/>
        <w:ind w:firstLine="480"/>
        <w:jc w:val="center"/>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Q=qFΨ</w:t>
      </w:r>
    </w:p>
    <w:p>
      <w:pPr>
        <w:snapToGrid w:val="0"/>
        <w:ind w:firstLine="480"/>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式中：Q——雨水径流量，</w:t>
      </w:r>
      <w:bookmarkStart w:id="594" w:name="_GoBack"/>
      <w:bookmarkEnd w:id="594"/>
      <w:r>
        <w:rPr>
          <w:rFonts w:ascii="Times New Roman" w:hAnsi="Times New Roman" w:eastAsia="宋体" w:cs="Times New Roman"/>
          <w:color w:val="auto"/>
          <w:kern w:val="0"/>
          <w:szCs w:val="24"/>
          <w:highlight w:val="none"/>
        </w:rPr>
        <w:t>L/s；</w:t>
      </w:r>
    </w:p>
    <w:p>
      <w:pPr>
        <w:snapToGrid w:val="0"/>
        <w:ind w:firstLine="1200" w:firstLineChars="500"/>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F——汇水面积(公顷)；</w:t>
      </w:r>
    </w:p>
    <w:p>
      <w:pPr>
        <w:snapToGrid w:val="0"/>
        <w:ind w:firstLine="1200" w:firstLineChars="500"/>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Ψ——为径流系数（非铺砌土路面为0.25~0.35，干砌砖石或碎石路面为0.35~0.4，本项目取0.</w:t>
      </w:r>
      <w:r>
        <w:rPr>
          <w:rFonts w:hint="eastAsia" w:ascii="Times New Roman" w:hAnsi="Times New Roman" w:eastAsia="宋体" w:cs="Times New Roman"/>
          <w:color w:val="auto"/>
          <w:kern w:val="0"/>
          <w:szCs w:val="24"/>
          <w:highlight w:val="none"/>
        </w:rPr>
        <w:t>2</w:t>
      </w:r>
      <w:r>
        <w:rPr>
          <w:rFonts w:ascii="Times New Roman" w:hAnsi="Times New Roman" w:eastAsia="宋体" w:cs="Times New Roman"/>
          <w:color w:val="auto"/>
          <w:kern w:val="0"/>
          <w:szCs w:val="24"/>
          <w:highlight w:val="none"/>
        </w:rPr>
        <w:t>5）；</w:t>
      </w:r>
    </w:p>
    <w:p>
      <w:pPr>
        <w:snapToGrid w:val="0"/>
        <w:ind w:firstLine="1200" w:firstLineChars="500"/>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q——为降雨强度，L/s•ha</w:t>
      </w:r>
    </w:p>
    <w:p>
      <w:pPr>
        <w:snapToGrid w:val="0"/>
        <w:ind w:firstLine="480"/>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根据柳州市暴雨强度公式：</w:t>
      </w:r>
    </w:p>
    <w:p>
      <w:pPr>
        <w:snapToGrid w:val="0"/>
        <w:ind w:firstLine="480"/>
        <w:jc w:val="center"/>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q=1929.943(1+0.776LgP)/(t+9.507)</w:t>
      </w:r>
      <w:r>
        <w:rPr>
          <w:rFonts w:ascii="Times New Roman" w:hAnsi="Times New Roman" w:eastAsia="宋体" w:cs="Times New Roman"/>
          <w:color w:val="auto"/>
          <w:kern w:val="0"/>
          <w:szCs w:val="24"/>
          <w:highlight w:val="none"/>
          <w:vertAlign w:val="superscript"/>
        </w:rPr>
        <w:t>0.652</w:t>
      </w:r>
    </w:p>
    <w:p>
      <w:pPr>
        <w:ind w:firstLine="480"/>
        <w:rPr>
          <w:rFonts w:ascii="Times New Roman" w:hAnsi="Times New Roman" w:eastAsia="宋体"/>
          <w:color w:val="auto"/>
          <w:highlight w:val="none"/>
        </w:rPr>
      </w:pPr>
      <w:r>
        <w:rPr>
          <w:rFonts w:ascii="Times New Roman" w:hAnsi="Times New Roman" w:eastAsia="宋体"/>
          <w:color w:val="auto"/>
          <w:highlight w:val="none"/>
        </w:rPr>
        <w:t>式中：P——重现期，取2年；t——降雨历时，取30min。</w:t>
      </w:r>
    </w:p>
    <w:p>
      <w:pPr>
        <w:ind w:firstLine="480"/>
        <w:rPr>
          <w:rFonts w:ascii="Times New Roman" w:hAnsi="Times New Roman" w:eastAsia="宋体"/>
          <w:color w:val="auto"/>
          <w:highlight w:val="none"/>
        </w:rPr>
      </w:pPr>
      <w:r>
        <w:rPr>
          <w:rFonts w:ascii="Times New Roman" w:hAnsi="Times New Roman" w:eastAsia="宋体"/>
          <w:color w:val="auto"/>
          <w:highlight w:val="none"/>
        </w:rPr>
        <w:t>计算得降雨强度q为270L/s·ha。</w:t>
      </w:r>
    </w:p>
    <w:p>
      <w:pPr>
        <w:ind w:firstLine="480"/>
        <w:rPr>
          <w:rFonts w:hint="eastAsia" w:ascii="Times New Roman" w:hAnsi="Times New Roman" w:eastAsia="宋体" w:cs="Times New Roman"/>
          <w:color w:val="auto"/>
          <w:highlight w:val="none"/>
          <w:u w:val="single"/>
        </w:rPr>
      </w:pPr>
      <w:r>
        <w:rPr>
          <w:rFonts w:ascii="Times New Roman" w:hAnsi="Times New Roman" w:eastAsia="宋体" w:cs="Times New Roman"/>
          <w:color w:val="auto"/>
          <w:kern w:val="0"/>
          <w:szCs w:val="24"/>
          <w:highlight w:val="none"/>
          <w:u w:val="single"/>
        </w:rPr>
        <w:t>项目初期雨水收集范围包括采区和加工区，</w:t>
      </w:r>
      <w:r>
        <w:rPr>
          <w:rFonts w:hint="eastAsia" w:cs="Times New Roman"/>
          <w:color w:val="auto"/>
          <w:kern w:val="0"/>
          <w:szCs w:val="24"/>
          <w:highlight w:val="none"/>
          <w:u w:val="single"/>
          <w:lang w:val="en-US" w:eastAsia="zh-CN"/>
        </w:rPr>
        <w:t>采区初期雨水汇合于</w:t>
      </w:r>
      <w:r>
        <w:rPr>
          <w:rFonts w:hint="eastAsia" w:cs="Times New Roman"/>
          <w:color w:val="auto"/>
          <w:kern w:val="0"/>
          <w:szCs w:val="24"/>
          <w:highlight w:val="none"/>
          <w:u w:val="single"/>
          <w:lang w:eastAsia="zh-CN"/>
        </w:rPr>
        <w:t>破碎场①，</w:t>
      </w:r>
      <w:r>
        <w:rPr>
          <w:rFonts w:ascii="Times New Roman" w:hAnsi="Times New Roman" w:eastAsia="宋体" w:cs="Times New Roman"/>
          <w:color w:val="auto"/>
          <w:kern w:val="0"/>
          <w:szCs w:val="24"/>
          <w:highlight w:val="none"/>
          <w:u w:val="single"/>
        </w:rPr>
        <w:t>采区</w:t>
      </w:r>
      <w:r>
        <w:rPr>
          <w:rFonts w:hint="eastAsia" w:cs="Times New Roman"/>
          <w:color w:val="auto"/>
          <w:kern w:val="0"/>
          <w:szCs w:val="24"/>
          <w:highlight w:val="none"/>
          <w:u w:val="single"/>
          <w:lang w:val="en-US" w:eastAsia="zh-CN"/>
        </w:rPr>
        <w:t>面积约10000</w:t>
      </w:r>
      <w:r>
        <w:rPr>
          <w:rFonts w:ascii="Times New Roman" w:hAnsi="Times New Roman" w:eastAsia="宋体" w:cs="Times New Roman"/>
          <w:color w:val="auto"/>
          <w:kern w:val="0"/>
          <w:szCs w:val="24"/>
          <w:highlight w:val="none"/>
          <w:u w:val="single"/>
        </w:rPr>
        <w:t>m</w:t>
      </w:r>
      <w:r>
        <w:rPr>
          <w:rFonts w:ascii="Times New Roman" w:hAnsi="Times New Roman" w:eastAsia="宋体" w:cs="Times New Roman"/>
          <w:color w:val="auto"/>
          <w:kern w:val="0"/>
          <w:szCs w:val="24"/>
          <w:highlight w:val="none"/>
          <w:u w:val="single"/>
          <w:vertAlign w:val="superscript"/>
        </w:rPr>
        <w:t>2</w:t>
      </w:r>
      <w:r>
        <w:rPr>
          <w:rFonts w:hint="eastAsia" w:cs="Times New Roman"/>
          <w:color w:val="auto"/>
          <w:kern w:val="0"/>
          <w:szCs w:val="24"/>
          <w:highlight w:val="none"/>
          <w:u w:val="single"/>
          <w:lang w:val="en-US" w:eastAsia="zh-CN"/>
        </w:rPr>
        <w:t>，</w:t>
      </w:r>
      <w:r>
        <w:rPr>
          <w:rFonts w:hint="eastAsia" w:cs="Times New Roman"/>
          <w:color w:val="auto"/>
          <w:kern w:val="0"/>
          <w:szCs w:val="24"/>
          <w:highlight w:val="none"/>
          <w:u w:val="single"/>
          <w:lang w:eastAsia="zh-CN"/>
        </w:rPr>
        <w:t>破碎场①</w:t>
      </w:r>
      <w:r>
        <w:rPr>
          <w:rFonts w:ascii="Times New Roman" w:hAnsi="Times New Roman" w:eastAsia="宋体" w:cs="Times New Roman"/>
          <w:color w:val="auto"/>
          <w:kern w:val="0"/>
          <w:szCs w:val="24"/>
          <w:highlight w:val="none"/>
          <w:u w:val="single"/>
        </w:rPr>
        <w:t>加工区</w:t>
      </w:r>
      <w:r>
        <w:rPr>
          <w:rFonts w:hint="eastAsia" w:cs="Times New Roman"/>
          <w:color w:val="auto"/>
          <w:kern w:val="0"/>
          <w:szCs w:val="24"/>
          <w:highlight w:val="none"/>
          <w:u w:val="single"/>
          <w:lang w:val="en-US" w:eastAsia="zh-CN"/>
        </w:rPr>
        <w:t>面积3000</w:t>
      </w:r>
      <w:r>
        <w:rPr>
          <w:rFonts w:ascii="Times New Roman" w:hAnsi="Times New Roman" w:eastAsia="宋体" w:cs="Times New Roman"/>
          <w:color w:val="auto"/>
          <w:kern w:val="0"/>
          <w:szCs w:val="24"/>
          <w:highlight w:val="none"/>
          <w:u w:val="single"/>
        </w:rPr>
        <w:t>m</w:t>
      </w:r>
      <w:r>
        <w:rPr>
          <w:rFonts w:ascii="Times New Roman" w:hAnsi="Times New Roman" w:eastAsia="宋体" w:cs="Times New Roman"/>
          <w:color w:val="auto"/>
          <w:kern w:val="0"/>
          <w:szCs w:val="24"/>
          <w:highlight w:val="none"/>
          <w:u w:val="single"/>
          <w:vertAlign w:val="superscript"/>
        </w:rPr>
        <w:t>2</w:t>
      </w:r>
      <w:r>
        <w:rPr>
          <w:rFonts w:hint="eastAsia" w:cs="Times New Roman"/>
          <w:color w:val="auto"/>
          <w:kern w:val="0"/>
          <w:szCs w:val="24"/>
          <w:highlight w:val="none"/>
          <w:u w:val="single"/>
          <w:lang w:eastAsia="zh-CN"/>
        </w:rPr>
        <w:t>，</w:t>
      </w:r>
      <w:r>
        <w:rPr>
          <w:rFonts w:hint="eastAsia" w:cs="Times New Roman"/>
          <w:color w:val="auto"/>
          <w:kern w:val="0"/>
          <w:szCs w:val="24"/>
          <w:highlight w:val="none"/>
          <w:u w:val="single"/>
          <w:lang w:val="en-US" w:eastAsia="zh-CN"/>
        </w:rPr>
        <w:t>堆料场和堆土场面积8000</w:t>
      </w:r>
      <w:r>
        <w:rPr>
          <w:rFonts w:ascii="Times New Roman" w:hAnsi="Times New Roman" w:eastAsia="宋体" w:cs="Times New Roman"/>
          <w:color w:val="auto"/>
          <w:kern w:val="0"/>
          <w:szCs w:val="24"/>
          <w:highlight w:val="none"/>
          <w:u w:val="single"/>
        </w:rPr>
        <w:t>m</w:t>
      </w:r>
      <w:r>
        <w:rPr>
          <w:rFonts w:ascii="Times New Roman" w:hAnsi="Times New Roman" w:eastAsia="宋体" w:cs="Times New Roman"/>
          <w:color w:val="auto"/>
          <w:kern w:val="0"/>
          <w:szCs w:val="24"/>
          <w:highlight w:val="none"/>
          <w:u w:val="single"/>
          <w:vertAlign w:val="superscript"/>
        </w:rPr>
        <w:t>2</w:t>
      </w:r>
      <w:r>
        <w:rPr>
          <w:rFonts w:hint="eastAsia" w:cs="Times New Roman"/>
          <w:color w:val="auto"/>
          <w:kern w:val="0"/>
          <w:szCs w:val="24"/>
          <w:highlight w:val="none"/>
          <w:u w:val="single"/>
          <w:lang w:eastAsia="zh-CN"/>
        </w:rPr>
        <w:t>，</w:t>
      </w:r>
      <w:r>
        <w:rPr>
          <w:rFonts w:ascii="Times New Roman" w:hAnsi="Times New Roman" w:eastAsia="宋体" w:cs="Times New Roman"/>
          <w:color w:val="auto"/>
          <w:kern w:val="0"/>
          <w:szCs w:val="24"/>
          <w:highlight w:val="none"/>
          <w:u w:val="single"/>
        </w:rPr>
        <w:t>总面积</w:t>
      </w:r>
      <w:r>
        <w:rPr>
          <w:rFonts w:hint="eastAsia" w:ascii="Times New Roman" w:hAnsi="Times New Roman" w:eastAsia="宋体" w:cs="Times New Roman"/>
          <w:color w:val="auto"/>
          <w:kern w:val="0"/>
          <w:szCs w:val="24"/>
          <w:highlight w:val="none"/>
          <w:u w:val="single"/>
        </w:rPr>
        <w:t>为</w:t>
      </w:r>
      <w:r>
        <w:rPr>
          <w:rFonts w:hint="eastAsia" w:cs="Times New Roman"/>
          <w:color w:val="auto"/>
          <w:kern w:val="0"/>
          <w:szCs w:val="24"/>
          <w:highlight w:val="none"/>
          <w:u w:val="single"/>
          <w:lang w:val="en-US" w:eastAsia="zh-CN"/>
        </w:rPr>
        <w:t>21</w:t>
      </w:r>
      <w:r>
        <w:rPr>
          <w:rFonts w:ascii="Times New Roman" w:hAnsi="Times New Roman" w:eastAsia="宋体" w:cs="Times New Roman"/>
          <w:color w:val="auto"/>
          <w:kern w:val="0"/>
          <w:szCs w:val="24"/>
          <w:highlight w:val="none"/>
          <w:u w:val="single"/>
        </w:rPr>
        <w:t>000m</w:t>
      </w:r>
      <w:r>
        <w:rPr>
          <w:rFonts w:ascii="Times New Roman" w:hAnsi="Times New Roman" w:eastAsia="宋体" w:cs="Times New Roman"/>
          <w:color w:val="auto"/>
          <w:kern w:val="0"/>
          <w:szCs w:val="24"/>
          <w:highlight w:val="none"/>
          <w:u w:val="single"/>
          <w:vertAlign w:val="superscript"/>
        </w:rPr>
        <w:t>2</w:t>
      </w:r>
      <w:r>
        <w:rPr>
          <w:rFonts w:ascii="Times New Roman" w:hAnsi="Times New Roman" w:eastAsia="宋体" w:cs="Times New Roman"/>
          <w:color w:val="auto"/>
          <w:kern w:val="0"/>
          <w:szCs w:val="24"/>
          <w:highlight w:val="none"/>
          <w:u w:val="single"/>
        </w:rPr>
        <w:t>，初期雨水量为</w:t>
      </w:r>
      <w:r>
        <w:rPr>
          <w:rFonts w:hint="eastAsia" w:cs="Times New Roman"/>
          <w:color w:val="auto"/>
          <w:kern w:val="0"/>
          <w:szCs w:val="24"/>
          <w:highlight w:val="none"/>
          <w:u w:val="single"/>
          <w:lang w:val="en-US" w:eastAsia="zh-CN"/>
        </w:rPr>
        <w:t>25</w:t>
      </w:r>
      <w:r>
        <w:rPr>
          <w:rFonts w:hint="eastAsia" w:ascii="Times New Roman" w:hAnsi="Times New Roman" w:eastAsia="宋体" w:cs="Times New Roman"/>
          <w:color w:val="auto"/>
          <w:kern w:val="0"/>
          <w:szCs w:val="24"/>
          <w:highlight w:val="none"/>
          <w:u w:val="single"/>
        </w:rPr>
        <w:t>5</w:t>
      </w:r>
      <w:r>
        <w:rPr>
          <w:rFonts w:hint="eastAsia" w:cs="Times New Roman"/>
          <w:color w:val="auto"/>
          <w:kern w:val="0"/>
          <w:szCs w:val="24"/>
          <w:highlight w:val="none"/>
          <w:u w:val="single"/>
          <w:lang w:val="en-US" w:eastAsia="zh-CN"/>
        </w:rPr>
        <w:t>.2</w:t>
      </w:r>
      <w:r>
        <w:rPr>
          <w:rFonts w:ascii="Times New Roman" w:hAnsi="Times New Roman" w:eastAsia="宋体" w:cs="Times New Roman"/>
          <w:color w:val="auto"/>
          <w:kern w:val="0"/>
          <w:szCs w:val="24"/>
          <w:highlight w:val="none"/>
          <w:u w:val="single"/>
        </w:rPr>
        <w:t>m</w:t>
      </w:r>
      <w:r>
        <w:rPr>
          <w:rFonts w:ascii="Times New Roman" w:hAnsi="Times New Roman" w:eastAsia="宋体" w:cs="Times New Roman"/>
          <w:color w:val="auto"/>
          <w:kern w:val="0"/>
          <w:szCs w:val="24"/>
          <w:highlight w:val="none"/>
          <w:u w:val="single"/>
          <w:vertAlign w:val="superscript"/>
        </w:rPr>
        <w:t>3</w:t>
      </w:r>
      <w:r>
        <w:rPr>
          <w:rFonts w:ascii="Times New Roman" w:hAnsi="Times New Roman" w:eastAsia="宋体" w:cs="Times New Roman"/>
          <w:color w:val="auto"/>
          <w:kern w:val="0"/>
          <w:szCs w:val="24"/>
          <w:highlight w:val="none"/>
          <w:u w:val="single"/>
        </w:rPr>
        <w:t>/次</w:t>
      </w:r>
      <w:r>
        <w:rPr>
          <w:rFonts w:hint="eastAsia" w:cs="Times New Roman"/>
          <w:color w:val="auto"/>
          <w:kern w:val="0"/>
          <w:szCs w:val="24"/>
          <w:highlight w:val="none"/>
          <w:u w:val="single"/>
          <w:lang w:eastAsia="zh-CN"/>
        </w:rPr>
        <w:t>；破碎场②</w:t>
      </w:r>
      <w:r>
        <w:rPr>
          <w:rFonts w:ascii="Times New Roman" w:hAnsi="Times New Roman" w:eastAsia="宋体" w:cs="Times New Roman"/>
          <w:color w:val="auto"/>
          <w:kern w:val="0"/>
          <w:szCs w:val="24"/>
          <w:highlight w:val="none"/>
          <w:u w:val="single"/>
        </w:rPr>
        <w:t>加工区</w:t>
      </w:r>
      <w:r>
        <w:rPr>
          <w:rFonts w:hint="eastAsia" w:cs="Times New Roman"/>
          <w:color w:val="auto"/>
          <w:kern w:val="0"/>
          <w:szCs w:val="24"/>
          <w:highlight w:val="none"/>
          <w:u w:val="single"/>
          <w:lang w:val="en-US" w:eastAsia="zh-CN"/>
        </w:rPr>
        <w:t>面积4000</w:t>
      </w:r>
      <w:r>
        <w:rPr>
          <w:rFonts w:ascii="Times New Roman" w:hAnsi="Times New Roman" w:eastAsia="宋体" w:cs="Times New Roman"/>
          <w:color w:val="auto"/>
          <w:kern w:val="0"/>
          <w:szCs w:val="24"/>
          <w:highlight w:val="none"/>
          <w:u w:val="single"/>
        </w:rPr>
        <w:t>m</w:t>
      </w:r>
      <w:r>
        <w:rPr>
          <w:rFonts w:ascii="Times New Roman" w:hAnsi="Times New Roman" w:eastAsia="宋体" w:cs="Times New Roman"/>
          <w:color w:val="auto"/>
          <w:kern w:val="0"/>
          <w:szCs w:val="24"/>
          <w:highlight w:val="none"/>
          <w:u w:val="single"/>
          <w:vertAlign w:val="superscript"/>
        </w:rPr>
        <w:t>2</w:t>
      </w:r>
      <w:r>
        <w:rPr>
          <w:rFonts w:hint="eastAsia" w:cs="Times New Roman"/>
          <w:color w:val="auto"/>
          <w:kern w:val="0"/>
          <w:szCs w:val="24"/>
          <w:highlight w:val="none"/>
          <w:u w:val="single"/>
          <w:lang w:eastAsia="zh-CN"/>
        </w:rPr>
        <w:t>，</w:t>
      </w:r>
      <w:r>
        <w:rPr>
          <w:rFonts w:hint="eastAsia" w:cs="Times New Roman"/>
          <w:color w:val="auto"/>
          <w:kern w:val="0"/>
          <w:szCs w:val="24"/>
          <w:highlight w:val="none"/>
          <w:u w:val="single"/>
          <w:lang w:val="en-US" w:eastAsia="zh-CN"/>
        </w:rPr>
        <w:t>堆料场和堆土场面积8000</w:t>
      </w:r>
      <w:r>
        <w:rPr>
          <w:rFonts w:ascii="Times New Roman" w:hAnsi="Times New Roman" w:eastAsia="宋体" w:cs="Times New Roman"/>
          <w:color w:val="auto"/>
          <w:kern w:val="0"/>
          <w:szCs w:val="24"/>
          <w:highlight w:val="none"/>
          <w:u w:val="single"/>
        </w:rPr>
        <w:t>m</w:t>
      </w:r>
      <w:r>
        <w:rPr>
          <w:rFonts w:ascii="Times New Roman" w:hAnsi="Times New Roman" w:eastAsia="宋体" w:cs="Times New Roman"/>
          <w:color w:val="auto"/>
          <w:kern w:val="0"/>
          <w:szCs w:val="24"/>
          <w:highlight w:val="none"/>
          <w:u w:val="single"/>
          <w:vertAlign w:val="superscript"/>
        </w:rPr>
        <w:t>2</w:t>
      </w:r>
      <w:r>
        <w:rPr>
          <w:rFonts w:hint="eastAsia" w:cs="Times New Roman"/>
          <w:color w:val="auto"/>
          <w:kern w:val="0"/>
          <w:szCs w:val="24"/>
          <w:highlight w:val="none"/>
          <w:u w:val="single"/>
          <w:lang w:eastAsia="zh-CN"/>
        </w:rPr>
        <w:t>，</w:t>
      </w:r>
      <w:r>
        <w:rPr>
          <w:rFonts w:ascii="Times New Roman" w:hAnsi="Times New Roman" w:eastAsia="宋体" w:cs="Times New Roman"/>
          <w:color w:val="auto"/>
          <w:kern w:val="0"/>
          <w:szCs w:val="24"/>
          <w:highlight w:val="none"/>
          <w:u w:val="single"/>
        </w:rPr>
        <w:t>总面积</w:t>
      </w:r>
      <w:r>
        <w:rPr>
          <w:rFonts w:hint="eastAsia" w:ascii="Times New Roman" w:hAnsi="Times New Roman" w:eastAsia="宋体" w:cs="Times New Roman"/>
          <w:color w:val="auto"/>
          <w:kern w:val="0"/>
          <w:szCs w:val="24"/>
          <w:highlight w:val="none"/>
          <w:u w:val="single"/>
        </w:rPr>
        <w:t>为</w:t>
      </w:r>
      <w:r>
        <w:rPr>
          <w:rFonts w:hint="eastAsia" w:cs="Times New Roman"/>
          <w:color w:val="auto"/>
          <w:kern w:val="0"/>
          <w:szCs w:val="24"/>
          <w:highlight w:val="none"/>
          <w:u w:val="single"/>
          <w:lang w:val="en-US" w:eastAsia="zh-CN"/>
        </w:rPr>
        <w:t>12</w:t>
      </w:r>
      <w:r>
        <w:rPr>
          <w:rFonts w:ascii="Times New Roman" w:hAnsi="Times New Roman" w:eastAsia="宋体" w:cs="Times New Roman"/>
          <w:color w:val="auto"/>
          <w:kern w:val="0"/>
          <w:szCs w:val="24"/>
          <w:highlight w:val="none"/>
          <w:u w:val="single"/>
        </w:rPr>
        <w:t>000m</w:t>
      </w:r>
      <w:r>
        <w:rPr>
          <w:rFonts w:ascii="Times New Roman" w:hAnsi="Times New Roman" w:eastAsia="宋体" w:cs="Times New Roman"/>
          <w:color w:val="auto"/>
          <w:kern w:val="0"/>
          <w:szCs w:val="24"/>
          <w:highlight w:val="none"/>
          <w:u w:val="single"/>
          <w:vertAlign w:val="superscript"/>
        </w:rPr>
        <w:t>2</w:t>
      </w:r>
      <w:r>
        <w:rPr>
          <w:rFonts w:ascii="Times New Roman" w:hAnsi="Times New Roman" w:eastAsia="宋体" w:cs="Times New Roman"/>
          <w:color w:val="auto"/>
          <w:kern w:val="0"/>
          <w:szCs w:val="24"/>
          <w:highlight w:val="none"/>
          <w:u w:val="single"/>
        </w:rPr>
        <w:t>，初期雨水量为</w:t>
      </w:r>
      <w:r>
        <w:rPr>
          <w:rFonts w:hint="eastAsia" w:cs="Times New Roman"/>
          <w:color w:val="auto"/>
          <w:kern w:val="0"/>
          <w:szCs w:val="24"/>
          <w:highlight w:val="none"/>
          <w:u w:val="single"/>
          <w:lang w:val="en-US" w:eastAsia="zh-CN"/>
        </w:rPr>
        <w:t>145.8</w:t>
      </w:r>
      <w:r>
        <w:rPr>
          <w:rFonts w:ascii="Times New Roman" w:hAnsi="Times New Roman" w:eastAsia="宋体" w:cs="Times New Roman"/>
          <w:color w:val="auto"/>
          <w:kern w:val="0"/>
          <w:szCs w:val="24"/>
          <w:highlight w:val="none"/>
          <w:u w:val="single"/>
        </w:rPr>
        <w:t>m</w:t>
      </w:r>
      <w:r>
        <w:rPr>
          <w:rFonts w:ascii="Times New Roman" w:hAnsi="Times New Roman" w:eastAsia="宋体" w:cs="Times New Roman"/>
          <w:color w:val="auto"/>
          <w:kern w:val="0"/>
          <w:szCs w:val="24"/>
          <w:highlight w:val="none"/>
          <w:u w:val="single"/>
          <w:vertAlign w:val="superscript"/>
        </w:rPr>
        <w:t>3</w:t>
      </w:r>
      <w:r>
        <w:rPr>
          <w:rFonts w:ascii="Times New Roman" w:hAnsi="Times New Roman" w:eastAsia="宋体" w:cs="Times New Roman"/>
          <w:color w:val="auto"/>
          <w:kern w:val="0"/>
          <w:szCs w:val="24"/>
          <w:highlight w:val="none"/>
          <w:u w:val="single"/>
        </w:rPr>
        <w:t>/次</w:t>
      </w:r>
      <w:r>
        <w:rPr>
          <w:rFonts w:hint="eastAsia" w:ascii="Times New Roman" w:hAnsi="Times New Roman" w:eastAsia="宋体" w:cs="Times New Roman"/>
          <w:color w:val="auto"/>
          <w:kern w:val="0"/>
          <w:szCs w:val="24"/>
          <w:highlight w:val="none"/>
          <w:u w:val="single"/>
        </w:rPr>
        <w:t>，矿区初期雨水总量</w:t>
      </w:r>
      <w:r>
        <w:rPr>
          <w:rFonts w:hint="eastAsia" w:cs="Times New Roman"/>
          <w:color w:val="auto"/>
          <w:kern w:val="0"/>
          <w:szCs w:val="24"/>
          <w:highlight w:val="none"/>
          <w:u w:val="single"/>
          <w:lang w:val="en-US" w:eastAsia="zh-CN"/>
        </w:rPr>
        <w:t>401</w:t>
      </w:r>
      <w:r>
        <w:rPr>
          <w:rFonts w:ascii="Times New Roman" w:hAnsi="Times New Roman" w:eastAsia="宋体" w:cs="Times New Roman"/>
          <w:color w:val="auto"/>
          <w:kern w:val="0"/>
          <w:szCs w:val="24"/>
          <w:highlight w:val="none"/>
          <w:u w:val="single"/>
        </w:rPr>
        <w:t>m</w:t>
      </w:r>
      <w:r>
        <w:rPr>
          <w:rFonts w:ascii="Times New Roman" w:hAnsi="Times New Roman" w:eastAsia="宋体" w:cs="Times New Roman"/>
          <w:color w:val="auto"/>
          <w:kern w:val="0"/>
          <w:szCs w:val="24"/>
          <w:highlight w:val="none"/>
          <w:u w:val="single"/>
          <w:vertAlign w:val="superscript"/>
        </w:rPr>
        <w:t>3</w:t>
      </w:r>
      <w:r>
        <w:rPr>
          <w:rFonts w:ascii="Times New Roman" w:hAnsi="Times New Roman" w:eastAsia="宋体" w:cs="Times New Roman"/>
          <w:color w:val="auto"/>
          <w:kern w:val="0"/>
          <w:szCs w:val="24"/>
          <w:highlight w:val="none"/>
          <w:u w:val="single"/>
        </w:rPr>
        <w:t>/次。</w:t>
      </w:r>
    </w:p>
    <w:p>
      <w:pPr>
        <w:ind w:firstLine="480"/>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u w:val="single"/>
        </w:rPr>
        <w:t>项目初期雨水主要污染物为SS，类比同类型矿山项目初期雨水污染物浓度，初期雨水中SS的初始浓度约为500mg/L。项目拟在矿山</w:t>
      </w:r>
      <w:r>
        <w:rPr>
          <w:rFonts w:hint="eastAsia" w:ascii="Times New Roman" w:hAnsi="Times New Roman" w:eastAsia="宋体" w:cs="Times New Roman"/>
          <w:color w:val="auto"/>
          <w:highlight w:val="none"/>
          <w:u w:val="single"/>
        </w:rPr>
        <w:t>沿山道路</w:t>
      </w:r>
      <w:r>
        <w:rPr>
          <w:rFonts w:ascii="Times New Roman" w:hAnsi="Times New Roman" w:eastAsia="宋体" w:cs="Times New Roman"/>
          <w:color w:val="auto"/>
          <w:highlight w:val="none"/>
          <w:u w:val="single"/>
        </w:rPr>
        <w:t>周边设置截排水沟，</w:t>
      </w:r>
      <w:r>
        <w:rPr>
          <w:rFonts w:hint="eastAsia" w:ascii="Times New Roman" w:hAnsi="Times New Roman" w:eastAsia="宋体" w:cs="Times New Roman"/>
          <w:color w:val="auto"/>
          <w:highlight w:val="none"/>
          <w:u w:val="single"/>
        </w:rPr>
        <w:t>将采区和加工区初期雨水导入截排水沟中，同时在截排水沟底部建设</w:t>
      </w:r>
      <w:r>
        <w:rPr>
          <w:rFonts w:ascii="Times New Roman" w:hAnsi="Times New Roman" w:eastAsia="宋体" w:cs="Times New Roman"/>
          <w:color w:val="auto"/>
          <w:highlight w:val="none"/>
          <w:u w:val="single"/>
        </w:rPr>
        <w:t>2座初期雨水沉沙池，</w:t>
      </w:r>
      <w:r>
        <w:rPr>
          <w:rFonts w:ascii="Times New Roman" w:hAnsi="Times New Roman" w:eastAsia="宋体" w:cs="Times New Roman"/>
          <w:color w:val="auto"/>
          <w:highlight w:val="none"/>
          <w:u w:val="single"/>
        </w:rPr>
        <w:t>1#沉砂池设在</w:t>
      </w:r>
      <w:r>
        <w:rPr>
          <w:rFonts w:hint="eastAsia" w:cs="Times New Roman"/>
          <w:color w:val="auto"/>
          <w:highlight w:val="none"/>
          <w:u w:val="single"/>
          <w:lang w:eastAsia="zh-CN"/>
        </w:rPr>
        <w:t>破碎场①</w:t>
      </w:r>
      <w:r>
        <w:rPr>
          <w:rFonts w:hint="eastAsia" w:ascii="Times New Roman" w:hAnsi="Times New Roman" w:eastAsia="宋体" w:cs="Times New Roman"/>
          <w:color w:val="auto"/>
          <w:highlight w:val="none"/>
          <w:u w:val="single"/>
        </w:rPr>
        <w:t>中部</w:t>
      </w:r>
      <w:r>
        <w:rPr>
          <w:rFonts w:ascii="Times New Roman" w:hAnsi="Times New Roman" w:eastAsia="宋体" w:cs="Times New Roman"/>
          <w:color w:val="auto"/>
          <w:highlight w:val="none"/>
          <w:u w:val="single"/>
        </w:rPr>
        <w:t>，容积为</w:t>
      </w:r>
      <w:r>
        <w:rPr>
          <w:rFonts w:hint="eastAsia" w:cs="Times New Roman"/>
          <w:color w:val="auto"/>
          <w:highlight w:val="none"/>
          <w:u w:val="single"/>
          <w:lang w:val="en-US" w:eastAsia="zh-CN"/>
        </w:rPr>
        <w:t>3</w:t>
      </w:r>
      <w:r>
        <w:rPr>
          <w:rFonts w:hint="eastAsia" w:ascii="Times New Roman" w:hAnsi="Times New Roman" w:eastAsia="宋体" w:cs="Times New Roman"/>
          <w:color w:val="auto"/>
          <w:highlight w:val="none"/>
          <w:u w:val="single"/>
        </w:rPr>
        <w:t>0</w:t>
      </w:r>
      <w:r>
        <w:rPr>
          <w:rFonts w:ascii="Times New Roman" w:hAnsi="Times New Roman" w:eastAsia="宋体" w:cs="Times New Roman"/>
          <w:color w:val="auto"/>
          <w:highlight w:val="none"/>
          <w:u w:val="single"/>
        </w:rPr>
        <w:t>0m</w:t>
      </w:r>
      <w:r>
        <w:rPr>
          <w:rFonts w:ascii="Times New Roman" w:hAnsi="Times New Roman" w:eastAsia="宋体" w:cs="Times New Roman"/>
          <w:color w:val="auto"/>
          <w:highlight w:val="none"/>
          <w:u w:val="single"/>
          <w:vertAlign w:val="superscript"/>
        </w:rPr>
        <w:t>3</w:t>
      </w:r>
      <w:r>
        <w:rPr>
          <w:rFonts w:hint="eastAsia" w:ascii="Times New Roman" w:hAnsi="Times New Roman" w:eastAsia="宋体" w:cs="Times New Roman"/>
          <w:color w:val="auto"/>
          <w:highlight w:val="none"/>
          <w:u w:val="single"/>
        </w:rPr>
        <w:t>，</w:t>
      </w:r>
      <w:r>
        <w:rPr>
          <w:rFonts w:hint="eastAsia" w:cs="Times New Roman"/>
          <w:color w:val="auto"/>
          <w:highlight w:val="none"/>
          <w:u w:val="single"/>
          <w:lang w:val="en-US" w:eastAsia="zh-CN"/>
        </w:rPr>
        <w:t>同时在破碎场</w:t>
      </w:r>
      <w:r>
        <w:rPr>
          <w:rFonts w:hint="eastAsia" w:cs="Times New Roman"/>
          <w:color w:val="auto"/>
          <w:highlight w:val="none"/>
          <w:u w:val="single"/>
          <w:lang w:eastAsia="zh-CN"/>
        </w:rPr>
        <w:t>①泄洪通道</w:t>
      </w:r>
      <w:r>
        <w:rPr>
          <w:rFonts w:hint="eastAsia" w:cs="Times New Roman"/>
          <w:color w:val="auto"/>
          <w:highlight w:val="none"/>
          <w:u w:val="single"/>
          <w:lang w:val="en-US" w:eastAsia="zh-CN"/>
        </w:rPr>
        <w:t>边设置导流沟，将堆料场</w:t>
      </w:r>
      <w:r>
        <w:rPr>
          <w:rFonts w:hint="eastAsia" w:ascii="宋体" w:hAnsi="宋体" w:eastAsia="宋体" w:cs="宋体"/>
          <w:color w:val="auto"/>
          <w:highlight w:val="none"/>
          <w:u w:val="single"/>
          <w:lang w:val="en-US" w:eastAsia="zh-CN"/>
        </w:rPr>
        <w:t>①②③④</w:t>
      </w:r>
      <w:r>
        <w:rPr>
          <w:rFonts w:hint="eastAsia" w:cs="Times New Roman"/>
          <w:color w:val="auto"/>
          <w:highlight w:val="none"/>
          <w:u w:val="single"/>
          <w:lang w:val="en-US" w:eastAsia="zh-CN"/>
        </w:rPr>
        <w:t>初期雨水引入</w:t>
      </w:r>
      <w:r>
        <w:rPr>
          <w:rFonts w:ascii="Times New Roman" w:hAnsi="Times New Roman" w:eastAsia="宋体" w:cs="Times New Roman"/>
          <w:color w:val="auto"/>
          <w:highlight w:val="none"/>
          <w:u w:val="single"/>
        </w:rPr>
        <w:t>1#沉砂池</w:t>
      </w:r>
      <w:r>
        <w:rPr>
          <w:rFonts w:hint="eastAsia" w:cs="Times New Roman"/>
          <w:color w:val="auto"/>
          <w:highlight w:val="none"/>
          <w:u w:val="single"/>
          <w:lang w:eastAsia="zh-CN"/>
        </w:rPr>
        <w:t>，</w:t>
      </w:r>
      <w:r>
        <w:rPr>
          <w:rFonts w:ascii="Times New Roman" w:hAnsi="Times New Roman" w:eastAsia="宋体" w:cs="Times New Roman"/>
          <w:color w:val="auto"/>
          <w:highlight w:val="none"/>
          <w:u w:val="single"/>
        </w:rPr>
        <w:t>1#沉砂池</w:t>
      </w:r>
      <w:r>
        <w:rPr>
          <w:rFonts w:hint="eastAsia" w:ascii="Times New Roman" w:hAnsi="Times New Roman" w:eastAsia="宋体" w:cs="Times New Roman"/>
          <w:color w:val="auto"/>
          <w:highlight w:val="none"/>
          <w:u w:val="single"/>
        </w:rPr>
        <w:t>可接收</w:t>
      </w:r>
      <w:r>
        <w:rPr>
          <w:rFonts w:hint="eastAsia" w:cs="Times New Roman"/>
          <w:color w:val="auto"/>
          <w:highlight w:val="none"/>
          <w:u w:val="single"/>
          <w:lang w:eastAsia="zh-CN"/>
        </w:rPr>
        <w:t>破碎场①</w:t>
      </w:r>
      <w:r>
        <w:rPr>
          <w:rFonts w:hint="eastAsia" w:ascii="Times New Roman" w:hAnsi="Times New Roman" w:eastAsia="宋体" w:cs="Times New Roman"/>
          <w:color w:val="auto"/>
          <w:highlight w:val="none"/>
          <w:u w:val="single"/>
        </w:rPr>
        <w:t>采区和加工区的初期雨水</w:t>
      </w:r>
      <w:r>
        <w:rPr>
          <w:rFonts w:ascii="Times New Roman" w:hAnsi="Times New Roman" w:eastAsia="宋体" w:cs="Times New Roman"/>
          <w:color w:val="auto"/>
          <w:highlight w:val="none"/>
          <w:u w:val="single"/>
        </w:rPr>
        <w:t>；2#沉砂池设在</w:t>
      </w:r>
      <w:r>
        <w:rPr>
          <w:rFonts w:hint="eastAsia" w:cs="Times New Roman"/>
          <w:color w:val="auto"/>
          <w:highlight w:val="none"/>
          <w:u w:val="single"/>
          <w:lang w:eastAsia="zh-CN"/>
        </w:rPr>
        <w:t>破碎场②</w:t>
      </w:r>
      <w:r>
        <w:rPr>
          <w:rFonts w:hint="eastAsia" w:ascii="Times New Roman" w:hAnsi="Times New Roman" w:eastAsia="宋体" w:cs="Times New Roman"/>
          <w:color w:val="auto"/>
          <w:highlight w:val="none"/>
          <w:u w:val="single"/>
        </w:rPr>
        <w:t>西部</w:t>
      </w:r>
      <w:r>
        <w:rPr>
          <w:rFonts w:ascii="Times New Roman" w:hAnsi="Times New Roman" w:eastAsia="宋体" w:cs="Times New Roman"/>
          <w:color w:val="auto"/>
          <w:highlight w:val="none"/>
          <w:u w:val="single"/>
        </w:rPr>
        <w:t>，容积为</w:t>
      </w:r>
      <w:r>
        <w:rPr>
          <w:rFonts w:hint="eastAsia" w:cs="Times New Roman"/>
          <w:color w:val="auto"/>
          <w:highlight w:val="none"/>
          <w:u w:val="single"/>
          <w:lang w:val="en-US" w:eastAsia="zh-CN"/>
        </w:rPr>
        <w:t>2</w:t>
      </w:r>
      <w:r>
        <w:rPr>
          <w:rFonts w:hint="eastAsia" w:ascii="Times New Roman" w:hAnsi="Times New Roman" w:eastAsia="宋体" w:cs="Times New Roman"/>
          <w:color w:val="auto"/>
          <w:highlight w:val="none"/>
          <w:u w:val="single"/>
        </w:rPr>
        <w:t>0</w:t>
      </w:r>
      <w:r>
        <w:rPr>
          <w:rFonts w:ascii="Times New Roman" w:hAnsi="Times New Roman" w:eastAsia="宋体" w:cs="Times New Roman"/>
          <w:color w:val="auto"/>
          <w:highlight w:val="none"/>
          <w:u w:val="single"/>
        </w:rPr>
        <w:t>0m</w:t>
      </w:r>
      <w:r>
        <w:rPr>
          <w:rFonts w:ascii="Times New Roman" w:hAnsi="Times New Roman" w:eastAsia="宋体" w:cs="Times New Roman"/>
          <w:color w:val="auto"/>
          <w:highlight w:val="none"/>
          <w:u w:val="single"/>
          <w:vertAlign w:val="superscript"/>
        </w:rPr>
        <w:t>3</w:t>
      </w:r>
      <w:r>
        <w:rPr>
          <w:rFonts w:hint="eastAsia" w:ascii="Times New Roman" w:hAnsi="Times New Roman" w:eastAsia="宋体" w:cs="Times New Roman"/>
          <w:color w:val="auto"/>
          <w:highlight w:val="none"/>
          <w:u w:val="single"/>
        </w:rPr>
        <w:t>，可接收</w:t>
      </w:r>
      <w:r>
        <w:rPr>
          <w:rFonts w:hint="eastAsia" w:cs="Times New Roman"/>
          <w:color w:val="auto"/>
          <w:highlight w:val="none"/>
          <w:u w:val="single"/>
          <w:lang w:eastAsia="zh-CN"/>
        </w:rPr>
        <w:t>破碎场②</w:t>
      </w:r>
      <w:r>
        <w:rPr>
          <w:rFonts w:hint="eastAsia" w:ascii="Times New Roman" w:hAnsi="Times New Roman" w:eastAsia="宋体" w:cs="Times New Roman"/>
          <w:color w:val="auto"/>
          <w:highlight w:val="none"/>
          <w:u w:val="single"/>
        </w:rPr>
        <w:t>加工区</w:t>
      </w:r>
      <w:r>
        <w:rPr>
          <w:rFonts w:hint="eastAsia" w:cs="Times New Roman"/>
          <w:color w:val="auto"/>
          <w:highlight w:val="none"/>
          <w:u w:val="single"/>
          <w:lang w:val="en-US" w:eastAsia="zh-CN"/>
        </w:rPr>
        <w:t>和堆场</w:t>
      </w:r>
      <w:r>
        <w:rPr>
          <w:rFonts w:hint="eastAsia" w:ascii="Times New Roman" w:hAnsi="Times New Roman" w:eastAsia="宋体" w:cs="Times New Roman"/>
          <w:color w:val="auto"/>
          <w:highlight w:val="none"/>
          <w:u w:val="single"/>
        </w:rPr>
        <w:t>的初期雨水，</w:t>
      </w:r>
      <w:r>
        <w:rPr>
          <w:rFonts w:ascii="Times New Roman" w:hAnsi="Times New Roman" w:eastAsia="宋体" w:cs="Times New Roman"/>
          <w:color w:val="auto"/>
          <w:highlight w:val="none"/>
          <w:u w:val="single"/>
        </w:rPr>
        <w:t>截排水沟、</w:t>
      </w:r>
      <w:r>
        <w:rPr>
          <w:rFonts w:hint="eastAsia" w:ascii="Times New Roman" w:hAnsi="Times New Roman" w:eastAsia="宋体" w:cs="Times New Roman"/>
          <w:color w:val="auto"/>
          <w:highlight w:val="none"/>
          <w:u w:val="single"/>
        </w:rPr>
        <w:t>初期雨水径流方向、</w:t>
      </w:r>
      <w:r>
        <w:rPr>
          <w:rFonts w:ascii="Times New Roman" w:hAnsi="Times New Roman" w:eastAsia="宋体" w:cs="Times New Roman"/>
          <w:color w:val="auto"/>
          <w:highlight w:val="none"/>
          <w:u w:val="single"/>
        </w:rPr>
        <w:t>沉砂池布设情况</w:t>
      </w:r>
      <w:r>
        <w:rPr>
          <w:rFonts w:hint="eastAsia" w:ascii="Times New Roman" w:hAnsi="Times New Roman" w:eastAsia="宋体" w:cs="Times New Roman"/>
          <w:color w:val="auto"/>
          <w:highlight w:val="none"/>
          <w:u w:val="single"/>
        </w:rPr>
        <w:t>可</w:t>
      </w:r>
      <w:r>
        <w:rPr>
          <w:rFonts w:ascii="Times New Roman" w:hAnsi="Times New Roman" w:eastAsia="宋体" w:cs="Times New Roman"/>
          <w:color w:val="auto"/>
          <w:highlight w:val="none"/>
          <w:u w:val="single"/>
        </w:rPr>
        <w:t>见附图3</w:t>
      </w:r>
      <w:r>
        <w:rPr>
          <w:rFonts w:hint="eastAsia" w:cs="Times New Roman"/>
          <w:color w:val="auto"/>
          <w:highlight w:val="none"/>
          <w:u w:val="single"/>
          <w:lang w:val="en-US" w:eastAsia="zh-CN"/>
        </w:rPr>
        <w:t>-1</w:t>
      </w:r>
      <w:r>
        <w:rPr>
          <w:rFonts w:ascii="Times New Roman" w:hAnsi="Times New Roman" w:eastAsia="宋体" w:cs="Times New Roman"/>
          <w:color w:val="auto"/>
          <w:highlight w:val="none"/>
          <w:u w:val="single"/>
        </w:rPr>
        <w:t>，设计参数见附图1</w:t>
      </w:r>
      <w:r>
        <w:rPr>
          <w:rFonts w:hint="eastAsia" w:ascii="Times New Roman" w:hAnsi="Times New Roman" w:eastAsia="宋体" w:cs="Times New Roman"/>
          <w:color w:val="auto"/>
          <w:highlight w:val="none"/>
          <w:u w:val="single"/>
        </w:rPr>
        <w:t>2</w:t>
      </w:r>
      <w:r>
        <w:rPr>
          <w:rFonts w:ascii="Times New Roman" w:hAnsi="Times New Roman" w:eastAsia="宋体" w:cs="Times New Roman"/>
          <w:color w:val="auto"/>
          <w:highlight w:val="none"/>
          <w:u w:val="single"/>
        </w:rPr>
        <w:t>。初期雨水经4⁓6h沉淀后，上层清水可用于矿区洒水降尘，下层沉渣定期清理，用于矿区道路平整。</w:t>
      </w:r>
      <w:r>
        <w:rPr>
          <w:rFonts w:hint="eastAsia"/>
          <w:color w:val="auto"/>
          <w:highlight w:val="none"/>
          <w:u w:val="single"/>
        </w:rPr>
        <w:t>中后期雨水直接排</w:t>
      </w:r>
      <w:r>
        <w:rPr>
          <w:rFonts w:hint="eastAsia"/>
          <w:color w:val="auto"/>
          <w:highlight w:val="none"/>
          <w:u w:val="single"/>
          <w:lang w:val="en-US" w:eastAsia="zh-CN"/>
        </w:rPr>
        <w:t>入矿区周边无名小沟</w:t>
      </w:r>
      <w:r>
        <w:rPr>
          <w:rFonts w:hint="eastAsia"/>
          <w:color w:val="auto"/>
          <w:highlight w:val="none"/>
          <w:u w:val="single"/>
        </w:rPr>
        <w:t>。</w:t>
      </w:r>
    </w:p>
    <w:p>
      <w:pPr>
        <w:snapToGrid w:val="0"/>
        <w:ind w:firstLine="480"/>
        <w:rPr>
          <w:rFonts w:ascii="Times New Roman" w:hAnsi="Times New Roman" w:eastAsia="宋体"/>
          <w:color w:val="auto"/>
          <w:highlight w:val="none"/>
        </w:rPr>
      </w:pPr>
      <w:r>
        <w:rPr>
          <w:rFonts w:ascii="Times New Roman" w:hAnsi="Times New Roman" w:eastAsia="宋体"/>
          <w:color w:val="auto"/>
          <w:highlight w:val="none"/>
        </w:rPr>
        <w:t>3、生活污水</w:t>
      </w:r>
    </w:p>
    <w:p>
      <w:pPr>
        <w:snapToGrid w:val="0"/>
        <w:ind w:firstLine="48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整合项目</w:t>
      </w:r>
      <w:r>
        <w:rPr>
          <w:rFonts w:ascii="Times New Roman" w:hAnsi="Times New Roman" w:eastAsia="宋体" w:cs="Times New Roman"/>
          <w:color w:val="auto"/>
          <w:szCs w:val="24"/>
          <w:highlight w:val="none"/>
        </w:rPr>
        <w:t>劳动定员</w:t>
      </w:r>
      <w:r>
        <w:rPr>
          <w:rFonts w:hint="eastAsia" w:ascii="Times New Roman" w:hAnsi="Times New Roman" w:eastAsia="宋体" w:cs="Times New Roman"/>
          <w:color w:val="auto"/>
          <w:szCs w:val="24"/>
          <w:highlight w:val="none"/>
        </w:rPr>
        <w:t>45</w:t>
      </w:r>
      <w:r>
        <w:rPr>
          <w:rFonts w:ascii="Times New Roman" w:hAnsi="Times New Roman" w:eastAsia="宋体" w:cs="Times New Roman"/>
          <w:color w:val="auto"/>
          <w:szCs w:val="24"/>
          <w:highlight w:val="none"/>
        </w:rPr>
        <w:t>人，均在厂内食宿</w:t>
      </w:r>
      <w:r>
        <w:rPr>
          <w:rFonts w:ascii="Times New Roman" w:hAnsi="Times New Roman" w:eastAsia="宋体" w:cs="Times New Roman"/>
          <w:bCs/>
          <w:color w:val="auto"/>
          <w:szCs w:val="20"/>
          <w:highlight w:val="none"/>
        </w:rPr>
        <w:t>。</w:t>
      </w:r>
      <w:r>
        <w:rPr>
          <w:rFonts w:ascii="Times New Roman" w:hAnsi="Times New Roman" w:eastAsia="宋体" w:cs="Times New Roman"/>
          <w:color w:val="auto"/>
          <w:szCs w:val="24"/>
          <w:highlight w:val="none"/>
        </w:rPr>
        <w:t>根据《城镇生活用水定额》（DB45/T 679-2017）中的用水定额标准，食宿职工生活</w:t>
      </w:r>
      <w:r>
        <w:rPr>
          <w:rFonts w:ascii="Times New Roman" w:hAnsi="Times New Roman" w:eastAsia="宋体" w:cs="Times New Roman"/>
          <w:bCs/>
          <w:color w:val="auto"/>
          <w:szCs w:val="20"/>
          <w:highlight w:val="none"/>
        </w:rPr>
        <w:t>用水定额为150 L/人·d，</w:t>
      </w:r>
      <w:r>
        <w:rPr>
          <w:rFonts w:ascii="Times New Roman" w:hAnsi="Times New Roman" w:eastAsia="宋体" w:cs="Times New Roman"/>
          <w:color w:val="auto"/>
          <w:highlight w:val="none"/>
        </w:rPr>
        <w:t>厨房用水量按25L/人·d计，</w:t>
      </w:r>
      <w:r>
        <w:rPr>
          <w:rFonts w:ascii="Times New Roman" w:hAnsi="Times New Roman" w:eastAsia="宋体" w:cs="Times New Roman"/>
          <w:color w:val="auto"/>
          <w:szCs w:val="24"/>
          <w:highlight w:val="none"/>
        </w:rPr>
        <w:t>项目年运行</w:t>
      </w:r>
      <w:r>
        <w:rPr>
          <w:rFonts w:hint="eastAsia" w:ascii="Times New Roman" w:hAnsi="Times New Roman" w:eastAsia="宋体" w:cs="Times New Roman"/>
          <w:color w:val="auto"/>
          <w:szCs w:val="24"/>
          <w:highlight w:val="none"/>
        </w:rPr>
        <w:t>30</w:t>
      </w:r>
      <w:r>
        <w:rPr>
          <w:rFonts w:ascii="Times New Roman" w:hAnsi="Times New Roman" w:eastAsia="宋体" w:cs="Times New Roman"/>
          <w:color w:val="auto"/>
          <w:szCs w:val="24"/>
          <w:highlight w:val="none"/>
        </w:rPr>
        <w:t>0d，生活用水量</w:t>
      </w:r>
      <w:r>
        <w:rPr>
          <w:rFonts w:hint="eastAsia" w:ascii="Times New Roman" w:hAnsi="Times New Roman" w:eastAsia="宋体" w:cs="Times New Roman"/>
          <w:color w:val="auto"/>
          <w:szCs w:val="24"/>
          <w:highlight w:val="none"/>
        </w:rPr>
        <w:t>20</w:t>
      </w:r>
      <w:r>
        <w:rPr>
          <w:rFonts w:ascii="Times New Roman" w:hAnsi="Times New Roman" w:eastAsia="宋体" w:cs="Times New Roman"/>
          <w:color w:val="auto"/>
          <w:szCs w:val="24"/>
          <w:highlight w:val="none"/>
        </w:rPr>
        <w:t>25</w:t>
      </w:r>
      <w:r>
        <w:rPr>
          <w:rFonts w:ascii="Times New Roman" w:hAnsi="Times New Roman" w:eastAsia="宋体" w:cs="Times New Roman"/>
          <w:bCs/>
          <w:color w:val="auto"/>
          <w:szCs w:val="20"/>
          <w:highlight w:val="none"/>
        </w:rPr>
        <w:t>m</w:t>
      </w:r>
      <w:r>
        <w:rPr>
          <w:rFonts w:ascii="Times New Roman" w:hAnsi="Times New Roman" w:eastAsia="宋体" w:cs="Times New Roman"/>
          <w:bCs/>
          <w:color w:val="auto"/>
          <w:szCs w:val="20"/>
          <w:highlight w:val="none"/>
          <w:vertAlign w:val="superscript"/>
        </w:rPr>
        <w:t>3</w:t>
      </w:r>
      <w:r>
        <w:rPr>
          <w:rFonts w:ascii="Times New Roman" w:hAnsi="Times New Roman" w:eastAsia="宋体" w:cs="Times New Roman"/>
          <w:bCs/>
          <w:color w:val="auto"/>
          <w:szCs w:val="20"/>
          <w:highlight w:val="none"/>
        </w:rPr>
        <w:t>/a，</w:t>
      </w:r>
      <w:r>
        <w:rPr>
          <w:rFonts w:ascii="Times New Roman" w:hAnsi="Times New Roman" w:eastAsia="宋体" w:cs="Times New Roman"/>
          <w:color w:val="auto"/>
          <w:szCs w:val="24"/>
          <w:highlight w:val="none"/>
        </w:rPr>
        <w:t>厨房用水量</w:t>
      </w:r>
      <w:r>
        <w:rPr>
          <w:rFonts w:hint="eastAsia" w:ascii="Times New Roman" w:hAnsi="Times New Roman" w:eastAsia="宋体" w:cs="Times New Roman"/>
          <w:color w:val="auto"/>
          <w:szCs w:val="24"/>
          <w:highlight w:val="none"/>
        </w:rPr>
        <w:t>33</w:t>
      </w:r>
      <w:r>
        <w:rPr>
          <w:rFonts w:ascii="Times New Roman" w:hAnsi="Times New Roman" w:eastAsia="宋体" w:cs="Times New Roman"/>
          <w:color w:val="auto"/>
          <w:szCs w:val="24"/>
          <w:highlight w:val="none"/>
        </w:rPr>
        <w:t>7.5</w:t>
      </w:r>
      <w:r>
        <w:rPr>
          <w:rFonts w:ascii="Times New Roman" w:hAnsi="Times New Roman" w:eastAsia="宋体" w:cs="Times New Roman"/>
          <w:bCs/>
          <w:color w:val="auto"/>
          <w:szCs w:val="20"/>
          <w:highlight w:val="none"/>
        </w:rPr>
        <w:t>m</w:t>
      </w:r>
      <w:r>
        <w:rPr>
          <w:rFonts w:ascii="Times New Roman" w:hAnsi="Times New Roman" w:eastAsia="宋体" w:cs="Times New Roman"/>
          <w:bCs/>
          <w:color w:val="auto"/>
          <w:szCs w:val="20"/>
          <w:highlight w:val="none"/>
          <w:vertAlign w:val="superscript"/>
        </w:rPr>
        <w:t>3</w:t>
      </w:r>
      <w:r>
        <w:rPr>
          <w:rFonts w:ascii="Times New Roman" w:hAnsi="Times New Roman" w:eastAsia="宋体" w:cs="Times New Roman"/>
          <w:bCs/>
          <w:color w:val="auto"/>
          <w:szCs w:val="20"/>
          <w:highlight w:val="none"/>
        </w:rPr>
        <w:t>/a，</w:t>
      </w:r>
      <w:r>
        <w:rPr>
          <w:rFonts w:ascii="Times New Roman" w:hAnsi="Times New Roman" w:eastAsia="宋体" w:cs="Times New Roman"/>
          <w:color w:val="auto"/>
          <w:szCs w:val="24"/>
          <w:highlight w:val="none"/>
        </w:rPr>
        <w:t>总用水量</w:t>
      </w:r>
      <w:r>
        <w:rPr>
          <w:rFonts w:hint="eastAsia" w:ascii="Times New Roman" w:hAnsi="Times New Roman" w:eastAsia="宋体" w:cs="Times New Roman"/>
          <w:color w:val="auto"/>
          <w:szCs w:val="24"/>
          <w:highlight w:val="none"/>
        </w:rPr>
        <w:t>2362</w:t>
      </w:r>
      <w:r>
        <w:rPr>
          <w:rFonts w:ascii="Times New Roman" w:hAnsi="Times New Roman" w:eastAsia="宋体" w:cs="Times New Roman"/>
          <w:color w:val="auto"/>
          <w:szCs w:val="24"/>
          <w:highlight w:val="none"/>
        </w:rPr>
        <w:t>.5</w:t>
      </w:r>
      <w:r>
        <w:rPr>
          <w:rFonts w:ascii="Times New Roman" w:hAnsi="Times New Roman" w:eastAsia="宋体" w:cs="Times New Roman"/>
          <w:bCs/>
          <w:color w:val="auto"/>
          <w:szCs w:val="20"/>
          <w:highlight w:val="none"/>
        </w:rPr>
        <w:t>m</w:t>
      </w:r>
      <w:r>
        <w:rPr>
          <w:rFonts w:ascii="Times New Roman" w:hAnsi="Times New Roman" w:eastAsia="宋体" w:cs="Times New Roman"/>
          <w:bCs/>
          <w:color w:val="auto"/>
          <w:szCs w:val="20"/>
          <w:highlight w:val="none"/>
          <w:vertAlign w:val="superscript"/>
        </w:rPr>
        <w:t>3</w:t>
      </w:r>
      <w:r>
        <w:rPr>
          <w:rFonts w:ascii="Times New Roman" w:hAnsi="Times New Roman" w:eastAsia="宋体" w:cs="Times New Roman"/>
          <w:bCs/>
          <w:color w:val="auto"/>
          <w:szCs w:val="20"/>
          <w:highlight w:val="none"/>
        </w:rPr>
        <w:t>/a，</w:t>
      </w:r>
      <w:r>
        <w:rPr>
          <w:rFonts w:ascii="Times New Roman" w:hAnsi="Times New Roman" w:eastAsia="宋体" w:cs="Times New Roman"/>
          <w:color w:val="auto"/>
          <w:szCs w:val="24"/>
          <w:highlight w:val="none"/>
        </w:rPr>
        <w:t>排放系数按80%计算，则生活污水排水量</w:t>
      </w:r>
      <w:r>
        <w:rPr>
          <w:rFonts w:hint="eastAsia" w:ascii="Times New Roman" w:hAnsi="Times New Roman" w:eastAsia="宋体" w:cs="Times New Roman"/>
          <w:color w:val="auto"/>
          <w:szCs w:val="24"/>
          <w:highlight w:val="none"/>
        </w:rPr>
        <w:t>162</w:t>
      </w:r>
      <w:r>
        <w:rPr>
          <w:rFonts w:ascii="Times New Roman" w:hAnsi="Times New Roman" w:eastAsia="宋体" w:cs="Times New Roman"/>
          <w:color w:val="auto"/>
          <w:szCs w:val="24"/>
          <w:highlight w:val="none"/>
        </w:rPr>
        <w:t>0</w:t>
      </w:r>
      <w:r>
        <w:rPr>
          <w:rFonts w:ascii="Times New Roman" w:hAnsi="Times New Roman" w:eastAsia="宋体" w:cs="Times New Roman"/>
          <w:bCs/>
          <w:color w:val="auto"/>
          <w:szCs w:val="20"/>
          <w:highlight w:val="none"/>
        </w:rPr>
        <w:t>m</w:t>
      </w:r>
      <w:r>
        <w:rPr>
          <w:rFonts w:ascii="Times New Roman" w:hAnsi="Times New Roman" w:eastAsia="宋体" w:cs="Times New Roman"/>
          <w:bCs/>
          <w:color w:val="auto"/>
          <w:szCs w:val="20"/>
          <w:highlight w:val="none"/>
          <w:vertAlign w:val="superscript"/>
        </w:rPr>
        <w:t>3</w:t>
      </w:r>
      <w:r>
        <w:rPr>
          <w:rFonts w:ascii="Times New Roman" w:hAnsi="Times New Roman" w:eastAsia="宋体" w:cs="Times New Roman"/>
          <w:bCs/>
          <w:color w:val="auto"/>
          <w:szCs w:val="20"/>
          <w:highlight w:val="none"/>
        </w:rPr>
        <w:t>/a，</w:t>
      </w:r>
      <w:r>
        <w:rPr>
          <w:rFonts w:ascii="Times New Roman" w:hAnsi="Times New Roman" w:eastAsia="宋体" w:cs="Times New Roman"/>
          <w:color w:val="auto"/>
          <w:szCs w:val="24"/>
          <w:highlight w:val="none"/>
        </w:rPr>
        <w:t>厨房废水排水量</w:t>
      </w:r>
      <w:r>
        <w:rPr>
          <w:rFonts w:hint="eastAsia" w:ascii="Times New Roman" w:hAnsi="Times New Roman" w:eastAsia="宋体" w:cs="Times New Roman"/>
          <w:color w:val="auto"/>
          <w:szCs w:val="24"/>
          <w:highlight w:val="none"/>
        </w:rPr>
        <w:t>27</w:t>
      </w:r>
      <w:r>
        <w:rPr>
          <w:rFonts w:ascii="Times New Roman" w:hAnsi="Times New Roman" w:eastAsia="宋体" w:cs="Times New Roman"/>
          <w:color w:val="auto"/>
          <w:szCs w:val="24"/>
          <w:highlight w:val="none"/>
        </w:rPr>
        <w:t>0</w:t>
      </w:r>
      <w:r>
        <w:rPr>
          <w:rFonts w:ascii="Times New Roman" w:hAnsi="Times New Roman" w:eastAsia="宋体" w:cs="Times New Roman"/>
          <w:bCs/>
          <w:color w:val="auto"/>
          <w:szCs w:val="20"/>
          <w:highlight w:val="none"/>
        </w:rPr>
        <w:t>m</w:t>
      </w:r>
      <w:r>
        <w:rPr>
          <w:rFonts w:ascii="Times New Roman" w:hAnsi="Times New Roman" w:eastAsia="宋体" w:cs="Times New Roman"/>
          <w:bCs/>
          <w:color w:val="auto"/>
          <w:szCs w:val="20"/>
          <w:highlight w:val="none"/>
          <w:vertAlign w:val="superscript"/>
        </w:rPr>
        <w:t>3</w:t>
      </w:r>
      <w:r>
        <w:rPr>
          <w:rFonts w:ascii="Times New Roman" w:hAnsi="Times New Roman" w:eastAsia="宋体" w:cs="Times New Roman"/>
          <w:bCs/>
          <w:color w:val="auto"/>
          <w:szCs w:val="20"/>
          <w:highlight w:val="none"/>
        </w:rPr>
        <w:t>/a，</w:t>
      </w:r>
      <w:r>
        <w:rPr>
          <w:rFonts w:ascii="Times New Roman" w:hAnsi="Times New Roman" w:eastAsia="宋体" w:cs="Times New Roman"/>
          <w:color w:val="auto"/>
          <w:szCs w:val="24"/>
          <w:highlight w:val="none"/>
        </w:rPr>
        <w:t>废水排放总量</w:t>
      </w:r>
      <w:r>
        <w:rPr>
          <w:rFonts w:hint="eastAsia" w:ascii="Times New Roman" w:hAnsi="Times New Roman" w:eastAsia="宋体" w:cs="Times New Roman"/>
          <w:color w:val="auto"/>
          <w:szCs w:val="24"/>
          <w:highlight w:val="none"/>
        </w:rPr>
        <w:t>189</w:t>
      </w:r>
      <w:r>
        <w:rPr>
          <w:rFonts w:ascii="Times New Roman" w:hAnsi="Times New Roman" w:eastAsia="宋体" w:cs="Times New Roman"/>
          <w:color w:val="auto"/>
          <w:szCs w:val="24"/>
          <w:highlight w:val="none"/>
        </w:rPr>
        <w:t>0m</w:t>
      </w:r>
      <w:r>
        <w:rPr>
          <w:rFonts w:ascii="Times New Roman" w:hAnsi="Times New Roman" w:eastAsia="宋体" w:cs="Times New Roman"/>
          <w:color w:val="auto"/>
          <w:szCs w:val="24"/>
          <w:highlight w:val="none"/>
          <w:vertAlign w:val="superscript"/>
        </w:rPr>
        <w:t>3</w:t>
      </w:r>
      <w:r>
        <w:rPr>
          <w:rFonts w:ascii="Times New Roman" w:hAnsi="Times New Roman" w:eastAsia="宋体" w:cs="Times New Roman"/>
          <w:color w:val="auto"/>
          <w:szCs w:val="24"/>
          <w:highlight w:val="none"/>
        </w:rPr>
        <w:t>/a。</w:t>
      </w:r>
    </w:p>
    <w:p>
      <w:pPr>
        <w:snapToGrid w:val="0"/>
        <w:ind w:firstLine="480"/>
        <w:rPr>
          <w:rFonts w:ascii="Times New Roman" w:hAnsi="Times New Roman" w:eastAsia="宋体" w:cs="Times New Roman"/>
          <w:color w:val="auto"/>
          <w:sz w:val="21"/>
          <w:szCs w:val="28"/>
          <w:highlight w:val="none"/>
        </w:rPr>
      </w:pPr>
      <w:r>
        <w:rPr>
          <w:rFonts w:ascii="Times New Roman" w:hAnsi="Times New Roman" w:eastAsia="宋体" w:cs="Times New Roman"/>
          <w:color w:val="auto"/>
          <w:highlight w:val="none"/>
        </w:rPr>
        <w:t>生活污水中各污染物COD</w:t>
      </w:r>
      <w:r>
        <w:rPr>
          <w:rFonts w:ascii="Times New Roman" w:hAnsi="Times New Roman" w:eastAsia="宋体" w:cs="Times New Roman"/>
          <w:color w:val="auto"/>
          <w:highlight w:val="none"/>
          <w:vertAlign w:val="subscript"/>
        </w:rPr>
        <w:t>cr</w:t>
      </w:r>
      <w:r>
        <w:rPr>
          <w:rFonts w:ascii="Times New Roman" w:hAnsi="Times New Roman" w:eastAsia="宋体" w:cs="Times New Roman"/>
          <w:color w:val="auto"/>
          <w:highlight w:val="none"/>
        </w:rPr>
        <w:t>、BOD</w:t>
      </w:r>
      <w:r>
        <w:rPr>
          <w:rFonts w:ascii="Times New Roman" w:hAnsi="Times New Roman" w:eastAsia="宋体" w:cs="Times New Roman"/>
          <w:color w:val="auto"/>
          <w:highlight w:val="none"/>
          <w:vertAlign w:val="subscript"/>
        </w:rPr>
        <w:t>5</w:t>
      </w:r>
      <w:r>
        <w:rPr>
          <w:rFonts w:ascii="Times New Roman" w:hAnsi="Times New Roman" w:eastAsia="宋体" w:cs="Times New Roman"/>
          <w:color w:val="auto"/>
          <w:highlight w:val="none"/>
        </w:rPr>
        <w:t>、SS、NH</w:t>
      </w:r>
      <w:r>
        <w:rPr>
          <w:rFonts w:ascii="Times New Roman" w:hAnsi="Times New Roman" w:eastAsia="宋体" w:cs="Times New Roman"/>
          <w:color w:val="auto"/>
          <w:highlight w:val="none"/>
          <w:vertAlign w:val="subscript"/>
        </w:rPr>
        <w:t>3</w:t>
      </w:r>
      <w:r>
        <w:rPr>
          <w:rFonts w:ascii="Times New Roman" w:hAnsi="Times New Roman" w:eastAsia="宋体" w:cs="Times New Roman"/>
          <w:color w:val="auto"/>
          <w:highlight w:val="none"/>
        </w:rPr>
        <w:t>-N的浓度分别为300mg/L、200mg/L、200mg/L、30mg/L。厨房废水中</w:t>
      </w:r>
      <w:r>
        <w:rPr>
          <w:rFonts w:ascii="Times New Roman" w:hAnsi="Times New Roman" w:eastAsia="宋体" w:cs="Times New Roman"/>
          <w:color w:val="auto"/>
          <w:szCs w:val="32"/>
          <w:highlight w:val="none"/>
        </w:rPr>
        <w:t>COD</w:t>
      </w:r>
      <w:r>
        <w:rPr>
          <w:rFonts w:ascii="Times New Roman" w:hAnsi="Times New Roman" w:eastAsia="宋体" w:cs="Times New Roman"/>
          <w:color w:val="auto"/>
          <w:szCs w:val="32"/>
          <w:highlight w:val="none"/>
          <w:vertAlign w:val="subscript"/>
        </w:rPr>
        <w:t>Cr</w:t>
      </w:r>
      <w:r>
        <w:rPr>
          <w:rFonts w:ascii="Times New Roman" w:hAnsi="Times New Roman" w:eastAsia="宋体" w:cs="Times New Roman"/>
          <w:color w:val="auto"/>
          <w:highlight w:val="none"/>
        </w:rPr>
        <w:t>、BOD</w:t>
      </w:r>
      <w:r>
        <w:rPr>
          <w:rFonts w:ascii="Times New Roman" w:hAnsi="Times New Roman" w:eastAsia="宋体" w:cs="Times New Roman"/>
          <w:color w:val="auto"/>
          <w:highlight w:val="none"/>
          <w:vertAlign w:val="subscript"/>
        </w:rPr>
        <w:t>5</w:t>
      </w:r>
      <w:r>
        <w:rPr>
          <w:rFonts w:ascii="Times New Roman" w:hAnsi="Times New Roman" w:eastAsia="宋体" w:cs="Times New Roman"/>
          <w:color w:val="auto"/>
          <w:highlight w:val="none"/>
        </w:rPr>
        <w:t>、SS、NH</w:t>
      </w:r>
      <w:r>
        <w:rPr>
          <w:rFonts w:ascii="Times New Roman" w:hAnsi="Times New Roman" w:eastAsia="宋体" w:cs="Times New Roman"/>
          <w:color w:val="auto"/>
          <w:highlight w:val="none"/>
          <w:vertAlign w:val="subscript"/>
        </w:rPr>
        <w:t>3</w:t>
      </w:r>
      <w:r>
        <w:rPr>
          <w:rFonts w:ascii="Times New Roman" w:hAnsi="Times New Roman" w:eastAsia="宋体" w:cs="Times New Roman"/>
          <w:color w:val="auto"/>
          <w:highlight w:val="none"/>
        </w:rPr>
        <w:t>-N和动植物油的浓度分别为800mg/L、500mg/L、400mg/L、10mg/L、300mg/L。</w:t>
      </w:r>
      <w:r>
        <w:rPr>
          <w:rFonts w:ascii="Times New Roman" w:hAnsi="Times New Roman" w:eastAsia="宋体" w:cs="Times New Roman"/>
          <w:color w:val="auto"/>
          <w:szCs w:val="24"/>
          <w:highlight w:val="none"/>
        </w:rPr>
        <w:t>普通化粪池对污染物的去除效率：COD</w:t>
      </w:r>
      <w:r>
        <w:rPr>
          <w:rFonts w:ascii="Times New Roman" w:hAnsi="Times New Roman" w:eastAsia="宋体" w:cs="Times New Roman"/>
          <w:color w:val="auto"/>
          <w:highlight w:val="none"/>
          <w:vertAlign w:val="subscript"/>
        </w:rPr>
        <w:t>cr</w:t>
      </w:r>
      <w:r>
        <w:rPr>
          <w:rFonts w:ascii="Times New Roman" w:hAnsi="Times New Roman" w:eastAsia="宋体" w:cs="Times New Roman"/>
          <w:color w:val="auto"/>
          <w:szCs w:val="24"/>
          <w:highlight w:val="none"/>
        </w:rPr>
        <w:t>：15%，</w:t>
      </w:r>
      <w:r>
        <w:rPr>
          <w:rFonts w:ascii="Times New Roman" w:hAnsi="Times New Roman" w:eastAsia="宋体" w:cs="Times New Roman"/>
          <w:color w:val="auto"/>
          <w:highlight w:val="none"/>
        </w:rPr>
        <w:t>BOD</w:t>
      </w:r>
      <w:r>
        <w:rPr>
          <w:rFonts w:ascii="Times New Roman" w:hAnsi="Times New Roman" w:eastAsia="宋体" w:cs="Times New Roman"/>
          <w:color w:val="auto"/>
          <w:highlight w:val="none"/>
          <w:vertAlign w:val="subscript"/>
        </w:rPr>
        <w:t>5</w:t>
      </w:r>
      <w:r>
        <w:rPr>
          <w:rFonts w:ascii="Times New Roman" w:hAnsi="Times New Roman" w:eastAsia="宋体" w:cs="Times New Roman"/>
          <w:color w:val="auto"/>
          <w:highlight w:val="none"/>
        </w:rPr>
        <w:t>：10%，SS：30%，不考虑</w:t>
      </w:r>
      <w:r>
        <w:rPr>
          <w:rFonts w:ascii="Times New Roman" w:hAnsi="Times New Roman" w:eastAsia="宋体" w:cs="Times New Roman"/>
          <w:color w:val="auto"/>
          <w:szCs w:val="24"/>
          <w:highlight w:val="none"/>
        </w:rPr>
        <w:t>NH</w:t>
      </w:r>
      <w:r>
        <w:rPr>
          <w:rFonts w:ascii="Times New Roman" w:hAnsi="Times New Roman" w:eastAsia="宋体" w:cs="Times New Roman"/>
          <w:color w:val="auto"/>
          <w:szCs w:val="24"/>
          <w:highlight w:val="none"/>
          <w:vertAlign w:val="subscript"/>
        </w:rPr>
        <w:t>3</w:t>
      </w:r>
      <w:r>
        <w:rPr>
          <w:rFonts w:ascii="Times New Roman" w:hAnsi="Times New Roman" w:eastAsia="宋体" w:cs="Times New Roman"/>
          <w:color w:val="auto"/>
          <w:szCs w:val="24"/>
          <w:highlight w:val="none"/>
        </w:rPr>
        <w:t>-N的去除效率。厨房废水隔油处理效率取50%。隔油后的厨房废水与</w:t>
      </w:r>
      <w:r>
        <w:rPr>
          <w:rFonts w:ascii="Times New Roman" w:hAnsi="Times New Roman" w:eastAsia="宋体" w:cs="Times New Roman"/>
          <w:bCs/>
          <w:color w:val="auto"/>
          <w:highlight w:val="none"/>
        </w:rPr>
        <w:t>生活污水经化粪池处理后用于周边旱地施肥，不外排处理前后生活污水中</w:t>
      </w:r>
      <w:r>
        <w:rPr>
          <w:rFonts w:ascii="Times New Roman" w:hAnsi="Times New Roman" w:eastAsia="宋体" w:cs="Times New Roman"/>
          <w:color w:val="auto"/>
          <w:szCs w:val="24"/>
          <w:highlight w:val="none"/>
        </w:rPr>
        <w:t>主要污染物排放情况见表2.</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1</w:t>
      </w:r>
      <w:r>
        <w:rPr>
          <w:rFonts w:hint="eastAsia" w:cs="Times New Roman"/>
          <w:color w:val="auto"/>
          <w:szCs w:val="24"/>
          <w:highlight w:val="none"/>
          <w:lang w:val="en-US" w:eastAsia="zh-CN"/>
        </w:rPr>
        <w:t>3</w:t>
      </w:r>
      <w:r>
        <w:rPr>
          <w:rFonts w:ascii="Times New Roman" w:hAnsi="Times New Roman" w:eastAsia="宋体" w:cs="Times New Roman"/>
          <w:color w:val="auto"/>
          <w:szCs w:val="24"/>
          <w:highlight w:val="none"/>
        </w:rPr>
        <w:t>。</w:t>
      </w:r>
    </w:p>
    <w:p>
      <w:pPr>
        <w:pStyle w:val="13"/>
        <w:rPr>
          <w:rFonts w:ascii="Times New Roman" w:hAnsi="Times New Roman" w:eastAsia="宋体"/>
          <w:color w:val="auto"/>
          <w:highlight w:val="none"/>
        </w:rPr>
      </w:pPr>
    </w:p>
    <w:p>
      <w:pPr>
        <w:pStyle w:val="13"/>
        <w:rPr>
          <w:rFonts w:ascii="Times New Roman" w:hAnsi="Times New Roman" w:eastAsia="宋体"/>
          <w:color w:val="auto"/>
          <w:highlight w:val="none"/>
        </w:rPr>
      </w:pPr>
      <w:r>
        <w:rPr>
          <w:rFonts w:ascii="Times New Roman" w:hAnsi="Times New Roman" w:eastAsia="宋体"/>
          <w:color w:val="auto"/>
          <w:highlight w:val="none"/>
        </w:rPr>
        <w:t>表2.</w:t>
      </w:r>
      <w:r>
        <w:rPr>
          <w:rFonts w:hint="eastAsia" w:ascii="Times New Roman" w:hAnsi="Times New Roman" w:eastAsia="宋体"/>
          <w:color w:val="auto"/>
          <w:highlight w:val="none"/>
        </w:rPr>
        <w:t>5</w:t>
      </w:r>
      <w:r>
        <w:rPr>
          <w:rFonts w:ascii="Times New Roman" w:hAnsi="Times New Roman" w:eastAsia="宋体"/>
          <w:color w:val="auto"/>
          <w:highlight w:val="none"/>
        </w:rPr>
        <w:t>-</w:t>
      </w:r>
      <w:r>
        <w:rPr>
          <w:rFonts w:hint="eastAsia" w:ascii="Times New Roman" w:hAnsi="Times New Roman" w:eastAsia="宋体"/>
          <w:color w:val="auto"/>
          <w:highlight w:val="none"/>
        </w:rPr>
        <w:t>1</w:t>
      </w:r>
      <w:r>
        <w:rPr>
          <w:rFonts w:hint="eastAsia"/>
          <w:color w:val="auto"/>
          <w:highlight w:val="none"/>
          <w:lang w:val="en-US" w:eastAsia="zh-CN"/>
        </w:rPr>
        <w:t>3</w:t>
      </w:r>
      <w:r>
        <w:rPr>
          <w:rFonts w:ascii="Times New Roman" w:hAnsi="Times New Roman" w:eastAsia="宋体"/>
          <w:color w:val="auto"/>
          <w:highlight w:val="none"/>
        </w:rPr>
        <w:t xml:space="preserve"> 运营期混合污水经处理后产排情况一览表</w:t>
      </w:r>
    </w:p>
    <w:tbl>
      <w:tblPr>
        <w:tblStyle w:val="48"/>
        <w:tblW w:w="9071" w:type="dxa"/>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1541"/>
        <w:gridCol w:w="1895"/>
        <w:gridCol w:w="1105"/>
        <w:gridCol w:w="1106"/>
        <w:gridCol w:w="1105"/>
        <w:gridCol w:w="1168"/>
        <w:gridCol w:w="1151"/>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3436" w:type="dxa"/>
            <w:gridSpan w:val="2"/>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w:t>
            </w:r>
          </w:p>
        </w:tc>
        <w:tc>
          <w:tcPr>
            <w:tcW w:w="1105"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COD</w:t>
            </w:r>
            <w:r>
              <w:rPr>
                <w:rFonts w:ascii="Times New Roman" w:hAnsi="Times New Roman" w:eastAsia="宋体" w:cs="Times New Roman"/>
                <w:color w:val="auto"/>
                <w:highlight w:val="none"/>
                <w:vertAlign w:val="subscript"/>
              </w:rPr>
              <w:t>cr</w:t>
            </w:r>
          </w:p>
        </w:tc>
        <w:tc>
          <w:tcPr>
            <w:tcW w:w="1106"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BOD</w:t>
            </w:r>
            <w:r>
              <w:rPr>
                <w:rFonts w:ascii="Times New Roman" w:hAnsi="Times New Roman" w:eastAsia="宋体" w:cs="Times New Roman"/>
                <w:color w:val="auto"/>
                <w:highlight w:val="none"/>
                <w:vertAlign w:val="subscript"/>
              </w:rPr>
              <w:t>5</w:t>
            </w:r>
          </w:p>
        </w:tc>
        <w:tc>
          <w:tcPr>
            <w:tcW w:w="1105"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SS</w:t>
            </w:r>
          </w:p>
        </w:tc>
        <w:tc>
          <w:tcPr>
            <w:tcW w:w="1168"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NH</w:t>
            </w:r>
            <w:r>
              <w:rPr>
                <w:rFonts w:ascii="Times New Roman" w:hAnsi="Times New Roman" w:eastAsia="宋体" w:cs="Times New Roman"/>
                <w:color w:val="auto"/>
                <w:highlight w:val="none"/>
                <w:vertAlign w:val="subscript"/>
              </w:rPr>
              <w:t>3</w:t>
            </w:r>
            <w:r>
              <w:rPr>
                <w:rFonts w:ascii="Times New Roman" w:hAnsi="Times New Roman" w:eastAsia="宋体" w:cs="Times New Roman"/>
                <w:color w:val="auto"/>
                <w:highlight w:val="none"/>
              </w:rPr>
              <w:t>-N</w:t>
            </w:r>
          </w:p>
        </w:tc>
        <w:tc>
          <w:tcPr>
            <w:tcW w:w="1151" w:type="dxa"/>
            <w:noWrap w:val="0"/>
            <w:vAlign w:val="center"/>
          </w:tcPr>
          <w:p>
            <w:pPr>
              <w:tabs>
                <w:tab w:val="left" w:pos="5940"/>
              </w:tabs>
              <w:spacing w:line="260" w:lineRule="exact"/>
              <w:ind w:firstLine="0" w:firstLineChars="0"/>
              <w:jc w:val="center"/>
              <w:rPr>
                <w:rFonts w:ascii="Times New Roman" w:hAnsi="Times New Roman" w:eastAsia="宋体" w:cs="Times New Roman"/>
                <w:b/>
                <w:color w:val="auto"/>
                <w:highlight w:val="none"/>
              </w:rPr>
            </w:pPr>
            <w:r>
              <w:rPr>
                <w:rFonts w:ascii="Times New Roman" w:hAnsi="Times New Roman" w:eastAsia="宋体" w:cs="Times New Roman"/>
                <w:b/>
                <w:color w:val="auto"/>
                <w:sz w:val="21"/>
                <w:highlight w:val="none"/>
              </w:rPr>
              <w:t>动植物油</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541" w:type="dxa"/>
            <w:vMerge w:val="restart"/>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szCs w:val="24"/>
                <w:highlight w:val="none"/>
              </w:rPr>
              <w:t>生活污水</w:t>
            </w:r>
            <w:r>
              <w:rPr>
                <w:rFonts w:hint="eastAsia" w:ascii="Times New Roman" w:hAnsi="Times New Roman" w:eastAsia="宋体" w:cs="Times New Roman"/>
                <w:b w:val="0"/>
                <w:bCs/>
                <w:color w:val="auto"/>
                <w:highlight w:val="none"/>
              </w:rPr>
              <w:t>162</w:t>
            </w:r>
            <w:r>
              <w:rPr>
                <w:rFonts w:ascii="Times New Roman" w:hAnsi="Times New Roman" w:eastAsia="宋体" w:cs="Times New Roman"/>
                <w:b w:val="0"/>
                <w:bCs/>
                <w:color w:val="auto"/>
                <w:highlight w:val="none"/>
              </w:rPr>
              <w:t>0m</w:t>
            </w:r>
            <w:r>
              <w:rPr>
                <w:rFonts w:ascii="Times New Roman" w:hAnsi="Times New Roman" w:eastAsia="宋体" w:cs="Times New Roman"/>
                <w:b w:val="0"/>
                <w:bCs/>
                <w:color w:val="auto"/>
                <w:highlight w:val="none"/>
                <w:vertAlign w:val="superscript"/>
              </w:rPr>
              <w:t>3</w:t>
            </w:r>
            <w:r>
              <w:rPr>
                <w:rFonts w:ascii="Times New Roman" w:hAnsi="Times New Roman" w:eastAsia="宋体" w:cs="Times New Roman"/>
                <w:b w:val="0"/>
                <w:bCs/>
                <w:color w:val="auto"/>
                <w:highlight w:val="none"/>
              </w:rPr>
              <w:t>/a</w:t>
            </w:r>
          </w:p>
        </w:tc>
        <w:tc>
          <w:tcPr>
            <w:tcW w:w="189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产生浓度(mg/L)</w:t>
            </w:r>
          </w:p>
        </w:tc>
        <w:tc>
          <w:tcPr>
            <w:tcW w:w="110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300</w:t>
            </w:r>
          </w:p>
        </w:tc>
        <w:tc>
          <w:tcPr>
            <w:tcW w:w="110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200</w:t>
            </w:r>
          </w:p>
        </w:tc>
        <w:tc>
          <w:tcPr>
            <w:tcW w:w="110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200</w:t>
            </w:r>
          </w:p>
        </w:tc>
        <w:tc>
          <w:tcPr>
            <w:tcW w:w="116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30</w:t>
            </w:r>
          </w:p>
        </w:tc>
        <w:tc>
          <w:tcPr>
            <w:tcW w:w="115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541" w:type="dxa"/>
            <w:vMerge w:val="continue"/>
            <w:noWrap w:val="0"/>
            <w:vAlign w:val="center"/>
          </w:tcPr>
          <w:p>
            <w:pPr>
              <w:pStyle w:val="86"/>
              <w:rPr>
                <w:rFonts w:ascii="Times New Roman" w:hAnsi="Times New Roman" w:eastAsia="宋体" w:cs="Times New Roman"/>
                <w:b w:val="0"/>
                <w:bCs/>
                <w:color w:val="auto"/>
                <w:highlight w:val="none"/>
              </w:rPr>
            </w:pPr>
          </w:p>
        </w:tc>
        <w:tc>
          <w:tcPr>
            <w:tcW w:w="189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产生量(t/a)</w:t>
            </w:r>
          </w:p>
        </w:tc>
        <w:tc>
          <w:tcPr>
            <w:tcW w:w="110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486</w:t>
            </w:r>
          </w:p>
        </w:tc>
        <w:tc>
          <w:tcPr>
            <w:tcW w:w="110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324</w:t>
            </w:r>
          </w:p>
        </w:tc>
        <w:tc>
          <w:tcPr>
            <w:tcW w:w="110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324</w:t>
            </w:r>
          </w:p>
        </w:tc>
        <w:tc>
          <w:tcPr>
            <w:tcW w:w="116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w:t>
            </w:r>
            <w:r>
              <w:rPr>
                <w:rFonts w:hint="eastAsia" w:ascii="Times New Roman" w:hAnsi="Times New Roman" w:eastAsia="宋体" w:cs="Times New Roman"/>
                <w:b w:val="0"/>
                <w:bCs/>
                <w:color w:val="auto"/>
                <w:highlight w:val="none"/>
              </w:rPr>
              <w:t>49</w:t>
            </w:r>
          </w:p>
        </w:tc>
        <w:tc>
          <w:tcPr>
            <w:tcW w:w="115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541" w:type="dxa"/>
            <w:vMerge w:val="restart"/>
            <w:noWrap w:val="0"/>
            <w:vAlign w:val="center"/>
          </w:tcPr>
          <w:p>
            <w:pPr>
              <w:pStyle w:val="86"/>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厨房废水27</w:t>
            </w:r>
            <w:r>
              <w:rPr>
                <w:rFonts w:ascii="Times New Roman" w:hAnsi="Times New Roman" w:eastAsia="宋体" w:cs="Times New Roman"/>
                <w:b w:val="0"/>
                <w:bCs/>
                <w:color w:val="auto"/>
                <w:highlight w:val="none"/>
              </w:rPr>
              <w:t>0m</w:t>
            </w:r>
            <w:r>
              <w:rPr>
                <w:rFonts w:ascii="Times New Roman" w:hAnsi="Times New Roman" w:eastAsia="宋体" w:cs="Times New Roman"/>
                <w:b w:val="0"/>
                <w:bCs/>
                <w:color w:val="auto"/>
                <w:highlight w:val="none"/>
                <w:vertAlign w:val="superscript"/>
              </w:rPr>
              <w:t>3</w:t>
            </w:r>
            <w:r>
              <w:rPr>
                <w:rFonts w:ascii="Times New Roman" w:hAnsi="Times New Roman" w:eastAsia="宋体" w:cs="Times New Roman"/>
                <w:b w:val="0"/>
                <w:bCs/>
                <w:color w:val="auto"/>
                <w:highlight w:val="none"/>
              </w:rPr>
              <w:t>/a</w:t>
            </w:r>
          </w:p>
        </w:tc>
        <w:tc>
          <w:tcPr>
            <w:tcW w:w="189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产生浓度(mg/L)</w:t>
            </w:r>
          </w:p>
        </w:tc>
        <w:tc>
          <w:tcPr>
            <w:tcW w:w="110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800</w:t>
            </w:r>
          </w:p>
        </w:tc>
        <w:tc>
          <w:tcPr>
            <w:tcW w:w="110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500</w:t>
            </w:r>
          </w:p>
        </w:tc>
        <w:tc>
          <w:tcPr>
            <w:tcW w:w="110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400</w:t>
            </w:r>
          </w:p>
        </w:tc>
        <w:tc>
          <w:tcPr>
            <w:tcW w:w="116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10</w:t>
            </w:r>
          </w:p>
        </w:tc>
        <w:tc>
          <w:tcPr>
            <w:tcW w:w="115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300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541" w:type="dxa"/>
            <w:vMerge w:val="continue"/>
            <w:noWrap w:val="0"/>
            <w:vAlign w:val="center"/>
          </w:tcPr>
          <w:p>
            <w:pPr>
              <w:pStyle w:val="86"/>
              <w:rPr>
                <w:rFonts w:ascii="Times New Roman" w:hAnsi="Times New Roman" w:eastAsia="宋体" w:cs="Times New Roman"/>
                <w:b w:val="0"/>
                <w:bCs/>
                <w:color w:val="auto"/>
                <w:highlight w:val="none"/>
              </w:rPr>
            </w:pPr>
          </w:p>
        </w:tc>
        <w:tc>
          <w:tcPr>
            <w:tcW w:w="189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产生量(t/a)</w:t>
            </w:r>
          </w:p>
        </w:tc>
        <w:tc>
          <w:tcPr>
            <w:tcW w:w="110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216</w:t>
            </w:r>
          </w:p>
        </w:tc>
        <w:tc>
          <w:tcPr>
            <w:tcW w:w="110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13</w:t>
            </w:r>
            <w:r>
              <w:rPr>
                <w:rFonts w:ascii="Times New Roman" w:hAnsi="Times New Roman" w:eastAsia="宋体" w:cs="Times New Roman"/>
                <w:b w:val="0"/>
                <w:bCs/>
                <w:color w:val="auto"/>
                <w:highlight w:val="none"/>
              </w:rPr>
              <w:t>5</w:t>
            </w:r>
          </w:p>
        </w:tc>
        <w:tc>
          <w:tcPr>
            <w:tcW w:w="110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108</w:t>
            </w:r>
          </w:p>
        </w:tc>
        <w:tc>
          <w:tcPr>
            <w:tcW w:w="1168" w:type="dxa"/>
            <w:noWrap w:val="0"/>
            <w:vAlign w:val="center"/>
          </w:tcPr>
          <w:p>
            <w:pPr>
              <w:pStyle w:val="86"/>
              <w:rPr>
                <w:rFonts w:hint="eastAsia"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0.00</w:t>
            </w:r>
            <w:r>
              <w:rPr>
                <w:rFonts w:hint="eastAsia" w:ascii="Times New Roman" w:hAnsi="Times New Roman" w:eastAsia="宋体" w:cs="Times New Roman"/>
                <w:b w:val="0"/>
                <w:bCs/>
                <w:color w:val="auto"/>
                <w:highlight w:val="none"/>
              </w:rPr>
              <w:t>3</w:t>
            </w:r>
          </w:p>
        </w:tc>
        <w:tc>
          <w:tcPr>
            <w:tcW w:w="115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w:t>
            </w:r>
            <w:r>
              <w:rPr>
                <w:rFonts w:hint="eastAsia" w:ascii="Times New Roman" w:hAnsi="Times New Roman" w:eastAsia="宋体" w:cs="Times New Roman"/>
                <w:b w:val="0"/>
                <w:bCs/>
                <w:color w:val="auto"/>
                <w:highlight w:val="none"/>
              </w:rPr>
              <w:t>81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3436" w:type="dxa"/>
            <w:gridSpan w:val="2"/>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产生总量（t/a）</w:t>
            </w:r>
          </w:p>
        </w:tc>
        <w:tc>
          <w:tcPr>
            <w:tcW w:w="110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702</w:t>
            </w:r>
          </w:p>
        </w:tc>
        <w:tc>
          <w:tcPr>
            <w:tcW w:w="110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459</w:t>
            </w:r>
          </w:p>
        </w:tc>
        <w:tc>
          <w:tcPr>
            <w:tcW w:w="110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432</w:t>
            </w:r>
          </w:p>
        </w:tc>
        <w:tc>
          <w:tcPr>
            <w:tcW w:w="116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w:t>
            </w:r>
            <w:r>
              <w:rPr>
                <w:rFonts w:hint="eastAsia" w:ascii="Times New Roman" w:hAnsi="Times New Roman" w:eastAsia="宋体" w:cs="Times New Roman"/>
                <w:b w:val="0"/>
                <w:bCs/>
                <w:color w:val="auto"/>
                <w:highlight w:val="none"/>
              </w:rPr>
              <w:t>52</w:t>
            </w:r>
          </w:p>
        </w:tc>
        <w:tc>
          <w:tcPr>
            <w:tcW w:w="115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w:t>
            </w:r>
            <w:r>
              <w:rPr>
                <w:rFonts w:hint="eastAsia" w:ascii="Times New Roman" w:hAnsi="Times New Roman" w:eastAsia="宋体" w:cs="Times New Roman"/>
                <w:b w:val="0"/>
                <w:bCs/>
                <w:color w:val="auto"/>
                <w:highlight w:val="none"/>
              </w:rPr>
              <w:t>81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3436" w:type="dxa"/>
            <w:gridSpan w:val="2"/>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隔油池处理效率（%）</w:t>
            </w:r>
          </w:p>
        </w:tc>
        <w:tc>
          <w:tcPr>
            <w:tcW w:w="110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w:t>
            </w:r>
          </w:p>
        </w:tc>
        <w:tc>
          <w:tcPr>
            <w:tcW w:w="110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w:t>
            </w:r>
          </w:p>
        </w:tc>
        <w:tc>
          <w:tcPr>
            <w:tcW w:w="110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w:t>
            </w:r>
          </w:p>
        </w:tc>
        <w:tc>
          <w:tcPr>
            <w:tcW w:w="116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w:t>
            </w:r>
          </w:p>
        </w:tc>
        <w:tc>
          <w:tcPr>
            <w:tcW w:w="115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50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3436" w:type="dxa"/>
            <w:gridSpan w:val="2"/>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化粪池处理效率（%）</w:t>
            </w:r>
          </w:p>
        </w:tc>
        <w:tc>
          <w:tcPr>
            <w:tcW w:w="110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15</w:t>
            </w:r>
          </w:p>
        </w:tc>
        <w:tc>
          <w:tcPr>
            <w:tcW w:w="110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10</w:t>
            </w:r>
          </w:p>
        </w:tc>
        <w:tc>
          <w:tcPr>
            <w:tcW w:w="110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30</w:t>
            </w:r>
          </w:p>
        </w:tc>
        <w:tc>
          <w:tcPr>
            <w:tcW w:w="116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p>
        </w:tc>
        <w:tc>
          <w:tcPr>
            <w:tcW w:w="115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1541" w:type="dxa"/>
            <w:vMerge w:val="restart"/>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排水量1</w:t>
            </w:r>
            <w:r>
              <w:rPr>
                <w:rFonts w:hint="eastAsia" w:ascii="Times New Roman" w:hAnsi="Times New Roman" w:eastAsia="宋体" w:cs="Times New Roman"/>
                <w:b w:val="0"/>
                <w:bCs/>
                <w:color w:val="auto"/>
                <w:highlight w:val="none"/>
              </w:rPr>
              <w:t>89</w:t>
            </w:r>
            <w:r>
              <w:rPr>
                <w:rFonts w:ascii="Times New Roman" w:hAnsi="Times New Roman" w:eastAsia="宋体" w:cs="Times New Roman"/>
                <w:b w:val="0"/>
                <w:bCs/>
                <w:color w:val="auto"/>
                <w:highlight w:val="none"/>
              </w:rPr>
              <w:t>0m</w:t>
            </w:r>
            <w:r>
              <w:rPr>
                <w:rFonts w:ascii="Times New Roman" w:hAnsi="Times New Roman" w:eastAsia="宋体" w:cs="Times New Roman"/>
                <w:b w:val="0"/>
                <w:bCs/>
                <w:color w:val="auto"/>
                <w:highlight w:val="none"/>
                <w:vertAlign w:val="superscript"/>
              </w:rPr>
              <w:t>3</w:t>
            </w:r>
            <w:r>
              <w:rPr>
                <w:rFonts w:ascii="Times New Roman" w:hAnsi="Times New Roman" w:eastAsia="宋体" w:cs="Times New Roman"/>
                <w:b w:val="0"/>
                <w:bCs/>
                <w:color w:val="auto"/>
                <w:highlight w:val="none"/>
              </w:rPr>
              <w:t>/a</w:t>
            </w:r>
          </w:p>
        </w:tc>
        <w:tc>
          <w:tcPr>
            <w:tcW w:w="189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排放浓度(mg/L)</w:t>
            </w:r>
          </w:p>
        </w:tc>
        <w:tc>
          <w:tcPr>
            <w:tcW w:w="110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315.7</w:t>
            </w:r>
          </w:p>
        </w:tc>
        <w:tc>
          <w:tcPr>
            <w:tcW w:w="110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218.6</w:t>
            </w:r>
          </w:p>
        </w:tc>
        <w:tc>
          <w:tcPr>
            <w:tcW w:w="110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160</w:t>
            </w:r>
          </w:p>
        </w:tc>
        <w:tc>
          <w:tcPr>
            <w:tcW w:w="1168" w:type="dxa"/>
            <w:noWrap w:val="0"/>
            <w:vAlign w:val="center"/>
          </w:tcPr>
          <w:p>
            <w:pPr>
              <w:pStyle w:val="86"/>
              <w:rPr>
                <w:rFonts w:hint="eastAsia"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27.</w:t>
            </w:r>
            <w:r>
              <w:rPr>
                <w:rFonts w:hint="eastAsia" w:ascii="Times New Roman" w:hAnsi="Times New Roman" w:eastAsia="宋体" w:cs="Times New Roman"/>
                <w:b w:val="0"/>
                <w:bCs/>
                <w:color w:val="auto"/>
                <w:highlight w:val="none"/>
              </w:rPr>
              <w:t>5</w:t>
            </w:r>
          </w:p>
        </w:tc>
        <w:tc>
          <w:tcPr>
            <w:tcW w:w="1151" w:type="dxa"/>
            <w:noWrap w:val="0"/>
            <w:vAlign w:val="center"/>
          </w:tcPr>
          <w:p>
            <w:pPr>
              <w:pStyle w:val="86"/>
              <w:rPr>
                <w:rFonts w:hint="eastAsia"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21.</w:t>
            </w:r>
            <w:r>
              <w:rPr>
                <w:rFonts w:hint="eastAsia" w:ascii="Times New Roman" w:hAnsi="Times New Roman" w:eastAsia="宋体" w:cs="Times New Roman"/>
                <w:b w:val="0"/>
                <w:bCs/>
                <w:color w:val="auto"/>
                <w:highlight w:val="none"/>
              </w:rPr>
              <w:t>4</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trPr>
        <w:tc>
          <w:tcPr>
            <w:tcW w:w="1541" w:type="dxa"/>
            <w:vMerge w:val="continue"/>
            <w:noWrap w:val="0"/>
            <w:vAlign w:val="center"/>
          </w:tcPr>
          <w:p>
            <w:pPr>
              <w:pStyle w:val="86"/>
              <w:rPr>
                <w:rFonts w:ascii="Times New Roman" w:hAnsi="Times New Roman" w:eastAsia="宋体" w:cs="Times New Roman"/>
                <w:b w:val="0"/>
                <w:bCs/>
                <w:color w:val="auto"/>
                <w:highlight w:val="none"/>
              </w:rPr>
            </w:pPr>
          </w:p>
        </w:tc>
        <w:tc>
          <w:tcPr>
            <w:tcW w:w="189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排放量(t/a)</w:t>
            </w:r>
          </w:p>
        </w:tc>
        <w:tc>
          <w:tcPr>
            <w:tcW w:w="110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597</w:t>
            </w:r>
          </w:p>
        </w:tc>
        <w:tc>
          <w:tcPr>
            <w:tcW w:w="1106"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41</w:t>
            </w:r>
            <w:r>
              <w:rPr>
                <w:rFonts w:ascii="Times New Roman" w:hAnsi="Times New Roman" w:eastAsia="宋体" w:cs="Times New Roman"/>
                <w:b w:val="0"/>
                <w:bCs/>
                <w:color w:val="auto"/>
                <w:highlight w:val="none"/>
              </w:rPr>
              <w:t>3</w:t>
            </w:r>
          </w:p>
        </w:tc>
        <w:tc>
          <w:tcPr>
            <w:tcW w:w="1105"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302</w:t>
            </w:r>
          </w:p>
        </w:tc>
        <w:tc>
          <w:tcPr>
            <w:tcW w:w="1168"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w:t>
            </w:r>
            <w:r>
              <w:rPr>
                <w:rFonts w:hint="eastAsia" w:ascii="Times New Roman" w:hAnsi="Times New Roman" w:eastAsia="宋体" w:cs="Times New Roman"/>
                <w:b w:val="0"/>
                <w:bCs/>
                <w:color w:val="auto"/>
                <w:highlight w:val="none"/>
              </w:rPr>
              <w:t>52</w:t>
            </w:r>
          </w:p>
        </w:tc>
        <w:tc>
          <w:tcPr>
            <w:tcW w:w="1151" w:type="dxa"/>
            <w:noWrap w:val="0"/>
            <w:vAlign w:val="center"/>
          </w:tcPr>
          <w:p>
            <w:pPr>
              <w:pStyle w:val="86"/>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0.0</w:t>
            </w:r>
            <w:r>
              <w:rPr>
                <w:rFonts w:hint="eastAsia" w:ascii="Times New Roman" w:hAnsi="Times New Roman" w:eastAsia="宋体" w:cs="Times New Roman"/>
                <w:b w:val="0"/>
                <w:bCs/>
                <w:color w:val="auto"/>
                <w:highlight w:val="none"/>
              </w:rPr>
              <w:t>4</w:t>
            </w:r>
          </w:p>
        </w:tc>
      </w:tr>
    </w:tbl>
    <w:p>
      <w:pPr>
        <w:pStyle w:val="6"/>
        <w:rPr>
          <w:rFonts w:ascii="Times New Roman" w:hAnsi="Times New Roman" w:eastAsia="宋体"/>
          <w:color w:val="auto"/>
          <w:highlight w:val="none"/>
        </w:rPr>
      </w:pPr>
      <w:r>
        <w:rPr>
          <w:rFonts w:ascii="Times New Roman" w:hAnsi="Times New Roman" w:eastAsia="宋体"/>
          <w:color w:val="auto"/>
          <w:highlight w:val="none"/>
        </w:rPr>
        <w:t>2.2.5.3 噪声和振动</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生产过程中钻孔、爆破、采装、破碎等工序都将产生不同程度的噪声。根据项目矿山采用生产工艺流程及所选设备，产生高噪声的设备主要有液压潜孔钻机、挖掘机、空压机、破碎机，其中以爆破时产生的噪声强度最大，爆破噪声是瞬时的，只能造成短时影响。各作业工序产生的噪声见表2.</w:t>
      </w:r>
      <w:r>
        <w:rPr>
          <w:rFonts w:hint="eastAsia" w:ascii="Times New Roman" w:hAnsi="Times New Roman" w:eastAsia="宋体"/>
          <w:color w:val="auto"/>
          <w:highlight w:val="none"/>
        </w:rPr>
        <w:t>5</w:t>
      </w:r>
      <w:r>
        <w:rPr>
          <w:rFonts w:ascii="Times New Roman" w:hAnsi="Times New Roman" w:eastAsia="宋体"/>
          <w:color w:val="auto"/>
          <w:highlight w:val="none"/>
        </w:rPr>
        <w:t>-1</w:t>
      </w:r>
      <w:r>
        <w:rPr>
          <w:rFonts w:hint="eastAsia"/>
          <w:color w:val="auto"/>
          <w:highlight w:val="none"/>
          <w:lang w:val="en-US" w:eastAsia="zh-CN"/>
        </w:rPr>
        <w:t>4</w:t>
      </w:r>
      <w:r>
        <w:rPr>
          <w:rFonts w:ascii="Times New Roman" w:hAnsi="Times New Roman" w:eastAsia="宋体"/>
          <w:color w:val="auto"/>
          <w:highlight w:val="none"/>
        </w:rPr>
        <w:t>所示。</w:t>
      </w:r>
    </w:p>
    <w:p>
      <w:pPr>
        <w:adjustRightInd w:val="0"/>
        <w:snapToGrid w:val="0"/>
        <w:spacing w:line="240" w:lineRule="auto"/>
        <w:ind w:firstLine="0" w:firstLineChars="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表2.2-1</w:t>
      </w:r>
      <w:r>
        <w:rPr>
          <w:rFonts w:hint="eastAsia" w:cs="Times New Roman"/>
          <w:b/>
          <w:color w:val="auto"/>
          <w:szCs w:val="20"/>
          <w:highlight w:val="none"/>
          <w:lang w:val="en-US" w:eastAsia="zh-CN"/>
        </w:rPr>
        <w:t>4</w:t>
      </w:r>
      <w:r>
        <w:rPr>
          <w:rFonts w:ascii="Times New Roman" w:hAnsi="Times New Roman" w:eastAsia="宋体" w:cs="Times New Roman"/>
          <w:b/>
          <w:color w:val="auto"/>
          <w:szCs w:val="20"/>
          <w:highlight w:val="none"/>
        </w:rPr>
        <w:t xml:space="preserve"> 项目主要噪声源强及防治措施一栏表（单位：dB(A)）</w:t>
      </w:r>
    </w:p>
    <w:tbl>
      <w:tblPr>
        <w:tblStyle w:val="48"/>
        <w:tblW w:w="9071"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1173"/>
        <w:gridCol w:w="753"/>
        <w:gridCol w:w="1057"/>
        <w:gridCol w:w="1236"/>
        <w:gridCol w:w="1023"/>
        <w:gridCol w:w="2412"/>
        <w:gridCol w:w="1417"/>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设备</w:t>
            </w:r>
          </w:p>
        </w:tc>
        <w:tc>
          <w:tcPr>
            <w:tcW w:w="753" w:type="dxa"/>
            <w:noWrap w:val="0"/>
            <w:vAlign w:val="center"/>
          </w:tcPr>
          <w:p>
            <w:pPr>
              <w:widowControl/>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数量</w:t>
            </w:r>
          </w:p>
        </w:tc>
        <w:tc>
          <w:tcPr>
            <w:tcW w:w="1057" w:type="dxa"/>
            <w:noWrap w:val="0"/>
            <w:vAlign w:val="center"/>
          </w:tcPr>
          <w:p>
            <w:pPr>
              <w:widowControl/>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声压级</w:t>
            </w:r>
          </w:p>
        </w:tc>
        <w:tc>
          <w:tcPr>
            <w:tcW w:w="1236" w:type="dxa"/>
            <w:noWrap w:val="0"/>
            <w:vAlign w:val="center"/>
          </w:tcPr>
          <w:p>
            <w:pPr>
              <w:widowControl/>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排放特征</w:t>
            </w:r>
          </w:p>
        </w:tc>
        <w:tc>
          <w:tcPr>
            <w:tcW w:w="1023" w:type="dxa"/>
            <w:noWrap w:val="0"/>
            <w:vAlign w:val="center"/>
          </w:tcPr>
          <w:p>
            <w:pPr>
              <w:widowControl/>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位置</w:t>
            </w:r>
          </w:p>
        </w:tc>
        <w:tc>
          <w:tcPr>
            <w:tcW w:w="2412" w:type="dxa"/>
            <w:noWrap w:val="0"/>
            <w:vAlign w:val="center"/>
          </w:tcPr>
          <w:p>
            <w:pPr>
              <w:widowControl/>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bCs/>
                <w:color w:val="auto"/>
                <w:sz w:val="21"/>
                <w:highlight w:val="none"/>
              </w:rPr>
              <w:t>降噪措施</w:t>
            </w:r>
          </w:p>
        </w:tc>
        <w:tc>
          <w:tcPr>
            <w:tcW w:w="1417" w:type="dxa"/>
            <w:noWrap w:val="0"/>
            <w:vAlign w:val="center"/>
          </w:tcPr>
          <w:p>
            <w:pPr>
              <w:widowControl/>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bCs/>
                <w:color w:val="auto"/>
                <w:sz w:val="21"/>
                <w:highlight w:val="none"/>
              </w:rPr>
              <w:t>降噪后源强</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潜孔钻机</w:t>
            </w:r>
          </w:p>
        </w:tc>
        <w:tc>
          <w:tcPr>
            <w:tcW w:w="75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2</w:t>
            </w:r>
          </w:p>
        </w:tc>
        <w:tc>
          <w:tcPr>
            <w:tcW w:w="105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95~100</w:t>
            </w:r>
          </w:p>
        </w:tc>
        <w:tc>
          <w:tcPr>
            <w:tcW w:w="1236" w:type="dxa"/>
            <w:noWrap w:val="0"/>
            <w:vAlign w:val="center"/>
          </w:tcPr>
          <w:p>
            <w:pPr>
              <w:spacing w:line="240" w:lineRule="auto"/>
              <w:ind w:firstLine="0" w:firstLineChars="0"/>
              <w:jc w:val="center"/>
              <w:rPr>
                <w:rFonts w:ascii="Times New Roman" w:hAnsi="Times New Roman" w:eastAsia="宋体" w:cs="Times New Roman"/>
                <w:bCs/>
                <w:color w:val="auto"/>
                <w:kern w:val="0"/>
                <w:sz w:val="21"/>
                <w:highlight w:val="none"/>
              </w:rPr>
            </w:pPr>
            <w:r>
              <w:rPr>
                <w:rFonts w:ascii="Times New Roman" w:hAnsi="Times New Roman" w:eastAsia="宋体" w:cs="Times New Roman"/>
                <w:color w:val="auto"/>
                <w:sz w:val="21"/>
                <w:highlight w:val="none"/>
              </w:rPr>
              <w:t>间断</w:t>
            </w:r>
          </w:p>
        </w:tc>
        <w:tc>
          <w:tcPr>
            <w:tcW w:w="1023" w:type="dxa"/>
            <w:vMerge w:val="restart"/>
            <w:noWrap w:val="0"/>
            <w:vAlign w:val="center"/>
          </w:tcPr>
          <w:p>
            <w:pPr>
              <w:spacing w:line="240" w:lineRule="auto"/>
              <w:ind w:firstLine="0" w:firstLineChars="0"/>
              <w:jc w:val="center"/>
              <w:rPr>
                <w:rFonts w:ascii="Times New Roman" w:hAnsi="Times New Roman" w:eastAsia="宋体" w:cs="Times New Roman"/>
                <w:bCs/>
                <w:color w:val="auto"/>
                <w:kern w:val="0"/>
                <w:sz w:val="21"/>
                <w:highlight w:val="none"/>
              </w:rPr>
            </w:pPr>
            <w:r>
              <w:rPr>
                <w:rFonts w:ascii="Times New Roman" w:hAnsi="Times New Roman" w:eastAsia="宋体" w:cs="Times New Roman"/>
                <w:bCs/>
                <w:color w:val="auto"/>
                <w:kern w:val="0"/>
                <w:sz w:val="21"/>
                <w:highlight w:val="none"/>
              </w:rPr>
              <w:t>开采区</w:t>
            </w:r>
          </w:p>
        </w:tc>
        <w:tc>
          <w:tcPr>
            <w:tcW w:w="2412"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kern w:val="0"/>
                <w:sz w:val="21"/>
                <w:highlight w:val="none"/>
              </w:rPr>
              <w:t>选择低噪音设备</w:t>
            </w:r>
          </w:p>
        </w:tc>
        <w:tc>
          <w:tcPr>
            <w:tcW w:w="141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90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挖掘机</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6</w:t>
            </w:r>
          </w:p>
        </w:tc>
        <w:tc>
          <w:tcPr>
            <w:tcW w:w="105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80～90</w:t>
            </w:r>
          </w:p>
        </w:tc>
        <w:tc>
          <w:tcPr>
            <w:tcW w:w="1236"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间断</w:t>
            </w:r>
          </w:p>
        </w:tc>
        <w:tc>
          <w:tcPr>
            <w:tcW w:w="1023" w:type="dxa"/>
            <w:vMerge w:val="continue"/>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p>
        </w:tc>
        <w:tc>
          <w:tcPr>
            <w:tcW w:w="2412" w:type="dxa"/>
            <w:vMerge w:val="continue"/>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p>
        </w:tc>
        <w:tc>
          <w:tcPr>
            <w:tcW w:w="141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空压机</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2</w:t>
            </w:r>
          </w:p>
        </w:tc>
        <w:tc>
          <w:tcPr>
            <w:tcW w:w="105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90~95</w:t>
            </w:r>
          </w:p>
        </w:tc>
        <w:tc>
          <w:tcPr>
            <w:tcW w:w="1236"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间断</w:t>
            </w:r>
          </w:p>
        </w:tc>
        <w:tc>
          <w:tcPr>
            <w:tcW w:w="1023" w:type="dxa"/>
            <w:vMerge w:val="continue"/>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p>
        </w:tc>
        <w:tc>
          <w:tcPr>
            <w:tcW w:w="2412" w:type="dxa"/>
            <w:vMerge w:val="continue"/>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p>
        </w:tc>
        <w:tc>
          <w:tcPr>
            <w:tcW w:w="1417" w:type="dxa"/>
            <w:noWrap w:val="0"/>
            <w:vAlign w:val="center"/>
          </w:tcPr>
          <w:p>
            <w:pPr>
              <w:keepNext/>
              <w:keepLines/>
              <w:spacing w:line="240" w:lineRule="auto"/>
              <w:ind w:left="420" w:hanging="420" w:hangingChars="20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w:t>
            </w:r>
            <w:r>
              <w:rPr>
                <w:rFonts w:hint="eastAsia" w:ascii="Times New Roman" w:hAnsi="Times New Roman" w:eastAsia="宋体" w:cs="Times New Roman"/>
                <w:color w:val="auto"/>
                <w:sz w:val="21"/>
                <w:highlight w:val="none"/>
              </w:rPr>
              <w:t>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爆破</w:t>
            </w:r>
          </w:p>
        </w:tc>
        <w:tc>
          <w:tcPr>
            <w:tcW w:w="753"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05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115</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间断</w:t>
            </w:r>
          </w:p>
        </w:tc>
        <w:tc>
          <w:tcPr>
            <w:tcW w:w="1023" w:type="dxa"/>
            <w:vMerge w:val="continue"/>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p>
        </w:tc>
        <w:tc>
          <w:tcPr>
            <w:tcW w:w="2412"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中深孔爆破</w:t>
            </w: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110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破碎机</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4</w:t>
            </w:r>
          </w:p>
        </w:tc>
        <w:tc>
          <w:tcPr>
            <w:tcW w:w="105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90</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持续</w:t>
            </w:r>
          </w:p>
        </w:tc>
        <w:tc>
          <w:tcPr>
            <w:tcW w:w="1023" w:type="dxa"/>
            <w:vMerge w:val="restart"/>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破碎生产线</w:t>
            </w:r>
          </w:p>
        </w:tc>
        <w:tc>
          <w:tcPr>
            <w:tcW w:w="2412" w:type="dxa"/>
            <w:vMerge w:val="restart"/>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kern w:val="0"/>
                <w:sz w:val="21"/>
                <w:highlight w:val="none"/>
              </w:rPr>
              <w:t>基础减震、隔声</w:t>
            </w:r>
            <w:r>
              <w:rPr>
                <w:rFonts w:hint="eastAsia" w:ascii="Times New Roman" w:hAnsi="Times New Roman" w:eastAsia="宋体" w:cs="Times New Roman"/>
                <w:bCs/>
                <w:color w:val="auto"/>
                <w:kern w:val="0"/>
                <w:sz w:val="21"/>
                <w:highlight w:val="none"/>
              </w:rPr>
              <w:t>、</w:t>
            </w:r>
            <w:r>
              <w:rPr>
                <w:rFonts w:ascii="Times New Roman" w:hAnsi="Times New Roman" w:eastAsia="宋体" w:cs="Times New Roman"/>
                <w:bCs/>
                <w:color w:val="auto"/>
                <w:kern w:val="0"/>
                <w:sz w:val="21"/>
                <w:highlight w:val="none"/>
              </w:rPr>
              <w:t>选择低噪音设备</w:t>
            </w: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80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振动筛</w:t>
            </w:r>
          </w:p>
        </w:tc>
        <w:tc>
          <w:tcPr>
            <w:tcW w:w="75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10</w:t>
            </w:r>
          </w:p>
        </w:tc>
        <w:tc>
          <w:tcPr>
            <w:tcW w:w="105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70~80</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持续</w:t>
            </w:r>
          </w:p>
        </w:tc>
        <w:tc>
          <w:tcPr>
            <w:tcW w:w="1023" w:type="dxa"/>
            <w:vMerge w:val="continue"/>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p>
        </w:tc>
        <w:tc>
          <w:tcPr>
            <w:tcW w:w="2412" w:type="dxa"/>
            <w:vMerge w:val="continue"/>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70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bCs/>
                <w:color w:val="auto"/>
                <w:sz w:val="21"/>
                <w:highlight w:val="none"/>
              </w:rPr>
              <w:t>圆锥</w:t>
            </w:r>
            <w:r>
              <w:rPr>
                <w:rFonts w:ascii="Times New Roman" w:hAnsi="Times New Roman" w:eastAsia="宋体" w:cs="Times New Roman"/>
                <w:bCs/>
                <w:color w:val="auto"/>
                <w:sz w:val="21"/>
                <w:highlight w:val="none"/>
              </w:rPr>
              <w:t>机</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4</w:t>
            </w:r>
          </w:p>
        </w:tc>
        <w:tc>
          <w:tcPr>
            <w:tcW w:w="105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bCs/>
                <w:color w:val="auto"/>
                <w:sz w:val="21"/>
                <w:highlight w:val="none"/>
              </w:rPr>
              <w:t>8</w:t>
            </w:r>
            <w:r>
              <w:rPr>
                <w:rFonts w:ascii="Times New Roman" w:hAnsi="Times New Roman" w:eastAsia="宋体" w:cs="Times New Roman"/>
                <w:bCs/>
                <w:color w:val="auto"/>
                <w:sz w:val="21"/>
                <w:highlight w:val="none"/>
              </w:rPr>
              <w:t>0~</w:t>
            </w:r>
            <w:r>
              <w:rPr>
                <w:rFonts w:hint="eastAsia" w:ascii="Times New Roman" w:hAnsi="Times New Roman" w:eastAsia="宋体" w:cs="Times New Roman"/>
                <w:bCs/>
                <w:color w:val="auto"/>
                <w:sz w:val="21"/>
                <w:highlight w:val="none"/>
              </w:rPr>
              <w:t>9</w:t>
            </w:r>
            <w:r>
              <w:rPr>
                <w:rFonts w:ascii="Times New Roman" w:hAnsi="Times New Roman" w:eastAsia="宋体" w:cs="Times New Roman"/>
                <w:bCs/>
                <w:color w:val="auto"/>
                <w:sz w:val="21"/>
                <w:highlight w:val="none"/>
              </w:rPr>
              <w:t>0</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持续</w:t>
            </w:r>
          </w:p>
        </w:tc>
        <w:tc>
          <w:tcPr>
            <w:tcW w:w="1023" w:type="dxa"/>
            <w:vMerge w:val="continue"/>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p>
        </w:tc>
        <w:tc>
          <w:tcPr>
            <w:tcW w:w="2412" w:type="dxa"/>
            <w:vMerge w:val="continue"/>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8</w:t>
            </w:r>
            <w:r>
              <w:rPr>
                <w:rFonts w:ascii="Times New Roman" w:hAnsi="Times New Roman" w:eastAsia="宋体" w:cs="Times New Roman"/>
                <w:color w:val="auto"/>
                <w:kern w:val="0"/>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制沙机</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w:t>
            </w:r>
          </w:p>
        </w:tc>
        <w:tc>
          <w:tcPr>
            <w:tcW w:w="1057"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bCs/>
                <w:color w:val="auto"/>
                <w:sz w:val="21"/>
                <w:highlight w:val="none"/>
              </w:rPr>
              <w:t>8</w:t>
            </w:r>
            <w:r>
              <w:rPr>
                <w:rFonts w:ascii="Times New Roman" w:hAnsi="Times New Roman" w:eastAsia="宋体" w:cs="Times New Roman"/>
                <w:bCs/>
                <w:color w:val="auto"/>
                <w:sz w:val="21"/>
                <w:highlight w:val="none"/>
              </w:rPr>
              <w:t>0~9</w:t>
            </w:r>
            <w:r>
              <w:rPr>
                <w:rFonts w:hint="eastAsia" w:ascii="Times New Roman" w:hAnsi="Times New Roman" w:eastAsia="宋体" w:cs="Times New Roman"/>
                <w:bCs/>
                <w:color w:val="auto"/>
                <w:sz w:val="21"/>
                <w:highlight w:val="none"/>
              </w:rPr>
              <w:t>0</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间断</w:t>
            </w:r>
          </w:p>
        </w:tc>
        <w:tc>
          <w:tcPr>
            <w:tcW w:w="1023" w:type="dxa"/>
            <w:vMerge w:val="continue"/>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p>
        </w:tc>
        <w:tc>
          <w:tcPr>
            <w:tcW w:w="2412" w:type="dxa"/>
            <w:vMerge w:val="continue"/>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7</w:t>
            </w:r>
            <w:r>
              <w:rPr>
                <w:rFonts w:ascii="Times New Roman" w:hAnsi="Times New Roman" w:eastAsia="宋体" w:cs="Times New Roman"/>
                <w:color w:val="auto"/>
                <w:kern w:val="0"/>
                <w:sz w:val="21"/>
                <w:highlight w:val="none"/>
              </w:rPr>
              <w:t>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水泵</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2</w:t>
            </w:r>
          </w:p>
        </w:tc>
        <w:tc>
          <w:tcPr>
            <w:tcW w:w="105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80~90</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间断</w:t>
            </w:r>
          </w:p>
        </w:tc>
        <w:tc>
          <w:tcPr>
            <w:tcW w:w="102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水泵房</w:t>
            </w:r>
          </w:p>
        </w:tc>
        <w:tc>
          <w:tcPr>
            <w:tcW w:w="2412"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kern w:val="0"/>
                <w:sz w:val="21"/>
                <w:highlight w:val="none"/>
              </w:rPr>
              <w:t>基础减震、墙体隔音等</w:t>
            </w: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80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bCs/>
                <w:color w:val="auto"/>
                <w:kern w:val="0"/>
                <w:sz w:val="21"/>
                <w:highlight w:val="none"/>
              </w:rPr>
              <w:t>自卸汽车</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8</w:t>
            </w:r>
          </w:p>
        </w:tc>
        <w:tc>
          <w:tcPr>
            <w:tcW w:w="105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70~80</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间断</w:t>
            </w:r>
          </w:p>
        </w:tc>
        <w:tc>
          <w:tcPr>
            <w:tcW w:w="102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矿区内</w:t>
            </w:r>
          </w:p>
        </w:tc>
        <w:tc>
          <w:tcPr>
            <w:tcW w:w="2412"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严禁超载，减速慢行</w:t>
            </w: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70</w:t>
            </w:r>
          </w:p>
        </w:tc>
      </w:tr>
    </w:tbl>
    <w:p>
      <w:pPr>
        <w:ind w:firstLine="480"/>
        <w:rPr>
          <w:rFonts w:ascii="Times New Roman" w:hAnsi="Times New Roman" w:eastAsia="宋体"/>
          <w:color w:val="auto"/>
          <w:highlight w:val="none"/>
        </w:rPr>
      </w:pPr>
      <w:r>
        <w:rPr>
          <w:rFonts w:ascii="Times New Roman" w:hAnsi="Times New Roman" w:eastAsia="宋体"/>
          <w:color w:val="auto"/>
          <w:highlight w:val="none"/>
        </w:rPr>
        <w:t>企业通过选用低噪声设备、安装减振垫、设置独立操作间、合理布置设备等隔声降噪措施，可有效控制生产过程中产生的噪声。此外，矿山爆破作业还会产生一定程度的振动影响。振动所产生的影响可能对周边邻近建筑物造成破坏。矿山开采范围内无建筑物，且爆破作业均在白天进行，采用多孔微差中深孔爆破，持续时间很短，因此本矿山爆破作业产生的振动影响不大。</w:t>
      </w:r>
    </w:p>
    <w:p>
      <w:pPr>
        <w:pStyle w:val="6"/>
        <w:rPr>
          <w:rFonts w:ascii="Times New Roman" w:hAnsi="Times New Roman" w:eastAsia="宋体"/>
          <w:color w:val="auto"/>
          <w:highlight w:val="none"/>
        </w:rPr>
      </w:pPr>
      <w:r>
        <w:rPr>
          <w:rFonts w:ascii="Times New Roman" w:hAnsi="Times New Roman" w:eastAsia="宋体"/>
          <w:color w:val="auto"/>
          <w:highlight w:val="none"/>
        </w:rPr>
        <w:t>2.</w:t>
      </w:r>
      <w:r>
        <w:rPr>
          <w:rFonts w:hint="eastAsia" w:ascii="Times New Roman" w:hAnsi="Times New Roman" w:eastAsia="宋体"/>
          <w:color w:val="auto"/>
          <w:highlight w:val="none"/>
        </w:rPr>
        <w:t>5</w:t>
      </w:r>
      <w:r>
        <w:rPr>
          <w:rFonts w:ascii="Times New Roman" w:hAnsi="Times New Roman" w:eastAsia="宋体"/>
          <w:color w:val="auto"/>
          <w:highlight w:val="none"/>
        </w:rPr>
        <w:t>.5.4 固体废物</w:t>
      </w:r>
    </w:p>
    <w:p>
      <w:pPr>
        <w:snapToGrid w:val="0"/>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1、</w:t>
      </w:r>
      <w:r>
        <w:rPr>
          <w:rFonts w:hint="eastAsia" w:ascii="Times New Roman" w:hAnsi="Times New Roman" w:eastAsia="宋体" w:cs="Times New Roman"/>
          <w:color w:val="auto"/>
          <w:szCs w:val="20"/>
          <w:highlight w:val="none"/>
        </w:rPr>
        <w:t>固体废物</w:t>
      </w:r>
      <w:r>
        <w:rPr>
          <w:rFonts w:ascii="Times New Roman" w:hAnsi="Times New Roman" w:eastAsia="宋体" w:cs="Times New Roman"/>
          <w:color w:val="auto"/>
          <w:szCs w:val="20"/>
          <w:highlight w:val="none"/>
        </w:rPr>
        <w:t>产生情况</w:t>
      </w:r>
    </w:p>
    <w:p>
      <w:pPr>
        <w:snapToGrid w:val="0"/>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项目运营期产生的固体废物主要是采矿时剥离的表土、</w:t>
      </w:r>
      <w:r>
        <w:rPr>
          <w:rFonts w:hint="eastAsia" w:ascii="Times New Roman" w:hAnsi="Times New Roman" w:eastAsia="宋体" w:cs="Times New Roman"/>
          <w:color w:val="auto"/>
          <w:szCs w:val="20"/>
          <w:highlight w:val="none"/>
        </w:rPr>
        <w:t>废土石渣</w:t>
      </w: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除尘器粉尘、</w:t>
      </w:r>
      <w:r>
        <w:rPr>
          <w:rFonts w:ascii="Times New Roman" w:hAnsi="Times New Roman" w:eastAsia="宋体" w:cs="Times New Roman"/>
          <w:color w:val="auto"/>
          <w:szCs w:val="20"/>
          <w:highlight w:val="none"/>
        </w:rPr>
        <w:t>泥渣、</w:t>
      </w:r>
      <w:r>
        <w:rPr>
          <w:rFonts w:hint="eastAsia" w:ascii="Times New Roman" w:hAnsi="Times New Roman" w:eastAsia="宋体" w:cs="Times New Roman"/>
          <w:color w:val="auto"/>
          <w:szCs w:val="20"/>
          <w:highlight w:val="none"/>
        </w:rPr>
        <w:t>洗砂泥饼、</w:t>
      </w:r>
      <w:r>
        <w:rPr>
          <w:rFonts w:ascii="Times New Roman" w:hAnsi="Times New Roman" w:eastAsia="宋体" w:cs="Times New Roman"/>
          <w:color w:val="auto"/>
          <w:szCs w:val="20"/>
          <w:highlight w:val="none"/>
        </w:rPr>
        <w:t>机修废零件、废机油和废含油抹布、职工生活垃圾。</w:t>
      </w:r>
    </w:p>
    <w:p>
      <w:pPr>
        <w:snapToGrid w:val="0"/>
        <w:ind w:firstLine="480" w:firstLineChars="0"/>
        <w:rPr>
          <w:rFonts w:hint="eastAsia"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（1）表土和</w:t>
      </w:r>
      <w:r>
        <w:rPr>
          <w:rFonts w:hint="eastAsia" w:ascii="Times New Roman" w:hAnsi="Times New Roman" w:eastAsia="宋体" w:cs="Times New Roman"/>
          <w:color w:val="auto"/>
          <w:szCs w:val="20"/>
          <w:highlight w:val="none"/>
        </w:rPr>
        <w:t>废土石渣</w:t>
      </w:r>
    </w:p>
    <w:p>
      <w:pPr>
        <w:snapToGrid w:val="0"/>
        <w:ind w:firstLine="480" w:firstLineChars="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u w:val="single"/>
        </w:rPr>
        <w:t>根据《三江县宏源采石场硅质岩矿矿产资源开发利用方案》，</w:t>
      </w:r>
      <w:r>
        <w:rPr>
          <w:rFonts w:hint="eastAsia" w:ascii="Times New Roman" w:hAnsi="Times New Roman" w:eastAsia="宋体" w:cs="Times New Roman"/>
          <w:color w:val="auto"/>
          <w:szCs w:val="24"/>
          <w:highlight w:val="none"/>
          <w:u w:val="single"/>
          <w:lang w:val="en-US" w:eastAsia="zh-CN"/>
        </w:rPr>
        <w:t>项目</w:t>
      </w:r>
      <w:r>
        <w:rPr>
          <w:rFonts w:hint="eastAsia" w:ascii="Times New Roman" w:hAnsi="Times New Roman" w:eastAsia="宋体" w:cs="Times New Roman"/>
          <w:color w:val="auto"/>
          <w:szCs w:val="24"/>
          <w:highlight w:val="none"/>
          <w:u w:val="single"/>
        </w:rPr>
        <w:t>矿山拟采范围内硅质岩矿体裸露地表，仅局部覆盖些浮土，但浮土层浅薄，矿体风化轻微，且基本限于表部。</w:t>
      </w:r>
      <w:r>
        <w:rPr>
          <w:rFonts w:ascii="Times New Roman" w:hAnsi="Times New Roman" w:eastAsia="宋体" w:cs="Times New Roman"/>
          <w:color w:val="auto"/>
          <w:szCs w:val="24"/>
          <w:highlight w:val="none"/>
          <w:u w:val="single"/>
        </w:rPr>
        <w:t>根据</w:t>
      </w:r>
      <w:r>
        <w:rPr>
          <w:rFonts w:hint="eastAsia" w:ascii="Times New Roman" w:hAnsi="Times New Roman" w:eastAsia="宋体" w:cs="Times New Roman"/>
          <w:color w:val="auto"/>
          <w:szCs w:val="24"/>
          <w:highlight w:val="none"/>
          <w:u w:val="single"/>
          <w:lang w:val="en-US" w:eastAsia="zh-CN"/>
        </w:rPr>
        <w:t>场地</w:t>
      </w:r>
      <w:r>
        <w:rPr>
          <w:rFonts w:ascii="Times New Roman" w:hAnsi="Times New Roman" w:eastAsia="宋体" w:cs="Times New Roman"/>
          <w:color w:val="auto"/>
          <w:szCs w:val="24"/>
          <w:highlight w:val="none"/>
          <w:u w:val="single"/>
        </w:rPr>
        <w:t>调查，</w:t>
      </w:r>
      <w:r>
        <w:rPr>
          <w:rFonts w:hint="eastAsia" w:ascii="Times New Roman" w:hAnsi="Times New Roman" w:eastAsia="宋体" w:cs="Times New Roman"/>
          <w:color w:val="auto"/>
          <w:szCs w:val="24"/>
          <w:highlight w:val="none"/>
          <w:u w:val="single"/>
          <w:lang w:val="en-US" w:eastAsia="zh-CN"/>
        </w:rPr>
        <w:t>项目</w:t>
      </w:r>
      <w:r>
        <w:rPr>
          <w:rFonts w:hint="eastAsia" w:ascii="Times New Roman" w:hAnsi="Times New Roman" w:eastAsia="宋体" w:cs="Times New Roman"/>
          <w:color w:val="auto"/>
          <w:szCs w:val="24"/>
          <w:highlight w:val="none"/>
          <w:u w:val="single"/>
        </w:rPr>
        <w:t>硅质岩</w:t>
      </w:r>
      <w:r>
        <w:rPr>
          <w:rFonts w:ascii="Times New Roman" w:hAnsi="Times New Roman" w:eastAsia="宋体" w:cs="Times New Roman"/>
          <w:color w:val="auto"/>
          <w:szCs w:val="24"/>
          <w:highlight w:val="none"/>
          <w:u w:val="single"/>
        </w:rPr>
        <w:t>矿体基本裸露地表，仅局部被少量薄层表土覆盖，围岩亦为同类</w:t>
      </w:r>
      <w:r>
        <w:rPr>
          <w:rFonts w:hint="eastAsia" w:ascii="Times New Roman" w:hAnsi="Times New Roman" w:eastAsia="宋体" w:cs="Times New Roman"/>
          <w:color w:val="auto"/>
          <w:szCs w:val="24"/>
          <w:highlight w:val="none"/>
          <w:u w:val="single"/>
        </w:rPr>
        <w:t>硅质岩</w:t>
      </w:r>
      <w:r>
        <w:rPr>
          <w:rFonts w:ascii="Times New Roman" w:hAnsi="Times New Roman" w:eastAsia="宋体" w:cs="Times New Roman"/>
          <w:color w:val="auto"/>
          <w:szCs w:val="24"/>
          <w:highlight w:val="none"/>
          <w:u w:val="single"/>
        </w:rPr>
        <w:t>，但部分岩体表层风化较强烈</w:t>
      </w:r>
      <w:r>
        <w:rPr>
          <w:rFonts w:hint="eastAsia" w:ascii="Times New Roman" w:hAnsi="Times New Roman" w:eastAsia="宋体" w:cs="Times New Roman"/>
          <w:color w:val="auto"/>
          <w:szCs w:val="24"/>
          <w:highlight w:val="none"/>
          <w:u w:val="single"/>
          <w:lang w:eastAsia="zh-CN"/>
        </w:rPr>
        <w:t>。</w:t>
      </w:r>
      <w:r>
        <w:rPr>
          <w:rFonts w:ascii="Times New Roman" w:hAnsi="Times New Roman" w:eastAsia="宋体" w:cs="Times New Roman"/>
          <w:color w:val="auto"/>
          <w:szCs w:val="24"/>
          <w:highlight w:val="none"/>
          <w:u w:val="single"/>
        </w:rPr>
        <w:t>露天开采过程中表土剥离将产生表土和</w:t>
      </w:r>
      <w:r>
        <w:rPr>
          <w:rFonts w:hint="eastAsia" w:ascii="Times New Roman" w:hAnsi="Times New Roman" w:eastAsia="宋体" w:cs="Times New Roman"/>
          <w:color w:val="auto"/>
          <w:szCs w:val="24"/>
          <w:highlight w:val="none"/>
          <w:u w:val="single"/>
        </w:rPr>
        <w:t>废土石渣</w:t>
      </w:r>
      <w:r>
        <w:rPr>
          <w:rFonts w:ascii="Times New Roman" w:hAnsi="Times New Roman" w:eastAsia="宋体" w:cs="Times New Roman"/>
          <w:color w:val="auto"/>
          <w:szCs w:val="24"/>
          <w:highlight w:val="none"/>
          <w:u w:val="single"/>
        </w:rPr>
        <w:t>。项目矿石在一级破碎</w:t>
      </w:r>
      <w:r>
        <w:rPr>
          <w:rFonts w:hint="eastAsia" w:ascii="Times New Roman" w:hAnsi="Times New Roman" w:eastAsia="宋体" w:cs="Times New Roman"/>
          <w:color w:val="auto"/>
          <w:szCs w:val="24"/>
          <w:highlight w:val="none"/>
          <w:u w:val="single"/>
        </w:rPr>
        <w:t>前先进行筛选</w:t>
      </w:r>
      <w:r>
        <w:rPr>
          <w:rFonts w:ascii="Times New Roman" w:hAnsi="Times New Roman" w:eastAsia="宋体" w:cs="Times New Roman"/>
          <w:color w:val="auto"/>
          <w:szCs w:val="24"/>
          <w:highlight w:val="none"/>
          <w:u w:val="single"/>
        </w:rPr>
        <w:t>，</w:t>
      </w:r>
      <w:r>
        <w:rPr>
          <w:rFonts w:hint="eastAsia" w:ascii="Times New Roman" w:hAnsi="Times New Roman" w:eastAsia="宋体" w:cs="Times New Roman"/>
          <w:color w:val="auto"/>
          <w:szCs w:val="24"/>
          <w:highlight w:val="none"/>
          <w:u w:val="single"/>
        </w:rPr>
        <w:t>振动</w:t>
      </w:r>
      <w:r>
        <w:rPr>
          <w:rFonts w:ascii="Times New Roman" w:hAnsi="Times New Roman" w:eastAsia="宋体" w:cs="Times New Roman"/>
          <w:color w:val="auto"/>
          <w:szCs w:val="24"/>
          <w:highlight w:val="none"/>
          <w:u w:val="single"/>
        </w:rPr>
        <w:t>筛分机筛出一些含泥细颗粒矿石。由于含有少量泥土，矿石粒径小，无法作为产品外售，属于矿石加工产生的</w:t>
      </w:r>
      <w:r>
        <w:rPr>
          <w:rFonts w:hint="eastAsia" w:ascii="Times New Roman" w:hAnsi="Times New Roman" w:eastAsia="宋体" w:cs="Times New Roman"/>
          <w:color w:val="auto"/>
          <w:szCs w:val="24"/>
          <w:highlight w:val="none"/>
          <w:u w:val="single"/>
        </w:rPr>
        <w:t>废土石渣</w:t>
      </w:r>
      <w:r>
        <w:rPr>
          <w:rFonts w:ascii="Times New Roman" w:hAnsi="Times New Roman" w:eastAsia="宋体" w:cs="Times New Roman"/>
          <w:color w:val="auto"/>
          <w:szCs w:val="24"/>
          <w:highlight w:val="none"/>
          <w:u w:val="single"/>
        </w:rPr>
        <w:t>。矿山估算剥采比为0.0</w:t>
      </w:r>
      <w:r>
        <w:rPr>
          <w:rFonts w:hint="eastAsia" w:ascii="Times New Roman" w:hAnsi="Times New Roman" w:eastAsia="宋体" w:cs="Times New Roman"/>
          <w:color w:val="auto"/>
          <w:szCs w:val="24"/>
          <w:highlight w:val="none"/>
          <w:u w:val="single"/>
        </w:rPr>
        <w:t>1m</w:t>
      </w:r>
      <w:r>
        <w:rPr>
          <w:rFonts w:hint="eastAsia" w:ascii="Times New Roman" w:hAnsi="Times New Roman" w:eastAsia="宋体" w:cs="Times New Roman"/>
          <w:color w:val="auto"/>
          <w:szCs w:val="24"/>
          <w:highlight w:val="none"/>
          <w:u w:val="single"/>
          <w:vertAlign w:val="superscript"/>
        </w:rPr>
        <w:t>3</w:t>
      </w:r>
      <w:r>
        <w:rPr>
          <w:rFonts w:ascii="Times New Roman" w:hAnsi="Times New Roman" w:eastAsia="宋体" w:cs="Times New Roman"/>
          <w:color w:val="auto"/>
          <w:szCs w:val="24"/>
          <w:highlight w:val="none"/>
          <w:u w:val="single"/>
        </w:rPr>
        <w:t>/</w:t>
      </w:r>
      <w:r>
        <w:rPr>
          <w:rFonts w:hint="eastAsia" w:ascii="Times New Roman" w:hAnsi="Times New Roman" w:eastAsia="宋体" w:cs="Times New Roman"/>
          <w:color w:val="auto"/>
          <w:szCs w:val="24"/>
          <w:highlight w:val="none"/>
          <w:u w:val="single"/>
        </w:rPr>
        <w:t>m</w:t>
      </w:r>
      <w:r>
        <w:rPr>
          <w:rFonts w:hint="eastAsia" w:ascii="Times New Roman" w:hAnsi="Times New Roman" w:eastAsia="宋体" w:cs="Times New Roman"/>
          <w:color w:val="auto"/>
          <w:szCs w:val="24"/>
          <w:highlight w:val="none"/>
          <w:u w:val="single"/>
          <w:vertAlign w:val="superscript"/>
        </w:rPr>
        <w:t>3</w:t>
      </w:r>
      <w:r>
        <w:rPr>
          <w:rFonts w:ascii="Times New Roman" w:hAnsi="Times New Roman" w:eastAsia="宋体" w:cs="Times New Roman"/>
          <w:color w:val="auto"/>
          <w:szCs w:val="24"/>
          <w:highlight w:val="none"/>
          <w:u w:val="single"/>
        </w:rPr>
        <w:t>，</w:t>
      </w:r>
      <w:r>
        <w:rPr>
          <w:rFonts w:hint="eastAsia" w:ascii="Times New Roman" w:hAnsi="Times New Roman" w:eastAsia="宋体" w:cs="Times New Roman"/>
          <w:color w:val="auto"/>
          <w:highlight w:val="none"/>
          <w:u w:val="single"/>
        </w:rPr>
        <w:t>开采量50</w:t>
      </w:r>
      <w:r>
        <w:rPr>
          <w:rFonts w:ascii="Times New Roman" w:hAnsi="Times New Roman" w:eastAsia="宋体" w:cs="Times New Roman"/>
          <w:color w:val="auto"/>
          <w:highlight w:val="none"/>
          <w:u w:val="single"/>
        </w:rPr>
        <w:t>万t(</w:t>
      </w:r>
      <w:r>
        <w:rPr>
          <w:rFonts w:hint="eastAsia" w:ascii="Times New Roman" w:hAnsi="Times New Roman" w:eastAsia="宋体" w:cs="Times New Roman"/>
          <w:color w:val="auto"/>
          <w:highlight w:val="none"/>
          <w:u w:val="single"/>
        </w:rPr>
        <w:t>19.23</w:t>
      </w:r>
      <w:r>
        <w:rPr>
          <w:rFonts w:ascii="Times New Roman" w:hAnsi="Times New Roman" w:eastAsia="宋体" w:cs="Times New Roman"/>
          <w:color w:val="auto"/>
          <w:highlight w:val="none"/>
          <w:u w:val="single"/>
        </w:rPr>
        <w:t>万</w:t>
      </w:r>
      <w:r>
        <w:rPr>
          <w:rFonts w:ascii="Times New Roman" w:hAnsi="Times New Roman" w:eastAsia="宋体" w:cs="Times New Roman"/>
          <w:color w:val="auto"/>
          <w:spacing w:val="-6"/>
          <w:highlight w:val="none"/>
          <w:u w:val="single"/>
        </w:rPr>
        <w:t>m</w:t>
      </w:r>
      <w:r>
        <w:rPr>
          <w:rFonts w:ascii="Times New Roman" w:hAnsi="Times New Roman" w:eastAsia="宋体" w:cs="Times New Roman"/>
          <w:color w:val="auto"/>
          <w:spacing w:val="-6"/>
          <w:highlight w:val="none"/>
          <w:u w:val="single"/>
          <w:vertAlign w:val="superscript"/>
        </w:rPr>
        <w:t>3</w:t>
      </w:r>
      <w:r>
        <w:rPr>
          <w:rFonts w:ascii="Times New Roman" w:hAnsi="Times New Roman" w:eastAsia="宋体" w:cs="Times New Roman"/>
          <w:color w:val="auto"/>
          <w:highlight w:val="none"/>
          <w:u w:val="single"/>
        </w:rPr>
        <w:t>)，</w:t>
      </w:r>
      <w:r>
        <w:rPr>
          <w:rFonts w:hint="eastAsia" w:ascii="Times New Roman" w:hAnsi="Times New Roman" w:eastAsia="宋体" w:cs="Times New Roman"/>
          <w:color w:val="auto"/>
          <w:highlight w:val="none"/>
          <w:u w:val="single"/>
        </w:rPr>
        <w:t>则产生的废土石为0.5万t（0.1923</w:t>
      </w:r>
      <w:r>
        <w:rPr>
          <w:rFonts w:ascii="Times New Roman" w:hAnsi="Times New Roman" w:eastAsia="宋体" w:cs="Times New Roman"/>
          <w:color w:val="auto"/>
          <w:highlight w:val="none"/>
          <w:u w:val="single"/>
        </w:rPr>
        <w:t>万</w:t>
      </w:r>
      <w:r>
        <w:rPr>
          <w:rFonts w:ascii="Times New Roman" w:hAnsi="Times New Roman" w:eastAsia="宋体" w:cs="Times New Roman"/>
          <w:color w:val="auto"/>
          <w:spacing w:val="-6"/>
          <w:highlight w:val="none"/>
          <w:u w:val="single"/>
        </w:rPr>
        <w:t>m</w:t>
      </w:r>
      <w:r>
        <w:rPr>
          <w:rFonts w:ascii="Times New Roman" w:hAnsi="Times New Roman" w:eastAsia="宋体" w:cs="Times New Roman"/>
          <w:color w:val="auto"/>
          <w:spacing w:val="-6"/>
          <w:highlight w:val="none"/>
          <w:u w:val="single"/>
          <w:vertAlign w:val="superscript"/>
        </w:rPr>
        <w:t>3</w:t>
      </w:r>
      <w:r>
        <w:rPr>
          <w:rFonts w:hint="eastAsia" w:ascii="Times New Roman" w:hAnsi="Times New Roman" w:eastAsia="宋体" w:cs="Times New Roman"/>
          <w:color w:val="auto"/>
          <w:highlight w:val="none"/>
          <w:u w:val="single"/>
        </w:rPr>
        <w:t>）。其中表土量占比较少，约占20%，即1000t/a（384.6</w:t>
      </w:r>
      <w:r>
        <w:rPr>
          <w:rFonts w:ascii="Times New Roman" w:hAnsi="Times New Roman" w:eastAsia="宋体" w:cs="Times New Roman"/>
          <w:color w:val="auto"/>
          <w:spacing w:val="-6"/>
          <w:highlight w:val="none"/>
          <w:u w:val="single"/>
        </w:rPr>
        <w:t>m</w:t>
      </w:r>
      <w:r>
        <w:rPr>
          <w:rFonts w:ascii="Times New Roman" w:hAnsi="Times New Roman" w:eastAsia="宋体" w:cs="Times New Roman"/>
          <w:color w:val="auto"/>
          <w:spacing w:val="-6"/>
          <w:highlight w:val="none"/>
          <w:u w:val="single"/>
          <w:vertAlign w:val="superscript"/>
        </w:rPr>
        <w:t>3</w:t>
      </w:r>
      <w:r>
        <w:rPr>
          <w:rFonts w:hint="eastAsia" w:ascii="Times New Roman" w:hAnsi="Times New Roman" w:eastAsia="宋体" w:cs="Times New Roman"/>
          <w:color w:val="auto"/>
          <w:spacing w:val="-6"/>
          <w:highlight w:val="none"/>
          <w:u w:val="single"/>
        </w:rPr>
        <w:t>/a</w:t>
      </w:r>
      <w:r>
        <w:rPr>
          <w:rFonts w:hint="eastAsia" w:ascii="Times New Roman" w:hAnsi="Times New Roman" w:eastAsia="宋体" w:cs="Times New Roman"/>
          <w:color w:val="auto"/>
          <w:highlight w:val="none"/>
          <w:u w:val="single"/>
        </w:rPr>
        <w:t>），废土石渣约占80%，即4000t/a（1538.4</w:t>
      </w:r>
      <w:r>
        <w:rPr>
          <w:rFonts w:ascii="Times New Roman" w:hAnsi="Times New Roman" w:eastAsia="宋体" w:cs="Times New Roman"/>
          <w:color w:val="auto"/>
          <w:spacing w:val="-6"/>
          <w:highlight w:val="none"/>
          <w:u w:val="single"/>
        </w:rPr>
        <w:t>m</w:t>
      </w:r>
      <w:r>
        <w:rPr>
          <w:rFonts w:ascii="Times New Roman" w:hAnsi="Times New Roman" w:eastAsia="宋体" w:cs="Times New Roman"/>
          <w:color w:val="auto"/>
          <w:spacing w:val="-6"/>
          <w:highlight w:val="none"/>
          <w:u w:val="single"/>
          <w:vertAlign w:val="superscript"/>
        </w:rPr>
        <w:t>3</w:t>
      </w:r>
      <w:r>
        <w:rPr>
          <w:rFonts w:hint="eastAsia" w:ascii="Times New Roman" w:hAnsi="Times New Roman" w:eastAsia="宋体" w:cs="Times New Roman"/>
          <w:color w:val="auto"/>
          <w:spacing w:val="-6"/>
          <w:highlight w:val="none"/>
          <w:u w:val="single"/>
        </w:rPr>
        <w:t>/a</w:t>
      </w:r>
      <w:r>
        <w:rPr>
          <w:rFonts w:hint="eastAsia" w:ascii="Times New Roman" w:hAnsi="Times New Roman" w:eastAsia="宋体" w:cs="Times New Roman"/>
          <w:color w:val="auto"/>
          <w:highlight w:val="none"/>
          <w:u w:val="single"/>
        </w:rPr>
        <w:t>）。表土</w:t>
      </w:r>
      <w:r>
        <w:rPr>
          <w:rFonts w:hint="eastAsia" w:ascii="Times New Roman" w:hAnsi="Times New Roman" w:eastAsia="宋体" w:cs="Times New Roman"/>
          <w:color w:val="auto"/>
          <w:highlight w:val="none"/>
          <w:u w:val="single"/>
          <w:lang w:val="en-US" w:eastAsia="zh-CN"/>
        </w:rPr>
        <w:t>和废土石渣分类</w:t>
      </w:r>
      <w:r>
        <w:rPr>
          <w:rFonts w:hint="eastAsia" w:ascii="Times New Roman" w:hAnsi="Times New Roman" w:eastAsia="宋体" w:cs="Times New Roman"/>
          <w:color w:val="auto"/>
          <w:highlight w:val="none"/>
          <w:u w:val="single"/>
        </w:rPr>
        <w:t>堆放于临时排土场，</w:t>
      </w:r>
      <w:r>
        <w:rPr>
          <w:rFonts w:hint="eastAsia" w:ascii="Times New Roman" w:hAnsi="Times New Roman" w:eastAsia="宋体" w:cs="Times New Roman"/>
          <w:color w:val="auto"/>
          <w:highlight w:val="none"/>
          <w:u w:val="single"/>
          <w:lang w:val="en-US" w:eastAsia="zh-CN"/>
        </w:rPr>
        <w:t>表土</w:t>
      </w:r>
      <w:r>
        <w:rPr>
          <w:rFonts w:hint="eastAsia" w:ascii="Times New Roman" w:hAnsi="Times New Roman" w:eastAsia="宋体" w:cs="Times New Roman"/>
          <w:color w:val="auto"/>
          <w:highlight w:val="none"/>
          <w:u w:val="single"/>
        </w:rPr>
        <w:t>用做矿山复垦</w:t>
      </w:r>
      <w:r>
        <w:rPr>
          <w:rFonts w:hint="eastAsia" w:ascii="Times New Roman" w:hAnsi="Times New Roman" w:eastAsia="宋体" w:cs="Times New Roman"/>
          <w:color w:val="auto"/>
          <w:highlight w:val="none"/>
          <w:u w:val="single"/>
          <w:lang w:eastAsia="zh-CN"/>
        </w:rPr>
        <w:t>，</w:t>
      </w:r>
      <w:r>
        <w:rPr>
          <w:rFonts w:hint="eastAsia" w:ascii="Times New Roman" w:hAnsi="Times New Roman" w:eastAsia="宋体" w:cs="Times New Roman"/>
          <w:color w:val="auto"/>
          <w:highlight w:val="none"/>
          <w:u w:val="single"/>
        </w:rPr>
        <w:t>废土石渣经外卖用于周边道路建设。</w:t>
      </w:r>
      <w:r>
        <w:rPr>
          <w:rFonts w:ascii="Times New Roman" w:hAnsi="Times New Roman" w:eastAsia="宋体" w:cs="Times New Roman"/>
          <w:color w:val="auto"/>
          <w:szCs w:val="24"/>
          <w:highlight w:val="none"/>
          <w:u w:val="single"/>
        </w:rPr>
        <w:t>本项目不设置永久</w:t>
      </w:r>
      <w:r>
        <w:rPr>
          <w:rFonts w:hint="eastAsia" w:ascii="Times New Roman" w:hAnsi="Times New Roman" w:eastAsia="宋体" w:cs="Times New Roman"/>
          <w:color w:val="auto"/>
          <w:szCs w:val="24"/>
          <w:highlight w:val="none"/>
          <w:u w:val="single"/>
        </w:rPr>
        <w:t>排</w:t>
      </w:r>
      <w:r>
        <w:rPr>
          <w:rFonts w:ascii="Times New Roman" w:hAnsi="Times New Roman" w:eastAsia="宋体" w:cs="Times New Roman"/>
          <w:color w:val="auto"/>
          <w:szCs w:val="24"/>
          <w:highlight w:val="none"/>
          <w:u w:val="single"/>
        </w:rPr>
        <w:t>土场。</w:t>
      </w:r>
    </w:p>
    <w:p>
      <w:pPr>
        <w:snapToGrid w:val="0"/>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（2）</w:t>
      </w:r>
      <w:r>
        <w:rPr>
          <w:rFonts w:hint="eastAsia" w:ascii="Times New Roman" w:hAnsi="Times New Roman" w:eastAsia="宋体" w:cs="Times New Roman"/>
          <w:color w:val="auto"/>
          <w:szCs w:val="20"/>
          <w:highlight w:val="none"/>
        </w:rPr>
        <w:t>除尘器粉尘</w:t>
      </w:r>
    </w:p>
    <w:p>
      <w:pPr>
        <w:snapToGrid w:val="0"/>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破碎和筛分过程</w:t>
      </w:r>
      <w:r>
        <w:rPr>
          <w:rFonts w:hint="eastAsia" w:ascii="Times New Roman" w:hAnsi="Times New Roman" w:eastAsia="宋体" w:cs="Times New Roman"/>
          <w:color w:val="auto"/>
          <w:szCs w:val="20"/>
          <w:highlight w:val="none"/>
        </w:rPr>
        <w:t>设置喷淋+封闭+负压收集+袋式除尘设施</w:t>
      </w:r>
      <w:r>
        <w:rPr>
          <w:rFonts w:ascii="Times New Roman" w:hAnsi="Times New Roman" w:eastAsia="宋体" w:cs="Times New Roman"/>
          <w:color w:val="auto"/>
          <w:szCs w:val="20"/>
          <w:highlight w:val="none"/>
        </w:rPr>
        <w:t>，根据工程分析，破碎筛分粉尘</w:t>
      </w:r>
      <w:r>
        <w:rPr>
          <w:rFonts w:hint="eastAsia" w:ascii="Times New Roman" w:hAnsi="Times New Roman" w:eastAsia="宋体" w:cs="Times New Roman"/>
          <w:color w:val="auto"/>
          <w:szCs w:val="20"/>
          <w:highlight w:val="none"/>
        </w:rPr>
        <w:t>共</w:t>
      </w:r>
      <w:r>
        <w:rPr>
          <w:rFonts w:ascii="Times New Roman" w:hAnsi="Times New Roman" w:eastAsia="宋体" w:cs="Times New Roman"/>
          <w:color w:val="auto"/>
          <w:szCs w:val="20"/>
          <w:highlight w:val="none"/>
        </w:rPr>
        <w:t>产生量</w:t>
      </w:r>
      <w:r>
        <w:rPr>
          <w:rFonts w:hint="eastAsia" w:ascii="Times New Roman" w:hAnsi="Times New Roman" w:eastAsia="宋体" w:cs="Times New Roman"/>
          <w:color w:val="auto"/>
          <w:szCs w:val="20"/>
          <w:highlight w:val="none"/>
        </w:rPr>
        <w:t>195</w:t>
      </w:r>
      <w:r>
        <w:rPr>
          <w:rFonts w:ascii="Times New Roman" w:hAnsi="Times New Roman" w:eastAsia="宋体" w:cs="Times New Roman"/>
          <w:color w:val="auto"/>
          <w:szCs w:val="20"/>
          <w:highlight w:val="none"/>
        </w:rPr>
        <w:t>t/a，</w:t>
      </w:r>
      <w:r>
        <w:rPr>
          <w:rFonts w:hint="eastAsia" w:ascii="Times New Roman" w:hAnsi="Times New Roman" w:eastAsia="宋体" w:cs="Times New Roman"/>
          <w:color w:val="auto"/>
          <w:szCs w:val="20"/>
          <w:highlight w:val="none"/>
        </w:rPr>
        <w:t>负压收集效率90%，</w:t>
      </w:r>
      <w:r>
        <w:rPr>
          <w:rFonts w:ascii="Times New Roman" w:hAnsi="Times New Roman" w:eastAsia="宋体" w:cs="Times New Roman"/>
          <w:color w:val="auto"/>
          <w:szCs w:val="20"/>
          <w:highlight w:val="none"/>
        </w:rPr>
        <w:t>袋式除尘器除尘效率99%，则粉尘收集量为</w:t>
      </w:r>
      <w:r>
        <w:rPr>
          <w:rFonts w:hint="eastAsia" w:ascii="Times New Roman" w:hAnsi="Times New Roman" w:eastAsia="宋体" w:cs="Times New Roman"/>
          <w:color w:val="auto"/>
          <w:szCs w:val="20"/>
          <w:highlight w:val="none"/>
        </w:rPr>
        <w:t>173.745</w:t>
      </w:r>
      <w:r>
        <w:rPr>
          <w:rFonts w:ascii="Times New Roman" w:hAnsi="Times New Roman" w:eastAsia="宋体" w:cs="Times New Roman"/>
          <w:color w:val="auto"/>
          <w:szCs w:val="20"/>
          <w:highlight w:val="none"/>
        </w:rPr>
        <w:t>t/a，</w:t>
      </w:r>
      <w:r>
        <w:rPr>
          <w:rFonts w:ascii="Times New Roman" w:hAnsi="Times New Roman" w:eastAsia="宋体" w:cs="Times New Roman"/>
          <w:color w:val="auto"/>
          <w:szCs w:val="20"/>
          <w:highlight w:val="none"/>
          <w:u w:val="single"/>
        </w:rPr>
        <w:t>收集后</w:t>
      </w:r>
      <w:r>
        <w:rPr>
          <w:rFonts w:hint="eastAsia" w:cs="Times New Roman"/>
          <w:color w:val="auto"/>
          <w:szCs w:val="20"/>
          <w:highlight w:val="none"/>
          <w:u w:val="single"/>
          <w:lang w:val="en-US" w:eastAsia="zh-CN"/>
        </w:rPr>
        <w:t>混入石粉产品，</w:t>
      </w:r>
      <w:r>
        <w:rPr>
          <w:rFonts w:ascii="Times New Roman" w:hAnsi="Times New Roman" w:eastAsia="宋体" w:cs="Times New Roman"/>
          <w:color w:val="auto"/>
          <w:szCs w:val="20"/>
          <w:highlight w:val="none"/>
          <w:u w:val="single"/>
        </w:rPr>
        <w:t>外卖。</w:t>
      </w:r>
    </w:p>
    <w:p>
      <w:pPr>
        <w:snapToGrid w:val="0"/>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（3）泥渣</w:t>
      </w:r>
    </w:p>
    <w:p>
      <w:pPr>
        <w:snapToGrid w:val="0"/>
        <w:ind w:firstLine="480"/>
        <w:rPr>
          <w:rFonts w:ascii="Times New Roman" w:hAnsi="Times New Roman" w:eastAsia="宋体" w:cs="Times New Roman"/>
          <w:color w:val="auto"/>
          <w:szCs w:val="20"/>
          <w:highlight w:val="none"/>
          <w:u w:val="single"/>
        </w:rPr>
      </w:pPr>
      <w:r>
        <w:rPr>
          <w:rFonts w:ascii="Times New Roman" w:hAnsi="Times New Roman" w:eastAsia="宋体" w:cs="Times New Roman"/>
          <w:color w:val="auto"/>
          <w:szCs w:val="20"/>
          <w:highlight w:val="none"/>
          <w:u w:val="single"/>
        </w:rPr>
        <w:t>项目矿区初期雨水经沉砂池沉淀后，回用于场地、运输道路降尘用水，沉砂池定期清理泥渣。</w:t>
      </w:r>
      <w:r>
        <w:rPr>
          <w:rFonts w:hint="eastAsia" w:cs="Times New Roman"/>
          <w:color w:val="auto"/>
          <w:szCs w:val="20"/>
          <w:highlight w:val="none"/>
          <w:u w:val="single"/>
          <w:lang w:eastAsia="zh-CN"/>
        </w:rPr>
        <w:t>破碎场①</w:t>
      </w:r>
      <w:r>
        <w:rPr>
          <w:rFonts w:hint="eastAsia" w:ascii="Times New Roman" w:hAnsi="Times New Roman" w:eastAsia="宋体" w:cs="Times New Roman"/>
          <w:color w:val="auto"/>
          <w:szCs w:val="20"/>
          <w:highlight w:val="none"/>
          <w:u w:val="single"/>
        </w:rPr>
        <w:t>和</w:t>
      </w:r>
      <w:r>
        <w:rPr>
          <w:rFonts w:hint="eastAsia" w:cs="Times New Roman"/>
          <w:color w:val="auto"/>
          <w:szCs w:val="20"/>
          <w:highlight w:val="none"/>
          <w:u w:val="single"/>
          <w:lang w:eastAsia="zh-CN"/>
        </w:rPr>
        <w:t>破碎场②</w:t>
      </w:r>
      <w:r>
        <w:rPr>
          <w:rFonts w:ascii="Times New Roman" w:hAnsi="Times New Roman" w:eastAsia="宋体" w:cs="Times New Roman"/>
          <w:color w:val="auto"/>
          <w:szCs w:val="20"/>
          <w:highlight w:val="none"/>
          <w:u w:val="single"/>
        </w:rPr>
        <w:t>初期雨水</w:t>
      </w:r>
      <w:r>
        <w:rPr>
          <w:rFonts w:hint="eastAsia" w:cs="Times New Roman"/>
          <w:color w:val="auto"/>
          <w:szCs w:val="20"/>
          <w:highlight w:val="none"/>
          <w:u w:val="single"/>
          <w:lang w:val="en-US" w:eastAsia="zh-CN"/>
        </w:rPr>
        <w:t>总量</w:t>
      </w:r>
      <w:r>
        <w:rPr>
          <w:rFonts w:hint="eastAsia" w:ascii="Times New Roman" w:hAnsi="Times New Roman" w:eastAsia="宋体" w:cs="Times New Roman"/>
          <w:color w:val="auto"/>
          <w:szCs w:val="20"/>
          <w:highlight w:val="none"/>
          <w:u w:val="single"/>
        </w:rPr>
        <w:t>为</w:t>
      </w:r>
      <w:r>
        <w:rPr>
          <w:rFonts w:hint="eastAsia" w:cs="Times New Roman"/>
          <w:color w:val="auto"/>
          <w:szCs w:val="20"/>
          <w:highlight w:val="none"/>
          <w:u w:val="single"/>
          <w:lang w:val="en-US" w:eastAsia="zh-CN"/>
        </w:rPr>
        <w:t>401</w:t>
      </w:r>
      <w:r>
        <w:rPr>
          <w:rFonts w:ascii="Times New Roman" w:hAnsi="Times New Roman" w:eastAsia="宋体" w:cs="Times New Roman"/>
          <w:color w:val="auto"/>
          <w:szCs w:val="20"/>
          <w:highlight w:val="none"/>
          <w:u w:val="single"/>
        </w:rPr>
        <w:t>m</w:t>
      </w:r>
      <w:r>
        <w:rPr>
          <w:rFonts w:ascii="Times New Roman" w:hAnsi="Times New Roman" w:eastAsia="宋体" w:cs="Times New Roman"/>
          <w:color w:val="auto"/>
          <w:szCs w:val="20"/>
          <w:highlight w:val="none"/>
          <w:u w:val="single"/>
          <w:vertAlign w:val="superscript"/>
        </w:rPr>
        <w:t>3</w:t>
      </w:r>
      <w:r>
        <w:rPr>
          <w:rFonts w:ascii="Times New Roman" w:hAnsi="Times New Roman" w:eastAsia="宋体" w:cs="Times New Roman"/>
          <w:color w:val="auto"/>
          <w:szCs w:val="20"/>
          <w:highlight w:val="none"/>
          <w:u w:val="single"/>
        </w:rPr>
        <w:t>/次，按</w:t>
      </w:r>
      <w:r>
        <w:rPr>
          <w:rFonts w:hint="eastAsia" w:cs="Times New Roman"/>
          <w:color w:val="auto"/>
          <w:szCs w:val="20"/>
          <w:highlight w:val="none"/>
          <w:u w:val="single"/>
          <w:lang w:val="en-US" w:eastAsia="zh-CN"/>
        </w:rPr>
        <w:t>2</w:t>
      </w:r>
      <w:r>
        <w:rPr>
          <w:rFonts w:ascii="Times New Roman" w:hAnsi="Times New Roman" w:eastAsia="宋体" w:cs="Times New Roman"/>
          <w:color w:val="auto"/>
          <w:szCs w:val="20"/>
          <w:highlight w:val="none"/>
          <w:u w:val="single"/>
        </w:rPr>
        <w:t>0次/a计算，总初期雨水量</w:t>
      </w:r>
      <w:r>
        <w:rPr>
          <w:rFonts w:hint="eastAsia" w:cs="Times New Roman"/>
          <w:color w:val="auto"/>
          <w:szCs w:val="20"/>
          <w:highlight w:val="none"/>
          <w:u w:val="single"/>
          <w:lang w:val="en-US" w:eastAsia="zh-CN"/>
        </w:rPr>
        <w:t>8020</w:t>
      </w:r>
      <w:r>
        <w:rPr>
          <w:rFonts w:ascii="Times New Roman" w:hAnsi="Times New Roman" w:eastAsia="宋体" w:cs="Times New Roman"/>
          <w:color w:val="auto"/>
          <w:szCs w:val="20"/>
          <w:highlight w:val="none"/>
          <w:u w:val="single"/>
        </w:rPr>
        <w:t>m</w:t>
      </w:r>
      <w:r>
        <w:rPr>
          <w:rFonts w:ascii="Times New Roman" w:hAnsi="Times New Roman" w:eastAsia="宋体" w:cs="Times New Roman"/>
          <w:color w:val="auto"/>
          <w:szCs w:val="20"/>
          <w:highlight w:val="none"/>
          <w:u w:val="single"/>
          <w:vertAlign w:val="superscript"/>
        </w:rPr>
        <w:t>3</w:t>
      </w:r>
      <w:r>
        <w:rPr>
          <w:rFonts w:ascii="Times New Roman" w:hAnsi="Times New Roman" w:eastAsia="宋体" w:cs="Times New Roman"/>
          <w:color w:val="auto"/>
          <w:szCs w:val="20"/>
          <w:highlight w:val="none"/>
          <w:u w:val="single"/>
        </w:rPr>
        <w:t>，SS浓度为500mg/L，泥渣含水率按</w:t>
      </w:r>
      <w:r>
        <w:rPr>
          <w:rFonts w:hint="eastAsia" w:ascii="Times New Roman" w:hAnsi="Times New Roman" w:eastAsia="宋体" w:cs="Times New Roman"/>
          <w:color w:val="auto"/>
          <w:szCs w:val="20"/>
          <w:highlight w:val="none"/>
          <w:u w:val="single"/>
        </w:rPr>
        <w:t>2</w:t>
      </w:r>
      <w:r>
        <w:rPr>
          <w:rFonts w:ascii="Times New Roman" w:hAnsi="Times New Roman" w:eastAsia="宋体" w:cs="Times New Roman"/>
          <w:color w:val="auto"/>
          <w:szCs w:val="20"/>
          <w:highlight w:val="none"/>
          <w:u w:val="single"/>
        </w:rPr>
        <w:t>0</w:t>
      </w:r>
      <w:r>
        <w:rPr>
          <w:rFonts w:hint="eastAsia" w:ascii="Times New Roman" w:hAnsi="Times New Roman" w:eastAsia="宋体" w:cs="Times New Roman"/>
          <w:color w:val="auto"/>
          <w:szCs w:val="20"/>
          <w:highlight w:val="none"/>
          <w:u w:val="single"/>
        </w:rPr>
        <w:t>%</w:t>
      </w:r>
      <w:r>
        <w:rPr>
          <w:rFonts w:ascii="Times New Roman" w:hAnsi="Times New Roman" w:eastAsia="宋体" w:cs="Times New Roman"/>
          <w:color w:val="auto"/>
          <w:szCs w:val="20"/>
          <w:highlight w:val="none"/>
          <w:u w:val="single"/>
        </w:rPr>
        <w:t>计算，则泥渣产量为</w:t>
      </w:r>
      <w:r>
        <w:rPr>
          <w:rFonts w:hint="eastAsia" w:cs="Times New Roman"/>
          <w:color w:val="auto"/>
          <w:szCs w:val="20"/>
          <w:highlight w:val="none"/>
          <w:u w:val="single"/>
          <w:lang w:val="en-US" w:eastAsia="zh-CN"/>
        </w:rPr>
        <w:t>5</w:t>
      </w:r>
      <w:r>
        <w:rPr>
          <w:rFonts w:ascii="Times New Roman" w:hAnsi="Times New Roman" w:eastAsia="宋体" w:cs="Times New Roman"/>
          <w:color w:val="auto"/>
          <w:szCs w:val="20"/>
          <w:highlight w:val="none"/>
          <w:u w:val="single"/>
        </w:rPr>
        <w:t>t/a</w:t>
      </w:r>
      <w:r>
        <w:rPr>
          <w:rFonts w:hint="eastAsia" w:ascii="Times New Roman" w:hAnsi="Times New Roman" w:eastAsia="宋体" w:cs="Times New Roman"/>
          <w:color w:val="auto"/>
          <w:szCs w:val="20"/>
          <w:highlight w:val="none"/>
          <w:u w:val="single"/>
        </w:rPr>
        <w:t>。泥渣用于矿区道路平整</w:t>
      </w:r>
      <w:r>
        <w:rPr>
          <w:rFonts w:hint="eastAsia" w:ascii="Times New Roman" w:hAnsi="Times New Roman" w:eastAsia="宋体" w:cs="Times New Roman"/>
          <w:color w:val="auto"/>
          <w:szCs w:val="20"/>
          <w:highlight w:val="none"/>
          <w:u w:val="single"/>
        </w:rPr>
        <w:t>。</w:t>
      </w:r>
    </w:p>
    <w:p>
      <w:pPr>
        <w:snapToGrid w:val="0"/>
        <w:ind w:left="480" w:leftChars="200" w:firstLine="0" w:firstLineChars="0"/>
        <w:rPr>
          <w:rFonts w:hint="eastAsia" w:ascii="Times New Roman" w:hAnsi="Times New Roman" w:eastAsia="宋体" w:cs="Times New Roman"/>
          <w:color w:val="auto"/>
          <w:szCs w:val="20"/>
          <w:highlight w:val="none"/>
        </w:rPr>
      </w:pPr>
      <w:r>
        <w:rPr>
          <w:rFonts w:hint="eastAsia" w:ascii="Times New Roman" w:hAnsi="Times New Roman" w:eastAsia="宋体" w:cs="Times New Roman"/>
          <w:color w:val="auto"/>
          <w:szCs w:val="20"/>
          <w:highlight w:val="none"/>
        </w:rPr>
        <w:t>（4）洗砂泥饼</w:t>
      </w:r>
    </w:p>
    <w:p>
      <w:pPr>
        <w:snapToGrid w:val="0"/>
        <w:ind w:firstLine="480"/>
        <w:rPr>
          <w:rFonts w:ascii="Times New Roman" w:hAnsi="Times New Roman" w:eastAsia="宋体" w:cs="Times New Roman"/>
          <w:color w:val="auto"/>
          <w:szCs w:val="20"/>
          <w:highlight w:val="none"/>
        </w:rPr>
      </w:pPr>
      <w:r>
        <w:rPr>
          <w:rFonts w:hint="eastAsia" w:ascii="Times New Roman" w:hAnsi="Times New Roman" w:eastAsia="宋体"/>
          <w:color w:val="auto"/>
          <w:highlight w:val="none"/>
        </w:rPr>
        <w:t>根据建设单位提供信息，石粉中泥渣含量约7%，</w:t>
      </w:r>
      <w:r>
        <w:rPr>
          <w:rFonts w:hint="eastAsia" w:ascii="Times New Roman" w:hAnsi="Times New Roman" w:eastAsia="宋体" w:cs="Times New Roman"/>
          <w:color w:val="auto"/>
          <w:szCs w:val="20"/>
          <w:highlight w:val="none"/>
        </w:rPr>
        <w:t>洗砂成品</w:t>
      </w:r>
      <w:r>
        <w:rPr>
          <w:rFonts w:hint="eastAsia" w:ascii="Times New Roman" w:hAnsi="Times New Roman" w:eastAsia="宋体" w:cs="Times New Roman"/>
          <w:color w:val="auto"/>
          <w:szCs w:val="20"/>
          <w:highlight w:val="none"/>
          <w:lang w:val="en-US" w:eastAsia="zh-CN"/>
        </w:rPr>
        <w:t>人工砂</w:t>
      </w:r>
      <w:r>
        <w:rPr>
          <w:rFonts w:hint="eastAsia" w:ascii="Times New Roman" w:hAnsi="Times New Roman" w:eastAsia="宋体" w:cs="Times New Roman"/>
          <w:color w:val="auto"/>
          <w:szCs w:val="20"/>
          <w:highlight w:val="none"/>
        </w:rPr>
        <w:t>产量2.5万t/a，</w:t>
      </w:r>
      <w:r>
        <w:rPr>
          <w:rFonts w:ascii="Times New Roman" w:hAnsi="Times New Roman" w:eastAsia="宋体" w:cs="Times New Roman"/>
          <w:color w:val="auto"/>
          <w:szCs w:val="20"/>
          <w:highlight w:val="none"/>
        </w:rPr>
        <w:t>则</w:t>
      </w:r>
      <w:r>
        <w:rPr>
          <w:rFonts w:hint="eastAsia" w:ascii="Times New Roman" w:hAnsi="Times New Roman" w:eastAsia="宋体" w:cs="Times New Roman"/>
          <w:color w:val="auto"/>
          <w:szCs w:val="20"/>
          <w:highlight w:val="none"/>
        </w:rPr>
        <w:t>石粉中泥渣量为1882t/a。</w:t>
      </w:r>
      <w:r>
        <w:rPr>
          <w:rFonts w:hint="eastAsia" w:ascii="Times New Roman" w:hAnsi="Times New Roman" w:eastAsia="宋体"/>
          <w:color w:val="auto"/>
          <w:highlight w:val="none"/>
        </w:rPr>
        <w:t>洗砂过程定期清理洗砂池和处理废水过程产生洗砂泥饼，</w:t>
      </w:r>
      <w:r>
        <w:rPr>
          <w:rFonts w:hint="eastAsia" w:ascii="Times New Roman" w:hAnsi="Times New Roman" w:eastAsia="宋体" w:cs="Times New Roman"/>
          <w:color w:val="auto"/>
          <w:szCs w:val="20"/>
          <w:highlight w:val="none"/>
        </w:rPr>
        <w:t>泥饼</w:t>
      </w:r>
      <w:r>
        <w:rPr>
          <w:rFonts w:ascii="Times New Roman" w:hAnsi="Times New Roman" w:eastAsia="宋体" w:cs="Times New Roman"/>
          <w:color w:val="auto"/>
          <w:szCs w:val="20"/>
          <w:highlight w:val="none"/>
        </w:rPr>
        <w:t>含水率按</w:t>
      </w:r>
      <w:r>
        <w:rPr>
          <w:rFonts w:hint="eastAsia" w:ascii="Times New Roman" w:hAnsi="Times New Roman" w:eastAsia="宋体" w:cs="Times New Roman"/>
          <w:color w:val="auto"/>
          <w:szCs w:val="20"/>
          <w:highlight w:val="none"/>
        </w:rPr>
        <w:t>2</w:t>
      </w:r>
      <w:r>
        <w:rPr>
          <w:rFonts w:ascii="Times New Roman" w:hAnsi="Times New Roman" w:eastAsia="宋体" w:cs="Times New Roman"/>
          <w:color w:val="auto"/>
          <w:szCs w:val="20"/>
          <w:highlight w:val="none"/>
        </w:rPr>
        <w:t>0</w:t>
      </w:r>
      <w:r>
        <w:rPr>
          <w:rFonts w:hint="eastAsia" w:ascii="Times New Roman" w:hAnsi="Times New Roman" w:eastAsia="宋体" w:cs="Times New Roman"/>
          <w:color w:val="auto"/>
          <w:szCs w:val="20"/>
          <w:highlight w:val="none"/>
        </w:rPr>
        <w:t>%</w:t>
      </w:r>
      <w:r>
        <w:rPr>
          <w:rFonts w:ascii="Times New Roman" w:hAnsi="Times New Roman" w:eastAsia="宋体" w:cs="Times New Roman"/>
          <w:color w:val="auto"/>
          <w:szCs w:val="20"/>
          <w:highlight w:val="none"/>
        </w:rPr>
        <w:t>计算，</w:t>
      </w:r>
      <w:r>
        <w:rPr>
          <w:rFonts w:hint="eastAsia" w:ascii="Times New Roman" w:hAnsi="Times New Roman" w:eastAsia="宋体" w:cs="Times New Roman"/>
          <w:color w:val="auto"/>
          <w:szCs w:val="20"/>
          <w:highlight w:val="none"/>
        </w:rPr>
        <w:t>中洗砂洗砂泥饼</w:t>
      </w:r>
      <w:r>
        <w:rPr>
          <w:rFonts w:ascii="Times New Roman" w:hAnsi="Times New Roman" w:eastAsia="宋体" w:cs="Times New Roman"/>
          <w:color w:val="auto"/>
          <w:szCs w:val="20"/>
          <w:highlight w:val="none"/>
        </w:rPr>
        <w:t>产量为</w:t>
      </w:r>
      <w:r>
        <w:rPr>
          <w:rFonts w:hint="eastAsia" w:ascii="Times New Roman" w:hAnsi="Times New Roman" w:eastAsia="宋体" w:cs="Times New Roman"/>
          <w:color w:val="auto"/>
          <w:szCs w:val="20"/>
          <w:highlight w:val="none"/>
        </w:rPr>
        <w:t>2352.5</w:t>
      </w:r>
      <w:r>
        <w:rPr>
          <w:rFonts w:ascii="Times New Roman" w:hAnsi="Times New Roman" w:eastAsia="宋体" w:cs="Times New Roman"/>
          <w:color w:val="auto"/>
          <w:szCs w:val="20"/>
          <w:highlight w:val="none"/>
        </w:rPr>
        <w:t>t/a</w:t>
      </w:r>
      <w:r>
        <w:rPr>
          <w:rFonts w:hint="eastAsia" w:ascii="Times New Roman" w:hAnsi="Times New Roman" w:eastAsia="宋体" w:cs="Times New Roman"/>
          <w:color w:val="auto"/>
          <w:szCs w:val="20"/>
          <w:highlight w:val="none"/>
        </w:rPr>
        <w:t>，经收集后外卖砖厂。</w:t>
      </w:r>
    </w:p>
    <w:p>
      <w:pPr>
        <w:snapToGrid w:val="0"/>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5</w:t>
      </w:r>
      <w:r>
        <w:rPr>
          <w:rFonts w:ascii="Times New Roman" w:hAnsi="Times New Roman" w:eastAsia="宋体" w:cs="Times New Roman"/>
          <w:color w:val="auto"/>
          <w:szCs w:val="20"/>
          <w:highlight w:val="none"/>
        </w:rPr>
        <w:t>）机修固体废物</w:t>
      </w:r>
    </w:p>
    <w:p>
      <w:pPr>
        <w:snapToGrid w:val="0"/>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项目矿山机械设备维修时产生废零件3.0t/a，废机油约0.1t/a，废含油抹布约0.02t/a。根据（2016年版，2016年8月1日起施行），</w:t>
      </w:r>
      <w:r>
        <w:rPr>
          <w:rFonts w:ascii="Times New Roman" w:hAnsi="Times New Roman" w:eastAsia="宋体" w:cs="Times New Roman"/>
          <w:color w:val="auto"/>
          <w:szCs w:val="20"/>
          <w:highlight w:val="none"/>
          <w:u w:val="single"/>
        </w:rPr>
        <w:t>废机油属于名录中“HW08废矿物油与含矿物油废物/非特定行业/900-214-08/车辆、机械维修和拆解过程中产生的废发动机油、制动器油、自动变速器油、齿轮油等废润滑油”所列</w:t>
      </w:r>
      <w:r>
        <w:rPr>
          <w:rFonts w:hint="eastAsia" w:cs="Times New Roman"/>
          <w:color w:val="auto"/>
          <w:szCs w:val="20"/>
          <w:highlight w:val="none"/>
          <w:u w:val="single"/>
          <w:lang w:val="en-US" w:eastAsia="zh-CN"/>
        </w:rPr>
        <w:t>危险废物</w:t>
      </w:r>
      <w:r>
        <w:rPr>
          <w:rFonts w:ascii="Times New Roman" w:hAnsi="Times New Roman" w:eastAsia="宋体" w:cs="Times New Roman"/>
          <w:color w:val="auto"/>
          <w:szCs w:val="20"/>
          <w:highlight w:val="none"/>
          <w:u w:val="single"/>
        </w:rPr>
        <w:t>，拟收集后暂存于危险废物暂存库，委托有相应危险废物处置资质的单位处置。废含油抹布属于名录中“HW49其它废物/非特定行业/900-041-49/含有或直接沾染危险废物的废弃包装物、容器、清洗杂物”所列废弃清洗杂物，</w:t>
      </w:r>
      <w:r>
        <w:rPr>
          <w:rFonts w:hint="eastAsia" w:cs="Times New Roman"/>
          <w:color w:val="auto"/>
          <w:szCs w:val="20"/>
          <w:highlight w:val="none"/>
          <w:u w:val="single"/>
          <w:lang w:val="en-US" w:eastAsia="zh-CN"/>
        </w:rPr>
        <w:t>其列入危险废物豁免清单，可混入生活垃圾，委托环卫部门处理。</w:t>
      </w:r>
      <w:r>
        <w:rPr>
          <w:rFonts w:ascii="Times New Roman" w:hAnsi="Times New Roman" w:eastAsia="宋体" w:cs="Times New Roman"/>
          <w:color w:val="auto"/>
          <w:szCs w:val="20"/>
          <w:highlight w:val="none"/>
          <w:u w:val="single"/>
        </w:rPr>
        <w:t>废零件属于一般性固体废物，收集后外卖给废品回收公司。</w:t>
      </w:r>
    </w:p>
    <w:p>
      <w:pPr>
        <w:snapToGrid w:val="0"/>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rPr>
        <w:t>6</w:t>
      </w:r>
      <w:r>
        <w:rPr>
          <w:rFonts w:ascii="Times New Roman" w:hAnsi="Times New Roman" w:eastAsia="宋体" w:cs="Times New Roman"/>
          <w:color w:val="auto"/>
          <w:szCs w:val="20"/>
          <w:highlight w:val="none"/>
        </w:rPr>
        <w:t>）生活垃圾</w:t>
      </w:r>
    </w:p>
    <w:p>
      <w:pPr>
        <w:snapToGrid w:val="0"/>
        <w:ind w:firstLine="480"/>
        <w:rPr>
          <w:rFonts w:ascii="Times New Roman" w:hAnsi="Times New Roman" w:eastAsia="宋体" w:cs="Times New Roman"/>
          <w:color w:val="auto"/>
          <w:szCs w:val="20"/>
          <w:highlight w:val="none"/>
        </w:rPr>
      </w:pPr>
      <w:r>
        <w:rPr>
          <w:rFonts w:hint="eastAsia" w:ascii="Times New Roman" w:hAnsi="Times New Roman" w:eastAsia="宋体" w:cs="Times New Roman"/>
          <w:bCs/>
          <w:color w:val="auto"/>
          <w:szCs w:val="20"/>
          <w:highlight w:val="none"/>
          <w:lang w:val="en-US" w:eastAsia="zh-CN"/>
        </w:rPr>
        <w:t>整合</w:t>
      </w:r>
      <w:r>
        <w:rPr>
          <w:rFonts w:ascii="Times New Roman" w:hAnsi="Times New Roman" w:eastAsia="宋体" w:cs="Times New Roman"/>
          <w:bCs/>
          <w:color w:val="auto"/>
          <w:szCs w:val="20"/>
          <w:highlight w:val="none"/>
        </w:rPr>
        <w:t>项目</w:t>
      </w:r>
      <w:r>
        <w:rPr>
          <w:rFonts w:ascii="Times New Roman" w:hAnsi="Times New Roman" w:eastAsia="宋体" w:cs="Times New Roman"/>
          <w:color w:val="auto"/>
          <w:szCs w:val="24"/>
          <w:highlight w:val="none"/>
        </w:rPr>
        <w:t>劳动定员</w:t>
      </w:r>
      <w:r>
        <w:rPr>
          <w:rFonts w:hint="eastAsia" w:ascii="Times New Roman" w:hAnsi="Times New Roman" w:eastAsia="宋体" w:cs="Times New Roman"/>
          <w:color w:val="auto"/>
          <w:szCs w:val="24"/>
          <w:highlight w:val="none"/>
        </w:rPr>
        <w:t>45</w:t>
      </w:r>
      <w:r>
        <w:rPr>
          <w:rFonts w:ascii="Times New Roman" w:hAnsi="Times New Roman" w:eastAsia="宋体" w:cs="Times New Roman"/>
          <w:color w:val="auto"/>
          <w:szCs w:val="24"/>
          <w:highlight w:val="none"/>
        </w:rPr>
        <w:t>人</w:t>
      </w:r>
      <w:r>
        <w:rPr>
          <w:rFonts w:ascii="Times New Roman" w:hAnsi="Times New Roman" w:eastAsia="宋体" w:cs="Times New Roman"/>
          <w:bCs/>
          <w:color w:val="auto"/>
          <w:szCs w:val="20"/>
          <w:highlight w:val="none"/>
        </w:rPr>
        <w:t>，</w:t>
      </w:r>
      <w:r>
        <w:rPr>
          <w:rFonts w:ascii="Times New Roman" w:hAnsi="Times New Roman" w:eastAsia="宋体" w:cs="Times New Roman"/>
          <w:color w:val="auto"/>
          <w:szCs w:val="24"/>
          <w:highlight w:val="none"/>
        </w:rPr>
        <w:t>均在厂内食宿，项目</w:t>
      </w:r>
      <w:r>
        <w:rPr>
          <w:rFonts w:ascii="Times New Roman" w:hAnsi="Times New Roman" w:eastAsia="宋体" w:cs="Times New Roman"/>
          <w:color w:val="auto"/>
          <w:szCs w:val="20"/>
          <w:highlight w:val="none"/>
        </w:rPr>
        <w:t>年运行</w:t>
      </w:r>
      <w:r>
        <w:rPr>
          <w:rFonts w:hint="eastAsia" w:ascii="Times New Roman" w:hAnsi="Times New Roman" w:eastAsia="宋体" w:cs="Times New Roman"/>
          <w:color w:val="auto"/>
          <w:szCs w:val="20"/>
          <w:highlight w:val="none"/>
        </w:rPr>
        <w:t>30</w:t>
      </w:r>
      <w:r>
        <w:rPr>
          <w:rFonts w:ascii="Times New Roman" w:hAnsi="Times New Roman" w:eastAsia="宋体" w:cs="Times New Roman"/>
          <w:color w:val="auto"/>
          <w:szCs w:val="20"/>
          <w:highlight w:val="none"/>
        </w:rPr>
        <w:t>0天，食宿职工生活垃圾产生量按1.0kg/人·d计算，则生活垃圾产生量为0.0</w:t>
      </w:r>
      <w:r>
        <w:rPr>
          <w:rFonts w:hint="eastAsia" w:ascii="Times New Roman" w:hAnsi="Times New Roman" w:eastAsia="宋体" w:cs="Times New Roman"/>
          <w:color w:val="auto"/>
          <w:szCs w:val="20"/>
          <w:highlight w:val="none"/>
        </w:rPr>
        <w:t>45</w:t>
      </w:r>
      <w:r>
        <w:rPr>
          <w:rFonts w:ascii="Times New Roman" w:hAnsi="Times New Roman" w:eastAsia="宋体" w:cs="Times New Roman"/>
          <w:color w:val="auto"/>
          <w:szCs w:val="20"/>
          <w:highlight w:val="none"/>
        </w:rPr>
        <w:t>t/d（</w:t>
      </w:r>
      <w:r>
        <w:rPr>
          <w:rFonts w:hint="eastAsia" w:ascii="Times New Roman" w:hAnsi="Times New Roman" w:eastAsia="宋体" w:cs="Times New Roman"/>
          <w:color w:val="auto"/>
          <w:szCs w:val="20"/>
          <w:highlight w:val="none"/>
        </w:rPr>
        <w:t>13</w:t>
      </w:r>
      <w:r>
        <w:rPr>
          <w:rFonts w:ascii="Times New Roman" w:hAnsi="Times New Roman" w:eastAsia="宋体" w:cs="Times New Roman"/>
          <w:color w:val="auto"/>
          <w:szCs w:val="20"/>
          <w:highlight w:val="none"/>
        </w:rPr>
        <w:t>.5t/a）。生活垃圾</w:t>
      </w:r>
      <w:r>
        <w:rPr>
          <w:rFonts w:ascii="Times New Roman" w:hAnsi="Times New Roman" w:eastAsia="宋体" w:cs="Times New Roman"/>
          <w:color w:val="auto"/>
          <w:szCs w:val="24"/>
          <w:highlight w:val="none"/>
        </w:rPr>
        <w:t>收集后由环卫部门处理</w:t>
      </w:r>
      <w:r>
        <w:rPr>
          <w:rFonts w:ascii="Times New Roman" w:hAnsi="Times New Roman" w:eastAsia="宋体" w:cs="Times New Roman"/>
          <w:color w:val="auto"/>
          <w:szCs w:val="20"/>
          <w:highlight w:val="none"/>
        </w:rPr>
        <w:t>。</w:t>
      </w:r>
    </w:p>
    <w:p>
      <w:pPr>
        <w:snapToGrid w:val="0"/>
        <w:ind w:firstLine="480"/>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t>项目</w:t>
      </w:r>
      <w:r>
        <w:rPr>
          <w:rFonts w:hint="eastAsia" w:ascii="Times New Roman" w:hAnsi="Times New Roman" w:eastAsia="宋体" w:cs="Times New Roman"/>
          <w:color w:val="auto"/>
          <w:szCs w:val="20"/>
          <w:highlight w:val="none"/>
        </w:rPr>
        <w:t>固体废物</w:t>
      </w:r>
      <w:r>
        <w:rPr>
          <w:rFonts w:ascii="Times New Roman" w:hAnsi="Times New Roman" w:eastAsia="宋体" w:cs="Times New Roman"/>
          <w:color w:val="auto"/>
          <w:szCs w:val="20"/>
          <w:highlight w:val="none"/>
        </w:rPr>
        <w:t>产生情况统计见表2.2-1</w:t>
      </w:r>
      <w:r>
        <w:rPr>
          <w:rFonts w:hint="eastAsia" w:cs="Times New Roman"/>
          <w:color w:val="auto"/>
          <w:szCs w:val="20"/>
          <w:highlight w:val="none"/>
          <w:lang w:val="en-US" w:eastAsia="zh-CN"/>
        </w:rPr>
        <w:t>5</w:t>
      </w:r>
      <w:r>
        <w:rPr>
          <w:rFonts w:ascii="Times New Roman" w:hAnsi="Times New Roman" w:eastAsia="宋体" w:cs="Times New Roman"/>
          <w:color w:val="auto"/>
          <w:szCs w:val="20"/>
          <w:highlight w:val="none"/>
        </w:rPr>
        <w:t>。</w:t>
      </w:r>
    </w:p>
    <w:p>
      <w:pPr>
        <w:spacing w:line="240" w:lineRule="auto"/>
        <w:ind w:firstLine="0" w:firstLineChars="0"/>
        <w:jc w:val="center"/>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4"/>
          <w:highlight w:val="none"/>
        </w:rPr>
        <w:t>表2.</w:t>
      </w:r>
      <w:r>
        <w:rPr>
          <w:rFonts w:hint="eastAsia" w:ascii="Times New Roman" w:hAnsi="Times New Roman" w:eastAsia="宋体" w:cs="Times New Roman"/>
          <w:b/>
          <w:color w:val="auto"/>
          <w:szCs w:val="24"/>
          <w:highlight w:val="none"/>
        </w:rPr>
        <w:t>5</w:t>
      </w:r>
      <w:r>
        <w:rPr>
          <w:rFonts w:ascii="Times New Roman" w:hAnsi="Times New Roman" w:eastAsia="宋体" w:cs="Times New Roman"/>
          <w:b/>
          <w:color w:val="auto"/>
          <w:szCs w:val="24"/>
          <w:highlight w:val="none"/>
        </w:rPr>
        <w:t>-1</w:t>
      </w:r>
      <w:r>
        <w:rPr>
          <w:rFonts w:hint="eastAsia" w:cs="Times New Roman"/>
          <w:b/>
          <w:color w:val="auto"/>
          <w:szCs w:val="24"/>
          <w:highlight w:val="none"/>
          <w:lang w:val="en-US" w:eastAsia="zh-CN"/>
        </w:rPr>
        <w:t>5</w:t>
      </w:r>
      <w:r>
        <w:rPr>
          <w:rFonts w:ascii="Times New Roman" w:hAnsi="Times New Roman" w:eastAsia="宋体" w:cs="Times New Roman"/>
          <w:b/>
          <w:color w:val="auto"/>
          <w:szCs w:val="24"/>
          <w:highlight w:val="none"/>
        </w:rPr>
        <w:t xml:space="preserve"> 项目</w:t>
      </w:r>
      <w:r>
        <w:rPr>
          <w:rFonts w:hint="eastAsia" w:ascii="Times New Roman" w:hAnsi="Times New Roman" w:eastAsia="宋体" w:cs="Times New Roman"/>
          <w:b/>
          <w:color w:val="auto"/>
          <w:szCs w:val="24"/>
          <w:highlight w:val="none"/>
        </w:rPr>
        <w:t>固体废物</w:t>
      </w:r>
      <w:r>
        <w:rPr>
          <w:rFonts w:ascii="Times New Roman" w:hAnsi="Times New Roman" w:eastAsia="宋体" w:cs="Times New Roman"/>
          <w:b/>
          <w:color w:val="auto"/>
          <w:szCs w:val="24"/>
          <w:highlight w:val="none"/>
        </w:rPr>
        <w:t>产生情况表</w:t>
      </w:r>
    </w:p>
    <w:tbl>
      <w:tblPr>
        <w:tblStyle w:val="48"/>
        <w:tblW w:w="9071" w:type="dxa"/>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854"/>
        <w:gridCol w:w="1277"/>
        <w:gridCol w:w="2060"/>
        <w:gridCol w:w="928"/>
        <w:gridCol w:w="1711"/>
        <w:gridCol w:w="2241"/>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trPr>
        <w:tc>
          <w:tcPr>
            <w:tcW w:w="854" w:type="dxa"/>
            <w:noWrap w:val="0"/>
            <w:vAlign w:val="center"/>
          </w:tcPr>
          <w:p>
            <w:pPr>
              <w:tabs>
                <w:tab w:val="center" w:pos="4153"/>
                <w:tab w:val="right" w:pos="8306"/>
              </w:tabs>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序号</w:t>
            </w:r>
          </w:p>
        </w:tc>
        <w:tc>
          <w:tcPr>
            <w:tcW w:w="1277" w:type="dxa"/>
            <w:noWrap w:val="0"/>
            <w:vAlign w:val="center"/>
          </w:tcPr>
          <w:p>
            <w:pPr>
              <w:tabs>
                <w:tab w:val="center" w:pos="4153"/>
                <w:tab w:val="right" w:pos="8306"/>
              </w:tabs>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名称</w:t>
            </w:r>
          </w:p>
        </w:tc>
        <w:tc>
          <w:tcPr>
            <w:tcW w:w="2060" w:type="dxa"/>
            <w:noWrap w:val="0"/>
            <w:vAlign w:val="center"/>
          </w:tcPr>
          <w:p>
            <w:pPr>
              <w:tabs>
                <w:tab w:val="center" w:pos="4153"/>
                <w:tab w:val="right" w:pos="8306"/>
              </w:tabs>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产生环节</w:t>
            </w:r>
          </w:p>
        </w:tc>
        <w:tc>
          <w:tcPr>
            <w:tcW w:w="928" w:type="dxa"/>
            <w:noWrap w:val="0"/>
            <w:vAlign w:val="center"/>
          </w:tcPr>
          <w:p>
            <w:pPr>
              <w:tabs>
                <w:tab w:val="center" w:pos="4153"/>
                <w:tab w:val="right" w:pos="8306"/>
              </w:tabs>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形态</w:t>
            </w:r>
          </w:p>
        </w:tc>
        <w:tc>
          <w:tcPr>
            <w:tcW w:w="1711" w:type="dxa"/>
            <w:noWrap w:val="0"/>
            <w:vAlign w:val="center"/>
          </w:tcPr>
          <w:p>
            <w:pPr>
              <w:tabs>
                <w:tab w:val="center" w:pos="4153"/>
                <w:tab w:val="right" w:pos="8306"/>
              </w:tabs>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主要成份</w:t>
            </w:r>
          </w:p>
        </w:tc>
        <w:tc>
          <w:tcPr>
            <w:tcW w:w="2241" w:type="dxa"/>
            <w:noWrap w:val="0"/>
            <w:vAlign w:val="center"/>
          </w:tcPr>
          <w:p>
            <w:pPr>
              <w:tabs>
                <w:tab w:val="center" w:pos="4153"/>
                <w:tab w:val="right" w:pos="8306"/>
              </w:tabs>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产生量（t/a）</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trPr>
        <w:tc>
          <w:tcPr>
            <w:tcW w:w="8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27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表土</w:t>
            </w:r>
          </w:p>
        </w:tc>
        <w:tc>
          <w:tcPr>
            <w:tcW w:w="206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表土剥离</w:t>
            </w:r>
          </w:p>
        </w:tc>
        <w:tc>
          <w:tcPr>
            <w:tcW w:w="928"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固态</w:t>
            </w:r>
          </w:p>
        </w:tc>
        <w:tc>
          <w:tcPr>
            <w:tcW w:w="1711"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泥土</w:t>
            </w:r>
          </w:p>
        </w:tc>
        <w:tc>
          <w:tcPr>
            <w:tcW w:w="224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1000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trPr>
        <w:tc>
          <w:tcPr>
            <w:tcW w:w="8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127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废土石渣</w:t>
            </w:r>
          </w:p>
        </w:tc>
        <w:tc>
          <w:tcPr>
            <w:tcW w:w="206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表土剥离、筛</w:t>
            </w:r>
            <w:r>
              <w:rPr>
                <w:rFonts w:hint="eastAsia" w:ascii="Times New Roman" w:hAnsi="Times New Roman" w:eastAsia="宋体" w:cs="Times New Roman"/>
                <w:color w:val="auto"/>
                <w:kern w:val="0"/>
                <w:sz w:val="21"/>
                <w:highlight w:val="none"/>
              </w:rPr>
              <w:t>选</w:t>
            </w:r>
          </w:p>
        </w:tc>
        <w:tc>
          <w:tcPr>
            <w:tcW w:w="928"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固态</w:t>
            </w:r>
          </w:p>
        </w:tc>
        <w:tc>
          <w:tcPr>
            <w:tcW w:w="1711" w:type="dxa"/>
            <w:noWrap w:val="0"/>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泥土、</w:t>
            </w:r>
            <w:r>
              <w:rPr>
                <w:rFonts w:hint="eastAsia" w:ascii="Times New Roman" w:hAnsi="Times New Roman" w:eastAsia="宋体" w:cs="Times New Roman"/>
                <w:color w:val="auto"/>
                <w:kern w:val="0"/>
                <w:sz w:val="21"/>
                <w:highlight w:val="none"/>
              </w:rPr>
              <w:t>废土石渣</w:t>
            </w:r>
          </w:p>
        </w:tc>
        <w:tc>
          <w:tcPr>
            <w:tcW w:w="224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4000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trPr>
        <w:tc>
          <w:tcPr>
            <w:tcW w:w="8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127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除尘器粉尘</w:t>
            </w:r>
          </w:p>
        </w:tc>
        <w:tc>
          <w:tcPr>
            <w:tcW w:w="206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除尘过程</w:t>
            </w:r>
          </w:p>
        </w:tc>
        <w:tc>
          <w:tcPr>
            <w:tcW w:w="928"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固态</w:t>
            </w:r>
          </w:p>
        </w:tc>
        <w:tc>
          <w:tcPr>
            <w:tcW w:w="1711"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颗粒物</w:t>
            </w:r>
          </w:p>
        </w:tc>
        <w:tc>
          <w:tcPr>
            <w:tcW w:w="224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173.745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trPr>
        <w:tc>
          <w:tcPr>
            <w:tcW w:w="8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27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泥渣</w:t>
            </w:r>
          </w:p>
        </w:tc>
        <w:tc>
          <w:tcPr>
            <w:tcW w:w="206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沉砂池清理</w:t>
            </w:r>
          </w:p>
        </w:tc>
        <w:tc>
          <w:tcPr>
            <w:tcW w:w="928"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固态</w:t>
            </w:r>
          </w:p>
        </w:tc>
        <w:tc>
          <w:tcPr>
            <w:tcW w:w="1711"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砂石、泥土</w:t>
            </w:r>
          </w:p>
        </w:tc>
        <w:tc>
          <w:tcPr>
            <w:tcW w:w="2241"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u w:val="singl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trPr>
        <w:tc>
          <w:tcPr>
            <w:tcW w:w="8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w:t>
            </w:r>
          </w:p>
        </w:tc>
        <w:tc>
          <w:tcPr>
            <w:tcW w:w="127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洗砂泥饼</w:t>
            </w:r>
          </w:p>
        </w:tc>
        <w:tc>
          <w:tcPr>
            <w:tcW w:w="2060" w:type="dxa"/>
            <w:noWrap w:val="0"/>
            <w:vAlign w:val="center"/>
          </w:tcPr>
          <w:p>
            <w:pPr>
              <w:topLinePunct/>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水洗砂</w:t>
            </w:r>
          </w:p>
        </w:tc>
        <w:tc>
          <w:tcPr>
            <w:tcW w:w="928"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固态</w:t>
            </w:r>
          </w:p>
        </w:tc>
        <w:tc>
          <w:tcPr>
            <w:tcW w:w="1711" w:type="dxa"/>
            <w:noWrap w:val="0"/>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泥渣</w:t>
            </w:r>
          </w:p>
        </w:tc>
        <w:tc>
          <w:tcPr>
            <w:tcW w:w="224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2352.5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trPr>
        <w:tc>
          <w:tcPr>
            <w:tcW w:w="8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w:t>
            </w:r>
          </w:p>
        </w:tc>
        <w:tc>
          <w:tcPr>
            <w:tcW w:w="127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废零件</w:t>
            </w:r>
          </w:p>
        </w:tc>
        <w:tc>
          <w:tcPr>
            <w:tcW w:w="206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机械维修</w:t>
            </w:r>
          </w:p>
        </w:tc>
        <w:tc>
          <w:tcPr>
            <w:tcW w:w="928"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固态</w:t>
            </w:r>
          </w:p>
        </w:tc>
        <w:tc>
          <w:tcPr>
            <w:tcW w:w="1711"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废金属</w:t>
            </w:r>
          </w:p>
        </w:tc>
        <w:tc>
          <w:tcPr>
            <w:tcW w:w="224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trPr>
        <w:tc>
          <w:tcPr>
            <w:tcW w:w="8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w:t>
            </w:r>
          </w:p>
        </w:tc>
        <w:tc>
          <w:tcPr>
            <w:tcW w:w="127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废含油抹布</w:t>
            </w:r>
          </w:p>
        </w:tc>
        <w:tc>
          <w:tcPr>
            <w:tcW w:w="206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机械维修</w:t>
            </w:r>
          </w:p>
        </w:tc>
        <w:tc>
          <w:tcPr>
            <w:tcW w:w="928"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固态</w:t>
            </w:r>
          </w:p>
        </w:tc>
        <w:tc>
          <w:tcPr>
            <w:tcW w:w="1711"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抹布</w:t>
            </w:r>
          </w:p>
        </w:tc>
        <w:tc>
          <w:tcPr>
            <w:tcW w:w="2241"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0.02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trPr>
        <w:tc>
          <w:tcPr>
            <w:tcW w:w="8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w:t>
            </w:r>
          </w:p>
        </w:tc>
        <w:tc>
          <w:tcPr>
            <w:tcW w:w="127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废机油</w:t>
            </w:r>
          </w:p>
        </w:tc>
        <w:tc>
          <w:tcPr>
            <w:tcW w:w="206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机械维修</w:t>
            </w:r>
          </w:p>
        </w:tc>
        <w:tc>
          <w:tcPr>
            <w:tcW w:w="928"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液体</w:t>
            </w:r>
          </w:p>
        </w:tc>
        <w:tc>
          <w:tcPr>
            <w:tcW w:w="1711"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石油类</w:t>
            </w:r>
          </w:p>
        </w:tc>
        <w:tc>
          <w:tcPr>
            <w:tcW w:w="224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trPr>
        <w:tc>
          <w:tcPr>
            <w:tcW w:w="85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w:t>
            </w:r>
          </w:p>
        </w:tc>
        <w:tc>
          <w:tcPr>
            <w:tcW w:w="127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生活垃圾</w:t>
            </w:r>
          </w:p>
        </w:tc>
        <w:tc>
          <w:tcPr>
            <w:tcW w:w="206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日常生活</w:t>
            </w:r>
          </w:p>
        </w:tc>
        <w:tc>
          <w:tcPr>
            <w:tcW w:w="928"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固态</w:t>
            </w:r>
          </w:p>
        </w:tc>
        <w:tc>
          <w:tcPr>
            <w:tcW w:w="1711"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纸张/废弃物</w:t>
            </w:r>
          </w:p>
        </w:tc>
        <w:tc>
          <w:tcPr>
            <w:tcW w:w="224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13</w:t>
            </w:r>
            <w:r>
              <w:rPr>
                <w:rFonts w:ascii="Times New Roman" w:hAnsi="Times New Roman" w:eastAsia="宋体" w:cs="Times New Roman"/>
                <w:color w:val="auto"/>
                <w:sz w:val="21"/>
                <w:highlight w:val="none"/>
              </w:rPr>
              <w:t>.5</w:t>
            </w:r>
          </w:p>
        </w:tc>
      </w:tr>
    </w:tbl>
    <w:p>
      <w:pPr>
        <w:ind w:firstLine="460" w:firstLineChars="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2、</w:t>
      </w:r>
      <w:r>
        <w:rPr>
          <w:rFonts w:hint="eastAsia" w:ascii="Times New Roman" w:hAnsi="Times New Roman" w:eastAsia="宋体" w:cs="Times New Roman"/>
          <w:color w:val="auto"/>
          <w:szCs w:val="24"/>
          <w:highlight w:val="none"/>
        </w:rPr>
        <w:t>固体废物</w:t>
      </w:r>
      <w:r>
        <w:rPr>
          <w:rFonts w:ascii="Times New Roman" w:hAnsi="Times New Roman" w:eastAsia="宋体" w:cs="Times New Roman"/>
          <w:color w:val="auto"/>
          <w:szCs w:val="24"/>
          <w:highlight w:val="none"/>
        </w:rPr>
        <w:t>属性判定</w:t>
      </w:r>
    </w:p>
    <w:p>
      <w:pPr>
        <w:ind w:firstLine="460" w:firstLineChars="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根据《中华人民共和国固体废物污染环境防治法》（2015年修订）、《固体废物鉴别标准 通则》（GB</w:t>
      </w:r>
      <w:r>
        <w:rPr>
          <w:rFonts w:hint="eastAsia" w:ascii="Times New Roman" w:hAnsi="Times New Roman" w:eastAsia="宋体" w:cs="Times New Roman"/>
          <w:color w:val="auto"/>
          <w:szCs w:val="24"/>
          <w:highlight w:val="none"/>
          <w:lang w:val="en-US" w:eastAsia="zh-CN"/>
        </w:rPr>
        <w:t xml:space="preserve"> </w:t>
      </w:r>
      <w:r>
        <w:rPr>
          <w:rFonts w:ascii="Times New Roman" w:hAnsi="Times New Roman" w:eastAsia="宋体" w:cs="Times New Roman"/>
          <w:color w:val="auto"/>
          <w:szCs w:val="24"/>
          <w:highlight w:val="none"/>
        </w:rPr>
        <w:t>34330-2017）对项目</w:t>
      </w:r>
      <w:r>
        <w:rPr>
          <w:rFonts w:hint="eastAsia" w:ascii="Times New Roman" w:hAnsi="Times New Roman" w:eastAsia="宋体" w:cs="Times New Roman"/>
          <w:color w:val="auto"/>
          <w:szCs w:val="24"/>
          <w:highlight w:val="none"/>
        </w:rPr>
        <w:t>固体废物</w:t>
      </w:r>
      <w:r>
        <w:rPr>
          <w:rFonts w:ascii="Times New Roman" w:hAnsi="Times New Roman" w:eastAsia="宋体" w:cs="Times New Roman"/>
          <w:color w:val="auto"/>
          <w:szCs w:val="24"/>
          <w:highlight w:val="none"/>
        </w:rPr>
        <w:t>的属性进行判定，判定情况见表2.</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-1</w:t>
      </w:r>
      <w:r>
        <w:rPr>
          <w:rFonts w:hint="eastAsia" w:cs="Times New Roman"/>
          <w:color w:val="auto"/>
          <w:szCs w:val="24"/>
          <w:highlight w:val="none"/>
          <w:lang w:val="en-US" w:eastAsia="zh-CN"/>
        </w:rPr>
        <w:t>6</w:t>
      </w:r>
      <w:r>
        <w:rPr>
          <w:rFonts w:ascii="Times New Roman" w:hAnsi="Times New Roman" w:eastAsia="宋体" w:cs="Times New Roman"/>
          <w:color w:val="auto"/>
          <w:szCs w:val="24"/>
          <w:highlight w:val="none"/>
        </w:rPr>
        <w:t>。</w:t>
      </w:r>
    </w:p>
    <w:p>
      <w:pPr>
        <w:pBdr>
          <w:top w:val="none" w:color="auto" w:sz="0" w:space="1"/>
          <w:left w:val="none" w:color="auto" w:sz="0" w:space="4"/>
          <w:bottom w:val="none" w:color="auto" w:sz="0" w:space="1"/>
          <w:right w:val="none" w:color="auto" w:sz="0" w:space="4"/>
        </w:pBdr>
        <w:spacing w:line="240" w:lineRule="auto"/>
        <w:ind w:firstLine="0" w:firstLineChars="0"/>
        <w:jc w:val="center"/>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4"/>
          <w:highlight w:val="none"/>
        </w:rPr>
        <w:t>表2.</w:t>
      </w:r>
      <w:r>
        <w:rPr>
          <w:rFonts w:hint="eastAsia" w:ascii="Times New Roman" w:hAnsi="Times New Roman" w:eastAsia="宋体" w:cs="Times New Roman"/>
          <w:b/>
          <w:color w:val="auto"/>
          <w:szCs w:val="24"/>
          <w:highlight w:val="none"/>
        </w:rPr>
        <w:t>5</w:t>
      </w:r>
      <w:r>
        <w:rPr>
          <w:rFonts w:ascii="Times New Roman" w:hAnsi="Times New Roman" w:eastAsia="宋体" w:cs="Times New Roman"/>
          <w:b/>
          <w:color w:val="auto"/>
          <w:szCs w:val="24"/>
          <w:highlight w:val="none"/>
        </w:rPr>
        <w:t>-1</w:t>
      </w:r>
      <w:r>
        <w:rPr>
          <w:rFonts w:hint="eastAsia" w:cs="Times New Roman"/>
          <w:b/>
          <w:color w:val="auto"/>
          <w:szCs w:val="24"/>
          <w:highlight w:val="none"/>
          <w:lang w:val="en-US" w:eastAsia="zh-CN"/>
        </w:rPr>
        <w:t>6</w:t>
      </w:r>
      <w:r>
        <w:rPr>
          <w:rFonts w:ascii="Times New Roman" w:hAnsi="Times New Roman" w:eastAsia="宋体" w:cs="Times New Roman"/>
          <w:b/>
          <w:color w:val="auto"/>
          <w:szCs w:val="24"/>
          <w:highlight w:val="none"/>
        </w:rPr>
        <w:t xml:space="preserve"> 本项目</w:t>
      </w:r>
      <w:r>
        <w:rPr>
          <w:rFonts w:hint="eastAsia" w:ascii="Times New Roman" w:hAnsi="Times New Roman" w:eastAsia="宋体" w:cs="Times New Roman"/>
          <w:b/>
          <w:color w:val="auto"/>
          <w:szCs w:val="24"/>
          <w:highlight w:val="none"/>
        </w:rPr>
        <w:t>固体废物</w:t>
      </w:r>
      <w:r>
        <w:rPr>
          <w:rFonts w:ascii="Times New Roman" w:hAnsi="Times New Roman" w:eastAsia="宋体" w:cs="Times New Roman"/>
          <w:b/>
          <w:color w:val="auto"/>
          <w:szCs w:val="24"/>
          <w:highlight w:val="none"/>
        </w:rPr>
        <w:t>属性判定一览表</w:t>
      </w:r>
    </w:p>
    <w:tbl>
      <w:tblPr>
        <w:tblStyle w:val="48"/>
        <w:tblW w:w="9071" w:type="dxa"/>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
      <w:tblGrid>
        <w:gridCol w:w="616"/>
        <w:gridCol w:w="1320"/>
        <w:gridCol w:w="2018"/>
        <w:gridCol w:w="905"/>
        <w:gridCol w:w="1676"/>
        <w:gridCol w:w="1368"/>
        <w:gridCol w:w="1168"/>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61" w:hRule="atLeast"/>
        </w:trPr>
        <w:tc>
          <w:tcPr>
            <w:tcW w:w="616"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序号</w:t>
            </w:r>
          </w:p>
        </w:tc>
        <w:tc>
          <w:tcPr>
            <w:tcW w:w="1320"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名称</w:t>
            </w:r>
          </w:p>
        </w:tc>
        <w:tc>
          <w:tcPr>
            <w:tcW w:w="2018"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产生环节</w:t>
            </w:r>
          </w:p>
        </w:tc>
        <w:tc>
          <w:tcPr>
            <w:tcW w:w="905"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形态</w:t>
            </w:r>
          </w:p>
        </w:tc>
        <w:tc>
          <w:tcPr>
            <w:tcW w:w="1676"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主要成份</w:t>
            </w:r>
          </w:p>
        </w:tc>
        <w:tc>
          <w:tcPr>
            <w:tcW w:w="1368"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是否属于</w:t>
            </w:r>
          </w:p>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固体废物</w:t>
            </w:r>
          </w:p>
        </w:tc>
        <w:tc>
          <w:tcPr>
            <w:tcW w:w="1168"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判定依据</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61" w:hRule="atLeast"/>
        </w:trPr>
        <w:tc>
          <w:tcPr>
            <w:tcW w:w="61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3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表土</w:t>
            </w:r>
          </w:p>
        </w:tc>
        <w:tc>
          <w:tcPr>
            <w:tcW w:w="2018"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表土剥离</w:t>
            </w:r>
          </w:p>
        </w:tc>
        <w:tc>
          <w:tcPr>
            <w:tcW w:w="905"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sz w:val="21"/>
                <w:szCs w:val="18"/>
                <w:highlight w:val="none"/>
              </w:rPr>
              <w:t>固态</w:t>
            </w:r>
          </w:p>
        </w:tc>
        <w:tc>
          <w:tcPr>
            <w:tcW w:w="1676"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泥土</w:t>
            </w:r>
          </w:p>
        </w:tc>
        <w:tc>
          <w:tcPr>
            <w:tcW w:w="136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是</w:t>
            </w:r>
          </w:p>
        </w:tc>
        <w:tc>
          <w:tcPr>
            <w:tcW w:w="116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4.2 d)</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61" w:hRule="atLeast"/>
        </w:trPr>
        <w:tc>
          <w:tcPr>
            <w:tcW w:w="61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132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废土石渣</w:t>
            </w:r>
          </w:p>
        </w:tc>
        <w:tc>
          <w:tcPr>
            <w:tcW w:w="2018"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表土剥离、筛</w:t>
            </w:r>
            <w:r>
              <w:rPr>
                <w:rFonts w:hint="eastAsia" w:ascii="Times New Roman" w:hAnsi="Times New Roman" w:eastAsia="宋体" w:cs="Times New Roman"/>
                <w:color w:val="auto"/>
                <w:kern w:val="0"/>
                <w:sz w:val="21"/>
                <w:highlight w:val="none"/>
              </w:rPr>
              <w:t>选</w:t>
            </w:r>
          </w:p>
        </w:tc>
        <w:tc>
          <w:tcPr>
            <w:tcW w:w="905"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固态</w:t>
            </w:r>
          </w:p>
        </w:tc>
        <w:tc>
          <w:tcPr>
            <w:tcW w:w="1676" w:type="dxa"/>
            <w:noWrap w:val="0"/>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泥土、</w:t>
            </w:r>
            <w:r>
              <w:rPr>
                <w:rFonts w:hint="eastAsia" w:ascii="Times New Roman" w:hAnsi="Times New Roman" w:eastAsia="宋体" w:cs="Times New Roman"/>
                <w:color w:val="auto"/>
                <w:kern w:val="0"/>
                <w:sz w:val="21"/>
                <w:highlight w:val="none"/>
              </w:rPr>
              <w:t>废土石渣</w:t>
            </w:r>
          </w:p>
        </w:tc>
        <w:tc>
          <w:tcPr>
            <w:tcW w:w="136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是</w:t>
            </w:r>
          </w:p>
        </w:tc>
        <w:tc>
          <w:tcPr>
            <w:tcW w:w="116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4.2 d)</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61" w:hRule="atLeast"/>
        </w:trPr>
        <w:tc>
          <w:tcPr>
            <w:tcW w:w="61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13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除尘器粉尘</w:t>
            </w:r>
          </w:p>
        </w:tc>
        <w:tc>
          <w:tcPr>
            <w:tcW w:w="2018"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除尘过程</w:t>
            </w:r>
          </w:p>
        </w:tc>
        <w:tc>
          <w:tcPr>
            <w:tcW w:w="905"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kern w:val="0"/>
                <w:sz w:val="21"/>
                <w:highlight w:val="none"/>
              </w:rPr>
              <w:t>固态</w:t>
            </w:r>
          </w:p>
        </w:tc>
        <w:tc>
          <w:tcPr>
            <w:tcW w:w="1676"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颗粒物</w:t>
            </w:r>
          </w:p>
        </w:tc>
        <w:tc>
          <w:tcPr>
            <w:tcW w:w="136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是</w:t>
            </w:r>
          </w:p>
        </w:tc>
        <w:tc>
          <w:tcPr>
            <w:tcW w:w="116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r>
              <w:rPr>
                <w:rFonts w:hint="eastAsia" w:ascii="Times New Roman" w:hAnsi="Times New Roman" w:eastAsia="宋体" w:cs="Times New Roman"/>
                <w:color w:val="auto"/>
                <w:sz w:val="21"/>
                <w:highlight w:val="none"/>
              </w:rPr>
              <w:t>3a</w:t>
            </w:r>
            <w:r>
              <w:rPr>
                <w:rFonts w:ascii="Times New Roman" w:hAnsi="Times New Roman" w:eastAsia="宋体" w:cs="Times New Roman"/>
                <w:color w:val="auto"/>
                <w:sz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61" w:hRule="atLeast"/>
        </w:trPr>
        <w:tc>
          <w:tcPr>
            <w:tcW w:w="61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32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泥渣</w:t>
            </w:r>
          </w:p>
        </w:tc>
        <w:tc>
          <w:tcPr>
            <w:tcW w:w="2018"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沉砂池清理</w:t>
            </w:r>
          </w:p>
        </w:tc>
        <w:tc>
          <w:tcPr>
            <w:tcW w:w="905"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固态</w:t>
            </w:r>
          </w:p>
        </w:tc>
        <w:tc>
          <w:tcPr>
            <w:tcW w:w="1676"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砂石、泥土</w:t>
            </w:r>
          </w:p>
        </w:tc>
        <w:tc>
          <w:tcPr>
            <w:tcW w:w="136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是</w:t>
            </w:r>
          </w:p>
        </w:tc>
        <w:tc>
          <w:tcPr>
            <w:tcW w:w="116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r>
              <w:rPr>
                <w:rFonts w:hint="eastAsia" w:ascii="Times New Roman" w:hAnsi="Times New Roman" w:eastAsia="宋体" w:cs="Times New Roman"/>
                <w:color w:val="auto"/>
                <w:sz w:val="21"/>
                <w:highlight w:val="none"/>
              </w:rPr>
              <w:t>3</w:t>
            </w:r>
            <w:r>
              <w:rPr>
                <w:rFonts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rPr>
              <w:t>n</w:t>
            </w:r>
            <w:r>
              <w:rPr>
                <w:rFonts w:ascii="Times New Roman" w:hAnsi="Times New Roman" w:eastAsia="宋体" w:cs="Times New Roman"/>
                <w:color w:val="auto"/>
                <w:sz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61" w:hRule="atLeast"/>
        </w:trPr>
        <w:tc>
          <w:tcPr>
            <w:tcW w:w="61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w:t>
            </w:r>
          </w:p>
        </w:tc>
        <w:tc>
          <w:tcPr>
            <w:tcW w:w="13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洗砂泥饼</w:t>
            </w:r>
          </w:p>
        </w:tc>
        <w:tc>
          <w:tcPr>
            <w:tcW w:w="2018"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水洗砂</w:t>
            </w:r>
          </w:p>
        </w:tc>
        <w:tc>
          <w:tcPr>
            <w:tcW w:w="905"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kern w:val="0"/>
                <w:sz w:val="21"/>
                <w:highlight w:val="none"/>
              </w:rPr>
              <w:t>固态</w:t>
            </w:r>
          </w:p>
        </w:tc>
        <w:tc>
          <w:tcPr>
            <w:tcW w:w="1676"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泥渣</w:t>
            </w:r>
          </w:p>
        </w:tc>
        <w:tc>
          <w:tcPr>
            <w:tcW w:w="1368"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是</w:t>
            </w:r>
          </w:p>
        </w:tc>
        <w:tc>
          <w:tcPr>
            <w:tcW w:w="116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r>
              <w:rPr>
                <w:rFonts w:hint="eastAsia" w:ascii="Times New Roman" w:hAnsi="Times New Roman" w:eastAsia="宋体" w:cs="Times New Roman"/>
                <w:color w:val="auto"/>
                <w:sz w:val="21"/>
                <w:highlight w:val="none"/>
              </w:rPr>
              <w:t>3e</w:t>
            </w:r>
            <w:r>
              <w:rPr>
                <w:rFonts w:ascii="Times New Roman" w:hAnsi="Times New Roman" w:eastAsia="宋体" w:cs="Times New Roman"/>
                <w:color w:val="auto"/>
                <w:sz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61" w:hRule="atLeast"/>
        </w:trPr>
        <w:tc>
          <w:tcPr>
            <w:tcW w:w="61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w:t>
            </w:r>
          </w:p>
        </w:tc>
        <w:tc>
          <w:tcPr>
            <w:tcW w:w="13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废零件</w:t>
            </w:r>
          </w:p>
        </w:tc>
        <w:tc>
          <w:tcPr>
            <w:tcW w:w="2018"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机械维修</w:t>
            </w:r>
          </w:p>
        </w:tc>
        <w:tc>
          <w:tcPr>
            <w:tcW w:w="905"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固态</w:t>
            </w:r>
          </w:p>
        </w:tc>
        <w:tc>
          <w:tcPr>
            <w:tcW w:w="1676"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废金属</w:t>
            </w:r>
          </w:p>
        </w:tc>
        <w:tc>
          <w:tcPr>
            <w:tcW w:w="136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是</w:t>
            </w:r>
          </w:p>
        </w:tc>
        <w:tc>
          <w:tcPr>
            <w:tcW w:w="116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4.2 g)</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61" w:hRule="atLeast"/>
        </w:trPr>
        <w:tc>
          <w:tcPr>
            <w:tcW w:w="61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w:t>
            </w:r>
          </w:p>
        </w:tc>
        <w:tc>
          <w:tcPr>
            <w:tcW w:w="13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废含油抹布</w:t>
            </w:r>
          </w:p>
        </w:tc>
        <w:tc>
          <w:tcPr>
            <w:tcW w:w="2018"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机械维修</w:t>
            </w:r>
          </w:p>
        </w:tc>
        <w:tc>
          <w:tcPr>
            <w:tcW w:w="905"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固态</w:t>
            </w:r>
          </w:p>
        </w:tc>
        <w:tc>
          <w:tcPr>
            <w:tcW w:w="1676"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抹布</w:t>
            </w:r>
          </w:p>
        </w:tc>
        <w:tc>
          <w:tcPr>
            <w:tcW w:w="136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是</w:t>
            </w:r>
          </w:p>
        </w:tc>
        <w:tc>
          <w:tcPr>
            <w:tcW w:w="116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4.1 c)</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61" w:hRule="atLeast"/>
        </w:trPr>
        <w:tc>
          <w:tcPr>
            <w:tcW w:w="61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w:t>
            </w:r>
          </w:p>
        </w:tc>
        <w:tc>
          <w:tcPr>
            <w:tcW w:w="13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废机油</w:t>
            </w:r>
          </w:p>
        </w:tc>
        <w:tc>
          <w:tcPr>
            <w:tcW w:w="2018"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机械维修</w:t>
            </w:r>
          </w:p>
        </w:tc>
        <w:tc>
          <w:tcPr>
            <w:tcW w:w="905"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液体</w:t>
            </w:r>
          </w:p>
        </w:tc>
        <w:tc>
          <w:tcPr>
            <w:tcW w:w="1676"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石油类</w:t>
            </w:r>
          </w:p>
        </w:tc>
        <w:tc>
          <w:tcPr>
            <w:tcW w:w="136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是</w:t>
            </w:r>
          </w:p>
        </w:tc>
        <w:tc>
          <w:tcPr>
            <w:tcW w:w="116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4.1 c)</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61" w:hRule="atLeast"/>
        </w:trPr>
        <w:tc>
          <w:tcPr>
            <w:tcW w:w="616"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w:t>
            </w:r>
          </w:p>
        </w:tc>
        <w:tc>
          <w:tcPr>
            <w:tcW w:w="13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生活垃圾</w:t>
            </w:r>
          </w:p>
        </w:tc>
        <w:tc>
          <w:tcPr>
            <w:tcW w:w="2018"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日常生活</w:t>
            </w:r>
          </w:p>
        </w:tc>
        <w:tc>
          <w:tcPr>
            <w:tcW w:w="905"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固态</w:t>
            </w:r>
          </w:p>
        </w:tc>
        <w:tc>
          <w:tcPr>
            <w:tcW w:w="1676"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纸张/废弃物</w:t>
            </w:r>
          </w:p>
        </w:tc>
        <w:tc>
          <w:tcPr>
            <w:tcW w:w="136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是</w:t>
            </w:r>
          </w:p>
        </w:tc>
        <w:tc>
          <w:tcPr>
            <w:tcW w:w="116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 xml:space="preserve">4.1 </w:t>
            </w:r>
            <w:r>
              <w:rPr>
                <w:rFonts w:hint="eastAsia" w:ascii="Times New Roman" w:hAnsi="Times New Roman" w:eastAsia="宋体" w:cs="Times New Roman"/>
                <w:color w:val="auto"/>
                <w:sz w:val="21"/>
                <w:highlight w:val="none"/>
              </w:rPr>
              <w:t>h</w:t>
            </w:r>
            <w:r>
              <w:rPr>
                <w:rFonts w:ascii="Times New Roman" w:hAnsi="Times New Roman" w:eastAsia="宋体" w:cs="Times New Roman"/>
                <w:color w:val="auto"/>
                <w:highlight w:val="none"/>
              </w:rPr>
              <w:t>)</w:t>
            </w:r>
          </w:p>
        </w:tc>
      </w:tr>
    </w:tbl>
    <w:p>
      <w:pPr>
        <w:ind w:firstLine="460" w:firstLineChars="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3、危险废物属性判定</w:t>
      </w:r>
    </w:p>
    <w:p>
      <w:pPr>
        <w:ind w:firstLine="480"/>
        <w:rPr>
          <w:rFonts w:ascii="Times New Roman" w:hAnsi="Times New Roman" w:eastAsia="宋体"/>
          <w:color w:val="auto"/>
          <w:highlight w:val="none"/>
        </w:rPr>
      </w:pPr>
      <w:r>
        <w:rPr>
          <w:rFonts w:ascii="Times New Roman" w:hAnsi="Times New Roman" w:eastAsia="宋体"/>
          <w:color w:val="auto"/>
          <w:highlight w:val="none"/>
        </w:rPr>
        <w:t>根据《国家危险废物名录》（2016年）</w:t>
      </w:r>
      <w:r>
        <w:rPr>
          <w:rFonts w:hint="eastAsia" w:ascii="Times New Roman" w:hAnsi="Times New Roman" w:eastAsia="宋体"/>
          <w:color w:val="auto"/>
          <w:highlight w:val="none"/>
        </w:rPr>
        <w:t>、</w:t>
      </w:r>
      <w:r>
        <w:rPr>
          <w:rFonts w:ascii="Times New Roman" w:hAnsi="Times New Roman" w:eastAsia="宋体"/>
          <w:color w:val="auto"/>
          <w:highlight w:val="none"/>
        </w:rPr>
        <w:t>《危险废物鉴别技术规范》（HJ/T 298-2007）、《危险废物鉴别标准》（GB</w:t>
      </w:r>
      <w:r>
        <w:rPr>
          <w:rFonts w:hint="eastAsia" w:ascii="Times New Roman" w:hAnsi="Times New Roman" w:eastAsia="宋体"/>
          <w:color w:val="auto"/>
          <w:highlight w:val="none"/>
          <w:lang w:val="en-US" w:eastAsia="zh-CN"/>
        </w:rPr>
        <w:t xml:space="preserve"> </w:t>
      </w:r>
      <w:r>
        <w:rPr>
          <w:rFonts w:ascii="Times New Roman" w:hAnsi="Times New Roman" w:eastAsia="宋体"/>
          <w:color w:val="auto"/>
          <w:highlight w:val="none"/>
        </w:rPr>
        <w:t>5085.1～6）</w:t>
      </w:r>
      <w:r>
        <w:rPr>
          <w:rFonts w:hint="eastAsia" w:ascii="Times New Roman" w:hAnsi="Times New Roman" w:eastAsia="宋体"/>
          <w:color w:val="auto"/>
          <w:highlight w:val="none"/>
        </w:rPr>
        <w:t>对项目固体废物属性进行判定</w:t>
      </w:r>
      <w:r>
        <w:rPr>
          <w:rFonts w:ascii="Times New Roman" w:hAnsi="Times New Roman" w:eastAsia="宋体"/>
          <w:color w:val="auto"/>
          <w:highlight w:val="none"/>
        </w:rPr>
        <w:t>。拟建项目危险废物属性判定统计情况见表2.</w:t>
      </w:r>
      <w:r>
        <w:rPr>
          <w:rFonts w:hint="eastAsia" w:ascii="Times New Roman" w:hAnsi="Times New Roman" w:eastAsia="宋体"/>
          <w:color w:val="auto"/>
          <w:highlight w:val="none"/>
        </w:rPr>
        <w:t>5</w:t>
      </w:r>
      <w:r>
        <w:rPr>
          <w:rFonts w:ascii="Times New Roman" w:hAnsi="Times New Roman" w:eastAsia="宋体"/>
          <w:color w:val="auto"/>
          <w:highlight w:val="none"/>
        </w:rPr>
        <w:t>-1</w:t>
      </w:r>
      <w:r>
        <w:rPr>
          <w:rFonts w:hint="eastAsia"/>
          <w:color w:val="auto"/>
          <w:highlight w:val="none"/>
          <w:lang w:val="en-US" w:eastAsia="zh-CN"/>
        </w:rPr>
        <w:t>7</w:t>
      </w:r>
      <w:r>
        <w:rPr>
          <w:rFonts w:ascii="Times New Roman" w:hAnsi="Times New Roman" w:eastAsia="宋体"/>
          <w:color w:val="auto"/>
          <w:highlight w:val="none"/>
        </w:rPr>
        <w:t>。</w:t>
      </w:r>
    </w:p>
    <w:p>
      <w:pPr>
        <w:pBdr>
          <w:top w:val="none" w:color="auto" w:sz="0" w:space="1"/>
          <w:left w:val="none" w:color="auto" w:sz="0" w:space="4"/>
          <w:bottom w:val="none" w:color="auto" w:sz="0" w:space="1"/>
          <w:right w:val="none" w:color="auto" w:sz="0" w:space="4"/>
        </w:pBdr>
        <w:spacing w:line="240" w:lineRule="auto"/>
        <w:ind w:firstLine="0" w:firstLineChars="0"/>
        <w:jc w:val="center"/>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4"/>
          <w:highlight w:val="none"/>
        </w:rPr>
        <w:t>表2.</w:t>
      </w:r>
      <w:r>
        <w:rPr>
          <w:rFonts w:hint="eastAsia" w:ascii="Times New Roman" w:hAnsi="Times New Roman" w:eastAsia="宋体" w:cs="Times New Roman"/>
          <w:b/>
          <w:color w:val="auto"/>
          <w:szCs w:val="24"/>
          <w:highlight w:val="none"/>
        </w:rPr>
        <w:t>5</w:t>
      </w:r>
      <w:r>
        <w:rPr>
          <w:rFonts w:ascii="Times New Roman" w:hAnsi="Times New Roman" w:eastAsia="宋体" w:cs="Times New Roman"/>
          <w:b/>
          <w:color w:val="auto"/>
          <w:szCs w:val="24"/>
          <w:highlight w:val="none"/>
        </w:rPr>
        <w:t>-1</w:t>
      </w:r>
      <w:r>
        <w:rPr>
          <w:rFonts w:hint="eastAsia" w:cs="Times New Roman"/>
          <w:b/>
          <w:color w:val="auto"/>
          <w:szCs w:val="24"/>
          <w:highlight w:val="none"/>
          <w:lang w:val="en-US" w:eastAsia="zh-CN"/>
        </w:rPr>
        <w:t>7</w:t>
      </w:r>
      <w:r>
        <w:rPr>
          <w:rFonts w:ascii="Times New Roman" w:hAnsi="Times New Roman" w:eastAsia="宋体" w:cs="Times New Roman"/>
          <w:b/>
          <w:color w:val="auto"/>
          <w:szCs w:val="24"/>
          <w:highlight w:val="none"/>
        </w:rPr>
        <w:t xml:space="preserve"> 项目危险废物属性判定一览表</w:t>
      </w:r>
    </w:p>
    <w:tbl>
      <w:tblPr>
        <w:tblStyle w:val="48"/>
        <w:tblW w:w="9071" w:type="dxa"/>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607"/>
        <w:gridCol w:w="1299"/>
        <w:gridCol w:w="1590"/>
        <w:gridCol w:w="1376"/>
        <w:gridCol w:w="1208"/>
        <w:gridCol w:w="860"/>
        <w:gridCol w:w="1275"/>
        <w:gridCol w:w="856"/>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607"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编号</w:t>
            </w:r>
          </w:p>
        </w:tc>
        <w:tc>
          <w:tcPr>
            <w:tcW w:w="1299"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名称</w:t>
            </w:r>
          </w:p>
        </w:tc>
        <w:tc>
          <w:tcPr>
            <w:tcW w:w="1590"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产生环节</w:t>
            </w:r>
          </w:p>
        </w:tc>
        <w:tc>
          <w:tcPr>
            <w:tcW w:w="1376"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主要成份</w:t>
            </w:r>
          </w:p>
        </w:tc>
        <w:tc>
          <w:tcPr>
            <w:tcW w:w="1208"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是否属于</w:t>
            </w:r>
          </w:p>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危险废物</w:t>
            </w:r>
          </w:p>
        </w:tc>
        <w:tc>
          <w:tcPr>
            <w:tcW w:w="860"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废物</w:t>
            </w:r>
          </w:p>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类别</w:t>
            </w:r>
          </w:p>
        </w:tc>
        <w:tc>
          <w:tcPr>
            <w:tcW w:w="1275"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废物代码</w:t>
            </w:r>
          </w:p>
        </w:tc>
        <w:tc>
          <w:tcPr>
            <w:tcW w:w="856"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危险</w:t>
            </w:r>
          </w:p>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特性</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60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29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表土</w:t>
            </w:r>
          </w:p>
        </w:tc>
        <w:tc>
          <w:tcPr>
            <w:tcW w:w="159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表土剥离</w:t>
            </w:r>
          </w:p>
        </w:tc>
        <w:tc>
          <w:tcPr>
            <w:tcW w:w="1376"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泥土</w:t>
            </w:r>
          </w:p>
        </w:tc>
        <w:tc>
          <w:tcPr>
            <w:tcW w:w="120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否</w:t>
            </w:r>
          </w:p>
        </w:tc>
        <w:tc>
          <w:tcPr>
            <w:tcW w:w="86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w:t>
            </w:r>
          </w:p>
        </w:tc>
        <w:tc>
          <w:tcPr>
            <w:tcW w:w="1275"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w:t>
            </w:r>
          </w:p>
        </w:tc>
        <w:tc>
          <w:tcPr>
            <w:tcW w:w="856"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60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1299"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废土石渣</w:t>
            </w:r>
          </w:p>
        </w:tc>
        <w:tc>
          <w:tcPr>
            <w:tcW w:w="1590" w:type="dxa"/>
            <w:noWrap w:val="0"/>
            <w:vAlign w:val="center"/>
          </w:tcPr>
          <w:p>
            <w:pPr>
              <w:topLinePunct/>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表土剥离、筛</w:t>
            </w:r>
            <w:r>
              <w:rPr>
                <w:rFonts w:hint="eastAsia" w:ascii="Times New Roman" w:hAnsi="Times New Roman" w:eastAsia="宋体" w:cs="Times New Roman"/>
                <w:color w:val="auto"/>
                <w:kern w:val="0"/>
                <w:sz w:val="21"/>
                <w:highlight w:val="none"/>
              </w:rPr>
              <w:t>选</w:t>
            </w:r>
          </w:p>
        </w:tc>
        <w:tc>
          <w:tcPr>
            <w:tcW w:w="1376" w:type="dxa"/>
            <w:noWrap w:val="0"/>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泥土、</w:t>
            </w:r>
            <w:r>
              <w:rPr>
                <w:rFonts w:hint="eastAsia" w:ascii="Times New Roman" w:hAnsi="Times New Roman" w:eastAsia="宋体" w:cs="Times New Roman"/>
                <w:color w:val="auto"/>
                <w:kern w:val="0"/>
                <w:sz w:val="21"/>
                <w:highlight w:val="none"/>
              </w:rPr>
              <w:t>废土石渣</w:t>
            </w:r>
          </w:p>
        </w:tc>
        <w:tc>
          <w:tcPr>
            <w:tcW w:w="120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否</w:t>
            </w:r>
          </w:p>
        </w:tc>
        <w:tc>
          <w:tcPr>
            <w:tcW w:w="86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w:t>
            </w:r>
          </w:p>
        </w:tc>
        <w:tc>
          <w:tcPr>
            <w:tcW w:w="1275"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w:t>
            </w:r>
          </w:p>
        </w:tc>
        <w:tc>
          <w:tcPr>
            <w:tcW w:w="856"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60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129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除尘器粉尘</w:t>
            </w:r>
          </w:p>
        </w:tc>
        <w:tc>
          <w:tcPr>
            <w:tcW w:w="159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除尘过程</w:t>
            </w:r>
          </w:p>
        </w:tc>
        <w:tc>
          <w:tcPr>
            <w:tcW w:w="1376"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颗粒物</w:t>
            </w:r>
          </w:p>
        </w:tc>
        <w:tc>
          <w:tcPr>
            <w:tcW w:w="120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否</w:t>
            </w:r>
          </w:p>
        </w:tc>
        <w:tc>
          <w:tcPr>
            <w:tcW w:w="86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w:t>
            </w:r>
          </w:p>
        </w:tc>
        <w:tc>
          <w:tcPr>
            <w:tcW w:w="1275"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w:t>
            </w:r>
          </w:p>
        </w:tc>
        <w:tc>
          <w:tcPr>
            <w:tcW w:w="856"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60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29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泥渣</w:t>
            </w:r>
          </w:p>
        </w:tc>
        <w:tc>
          <w:tcPr>
            <w:tcW w:w="1590" w:type="dxa"/>
            <w:noWrap w:val="0"/>
            <w:vAlign w:val="center"/>
          </w:tcPr>
          <w:p>
            <w:pPr>
              <w:topLinePunct/>
              <w:adjustRightInd w:val="0"/>
              <w:snapToGrid w:val="0"/>
              <w:spacing w:line="240" w:lineRule="auto"/>
              <w:ind w:firstLine="0" w:firstLineChars="0"/>
              <w:jc w:val="left"/>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沉砂池清理</w:t>
            </w:r>
          </w:p>
        </w:tc>
        <w:tc>
          <w:tcPr>
            <w:tcW w:w="1376"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砂石、泥土</w:t>
            </w:r>
          </w:p>
        </w:tc>
        <w:tc>
          <w:tcPr>
            <w:tcW w:w="120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否</w:t>
            </w:r>
          </w:p>
        </w:tc>
        <w:tc>
          <w:tcPr>
            <w:tcW w:w="86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w:t>
            </w:r>
          </w:p>
        </w:tc>
        <w:tc>
          <w:tcPr>
            <w:tcW w:w="1275"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w:t>
            </w:r>
          </w:p>
        </w:tc>
        <w:tc>
          <w:tcPr>
            <w:tcW w:w="856"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60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w:t>
            </w:r>
          </w:p>
        </w:tc>
        <w:tc>
          <w:tcPr>
            <w:tcW w:w="129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洗砂泥饼</w:t>
            </w:r>
          </w:p>
        </w:tc>
        <w:tc>
          <w:tcPr>
            <w:tcW w:w="159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水洗砂</w:t>
            </w:r>
          </w:p>
        </w:tc>
        <w:tc>
          <w:tcPr>
            <w:tcW w:w="1376"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泥渣</w:t>
            </w:r>
          </w:p>
        </w:tc>
        <w:tc>
          <w:tcPr>
            <w:tcW w:w="1208" w:type="dxa"/>
            <w:noWrap w:val="0"/>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否</w:t>
            </w:r>
          </w:p>
        </w:tc>
        <w:tc>
          <w:tcPr>
            <w:tcW w:w="860" w:type="dxa"/>
            <w:noWrap w:val="0"/>
            <w:vAlign w:val="center"/>
          </w:tcPr>
          <w:p>
            <w:pPr>
              <w:topLinePunct/>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w:t>
            </w:r>
          </w:p>
        </w:tc>
        <w:tc>
          <w:tcPr>
            <w:tcW w:w="1275" w:type="dxa"/>
            <w:noWrap w:val="0"/>
            <w:vAlign w:val="center"/>
          </w:tcPr>
          <w:p>
            <w:pPr>
              <w:topLinePunct/>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w:t>
            </w:r>
          </w:p>
        </w:tc>
        <w:tc>
          <w:tcPr>
            <w:tcW w:w="856" w:type="dxa"/>
            <w:noWrap w:val="0"/>
            <w:vAlign w:val="center"/>
          </w:tcPr>
          <w:p>
            <w:pPr>
              <w:topLinePunct/>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60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w:t>
            </w:r>
          </w:p>
        </w:tc>
        <w:tc>
          <w:tcPr>
            <w:tcW w:w="129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废零件</w:t>
            </w:r>
          </w:p>
        </w:tc>
        <w:tc>
          <w:tcPr>
            <w:tcW w:w="159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机械维修</w:t>
            </w:r>
          </w:p>
        </w:tc>
        <w:tc>
          <w:tcPr>
            <w:tcW w:w="1376"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废金属</w:t>
            </w:r>
          </w:p>
        </w:tc>
        <w:tc>
          <w:tcPr>
            <w:tcW w:w="120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否</w:t>
            </w:r>
          </w:p>
        </w:tc>
        <w:tc>
          <w:tcPr>
            <w:tcW w:w="86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w:t>
            </w:r>
          </w:p>
        </w:tc>
        <w:tc>
          <w:tcPr>
            <w:tcW w:w="1275"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w:t>
            </w:r>
          </w:p>
        </w:tc>
        <w:tc>
          <w:tcPr>
            <w:tcW w:w="856"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60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w:t>
            </w:r>
          </w:p>
        </w:tc>
        <w:tc>
          <w:tcPr>
            <w:tcW w:w="129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废含油抹布</w:t>
            </w:r>
          </w:p>
        </w:tc>
        <w:tc>
          <w:tcPr>
            <w:tcW w:w="159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机械维修</w:t>
            </w:r>
          </w:p>
        </w:tc>
        <w:tc>
          <w:tcPr>
            <w:tcW w:w="1376"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抹布</w:t>
            </w:r>
          </w:p>
        </w:tc>
        <w:tc>
          <w:tcPr>
            <w:tcW w:w="120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是</w:t>
            </w:r>
          </w:p>
        </w:tc>
        <w:tc>
          <w:tcPr>
            <w:tcW w:w="86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HW49</w:t>
            </w:r>
          </w:p>
        </w:tc>
        <w:tc>
          <w:tcPr>
            <w:tcW w:w="1275"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900-041-49</w:t>
            </w:r>
          </w:p>
        </w:tc>
        <w:tc>
          <w:tcPr>
            <w:tcW w:w="856"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T/In</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60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w:t>
            </w:r>
          </w:p>
        </w:tc>
        <w:tc>
          <w:tcPr>
            <w:tcW w:w="129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废机油</w:t>
            </w:r>
          </w:p>
        </w:tc>
        <w:tc>
          <w:tcPr>
            <w:tcW w:w="159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机械维修</w:t>
            </w:r>
          </w:p>
        </w:tc>
        <w:tc>
          <w:tcPr>
            <w:tcW w:w="1376"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石油类</w:t>
            </w:r>
          </w:p>
        </w:tc>
        <w:tc>
          <w:tcPr>
            <w:tcW w:w="120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是</w:t>
            </w:r>
          </w:p>
        </w:tc>
        <w:tc>
          <w:tcPr>
            <w:tcW w:w="86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HW08</w:t>
            </w:r>
          </w:p>
        </w:tc>
        <w:tc>
          <w:tcPr>
            <w:tcW w:w="1275"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900-214-08</w:t>
            </w:r>
          </w:p>
        </w:tc>
        <w:tc>
          <w:tcPr>
            <w:tcW w:w="856"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T/I</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rPr>
        <w:tc>
          <w:tcPr>
            <w:tcW w:w="60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w:t>
            </w:r>
          </w:p>
        </w:tc>
        <w:tc>
          <w:tcPr>
            <w:tcW w:w="129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生活垃圾</w:t>
            </w:r>
          </w:p>
        </w:tc>
        <w:tc>
          <w:tcPr>
            <w:tcW w:w="159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日常生活办公</w:t>
            </w:r>
          </w:p>
        </w:tc>
        <w:tc>
          <w:tcPr>
            <w:tcW w:w="1376"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纸张/废弃物</w:t>
            </w:r>
          </w:p>
        </w:tc>
        <w:tc>
          <w:tcPr>
            <w:tcW w:w="120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否</w:t>
            </w:r>
          </w:p>
        </w:tc>
        <w:tc>
          <w:tcPr>
            <w:tcW w:w="86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w:t>
            </w:r>
          </w:p>
        </w:tc>
        <w:tc>
          <w:tcPr>
            <w:tcW w:w="1275"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w:t>
            </w:r>
          </w:p>
        </w:tc>
        <w:tc>
          <w:tcPr>
            <w:tcW w:w="856"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w:t>
            </w:r>
          </w:p>
        </w:tc>
      </w:tr>
    </w:tbl>
    <w:p>
      <w:pPr>
        <w:pBdr>
          <w:top w:val="none" w:color="auto" w:sz="0" w:space="1"/>
          <w:left w:val="none" w:color="auto" w:sz="0" w:space="4"/>
          <w:bottom w:val="none" w:color="auto" w:sz="0" w:space="1"/>
          <w:right w:val="none" w:color="auto" w:sz="0" w:space="4"/>
        </w:pBdr>
        <w:ind w:firstLine="460" w:firstLineChars="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4、危险废物污染防治措施</w:t>
      </w:r>
    </w:p>
    <w:p>
      <w:pPr>
        <w:ind w:firstLine="460" w:firstLineChars="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根据《建设项目危险废物环境影响评价指南》，本项目各类危险废物的污染防治措施内容汇总见表2.</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-1</w:t>
      </w:r>
      <w:r>
        <w:rPr>
          <w:rFonts w:hint="eastAsia" w:cs="Times New Roman"/>
          <w:color w:val="auto"/>
          <w:szCs w:val="24"/>
          <w:highlight w:val="none"/>
          <w:lang w:val="en-US" w:eastAsia="zh-CN"/>
        </w:rPr>
        <w:t>8</w:t>
      </w:r>
      <w:r>
        <w:rPr>
          <w:rFonts w:ascii="Times New Roman" w:hAnsi="Times New Roman" w:eastAsia="宋体" w:cs="Times New Roman"/>
          <w:color w:val="auto"/>
          <w:szCs w:val="24"/>
          <w:highlight w:val="none"/>
        </w:rPr>
        <w:t>。</w:t>
      </w:r>
    </w:p>
    <w:p>
      <w:pPr>
        <w:spacing w:line="240" w:lineRule="auto"/>
        <w:ind w:firstLine="0" w:firstLineChars="0"/>
        <w:jc w:val="center"/>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4"/>
          <w:highlight w:val="none"/>
        </w:rPr>
        <w:t>表2.</w:t>
      </w:r>
      <w:r>
        <w:rPr>
          <w:rFonts w:hint="eastAsia" w:ascii="Times New Roman" w:hAnsi="Times New Roman" w:eastAsia="宋体" w:cs="Times New Roman"/>
          <w:b/>
          <w:color w:val="auto"/>
          <w:szCs w:val="24"/>
          <w:highlight w:val="none"/>
        </w:rPr>
        <w:t>5</w:t>
      </w:r>
      <w:r>
        <w:rPr>
          <w:rFonts w:ascii="Times New Roman" w:hAnsi="Times New Roman" w:eastAsia="宋体" w:cs="Times New Roman"/>
          <w:b/>
          <w:color w:val="auto"/>
          <w:szCs w:val="24"/>
          <w:highlight w:val="none"/>
        </w:rPr>
        <w:t>-1</w:t>
      </w:r>
      <w:r>
        <w:rPr>
          <w:rFonts w:hint="eastAsia" w:cs="Times New Roman"/>
          <w:b/>
          <w:color w:val="auto"/>
          <w:szCs w:val="24"/>
          <w:highlight w:val="none"/>
          <w:lang w:val="en-US" w:eastAsia="zh-CN"/>
        </w:rPr>
        <w:t>8</w:t>
      </w:r>
      <w:r>
        <w:rPr>
          <w:rFonts w:ascii="Times New Roman" w:hAnsi="Times New Roman" w:eastAsia="宋体" w:cs="Times New Roman"/>
          <w:b/>
          <w:color w:val="auto"/>
          <w:szCs w:val="24"/>
          <w:highlight w:val="none"/>
        </w:rPr>
        <w:t xml:space="preserve"> 危险废物工程分析汇总表</w:t>
      </w:r>
    </w:p>
    <w:tbl>
      <w:tblPr>
        <w:tblStyle w:val="48"/>
        <w:tblW w:w="9071" w:type="dxa"/>
        <w:jc w:val="center"/>
        <w:tblInd w:w="-15"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423"/>
        <w:gridCol w:w="760"/>
        <w:gridCol w:w="798"/>
        <w:gridCol w:w="714"/>
        <w:gridCol w:w="758"/>
        <w:gridCol w:w="716"/>
        <w:gridCol w:w="507"/>
        <w:gridCol w:w="685"/>
        <w:gridCol w:w="726"/>
        <w:gridCol w:w="710"/>
        <w:gridCol w:w="726"/>
        <w:gridCol w:w="786"/>
        <w:gridCol w:w="762"/>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jc w:val="center"/>
        </w:trPr>
        <w:tc>
          <w:tcPr>
            <w:tcW w:w="423"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序号</w:t>
            </w:r>
          </w:p>
        </w:tc>
        <w:tc>
          <w:tcPr>
            <w:tcW w:w="760"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危险废物名称</w:t>
            </w:r>
          </w:p>
        </w:tc>
        <w:tc>
          <w:tcPr>
            <w:tcW w:w="798"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危险废物类别</w:t>
            </w:r>
          </w:p>
        </w:tc>
        <w:tc>
          <w:tcPr>
            <w:tcW w:w="714"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危险废物代码</w:t>
            </w:r>
          </w:p>
        </w:tc>
        <w:tc>
          <w:tcPr>
            <w:tcW w:w="758"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产生量</w:t>
            </w:r>
          </w:p>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（t/a）</w:t>
            </w:r>
          </w:p>
        </w:tc>
        <w:tc>
          <w:tcPr>
            <w:tcW w:w="716"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left"/>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产生工序及装置</w:t>
            </w:r>
          </w:p>
        </w:tc>
        <w:tc>
          <w:tcPr>
            <w:tcW w:w="507"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形态</w:t>
            </w:r>
          </w:p>
        </w:tc>
        <w:tc>
          <w:tcPr>
            <w:tcW w:w="685"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主要成分</w:t>
            </w:r>
          </w:p>
        </w:tc>
        <w:tc>
          <w:tcPr>
            <w:tcW w:w="726"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有害</w:t>
            </w:r>
          </w:p>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成分</w:t>
            </w:r>
          </w:p>
        </w:tc>
        <w:tc>
          <w:tcPr>
            <w:tcW w:w="710"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产废</w:t>
            </w:r>
          </w:p>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周期</w:t>
            </w:r>
          </w:p>
        </w:tc>
        <w:tc>
          <w:tcPr>
            <w:tcW w:w="726"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危险</w:t>
            </w:r>
          </w:p>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特性</w:t>
            </w:r>
          </w:p>
        </w:tc>
        <w:tc>
          <w:tcPr>
            <w:tcW w:w="1548" w:type="dxa"/>
            <w:gridSpan w:val="2"/>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污染防治措施</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jc w:val="center"/>
        </w:trPr>
        <w:tc>
          <w:tcPr>
            <w:tcW w:w="423"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760"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798"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714"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758"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716"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507"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685"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726"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710"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726"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786" w:type="dxa"/>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贮存</w:t>
            </w:r>
          </w:p>
        </w:tc>
        <w:tc>
          <w:tcPr>
            <w:tcW w:w="762" w:type="dxa"/>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处置</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jc w:val="center"/>
        </w:trPr>
        <w:tc>
          <w:tcPr>
            <w:tcW w:w="423"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760"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废含油抹布</w:t>
            </w:r>
          </w:p>
        </w:tc>
        <w:tc>
          <w:tcPr>
            <w:tcW w:w="798" w:type="dxa"/>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HW49</w:t>
            </w:r>
          </w:p>
        </w:tc>
        <w:tc>
          <w:tcPr>
            <w:tcW w:w="714" w:type="dxa"/>
            <w:noWrap w:val="0"/>
            <w:tcMar>
              <w:top w:w="0" w:type="dxa"/>
              <w:left w:w="0" w:type="dxa"/>
              <w:bottom w:w="0" w:type="dxa"/>
              <w:right w:w="0" w:type="dxa"/>
            </w:tcMar>
            <w:vAlign w:val="center"/>
          </w:tcPr>
          <w:p>
            <w:pPr>
              <w:topLinePunct/>
              <w:adjustRightInd w:val="0"/>
              <w:snapToGrid w:val="0"/>
              <w:spacing w:line="240" w:lineRule="auto"/>
              <w:ind w:firstLine="0" w:firstLineChars="0"/>
              <w:jc w:val="left"/>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900-041-49</w:t>
            </w:r>
          </w:p>
        </w:tc>
        <w:tc>
          <w:tcPr>
            <w:tcW w:w="758"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0.02</w:t>
            </w:r>
          </w:p>
        </w:tc>
        <w:tc>
          <w:tcPr>
            <w:tcW w:w="716"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机械</w:t>
            </w:r>
          </w:p>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维修</w:t>
            </w:r>
          </w:p>
        </w:tc>
        <w:tc>
          <w:tcPr>
            <w:tcW w:w="507" w:type="dxa"/>
            <w:noWrap w:val="0"/>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固体</w:t>
            </w:r>
          </w:p>
        </w:tc>
        <w:tc>
          <w:tcPr>
            <w:tcW w:w="685" w:type="dxa"/>
            <w:noWrap w:val="0"/>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抹布</w:t>
            </w:r>
          </w:p>
        </w:tc>
        <w:tc>
          <w:tcPr>
            <w:tcW w:w="726" w:type="dxa"/>
            <w:noWrap w:val="0"/>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石油类</w:t>
            </w:r>
          </w:p>
        </w:tc>
        <w:tc>
          <w:tcPr>
            <w:tcW w:w="710" w:type="dxa"/>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1年</w:t>
            </w:r>
          </w:p>
        </w:tc>
        <w:tc>
          <w:tcPr>
            <w:tcW w:w="726" w:type="dxa"/>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T/In</w:t>
            </w:r>
          </w:p>
        </w:tc>
        <w:tc>
          <w:tcPr>
            <w:tcW w:w="786"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left"/>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危险废物暂存库内暂存</w:t>
            </w:r>
          </w:p>
        </w:tc>
        <w:tc>
          <w:tcPr>
            <w:tcW w:w="762"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委托有资质单位处理</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jc w:val="center"/>
        </w:trPr>
        <w:tc>
          <w:tcPr>
            <w:tcW w:w="423"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760"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废机油</w:t>
            </w:r>
          </w:p>
        </w:tc>
        <w:tc>
          <w:tcPr>
            <w:tcW w:w="798" w:type="dxa"/>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HW08</w:t>
            </w:r>
          </w:p>
        </w:tc>
        <w:tc>
          <w:tcPr>
            <w:tcW w:w="714" w:type="dxa"/>
            <w:noWrap w:val="0"/>
            <w:tcMar>
              <w:top w:w="0" w:type="dxa"/>
              <w:left w:w="0" w:type="dxa"/>
              <w:bottom w:w="0" w:type="dxa"/>
              <w:right w:w="0" w:type="dxa"/>
            </w:tcMar>
            <w:vAlign w:val="center"/>
          </w:tcPr>
          <w:p>
            <w:pPr>
              <w:topLinePunct/>
              <w:adjustRightInd w:val="0"/>
              <w:snapToGrid w:val="0"/>
              <w:spacing w:line="240" w:lineRule="auto"/>
              <w:ind w:firstLine="0" w:firstLineChars="0"/>
              <w:jc w:val="left"/>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900-214-08</w:t>
            </w:r>
          </w:p>
        </w:tc>
        <w:tc>
          <w:tcPr>
            <w:tcW w:w="758"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w:t>
            </w:r>
          </w:p>
        </w:tc>
        <w:tc>
          <w:tcPr>
            <w:tcW w:w="716"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507" w:type="dxa"/>
            <w:noWrap w:val="0"/>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液体</w:t>
            </w:r>
          </w:p>
        </w:tc>
        <w:tc>
          <w:tcPr>
            <w:tcW w:w="685" w:type="dxa"/>
            <w:noWrap w:val="0"/>
            <w:tcMar>
              <w:top w:w="0" w:type="dxa"/>
              <w:left w:w="0" w:type="dxa"/>
              <w:bottom w:w="0" w:type="dxa"/>
              <w:right w:w="0" w:type="dxa"/>
            </w:tcMar>
            <w:vAlign w:val="center"/>
          </w:tcPr>
          <w:p>
            <w:pPr>
              <w:autoSpaceDE w:val="0"/>
              <w:autoSpaceDN w:val="0"/>
              <w:adjustRightInd w:val="0"/>
              <w:snapToGrid w:val="0"/>
              <w:spacing w:line="240" w:lineRule="auto"/>
              <w:ind w:firstLine="0" w:firstLineChars="0"/>
              <w:jc w:val="left"/>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石油类</w:t>
            </w:r>
          </w:p>
        </w:tc>
        <w:tc>
          <w:tcPr>
            <w:tcW w:w="726" w:type="dxa"/>
            <w:noWrap w:val="0"/>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石油类</w:t>
            </w:r>
          </w:p>
        </w:tc>
        <w:tc>
          <w:tcPr>
            <w:tcW w:w="710" w:type="dxa"/>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1年</w:t>
            </w:r>
          </w:p>
        </w:tc>
        <w:tc>
          <w:tcPr>
            <w:tcW w:w="726" w:type="dxa"/>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T/I</w:t>
            </w:r>
          </w:p>
        </w:tc>
        <w:tc>
          <w:tcPr>
            <w:tcW w:w="786"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left"/>
              <w:rPr>
                <w:rFonts w:ascii="Times New Roman" w:hAnsi="Times New Roman" w:eastAsia="宋体" w:cs="Times New Roman"/>
                <w:color w:val="auto"/>
                <w:kern w:val="0"/>
                <w:sz w:val="21"/>
                <w:highlight w:val="none"/>
              </w:rPr>
            </w:pPr>
          </w:p>
        </w:tc>
        <w:tc>
          <w:tcPr>
            <w:tcW w:w="762"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bl>
    <w:p>
      <w:pPr>
        <w:pBdr>
          <w:top w:val="none" w:color="auto" w:sz="0" w:space="1"/>
          <w:left w:val="none" w:color="auto" w:sz="0" w:space="4"/>
          <w:bottom w:val="none" w:color="auto" w:sz="0" w:space="1"/>
          <w:right w:val="none" w:color="auto" w:sz="0" w:space="4"/>
        </w:pBdr>
        <w:spacing w:line="500" w:lineRule="exact"/>
        <w:ind w:firstLine="480"/>
        <w:rPr>
          <w:rFonts w:ascii="Times New Roman" w:hAnsi="Times New Roman" w:eastAsia="宋体" w:cs="Times New Roman"/>
          <w:b/>
          <w:color w:val="auto"/>
          <w:szCs w:val="28"/>
          <w:highlight w:val="none"/>
        </w:rPr>
      </w:pPr>
      <w:r>
        <w:rPr>
          <w:rFonts w:ascii="Times New Roman" w:hAnsi="Times New Roman" w:eastAsia="宋体" w:cs="Times New Roman"/>
          <w:color w:val="auto"/>
          <w:szCs w:val="24"/>
          <w:highlight w:val="none"/>
        </w:rPr>
        <w:t>5、固体</w:t>
      </w:r>
      <w:r>
        <w:rPr>
          <w:rFonts w:ascii="Times New Roman" w:hAnsi="Times New Roman" w:eastAsia="宋体" w:cs="Times New Roman"/>
          <w:bCs/>
          <w:color w:val="auto"/>
          <w:szCs w:val="28"/>
          <w:highlight w:val="none"/>
        </w:rPr>
        <w:t>废物分类汇总</w:t>
      </w:r>
    </w:p>
    <w:p>
      <w:pPr>
        <w:ind w:firstLine="460" w:firstLineChars="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根据以上分析，项目固体废物分类汇总情况见表2.</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w:t>
      </w:r>
      <w:r>
        <w:rPr>
          <w:rFonts w:hint="eastAsia" w:cs="Times New Roman"/>
          <w:color w:val="auto"/>
          <w:szCs w:val="24"/>
          <w:highlight w:val="none"/>
          <w:lang w:val="en-US" w:eastAsia="zh-CN"/>
        </w:rPr>
        <w:t>19</w:t>
      </w:r>
      <w:r>
        <w:rPr>
          <w:rFonts w:ascii="Times New Roman" w:hAnsi="Times New Roman" w:eastAsia="宋体" w:cs="Times New Roman"/>
          <w:color w:val="auto"/>
          <w:szCs w:val="24"/>
          <w:highlight w:val="none"/>
        </w:rPr>
        <w:t>。</w:t>
      </w:r>
    </w:p>
    <w:p>
      <w:pPr>
        <w:spacing w:line="240" w:lineRule="auto"/>
        <w:ind w:firstLine="0" w:firstLineChars="0"/>
        <w:jc w:val="center"/>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4"/>
          <w:highlight w:val="none"/>
        </w:rPr>
        <w:t>表2.</w:t>
      </w:r>
      <w:r>
        <w:rPr>
          <w:rFonts w:hint="eastAsia" w:ascii="Times New Roman" w:hAnsi="Times New Roman" w:eastAsia="宋体" w:cs="Times New Roman"/>
          <w:b/>
          <w:color w:val="auto"/>
          <w:szCs w:val="24"/>
          <w:highlight w:val="none"/>
        </w:rPr>
        <w:t>5</w:t>
      </w:r>
      <w:r>
        <w:rPr>
          <w:rFonts w:ascii="Times New Roman" w:hAnsi="Times New Roman" w:eastAsia="宋体" w:cs="Times New Roman"/>
          <w:b/>
          <w:color w:val="auto"/>
          <w:szCs w:val="24"/>
          <w:highlight w:val="none"/>
        </w:rPr>
        <w:t>-</w:t>
      </w:r>
      <w:r>
        <w:rPr>
          <w:rFonts w:hint="eastAsia" w:cs="Times New Roman"/>
          <w:b/>
          <w:color w:val="auto"/>
          <w:szCs w:val="24"/>
          <w:highlight w:val="none"/>
          <w:lang w:val="en-US" w:eastAsia="zh-CN"/>
        </w:rPr>
        <w:t>19</w:t>
      </w:r>
      <w:r>
        <w:rPr>
          <w:rFonts w:ascii="Times New Roman" w:hAnsi="Times New Roman" w:eastAsia="宋体" w:cs="Times New Roman"/>
          <w:b/>
          <w:color w:val="auto"/>
          <w:szCs w:val="24"/>
          <w:highlight w:val="none"/>
        </w:rPr>
        <w:t xml:space="preserve"> 固体废物排放情况汇总表</w:t>
      </w:r>
    </w:p>
    <w:tbl>
      <w:tblPr>
        <w:tblStyle w:val="48"/>
        <w:tblW w:w="9071" w:type="dxa"/>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351"/>
        <w:gridCol w:w="2100"/>
        <w:gridCol w:w="1394"/>
        <w:gridCol w:w="2711"/>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trPr>
        <w:tc>
          <w:tcPr>
            <w:tcW w:w="1515" w:type="dxa"/>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类别</w:t>
            </w:r>
          </w:p>
        </w:tc>
        <w:tc>
          <w:tcPr>
            <w:tcW w:w="1351" w:type="dxa"/>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名称</w:t>
            </w:r>
          </w:p>
        </w:tc>
        <w:tc>
          <w:tcPr>
            <w:tcW w:w="2100" w:type="dxa"/>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产生环节</w:t>
            </w:r>
          </w:p>
        </w:tc>
        <w:tc>
          <w:tcPr>
            <w:tcW w:w="1394" w:type="dxa"/>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产生量t/a</w:t>
            </w:r>
          </w:p>
        </w:tc>
        <w:tc>
          <w:tcPr>
            <w:tcW w:w="2711" w:type="dxa"/>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去向</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trPr>
        <w:tc>
          <w:tcPr>
            <w:tcW w:w="1515" w:type="dxa"/>
            <w:vMerge w:val="restart"/>
            <w:noWrap w:val="0"/>
            <w:vAlign w:val="center"/>
          </w:tcPr>
          <w:p>
            <w:pPr>
              <w:topLinePunct/>
              <w:adjustRightInd w:val="0"/>
              <w:snapToGrid w:val="0"/>
              <w:spacing w:line="240" w:lineRule="atLeas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危险废物</w:t>
            </w:r>
          </w:p>
        </w:tc>
        <w:tc>
          <w:tcPr>
            <w:tcW w:w="135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废机油</w:t>
            </w:r>
          </w:p>
        </w:tc>
        <w:tc>
          <w:tcPr>
            <w:tcW w:w="210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机械维修</w:t>
            </w:r>
          </w:p>
        </w:tc>
        <w:tc>
          <w:tcPr>
            <w:tcW w:w="139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w:t>
            </w:r>
          </w:p>
        </w:tc>
        <w:tc>
          <w:tcPr>
            <w:tcW w:w="2711" w:type="dxa"/>
            <w:noWrap w:val="0"/>
            <w:vAlign w:val="center"/>
          </w:tcPr>
          <w:p>
            <w:pPr>
              <w:tabs>
                <w:tab w:val="center" w:pos="4153"/>
                <w:tab w:val="right" w:pos="8306"/>
              </w:tabs>
              <w:snapToGrid w:val="0"/>
              <w:spacing w:line="240" w:lineRule="auto"/>
              <w:ind w:firstLine="0" w:firstLineChars="0"/>
              <w:jc w:val="left"/>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危险废物暂存库内暂存，委托有资质单位处理</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trPr>
        <w:tc>
          <w:tcPr>
            <w:tcW w:w="1515" w:type="dxa"/>
            <w:vMerge w:val="continue"/>
            <w:noWrap w:val="0"/>
            <w:vAlign w:val="center"/>
          </w:tcPr>
          <w:p>
            <w:pPr>
              <w:topLinePunct/>
              <w:adjustRightInd w:val="0"/>
              <w:snapToGrid w:val="0"/>
              <w:spacing w:line="240" w:lineRule="atLeast"/>
              <w:ind w:firstLine="0" w:firstLineChars="0"/>
              <w:jc w:val="center"/>
              <w:rPr>
                <w:rFonts w:ascii="Times New Roman" w:hAnsi="Times New Roman" w:eastAsia="宋体" w:cs="Times New Roman"/>
                <w:color w:val="auto"/>
                <w:sz w:val="21"/>
                <w:highlight w:val="none"/>
              </w:rPr>
            </w:pPr>
          </w:p>
        </w:tc>
        <w:tc>
          <w:tcPr>
            <w:tcW w:w="135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废含油抹布</w:t>
            </w:r>
          </w:p>
        </w:tc>
        <w:tc>
          <w:tcPr>
            <w:tcW w:w="210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机械维修</w:t>
            </w:r>
          </w:p>
        </w:tc>
        <w:tc>
          <w:tcPr>
            <w:tcW w:w="139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0.02</w:t>
            </w:r>
          </w:p>
        </w:tc>
        <w:tc>
          <w:tcPr>
            <w:tcW w:w="2711" w:type="dxa"/>
            <w:noWrap w:val="0"/>
            <w:vAlign w:val="center"/>
          </w:tcPr>
          <w:p>
            <w:pPr>
              <w:tabs>
                <w:tab w:val="center" w:pos="4153"/>
                <w:tab w:val="right" w:pos="8306"/>
              </w:tabs>
              <w:snapToGrid w:val="0"/>
              <w:spacing w:line="240" w:lineRule="auto"/>
              <w:ind w:firstLine="0" w:firstLineChars="0"/>
              <w:jc w:val="left"/>
              <w:rPr>
                <w:rFonts w:hint="eastAsia" w:ascii="Times New Roman" w:hAnsi="Times New Roman" w:eastAsia="宋体" w:cs="Times New Roman"/>
                <w:color w:val="auto"/>
                <w:kern w:val="0"/>
                <w:sz w:val="21"/>
                <w:highlight w:val="none"/>
                <w:lang w:val="en-US" w:eastAsia="zh-CN"/>
              </w:rPr>
            </w:pPr>
            <w:r>
              <w:rPr>
                <w:rFonts w:hint="eastAsia" w:cs="Times New Roman"/>
                <w:color w:val="auto"/>
                <w:kern w:val="0"/>
                <w:sz w:val="21"/>
                <w:highlight w:val="none"/>
                <w:u w:val="single"/>
                <w:lang w:val="en-US" w:eastAsia="zh-CN"/>
              </w:rPr>
              <w:t>混入生活垃圾，</w:t>
            </w:r>
            <w:r>
              <w:rPr>
                <w:rFonts w:ascii="Times New Roman" w:hAnsi="Times New Roman" w:eastAsia="宋体" w:cs="Times New Roman"/>
                <w:color w:val="auto"/>
                <w:sz w:val="21"/>
                <w:highlight w:val="none"/>
                <w:u w:val="single"/>
              </w:rPr>
              <w:t>由环卫部门处理</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trPr>
        <w:tc>
          <w:tcPr>
            <w:tcW w:w="1515" w:type="dxa"/>
            <w:vMerge w:val="restart"/>
            <w:noWrap w:val="0"/>
            <w:vAlign w:val="center"/>
          </w:tcPr>
          <w:p>
            <w:pPr>
              <w:topLinePunct/>
              <w:adjustRightInd w:val="0"/>
              <w:snapToGrid w:val="0"/>
              <w:spacing w:line="240" w:lineRule="atLeas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一般固体废物</w:t>
            </w:r>
          </w:p>
        </w:tc>
        <w:tc>
          <w:tcPr>
            <w:tcW w:w="135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表土</w:t>
            </w:r>
          </w:p>
        </w:tc>
        <w:tc>
          <w:tcPr>
            <w:tcW w:w="210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表土剥离</w:t>
            </w:r>
          </w:p>
        </w:tc>
        <w:tc>
          <w:tcPr>
            <w:tcW w:w="139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1000</w:t>
            </w:r>
          </w:p>
        </w:tc>
        <w:tc>
          <w:tcPr>
            <w:tcW w:w="2711" w:type="dxa"/>
            <w:noWrap w:val="0"/>
            <w:vAlign w:val="center"/>
          </w:tcPr>
          <w:p>
            <w:pPr>
              <w:tabs>
                <w:tab w:val="center" w:pos="4153"/>
                <w:tab w:val="right" w:pos="8306"/>
              </w:tabs>
              <w:snapToGrid w:val="0"/>
              <w:spacing w:line="240" w:lineRule="auto"/>
              <w:ind w:firstLine="0" w:firstLineChars="0"/>
              <w:jc w:val="left"/>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堆放于</w:t>
            </w:r>
            <w:r>
              <w:rPr>
                <w:rFonts w:hint="eastAsia" w:ascii="Times New Roman" w:hAnsi="Times New Roman" w:eastAsia="宋体" w:cs="Times New Roman"/>
                <w:color w:val="auto"/>
                <w:kern w:val="0"/>
                <w:sz w:val="21"/>
                <w:highlight w:val="none"/>
              </w:rPr>
              <w:t>临时排土场</w:t>
            </w:r>
            <w:r>
              <w:rPr>
                <w:rFonts w:ascii="Times New Roman" w:hAnsi="Times New Roman" w:eastAsia="宋体" w:cs="Times New Roman"/>
                <w:color w:val="auto"/>
                <w:kern w:val="0"/>
                <w:sz w:val="21"/>
                <w:highlight w:val="none"/>
              </w:rPr>
              <w:t>，用于矿山复垦。</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trPr>
        <w:tc>
          <w:tcPr>
            <w:tcW w:w="1515" w:type="dxa"/>
            <w:vMerge w:val="continue"/>
            <w:noWrap w:val="0"/>
            <w:vAlign w:val="center"/>
          </w:tcPr>
          <w:p>
            <w:pPr>
              <w:topLinePunct/>
              <w:adjustRightInd w:val="0"/>
              <w:snapToGrid w:val="0"/>
              <w:spacing w:line="240" w:lineRule="atLeast"/>
              <w:ind w:firstLine="0" w:firstLineChars="0"/>
              <w:jc w:val="center"/>
              <w:rPr>
                <w:rFonts w:ascii="Times New Roman" w:hAnsi="Times New Roman" w:eastAsia="宋体" w:cs="Times New Roman"/>
                <w:color w:val="auto"/>
                <w:sz w:val="21"/>
                <w:highlight w:val="none"/>
              </w:rPr>
            </w:pPr>
          </w:p>
        </w:tc>
        <w:tc>
          <w:tcPr>
            <w:tcW w:w="135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废土石渣</w:t>
            </w:r>
          </w:p>
        </w:tc>
        <w:tc>
          <w:tcPr>
            <w:tcW w:w="210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表土剥离、筛</w:t>
            </w:r>
            <w:r>
              <w:rPr>
                <w:rFonts w:hint="eastAsia" w:ascii="Times New Roman" w:hAnsi="Times New Roman" w:eastAsia="宋体" w:cs="Times New Roman"/>
                <w:color w:val="auto"/>
                <w:kern w:val="0"/>
                <w:sz w:val="21"/>
                <w:highlight w:val="none"/>
              </w:rPr>
              <w:t>选</w:t>
            </w:r>
          </w:p>
        </w:tc>
        <w:tc>
          <w:tcPr>
            <w:tcW w:w="139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4000</w:t>
            </w:r>
          </w:p>
        </w:tc>
        <w:tc>
          <w:tcPr>
            <w:tcW w:w="2711" w:type="dxa"/>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经外卖</w:t>
            </w:r>
            <w:r>
              <w:rPr>
                <w:rFonts w:ascii="Times New Roman" w:hAnsi="Times New Roman" w:eastAsia="宋体" w:cs="Times New Roman"/>
                <w:color w:val="auto"/>
                <w:kern w:val="0"/>
                <w:sz w:val="21"/>
                <w:highlight w:val="none"/>
              </w:rPr>
              <w:t>用于</w:t>
            </w:r>
            <w:r>
              <w:rPr>
                <w:rFonts w:hint="eastAsia" w:ascii="Times New Roman" w:hAnsi="Times New Roman" w:eastAsia="宋体" w:cs="Times New Roman"/>
                <w:color w:val="auto"/>
                <w:kern w:val="0"/>
                <w:sz w:val="21"/>
                <w:highlight w:val="none"/>
              </w:rPr>
              <w:t>周边</w:t>
            </w:r>
            <w:r>
              <w:rPr>
                <w:rFonts w:ascii="Times New Roman" w:hAnsi="Times New Roman" w:eastAsia="宋体" w:cs="Times New Roman"/>
                <w:color w:val="auto"/>
                <w:kern w:val="0"/>
                <w:sz w:val="21"/>
                <w:highlight w:val="none"/>
              </w:rPr>
              <w:t>道路</w:t>
            </w:r>
            <w:r>
              <w:rPr>
                <w:rFonts w:hint="eastAsia" w:ascii="Times New Roman" w:hAnsi="Times New Roman" w:eastAsia="宋体" w:cs="Times New Roman"/>
                <w:color w:val="auto"/>
                <w:kern w:val="0"/>
                <w:sz w:val="21"/>
                <w:highlight w:val="none"/>
              </w:rPr>
              <w:t>建设</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trPr>
        <w:tc>
          <w:tcPr>
            <w:tcW w:w="1515" w:type="dxa"/>
            <w:vMerge w:val="continue"/>
            <w:noWrap w:val="0"/>
            <w:vAlign w:val="center"/>
          </w:tcPr>
          <w:p>
            <w:pPr>
              <w:topLinePunct/>
              <w:adjustRightInd w:val="0"/>
              <w:snapToGrid w:val="0"/>
              <w:spacing w:line="240" w:lineRule="atLeast"/>
              <w:ind w:firstLine="0" w:firstLineChars="0"/>
              <w:jc w:val="center"/>
              <w:rPr>
                <w:rFonts w:ascii="Times New Roman" w:hAnsi="Times New Roman" w:eastAsia="宋体" w:cs="Times New Roman"/>
                <w:color w:val="auto"/>
                <w:sz w:val="21"/>
                <w:highlight w:val="none"/>
              </w:rPr>
            </w:pPr>
          </w:p>
        </w:tc>
        <w:tc>
          <w:tcPr>
            <w:tcW w:w="135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泥渣</w:t>
            </w:r>
          </w:p>
        </w:tc>
        <w:tc>
          <w:tcPr>
            <w:tcW w:w="210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沉砂池清理</w:t>
            </w:r>
          </w:p>
        </w:tc>
        <w:tc>
          <w:tcPr>
            <w:tcW w:w="1394"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u w:val="single"/>
                <w:lang w:val="en-US" w:eastAsia="zh-CN"/>
              </w:rPr>
              <w:t>5</w:t>
            </w:r>
          </w:p>
        </w:tc>
        <w:tc>
          <w:tcPr>
            <w:tcW w:w="2711" w:type="dxa"/>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用于矿区道路平整</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trPr>
        <w:tc>
          <w:tcPr>
            <w:tcW w:w="1515" w:type="dxa"/>
            <w:vMerge w:val="continue"/>
            <w:noWrap w:val="0"/>
            <w:vAlign w:val="center"/>
          </w:tcPr>
          <w:p>
            <w:pPr>
              <w:topLinePunct/>
              <w:adjustRightInd w:val="0"/>
              <w:snapToGrid w:val="0"/>
              <w:spacing w:line="240" w:lineRule="atLeast"/>
              <w:ind w:firstLine="0" w:firstLineChars="0"/>
              <w:jc w:val="center"/>
              <w:rPr>
                <w:rFonts w:ascii="Times New Roman" w:hAnsi="Times New Roman" w:eastAsia="宋体" w:cs="Times New Roman"/>
                <w:color w:val="auto"/>
                <w:sz w:val="21"/>
                <w:highlight w:val="none"/>
              </w:rPr>
            </w:pPr>
          </w:p>
        </w:tc>
        <w:tc>
          <w:tcPr>
            <w:tcW w:w="135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洗砂泥饼</w:t>
            </w:r>
          </w:p>
        </w:tc>
        <w:tc>
          <w:tcPr>
            <w:tcW w:w="2100" w:type="dxa"/>
            <w:noWrap w:val="0"/>
            <w:vAlign w:val="center"/>
          </w:tcPr>
          <w:p>
            <w:pPr>
              <w:topLinePunct/>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水洗砂</w:t>
            </w:r>
          </w:p>
        </w:tc>
        <w:tc>
          <w:tcPr>
            <w:tcW w:w="139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2352.5</w:t>
            </w:r>
          </w:p>
        </w:tc>
        <w:tc>
          <w:tcPr>
            <w:tcW w:w="2711" w:type="dxa"/>
            <w:noWrap w:val="0"/>
            <w:vAlign w:val="center"/>
          </w:tcPr>
          <w:p>
            <w:pPr>
              <w:tabs>
                <w:tab w:val="center" w:pos="4153"/>
                <w:tab w:val="right" w:pos="8306"/>
              </w:tabs>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外卖砖厂</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trPr>
        <w:tc>
          <w:tcPr>
            <w:tcW w:w="1515" w:type="dxa"/>
            <w:vMerge w:val="continue"/>
            <w:noWrap w:val="0"/>
            <w:vAlign w:val="center"/>
          </w:tcPr>
          <w:p>
            <w:pPr>
              <w:topLinePunct/>
              <w:adjustRightInd w:val="0"/>
              <w:snapToGrid w:val="0"/>
              <w:spacing w:line="240" w:lineRule="atLeast"/>
              <w:ind w:firstLine="0" w:firstLineChars="0"/>
              <w:jc w:val="center"/>
              <w:rPr>
                <w:rFonts w:ascii="Times New Roman" w:hAnsi="Times New Roman" w:eastAsia="宋体" w:cs="Times New Roman"/>
                <w:color w:val="auto"/>
                <w:sz w:val="21"/>
                <w:highlight w:val="none"/>
              </w:rPr>
            </w:pPr>
          </w:p>
        </w:tc>
        <w:tc>
          <w:tcPr>
            <w:tcW w:w="135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除尘器粉尘</w:t>
            </w:r>
          </w:p>
        </w:tc>
        <w:tc>
          <w:tcPr>
            <w:tcW w:w="210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除尘过程</w:t>
            </w:r>
          </w:p>
        </w:tc>
        <w:tc>
          <w:tcPr>
            <w:tcW w:w="139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173.745</w:t>
            </w:r>
          </w:p>
        </w:tc>
        <w:tc>
          <w:tcPr>
            <w:tcW w:w="2711" w:type="dxa"/>
            <w:vMerge w:val="restart"/>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统一收集外卖</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trPr>
        <w:tc>
          <w:tcPr>
            <w:tcW w:w="1515" w:type="dxa"/>
            <w:vMerge w:val="continue"/>
            <w:noWrap w:val="0"/>
            <w:vAlign w:val="center"/>
          </w:tcPr>
          <w:p>
            <w:pPr>
              <w:topLinePunct/>
              <w:adjustRightInd w:val="0"/>
              <w:snapToGrid w:val="0"/>
              <w:spacing w:line="240" w:lineRule="atLeast"/>
              <w:ind w:firstLine="0" w:firstLineChars="0"/>
              <w:jc w:val="center"/>
              <w:rPr>
                <w:rFonts w:ascii="Times New Roman" w:hAnsi="Times New Roman" w:eastAsia="宋体" w:cs="Times New Roman"/>
                <w:color w:val="auto"/>
                <w:sz w:val="21"/>
                <w:highlight w:val="none"/>
              </w:rPr>
            </w:pPr>
          </w:p>
        </w:tc>
        <w:tc>
          <w:tcPr>
            <w:tcW w:w="135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废零件</w:t>
            </w:r>
          </w:p>
        </w:tc>
        <w:tc>
          <w:tcPr>
            <w:tcW w:w="210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机械维修</w:t>
            </w:r>
          </w:p>
        </w:tc>
        <w:tc>
          <w:tcPr>
            <w:tcW w:w="139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3.0</w:t>
            </w:r>
          </w:p>
        </w:tc>
        <w:tc>
          <w:tcPr>
            <w:tcW w:w="2711" w:type="dxa"/>
            <w:vMerge w:val="continue"/>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color w:val="auto"/>
                <w:kern w:val="0"/>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trPr>
        <w:tc>
          <w:tcPr>
            <w:tcW w:w="2866" w:type="dxa"/>
            <w:gridSpan w:val="2"/>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生活垃圾</w:t>
            </w:r>
          </w:p>
        </w:tc>
        <w:tc>
          <w:tcPr>
            <w:tcW w:w="2100" w:type="dxa"/>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日常生活办公</w:t>
            </w:r>
          </w:p>
        </w:tc>
        <w:tc>
          <w:tcPr>
            <w:tcW w:w="1394" w:type="dxa"/>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13.5</w:t>
            </w:r>
          </w:p>
        </w:tc>
        <w:tc>
          <w:tcPr>
            <w:tcW w:w="271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收集后由环卫部门处理</w:t>
            </w:r>
          </w:p>
        </w:tc>
      </w:tr>
    </w:tbl>
    <w:p>
      <w:pPr>
        <w:pStyle w:val="6"/>
        <w:rPr>
          <w:rFonts w:ascii="Times New Roman" w:hAnsi="Times New Roman" w:eastAsia="宋体"/>
          <w:color w:val="auto"/>
          <w:highlight w:val="none"/>
        </w:rPr>
      </w:pPr>
      <w:r>
        <w:rPr>
          <w:rFonts w:ascii="Times New Roman" w:hAnsi="Times New Roman" w:eastAsia="宋体"/>
          <w:color w:val="auto"/>
          <w:highlight w:val="none"/>
        </w:rPr>
        <w:t>2.</w:t>
      </w:r>
      <w:r>
        <w:rPr>
          <w:rFonts w:hint="eastAsia" w:ascii="Times New Roman" w:hAnsi="Times New Roman" w:eastAsia="宋体"/>
          <w:color w:val="auto"/>
          <w:highlight w:val="none"/>
        </w:rPr>
        <w:t>5</w:t>
      </w:r>
      <w:r>
        <w:rPr>
          <w:rFonts w:ascii="Times New Roman" w:hAnsi="Times New Roman" w:eastAsia="宋体"/>
          <w:color w:val="auto"/>
          <w:highlight w:val="none"/>
        </w:rPr>
        <w:t>.5.5 生态环境</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项目日常生产过程</w:t>
      </w:r>
      <w:r>
        <w:rPr>
          <w:rFonts w:ascii="Times New Roman" w:hAnsi="Times New Roman" w:eastAsia="宋体"/>
          <w:color w:val="auto"/>
          <w:highlight w:val="none"/>
        </w:rPr>
        <w:t xml:space="preserve">主要生态环境影响因有以下几方面： </w:t>
      </w:r>
    </w:p>
    <w:p>
      <w:pPr>
        <w:ind w:firstLine="480"/>
        <w:rPr>
          <w:rFonts w:ascii="Times New Roman" w:hAnsi="Times New Roman" w:eastAsia="宋体"/>
          <w:color w:val="auto"/>
          <w:highlight w:val="none"/>
        </w:rPr>
      </w:pPr>
      <w:r>
        <w:rPr>
          <w:rFonts w:ascii="Times New Roman" w:hAnsi="Times New Roman" w:eastAsia="宋体"/>
          <w:color w:val="auto"/>
          <w:highlight w:val="none"/>
        </w:rPr>
        <w:t>（1）矿区开采、</w:t>
      </w:r>
      <w:r>
        <w:rPr>
          <w:rFonts w:hint="eastAsia" w:ascii="Times New Roman" w:hAnsi="Times New Roman" w:eastAsia="宋体"/>
          <w:color w:val="auto"/>
          <w:highlight w:val="none"/>
        </w:rPr>
        <w:t>废土石渣</w:t>
      </w:r>
      <w:r>
        <w:rPr>
          <w:rFonts w:ascii="Times New Roman" w:hAnsi="Times New Roman" w:eastAsia="宋体"/>
          <w:color w:val="auto"/>
          <w:highlight w:val="none"/>
        </w:rPr>
        <w:t>堆放等过程中，将破坏地形地貌、占用土地、压覆植被，造成水土流失，</w:t>
      </w:r>
      <w:r>
        <w:rPr>
          <w:rFonts w:hint="eastAsia" w:ascii="Times New Roman" w:hAnsi="Times New Roman" w:eastAsia="宋体"/>
          <w:color w:val="auto"/>
          <w:highlight w:val="none"/>
          <w:lang w:val="en-US" w:eastAsia="zh-CN"/>
        </w:rPr>
        <w:t>临时堆土场堆存和管理不善</w:t>
      </w:r>
      <w:r>
        <w:rPr>
          <w:rFonts w:ascii="Times New Roman" w:hAnsi="Times New Roman" w:eastAsia="宋体"/>
          <w:color w:val="auto"/>
          <w:highlight w:val="none"/>
        </w:rPr>
        <w:t>存在诱发崩塌、滑坡地质灾害风险。</w:t>
      </w:r>
    </w:p>
    <w:p>
      <w:pPr>
        <w:ind w:firstLine="480"/>
        <w:rPr>
          <w:rFonts w:ascii="Times New Roman" w:hAnsi="Times New Roman" w:eastAsia="宋体"/>
          <w:color w:val="auto"/>
          <w:highlight w:val="none"/>
        </w:rPr>
      </w:pPr>
      <w:r>
        <w:rPr>
          <w:rFonts w:ascii="Times New Roman" w:hAnsi="Times New Roman" w:eastAsia="宋体"/>
          <w:color w:val="auto"/>
          <w:highlight w:val="none"/>
        </w:rPr>
        <w:t>（2）采矿活动</w:t>
      </w:r>
      <w:r>
        <w:rPr>
          <w:rFonts w:hint="eastAsia" w:ascii="Times New Roman" w:hAnsi="Times New Roman" w:eastAsia="宋体"/>
          <w:color w:val="auto"/>
          <w:highlight w:val="none"/>
        </w:rPr>
        <w:t>对矿区</w:t>
      </w:r>
      <w:r>
        <w:rPr>
          <w:rFonts w:ascii="Times New Roman" w:hAnsi="Times New Roman" w:eastAsia="宋体"/>
          <w:color w:val="auto"/>
          <w:highlight w:val="none"/>
        </w:rPr>
        <w:t>周围的野生动物</w:t>
      </w:r>
      <w:r>
        <w:rPr>
          <w:rFonts w:hint="eastAsia" w:ascii="Times New Roman" w:hAnsi="Times New Roman" w:eastAsia="宋体"/>
          <w:color w:val="auto"/>
          <w:highlight w:val="none"/>
        </w:rPr>
        <w:t>产生</w:t>
      </w:r>
      <w:r>
        <w:rPr>
          <w:rFonts w:ascii="Times New Roman" w:hAnsi="Times New Roman" w:eastAsia="宋体"/>
          <w:color w:val="auto"/>
          <w:highlight w:val="none"/>
        </w:rPr>
        <w:t>一定的干扰。</w:t>
      </w:r>
    </w:p>
    <w:p>
      <w:pPr>
        <w:ind w:firstLine="480"/>
        <w:rPr>
          <w:rFonts w:ascii="Times New Roman" w:hAnsi="Times New Roman" w:eastAsia="宋体"/>
          <w:color w:val="auto"/>
          <w:highlight w:val="none"/>
        </w:rPr>
      </w:pPr>
      <w:r>
        <w:rPr>
          <w:rFonts w:ascii="Times New Roman" w:hAnsi="Times New Roman" w:eastAsia="宋体"/>
          <w:color w:val="auto"/>
          <w:highlight w:val="none"/>
        </w:rPr>
        <w:t>（3）</w:t>
      </w:r>
      <w:r>
        <w:rPr>
          <w:rFonts w:hint="eastAsia" w:ascii="Times New Roman" w:hAnsi="Times New Roman" w:eastAsia="宋体"/>
          <w:color w:val="auto"/>
          <w:highlight w:val="none"/>
        </w:rPr>
        <w:t>洗砂区水池和洗砂泥饼管理不善，碎石运输过程洒落，雨水冲刷直接排入周边无名小沟，</w:t>
      </w:r>
      <w:r>
        <w:rPr>
          <w:rFonts w:ascii="Times New Roman" w:hAnsi="Times New Roman" w:eastAsia="宋体"/>
          <w:color w:val="auto"/>
          <w:highlight w:val="none"/>
        </w:rPr>
        <w:t>可能</w:t>
      </w:r>
      <w:r>
        <w:rPr>
          <w:rFonts w:hint="eastAsia" w:ascii="Times New Roman" w:hAnsi="Times New Roman" w:eastAsia="宋体"/>
          <w:color w:val="auto"/>
          <w:highlight w:val="none"/>
          <w:lang w:val="en-US" w:eastAsia="zh-CN"/>
        </w:rPr>
        <w:t>造成水生生态影响</w:t>
      </w:r>
      <w:r>
        <w:rPr>
          <w:rFonts w:ascii="Times New Roman" w:hAnsi="Times New Roman" w:eastAsia="宋体"/>
          <w:color w:val="auto"/>
          <w:highlight w:val="none"/>
        </w:rPr>
        <w:t>。</w:t>
      </w:r>
    </w:p>
    <w:p>
      <w:pPr>
        <w:ind w:firstLine="480"/>
        <w:rPr>
          <w:rFonts w:ascii="Times New Roman" w:hAnsi="Times New Roman" w:eastAsia="宋体"/>
          <w:color w:val="auto"/>
          <w:highlight w:val="none"/>
        </w:rPr>
      </w:pPr>
      <w:r>
        <w:rPr>
          <w:rFonts w:ascii="Times New Roman" w:hAnsi="Times New Roman" w:eastAsia="宋体"/>
          <w:color w:val="auto"/>
          <w:highlight w:val="none"/>
        </w:rPr>
        <w:t>（4）</w:t>
      </w:r>
      <w:r>
        <w:rPr>
          <w:rFonts w:hint="eastAsia" w:ascii="Times New Roman" w:hAnsi="Times New Roman" w:eastAsia="宋体"/>
          <w:color w:val="auto"/>
          <w:highlight w:val="none"/>
        </w:rPr>
        <w:t>矿区</w:t>
      </w:r>
      <w:r>
        <w:rPr>
          <w:rFonts w:ascii="Times New Roman" w:hAnsi="Times New Roman" w:eastAsia="宋体"/>
          <w:color w:val="auto"/>
          <w:highlight w:val="none"/>
        </w:rPr>
        <w:t>初期雨水</w:t>
      </w:r>
      <w:r>
        <w:rPr>
          <w:rFonts w:hint="eastAsia" w:ascii="Times New Roman" w:hAnsi="Times New Roman" w:eastAsia="宋体"/>
          <w:color w:val="auto"/>
          <w:highlight w:val="none"/>
        </w:rPr>
        <w:t>导流沟</w:t>
      </w:r>
      <w:r>
        <w:rPr>
          <w:rFonts w:ascii="Times New Roman" w:hAnsi="Times New Roman" w:eastAsia="宋体"/>
          <w:color w:val="auto"/>
          <w:highlight w:val="none"/>
        </w:rPr>
        <w:t>、沉砂池如管理不善，淤积物堵塞，会导致初期雨水无序排放，引起水土流失，对生态环境造成不利影响。</w:t>
      </w:r>
    </w:p>
    <w:p>
      <w:pPr>
        <w:ind w:firstLine="480"/>
        <w:rPr>
          <w:rFonts w:ascii="Times New Roman" w:hAnsi="Times New Roman" w:eastAsia="宋体"/>
          <w:color w:val="auto"/>
          <w:highlight w:val="none"/>
        </w:rPr>
      </w:pPr>
      <w:r>
        <w:rPr>
          <w:rFonts w:ascii="Times New Roman" w:hAnsi="Times New Roman" w:eastAsia="宋体"/>
          <w:color w:val="auto"/>
          <w:highlight w:val="none"/>
        </w:rPr>
        <w:t>（5）项目开发建设</w:t>
      </w:r>
      <w:r>
        <w:rPr>
          <w:rFonts w:hint="eastAsia" w:ascii="Times New Roman" w:hAnsi="Times New Roman" w:eastAsia="宋体"/>
          <w:color w:val="auto"/>
          <w:highlight w:val="none"/>
        </w:rPr>
        <w:t>过程中加工区和</w:t>
      </w:r>
      <w:r>
        <w:rPr>
          <w:rFonts w:ascii="Times New Roman" w:hAnsi="Times New Roman" w:eastAsia="宋体"/>
          <w:color w:val="auto"/>
          <w:highlight w:val="none"/>
        </w:rPr>
        <w:t>山体裸露面</w:t>
      </w:r>
      <w:r>
        <w:rPr>
          <w:rFonts w:hint="eastAsia" w:ascii="Times New Roman" w:hAnsi="Times New Roman" w:eastAsia="宋体"/>
          <w:color w:val="auto"/>
          <w:highlight w:val="none"/>
        </w:rPr>
        <w:t>，矿区</w:t>
      </w:r>
      <w:r>
        <w:rPr>
          <w:rFonts w:ascii="Times New Roman" w:hAnsi="Times New Roman" w:eastAsia="宋体"/>
          <w:color w:val="auto"/>
          <w:highlight w:val="none"/>
        </w:rPr>
        <w:t>与周边生态景观不协调，影响自然生态。</w:t>
      </w:r>
    </w:p>
    <w:p>
      <w:pPr>
        <w:pStyle w:val="6"/>
        <w:rPr>
          <w:rFonts w:ascii="Times New Roman" w:hAnsi="Times New Roman" w:eastAsia="宋体"/>
          <w:color w:val="auto"/>
          <w:highlight w:val="none"/>
        </w:rPr>
      </w:pPr>
      <w:r>
        <w:rPr>
          <w:rFonts w:ascii="Times New Roman" w:hAnsi="Times New Roman" w:eastAsia="宋体"/>
          <w:color w:val="auto"/>
          <w:highlight w:val="none"/>
        </w:rPr>
        <w:t>2.</w:t>
      </w:r>
      <w:r>
        <w:rPr>
          <w:rFonts w:hint="eastAsia" w:ascii="Times New Roman" w:hAnsi="Times New Roman" w:eastAsia="宋体"/>
          <w:color w:val="auto"/>
          <w:highlight w:val="none"/>
        </w:rPr>
        <w:t>5</w:t>
      </w:r>
      <w:r>
        <w:rPr>
          <w:rFonts w:ascii="Times New Roman" w:hAnsi="Times New Roman" w:eastAsia="宋体"/>
          <w:color w:val="auto"/>
          <w:highlight w:val="none"/>
        </w:rPr>
        <w:t>.5.6 非正常工况下污染物排放量</w:t>
      </w:r>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项目非正常工况主要是针对废气处理设施故障等因素引起的废气排放超标事故。本评价以每年发生4次的机率、每次持续时间小于1h，颗粒物处理设施非正常排放按除尘设施效率下降至</w:t>
      </w:r>
      <w:r>
        <w:rPr>
          <w:rFonts w:hint="eastAsia" w:ascii="Times New Roman" w:hAnsi="Times New Roman" w:eastAsia="宋体" w:cs="Times New Roman"/>
          <w:color w:val="auto"/>
          <w:highlight w:val="none"/>
        </w:rPr>
        <w:t>75</w:t>
      </w:r>
      <w:r>
        <w:rPr>
          <w:rFonts w:ascii="Times New Roman" w:hAnsi="Times New Roman" w:eastAsia="宋体" w:cs="Times New Roman"/>
          <w:color w:val="auto"/>
          <w:highlight w:val="none"/>
        </w:rPr>
        <w:t>%计算，废气非正常排放预测排放情况见表2.</w:t>
      </w:r>
      <w:r>
        <w:rPr>
          <w:rFonts w:hint="eastAsia" w:ascii="Times New Roman" w:hAnsi="Times New Roman" w:eastAsia="宋体" w:cs="Times New Roman"/>
          <w:color w:val="auto"/>
          <w:highlight w:val="none"/>
        </w:rPr>
        <w:t>5</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2</w:t>
      </w:r>
      <w:r>
        <w:rPr>
          <w:rFonts w:hint="eastAsia" w:cs="Times New Roman"/>
          <w:color w:val="auto"/>
          <w:highlight w:val="none"/>
          <w:lang w:val="en-US" w:eastAsia="zh-CN"/>
        </w:rPr>
        <w:t>0</w:t>
      </w:r>
      <w:r>
        <w:rPr>
          <w:rFonts w:ascii="Times New Roman" w:hAnsi="Times New Roman" w:eastAsia="宋体" w:cs="Times New Roman"/>
          <w:color w:val="auto"/>
          <w:highlight w:val="none"/>
        </w:rPr>
        <w:t>。</w:t>
      </w:r>
    </w:p>
    <w:p>
      <w:pPr>
        <w:pStyle w:val="13"/>
        <w:rPr>
          <w:rFonts w:ascii="Times New Roman" w:hAnsi="Times New Roman" w:eastAsia="宋体"/>
          <w:color w:val="auto"/>
          <w:highlight w:val="none"/>
        </w:rPr>
      </w:pPr>
      <w:r>
        <w:rPr>
          <w:rFonts w:ascii="Times New Roman" w:hAnsi="Times New Roman" w:eastAsia="宋体"/>
          <w:color w:val="auto"/>
          <w:highlight w:val="none"/>
        </w:rPr>
        <w:t>表2.</w:t>
      </w:r>
      <w:r>
        <w:rPr>
          <w:rFonts w:hint="eastAsia" w:ascii="Times New Roman" w:hAnsi="Times New Roman" w:eastAsia="宋体"/>
          <w:color w:val="auto"/>
          <w:highlight w:val="none"/>
        </w:rPr>
        <w:t>5</w:t>
      </w:r>
      <w:r>
        <w:rPr>
          <w:rFonts w:ascii="Times New Roman" w:hAnsi="Times New Roman" w:eastAsia="宋体"/>
          <w:color w:val="auto"/>
          <w:highlight w:val="none"/>
        </w:rPr>
        <w:t>-</w:t>
      </w:r>
      <w:r>
        <w:rPr>
          <w:rFonts w:hint="eastAsia" w:ascii="Times New Roman" w:hAnsi="Times New Roman" w:eastAsia="宋体"/>
          <w:color w:val="auto"/>
          <w:highlight w:val="none"/>
        </w:rPr>
        <w:t>2</w:t>
      </w:r>
      <w:r>
        <w:rPr>
          <w:rFonts w:hint="eastAsia"/>
          <w:color w:val="auto"/>
          <w:highlight w:val="none"/>
          <w:lang w:val="en-US" w:eastAsia="zh-CN"/>
        </w:rPr>
        <w:t>0</w:t>
      </w:r>
      <w:r>
        <w:rPr>
          <w:rFonts w:ascii="Times New Roman" w:hAnsi="Times New Roman" w:eastAsia="宋体"/>
          <w:color w:val="auto"/>
          <w:highlight w:val="none"/>
        </w:rPr>
        <w:t xml:space="preserve"> 项目废气非正常排放污染物源强</w:t>
      </w:r>
    </w:p>
    <w:tbl>
      <w:tblPr>
        <w:tblStyle w:val="48"/>
        <w:tblW w:w="9091" w:type="dxa"/>
        <w:jc w:val="center"/>
        <w:tblInd w:w="-15"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883"/>
        <w:gridCol w:w="757"/>
        <w:gridCol w:w="915"/>
        <w:gridCol w:w="825"/>
        <w:gridCol w:w="705"/>
        <w:gridCol w:w="765"/>
        <w:gridCol w:w="660"/>
        <w:gridCol w:w="855"/>
        <w:gridCol w:w="675"/>
        <w:gridCol w:w="645"/>
        <w:gridCol w:w="1406"/>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883" w:type="dxa"/>
            <w:vMerge w:val="restart"/>
            <w:noWrap w:val="0"/>
            <w:tcMar>
              <w:left w:w="0" w:type="dxa"/>
              <w:right w:w="0" w:type="dxa"/>
            </w:tcMar>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排气筒</w:t>
            </w:r>
          </w:p>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编号</w:t>
            </w:r>
          </w:p>
        </w:tc>
        <w:tc>
          <w:tcPr>
            <w:tcW w:w="757" w:type="dxa"/>
            <w:vMerge w:val="restart"/>
            <w:noWrap w:val="0"/>
            <w:tcMar>
              <w:left w:w="0" w:type="dxa"/>
              <w:right w:w="0" w:type="dxa"/>
            </w:tcMar>
            <w:vAlign w:val="center"/>
          </w:tcPr>
          <w:p>
            <w:pPr>
              <w:widowControl/>
              <w:adjustRightInd w:val="0"/>
              <w:snapToGrid w:val="0"/>
              <w:spacing w:line="240" w:lineRule="auto"/>
              <w:ind w:firstLine="0" w:firstLineChars="0"/>
              <w:jc w:val="center"/>
              <w:rPr>
                <w:rFonts w:hint="eastAsia" w:ascii="Times New Roman" w:hAnsi="Times New Roman" w:eastAsia="宋体" w:cs="Times New Roman"/>
                <w:b/>
                <w:bCs/>
                <w:color w:val="auto"/>
                <w:sz w:val="21"/>
                <w:highlight w:val="none"/>
                <w:u w:val="single"/>
                <w:lang w:eastAsia="zh-CN"/>
              </w:rPr>
            </w:pPr>
            <w:r>
              <w:rPr>
                <w:rFonts w:hint="eastAsia" w:cs="Times New Roman"/>
                <w:b/>
                <w:color w:val="auto"/>
                <w:sz w:val="21"/>
                <w:highlight w:val="none"/>
                <w:u w:val="single"/>
                <w:lang w:val="en-US" w:eastAsia="zh-CN"/>
              </w:rPr>
              <w:t>破碎场</w:t>
            </w:r>
          </w:p>
        </w:tc>
        <w:tc>
          <w:tcPr>
            <w:tcW w:w="915" w:type="dxa"/>
            <w:vMerge w:val="restart"/>
            <w:noWrap w:val="0"/>
            <w:tcMar>
              <w:left w:w="0" w:type="dxa"/>
              <w:right w:w="0" w:type="dxa"/>
            </w:tcMar>
            <w:vAlign w:val="center"/>
          </w:tcPr>
          <w:p>
            <w:pPr>
              <w:pStyle w:val="81"/>
              <w:snapToGrid w:val="0"/>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排放源</w:t>
            </w:r>
          </w:p>
        </w:tc>
        <w:tc>
          <w:tcPr>
            <w:tcW w:w="825" w:type="dxa"/>
            <w:vMerge w:val="restart"/>
            <w:noWrap w:val="0"/>
            <w:tcMar>
              <w:left w:w="0" w:type="dxa"/>
              <w:right w:w="0" w:type="dxa"/>
            </w:tcMar>
            <w:vAlign w:val="center"/>
          </w:tcPr>
          <w:p>
            <w:pPr>
              <w:pStyle w:val="81"/>
              <w:snapToGrid w:val="0"/>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废气量</w:t>
            </w:r>
          </w:p>
          <w:p>
            <w:pPr>
              <w:pStyle w:val="81"/>
              <w:snapToGrid w:val="0"/>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(m</w:t>
            </w:r>
            <w:r>
              <w:rPr>
                <w:rFonts w:ascii="Times New Roman" w:hAnsi="Times New Roman" w:eastAsia="宋体"/>
                <w:b/>
                <w:bCs/>
                <w:color w:val="auto"/>
                <w:szCs w:val="21"/>
                <w:highlight w:val="none"/>
                <w:vertAlign w:val="superscript"/>
                <w:lang w:val="en-US" w:eastAsia="zh-CN"/>
              </w:rPr>
              <w:t>3</w:t>
            </w:r>
            <w:r>
              <w:rPr>
                <w:rFonts w:ascii="Times New Roman" w:hAnsi="Times New Roman" w:eastAsia="宋体"/>
                <w:b/>
                <w:bCs/>
                <w:color w:val="auto"/>
                <w:szCs w:val="21"/>
                <w:highlight w:val="none"/>
                <w:lang w:val="en-US" w:eastAsia="zh-CN"/>
              </w:rPr>
              <w:t>/h)</w:t>
            </w:r>
          </w:p>
        </w:tc>
        <w:tc>
          <w:tcPr>
            <w:tcW w:w="705" w:type="dxa"/>
            <w:vMerge w:val="restart"/>
            <w:noWrap w:val="0"/>
            <w:tcMar>
              <w:left w:w="0" w:type="dxa"/>
              <w:right w:w="0" w:type="dxa"/>
            </w:tcMar>
            <w:vAlign w:val="center"/>
          </w:tcPr>
          <w:p>
            <w:pPr>
              <w:pStyle w:val="81"/>
              <w:snapToGrid w:val="0"/>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污染物</w:t>
            </w:r>
          </w:p>
        </w:tc>
        <w:tc>
          <w:tcPr>
            <w:tcW w:w="765" w:type="dxa"/>
            <w:vMerge w:val="restart"/>
            <w:noWrap w:val="0"/>
            <w:tcMar>
              <w:left w:w="0" w:type="dxa"/>
              <w:right w:w="0" w:type="dxa"/>
            </w:tcMar>
            <w:vAlign w:val="center"/>
          </w:tcPr>
          <w:p>
            <w:pPr>
              <w:pStyle w:val="81"/>
              <w:snapToGrid w:val="0"/>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处理</w:t>
            </w:r>
          </w:p>
          <w:p>
            <w:pPr>
              <w:pStyle w:val="81"/>
              <w:snapToGrid w:val="0"/>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状态</w:t>
            </w:r>
          </w:p>
        </w:tc>
        <w:tc>
          <w:tcPr>
            <w:tcW w:w="660" w:type="dxa"/>
            <w:vMerge w:val="restart"/>
            <w:noWrap w:val="0"/>
            <w:tcMar>
              <w:left w:w="0" w:type="dxa"/>
              <w:right w:w="0" w:type="dxa"/>
            </w:tcMar>
            <w:vAlign w:val="center"/>
          </w:tcPr>
          <w:p>
            <w:pPr>
              <w:pStyle w:val="81"/>
              <w:snapToGrid w:val="0"/>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去除</w:t>
            </w:r>
          </w:p>
          <w:p>
            <w:pPr>
              <w:pStyle w:val="81"/>
              <w:snapToGrid w:val="0"/>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效率%</w:t>
            </w:r>
          </w:p>
        </w:tc>
        <w:tc>
          <w:tcPr>
            <w:tcW w:w="2175" w:type="dxa"/>
            <w:gridSpan w:val="3"/>
            <w:noWrap w:val="0"/>
            <w:tcMar>
              <w:left w:w="0" w:type="dxa"/>
              <w:right w:w="0" w:type="dxa"/>
            </w:tcMar>
            <w:vAlign w:val="center"/>
          </w:tcPr>
          <w:p>
            <w:pPr>
              <w:pStyle w:val="81"/>
              <w:snapToGrid w:val="0"/>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排放情况</w:t>
            </w:r>
          </w:p>
        </w:tc>
        <w:tc>
          <w:tcPr>
            <w:tcW w:w="1406" w:type="dxa"/>
            <w:vMerge w:val="restart"/>
            <w:noWrap w:val="0"/>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b/>
                <w:bCs/>
                <w:color w:val="auto"/>
                <w:szCs w:val="21"/>
                <w:highlight w:val="none"/>
                <w:lang w:val="en-US" w:eastAsia="zh-CN"/>
              </w:rPr>
              <w:t>发生概率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883" w:type="dxa"/>
            <w:vMerge w:val="continue"/>
            <w:noWrap w:val="0"/>
            <w:tcMar>
              <w:left w:w="0" w:type="dxa"/>
              <w:right w:w="0" w:type="dxa"/>
            </w:tcMar>
            <w:vAlign w:val="center"/>
          </w:tcPr>
          <w:p>
            <w:pPr>
              <w:pStyle w:val="81"/>
              <w:snapToGrid w:val="0"/>
              <w:jc w:val="center"/>
              <w:rPr>
                <w:rFonts w:ascii="Times New Roman" w:hAnsi="Times New Roman" w:eastAsia="宋体"/>
                <w:b/>
                <w:bCs/>
                <w:color w:val="auto"/>
                <w:szCs w:val="21"/>
                <w:highlight w:val="none"/>
                <w:lang w:val="en-US" w:eastAsia="zh-CN"/>
              </w:rPr>
            </w:pPr>
          </w:p>
        </w:tc>
        <w:tc>
          <w:tcPr>
            <w:tcW w:w="757" w:type="dxa"/>
            <w:vMerge w:val="continue"/>
            <w:noWrap w:val="0"/>
            <w:tcMar>
              <w:left w:w="0" w:type="dxa"/>
              <w:right w:w="0" w:type="dxa"/>
            </w:tcMar>
            <w:vAlign w:val="center"/>
          </w:tcPr>
          <w:p>
            <w:pPr>
              <w:pStyle w:val="81"/>
              <w:snapToGrid w:val="0"/>
              <w:jc w:val="center"/>
              <w:rPr>
                <w:rFonts w:ascii="Times New Roman" w:hAnsi="Times New Roman" w:eastAsia="宋体"/>
                <w:b/>
                <w:bCs/>
                <w:color w:val="auto"/>
                <w:szCs w:val="21"/>
                <w:highlight w:val="none"/>
                <w:u w:val="single"/>
                <w:lang w:val="en-US" w:eastAsia="zh-CN"/>
              </w:rPr>
            </w:pPr>
          </w:p>
        </w:tc>
        <w:tc>
          <w:tcPr>
            <w:tcW w:w="915" w:type="dxa"/>
            <w:vMerge w:val="continue"/>
            <w:noWrap w:val="0"/>
            <w:tcMar>
              <w:left w:w="0" w:type="dxa"/>
              <w:right w:w="0" w:type="dxa"/>
            </w:tcMar>
            <w:vAlign w:val="center"/>
          </w:tcPr>
          <w:p>
            <w:pPr>
              <w:pStyle w:val="81"/>
              <w:snapToGrid w:val="0"/>
              <w:jc w:val="center"/>
              <w:rPr>
                <w:rFonts w:ascii="Times New Roman" w:hAnsi="Times New Roman" w:eastAsia="宋体"/>
                <w:b/>
                <w:bCs/>
                <w:color w:val="auto"/>
                <w:szCs w:val="21"/>
                <w:highlight w:val="none"/>
                <w:lang w:val="en-US" w:eastAsia="zh-CN"/>
              </w:rPr>
            </w:pPr>
          </w:p>
        </w:tc>
        <w:tc>
          <w:tcPr>
            <w:tcW w:w="825" w:type="dxa"/>
            <w:vMerge w:val="continue"/>
            <w:noWrap w:val="0"/>
            <w:tcMar>
              <w:left w:w="0" w:type="dxa"/>
              <w:right w:w="0" w:type="dxa"/>
            </w:tcMar>
            <w:vAlign w:val="center"/>
          </w:tcPr>
          <w:p>
            <w:pPr>
              <w:pStyle w:val="81"/>
              <w:snapToGrid w:val="0"/>
              <w:jc w:val="center"/>
              <w:rPr>
                <w:rFonts w:ascii="Times New Roman" w:hAnsi="Times New Roman" w:eastAsia="宋体"/>
                <w:b/>
                <w:bCs/>
                <w:color w:val="auto"/>
                <w:szCs w:val="21"/>
                <w:highlight w:val="none"/>
                <w:lang w:val="en-US" w:eastAsia="zh-CN"/>
              </w:rPr>
            </w:pPr>
          </w:p>
        </w:tc>
        <w:tc>
          <w:tcPr>
            <w:tcW w:w="705" w:type="dxa"/>
            <w:vMerge w:val="continue"/>
            <w:noWrap w:val="0"/>
            <w:tcMar>
              <w:left w:w="0" w:type="dxa"/>
              <w:right w:w="0" w:type="dxa"/>
            </w:tcMar>
            <w:vAlign w:val="center"/>
          </w:tcPr>
          <w:p>
            <w:pPr>
              <w:pStyle w:val="81"/>
              <w:snapToGrid w:val="0"/>
              <w:jc w:val="center"/>
              <w:rPr>
                <w:rFonts w:ascii="Times New Roman" w:hAnsi="Times New Roman" w:eastAsia="宋体"/>
                <w:b/>
                <w:bCs/>
                <w:color w:val="auto"/>
                <w:szCs w:val="21"/>
                <w:highlight w:val="none"/>
                <w:lang w:val="en-US" w:eastAsia="zh-CN"/>
              </w:rPr>
            </w:pPr>
          </w:p>
        </w:tc>
        <w:tc>
          <w:tcPr>
            <w:tcW w:w="765" w:type="dxa"/>
            <w:vMerge w:val="continue"/>
            <w:noWrap w:val="0"/>
            <w:tcMar>
              <w:left w:w="0" w:type="dxa"/>
              <w:right w:w="0" w:type="dxa"/>
            </w:tcMar>
            <w:vAlign w:val="center"/>
          </w:tcPr>
          <w:p>
            <w:pPr>
              <w:pStyle w:val="81"/>
              <w:snapToGrid w:val="0"/>
              <w:jc w:val="center"/>
              <w:rPr>
                <w:rFonts w:ascii="Times New Roman" w:hAnsi="Times New Roman" w:eastAsia="宋体"/>
                <w:b/>
                <w:bCs/>
                <w:color w:val="auto"/>
                <w:szCs w:val="21"/>
                <w:highlight w:val="none"/>
                <w:lang w:val="en-US" w:eastAsia="zh-CN"/>
              </w:rPr>
            </w:pPr>
          </w:p>
        </w:tc>
        <w:tc>
          <w:tcPr>
            <w:tcW w:w="660" w:type="dxa"/>
            <w:vMerge w:val="continue"/>
            <w:noWrap w:val="0"/>
            <w:tcMar>
              <w:left w:w="0" w:type="dxa"/>
              <w:right w:w="0" w:type="dxa"/>
            </w:tcMar>
            <w:vAlign w:val="center"/>
          </w:tcPr>
          <w:p>
            <w:pPr>
              <w:pStyle w:val="81"/>
              <w:snapToGrid w:val="0"/>
              <w:jc w:val="center"/>
              <w:rPr>
                <w:rFonts w:ascii="Times New Roman" w:hAnsi="Times New Roman" w:eastAsia="宋体"/>
                <w:b/>
                <w:bCs/>
                <w:color w:val="auto"/>
                <w:szCs w:val="21"/>
                <w:highlight w:val="none"/>
                <w:lang w:val="en-US" w:eastAsia="zh-CN"/>
              </w:rPr>
            </w:pPr>
          </w:p>
        </w:tc>
        <w:tc>
          <w:tcPr>
            <w:tcW w:w="855" w:type="dxa"/>
            <w:noWrap w:val="0"/>
            <w:tcMar>
              <w:left w:w="0" w:type="dxa"/>
              <w:right w:w="0" w:type="dxa"/>
            </w:tcMar>
            <w:vAlign w:val="center"/>
          </w:tcPr>
          <w:p>
            <w:pPr>
              <w:pStyle w:val="81"/>
              <w:snapToGrid w:val="0"/>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浓度</w:t>
            </w:r>
          </w:p>
          <w:p>
            <w:pPr>
              <w:pStyle w:val="81"/>
              <w:snapToGrid w:val="0"/>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(mg/m</w:t>
            </w:r>
            <w:r>
              <w:rPr>
                <w:rFonts w:ascii="Times New Roman" w:hAnsi="Times New Roman" w:eastAsia="宋体"/>
                <w:b/>
                <w:bCs/>
                <w:color w:val="auto"/>
                <w:szCs w:val="21"/>
                <w:highlight w:val="none"/>
                <w:vertAlign w:val="superscript"/>
                <w:lang w:val="en-US" w:eastAsia="zh-CN"/>
              </w:rPr>
              <w:t>3</w:t>
            </w:r>
            <w:r>
              <w:rPr>
                <w:rFonts w:ascii="Times New Roman" w:hAnsi="Times New Roman" w:eastAsia="宋体"/>
                <w:b/>
                <w:bCs/>
                <w:color w:val="auto"/>
                <w:szCs w:val="21"/>
                <w:highlight w:val="none"/>
                <w:lang w:val="en-US" w:eastAsia="zh-CN"/>
              </w:rPr>
              <w:t>)</w:t>
            </w:r>
          </w:p>
        </w:tc>
        <w:tc>
          <w:tcPr>
            <w:tcW w:w="675" w:type="dxa"/>
            <w:noWrap w:val="0"/>
            <w:tcMar>
              <w:left w:w="0" w:type="dxa"/>
              <w:right w:w="0" w:type="dxa"/>
            </w:tcMar>
            <w:vAlign w:val="center"/>
          </w:tcPr>
          <w:p>
            <w:pPr>
              <w:pStyle w:val="81"/>
              <w:snapToGrid w:val="0"/>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排放量</w:t>
            </w:r>
          </w:p>
          <w:p>
            <w:pPr>
              <w:pStyle w:val="81"/>
              <w:snapToGrid w:val="0"/>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(kg/h)</w:t>
            </w:r>
          </w:p>
        </w:tc>
        <w:tc>
          <w:tcPr>
            <w:tcW w:w="645" w:type="dxa"/>
            <w:noWrap w:val="0"/>
            <w:tcMar>
              <w:left w:w="0" w:type="dxa"/>
              <w:right w:w="0" w:type="dxa"/>
            </w:tcMar>
            <w:vAlign w:val="center"/>
          </w:tcPr>
          <w:p>
            <w:pPr>
              <w:pStyle w:val="81"/>
              <w:snapToGrid w:val="0"/>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达标</w:t>
            </w:r>
          </w:p>
          <w:p>
            <w:pPr>
              <w:pStyle w:val="81"/>
              <w:snapToGrid w:val="0"/>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情况</w:t>
            </w:r>
          </w:p>
        </w:tc>
        <w:tc>
          <w:tcPr>
            <w:tcW w:w="1406" w:type="dxa"/>
            <w:vMerge w:val="continue"/>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883" w:type="dxa"/>
            <w:noWrap w:val="0"/>
            <w:tcMar>
              <w:left w:w="0" w:type="dxa"/>
              <w:right w:w="0"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757" w:type="dxa"/>
            <w:vMerge w:val="restart"/>
            <w:noWrap w:val="0"/>
            <w:tcMar>
              <w:left w:w="0" w:type="dxa"/>
              <w:right w:w="0" w:type="dxa"/>
            </w:tcMar>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宋体" w:hAnsi="宋体" w:cs="宋体"/>
                <w:color w:val="auto"/>
                <w:kern w:val="0"/>
                <w:sz w:val="21"/>
                <w:highlight w:val="none"/>
                <w:u w:val="single"/>
                <w:lang w:val="en-US" w:eastAsia="zh-CN"/>
              </w:rPr>
              <w:t>破碎场</w:t>
            </w:r>
            <w:r>
              <w:rPr>
                <w:rFonts w:hint="eastAsia" w:ascii="宋体" w:hAnsi="宋体" w:eastAsia="宋体" w:cs="宋体"/>
                <w:color w:val="auto"/>
                <w:kern w:val="0"/>
                <w:sz w:val="21"/>
                <w:highlight w:val="none"/>
                <w:u w:val="single"/>
                <w:lang w:val="en-US" w:eastAsia="zh-CN"/>
              </w:rPr>
              <w:t>①</w:t>
            </w:r>
          </w:p>
        </w:tc>
        <w:tc>
          <w:tcPr>
            <w:tcW w:w="915" w:type="dxa"/>
            <w:noWrap w:val="0"/>
            <w:tcMar>
              <w:left w:w="0" w:type="dxa"/>
              <w:right w:w="0" w:type="dxa"/>
            </w:tcMar>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①</w:t>
            </w:r>
          </w:p>
        </w:tc>
        <w:tc>
          <w:tcPr>
            <w:tcW w:w="825"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10000</w:t>
            </w:r>
          </w:p>
        </w:tc>
        <w:tc>
          <w:tcPr>
            <w:tcW w:w="705"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TSP</w:t>
            </w:r>
          </w:p>
        </w:tc>
        <w:tc>
          <w:tcPr>
            <w:tcW w:w="765"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非正常</w:t>
            </w:r>
          </w:p>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排放</w:t>
            </w:r>
          </w:p>
        </w:tc>
        <w:tc>
          <w:tcPr>
            <w:tcW w:w="660"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75</w:t>
            </w:r>
          </w:p>
        </w:tc>
        <w:tc>
          <w:tcPr>
            <w:tcW w:w="855" w:type="dxa"/>
            <w:noWrap w:val="0"/>
            <w:tcMar>
              <w:left w:w="0" w:type="dxa"/>
              <w:right w:w="0" w:type="dxa"/>
            </w:tcMar>
            <w:vAlign w:val="center"/>
          </w:tcPr>
          <w:p>
            <w:pPr>
              <w:widowControl/>
              <w:adjustRightInd w:val="0"/>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175.8</w:t>
            </w:r>
          </w:p>
        </w:tc>
        <w:tc>
          <w:tcPr>
            <w:tcW w:w="675" w:type="dxa"/>
            <w:noWrap w:val="0"/>
            <w:tcMar>
              <w:left w:w="0" w:type="dxa"/>
              <w:right w:w="0" w:type="dxa"/>
            </w:tcMar>
            <w:vAlign w:val="center"/>
          </w:tcPr>
          <w:p>
            <w:pPr>
              <w:widowControl/>
              <w:adjustRightInd w:val="0"/>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1.758</w:t>
            </w:r>
          </w:p>
        </w:tc>
        <w:tc>
          <w:tcPr>
            <w:tcW w:w="645"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超标</w:t>
            </w:r>
          </w:p>
          <w:p>
            <w:pPr>
              <w:pStyle w:val="81"/>
              <w:snapToGrid w:val="0"/>
              <w:jc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0.47</w:t>
            </w:r>
            <w:r>
              <w:rPr>
                <w:rFonts w:ascii="Times New Roman" w:hAnsi="Times New Roman" w:eastAsia="宋体"/>
                <w:color w:val="auto"/>
                <w:szCs w:val="21"/>
                <w:highlight w:val="none"/>
                <w:lang w:val="en-US" w:eastAsia="zh-CN"/>
              </w:rPr>
              <w:t>倍</w:t>
            </w:r>
          </w:p>
        </w:tc>
        <w:tc>
          <w:tcPr>
            <w:tcW w:w="1406"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4次/年，</w:t>
            </w:r>
          </w:p>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1h/次</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883" w:type="dxa"/>
            <w:noWrap w:val="0"/>
            <w:tcMar>
              <w:left w:w="0" w:type="dxa"/>
              <w:right w:w="0"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757" w:type="dxa"/>
            <w:vMerge w:val="continue"/>
            <w:noWrap w:val="0"/>
            <w:tcMar>
              <w:left w:w="0" w:type="dxa"/>
              <w:right w:w="0" w:type="dxa"/>
            </w:tcMar>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p>
        </w:tc>
        <w:tc>
          <w:tcPr>
            <w:tcW w:w="915" w:type="dxa"/>
            <w:noWrap w:val="0"/>
            <w:tcMar>
              <w:left w:w="0" w:type="dxa"/>
              <w:right w:w="0" w:type="dxa"/>
            </w:tcMar>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w:t>
            </w:r>
            <w:r>
              <w:rPr>
                <w:rFonts w:hint="eastAsia" w:ascii="Times New Roman" w:hAnsi="Times New Roman" w:eastAsia="宋体"/>
                <w:color w:val="auto"/>
                <w:sz w:val="21"/>
                <w:highlight w:val="none"/>
              </w:rPr>
              <w:t>①</w:t>
            </w:r>
          </w:p>
        </w:tc>
        <w:tc>
          <w:tcPr>
            <w:tcW w:w="825"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10000</w:t>
            </w:r>
          </w:p>
        </w:tc>
        <w:tc>
          <w:tcPr>
            <w:tcW w:w="705"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TSP</w:t>
            </w:r>
          </w:p>
        </w:tc>
        <w:tc>
          <w:tcPr>
            <w:tcW w:w="765"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非正常</w:t>
            </w:r>
          </w:p>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排放</w:t>
            </w:r>
          </w:p>
        </w:tc>
        <w:tc>
          <w:tcPr>
            <w:tcW w:w="660"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75</w:t>
            </w:r>
          </w:p>
        </w:tc>
        <w:tc>
          <w:tcPr>
            <w:tcW w:w="855" w:type="dxa"/>
            <w:noWrap w:val="0"/>
            <w:tcMar>
              <w:left w:w="0" w:type="dxa"/>
              <w:right w:w="0" w:type="dxa"/>
            </w:tcMar>
            <w:vAlign w:val="center"/>
          </w:tcPr>
          <w:p>
            <w:pPr>
              <w:widowControl/>
              <w:adjustRightInd w:val="0"/>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351.6</w:t>
            </w:r>
          </w:p>
        </w:tc>
        <w:tc>
          <w:tcPr>
            <w:tcW w:w="675" w:type="dxa"/>
            <w:noWrap w:val="0"/>
            <w:tcMar>
              <w:left w:w="0" w:type="dxa"/>
              <w:right w:w="0" w:type="dxa"/>
            </w:tcMar>
            <w:vAlign w:val="center"/>
          </w:tcPr>
          <w:p>
            <w:pPr>
              <w:widowControl/>
              <w:adjustRightInd w:val="0"/>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3.516</w:t>
            </w:r>
          </w:p>
        </w:tc>
        <w:tc>
          <w:tcPr>
            <w:tcW w:w="645"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超标</w:t>
            </w:r>
          </w:p>
          <w:p>
            <w:pPr>
              <w:pStyle w:val="81"/>
              <w:snapToGrid w:val="0"/>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1.93</w:t>
            </w:r>
            <w:r>
              <w:rPr>
                <w:rFonts w:ascii="Times New Roman" w:hAnsi="Times New Roman" w:eastAsia="宋体"/>
                <w:color w:val="auto"/>
                <w:szCs w:val="21"/>
                <w:highlight w:val="none"/>
                <w:lang w:val="en-US" w:eastAsia="zh-CN"/>
              </w:rPr>
              <w:t>倍</w:t>
            </w:r>
          </w:p>
        </w:tc>
        <w:tc>
          <w:tcPr>
            <w:tcW w:w="1406"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4次/年，</w:t>
            </w:r>
          </w:p>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1h/次</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883" w:type="dxa"/>
            <w:noWrap w:val="0"/>
            <w:tcMar>
              <w:left w:w="0" w:type="dxa"/>
              <w:right w:w="0"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757" w:type="dxa"/>
            <w:vMerge w:val="continue"/>
            <w:noWrap w:val="0"/>
            <w:tcMar>
              <w:left w:w="0" w:type="dxa"/>
              <w:right w:w="0"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p>
        </w:tc>
        <w:tc>
          <w:tcPr>
            <w:tcW w:w="915" w:type="dxa"/>
            <w:noWrap w:val="0"/>
            <w:tcMar>
              <w:left w:w="0" w:type="dxa"/>
              <w:right w:w="0" w:type="dxa"/>
            </w:tcMar>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①</w:t>
            </w:r>
          </w:p>
        </w:tc>
        <w:tc>
          <w:tcPr>
            <w:tcW w:w="825"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10000</w:t>
            </w:r>
          </w:p>
        </w:tc>
        <w:tc>
          <w:tcPr>
            <w:tcW w:w="705"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TSP</w:t>
            </w:r>
          </w:p>
        </w:tc>
        <w:tc>
          <w:tcPr>
            <w:tcW w:w="765"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非正常</w:t>
            </w:r>
          </w:p>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排放</w:t>
            </w:r>
          </w:p>
        </w:tc>
        <w:tc>
          <w:tcPr>
            <w:tcW w:w="660"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75</w:t>
            </w:r>
          </w:p>
        </w:tc>
        <w:tc>
          <w:tcPr>
            <w:tcW w:w="855" w:type="dxa"/>
            <w:noWrap w:val="0"/>
            <w:tcMar>
              <w:left w:w="0" w:type="dxa"/>
              <w:right w:w="0" w:type="dxa"/>
            </w:tcMar>
            <w:vAlign w:val="center"/>
          </w:tcPr>
          <w:p>
            <w:pPr>
              <w:widowControl/>
              <w:adjustRightInd w:val="0"/>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703.1</w:t>
            </w:r>
          </w:p>
        </w:tc>
        <w:tc>
          <w:tcPr>
            <w:tcW w:w="675" w:type="dxa"/>
            <w:noWrap w:val="0"/>
            <w:tcMar>
              <w:left w:w="0" w:type="dxa"/>
              <w:right w:w="0" w:type="dxa"/>
            </w:tcMar>
            <w:vAlign w:val="center"/>
          </w:tcPr>
          <w:p>
            <w:pPr>
              <w:widowControl/>
              <w:adjustRightInd w:val="0"/>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7.031</w:t>
            </w:r>
          </w:p>
        </w:tc>
        <w:tc>
          <w:tcPr>
            <w:tcW w:w="645"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超标</w:t>
            </w:r>
          </w:p>
          <w:p>
            <w:pPr>
              <w:pStyle w:val="81"/>
              <w:snapToGrid w:val="0"/>
              <w:jc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4.88</w:t>
            </w:r>
            <w:r>
              <w:rPr>
                <w:rFonts w:ascii="Times New Roman" w:hAnsi="Times New Roman" w:eastAsia="宋体"/>
                <w:color w:val="auto"/>
                <w:szCs w:val="21"/>
                <w:highlight w:val="none"/>
                <w:lang w:val="en-US" w:eastAsia="zh-CN"/>
              </w:rPr>
              <w:t>倍</w:t>
            </w:r>
          </w:p>
        </w:tc>
        <w:tc>
          <w:tcPr>
            <w:tcW w:w="1406"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4次/年，</w:t>
            </w:r>
          </w:p>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1h/次</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883" w:type="dxa"/>
            <w:noWrap w:val="0"/>
            <w:tcMar>
              <w:left w:w="0" w:type="dxa"/>
              <w:right w:w="0"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w:t>
            </w:r>
            <w:r>
              <w:rPr>
                <w:rFonts w:ascii="Times New Roman" w:hAnsi="Times New Roman" w:eastAsia="宋体" w:cs="Times New Roman"/>
                <w:color w:val="auto"/>
                <w:sz w:val="21"/>
                <w:highlight w:val="none"/>
              </w:rPr>
              <w:t>#</w:t>
            </w:r>
          </w:p>
        </w:tc>
        <w:tc>
          <w:tcPr>
            <w:tcW w:w="757" w:type="dxa"/>
            <w:vMerge w:val="restart"/>
            <w:noWrap w:val="0"/>
            <w:tcMar>
              <w:left w:w="0" w:type="dxa"/>
              <w:right w:w="0"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宋体" w:hAnsi="宋体" w:cs="宋体"/>
                <w:color w:val="auto"/>
                <w:kern w:val="0"/>
                <w:sz w:val="21"/>
                <w:highlight w:val="none"/>
                <w:u w:val="single"/>
                <w:lang w:val="en-US" w:eastAsia="zh-CN"/>
              </w:rPr>
              <w:t>破碎场</w:t>
            </w:r>
            <w:r>
              <w:rPr>
                <w:rFonts w:hint="eastAsia" w:ascii="宋体" w:hAnsi="宋体" w:eastAsia="宋体" w:cs="宋体"/>
                <w:color w:val="auto"/>
                <w:kern w:val="0"/>
                <w:sz w:val="21"/>
                <w:highlight w:val="none"/>
                <w:u w:val="single"/>
                <w:lang w:val="en-US" w:eastAsia="zh-CN"/>
              </w:rPr>
              <w:t>②</w:t>
            </w:r>
          </w:p>
        </w:tc>
        <w:tc>
          <w:tcPr>
            <w:tcW w:w="915" w:type="dxa"/>
            <w:noWrap w:val="0"/>
            <w:tcMar>
              <w:left w:w="0" w:type="dxa"/>
              <w:right w:w="0" w:type="dxa"/>
            </w:tcMar>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②</w:t>
            </w:r>
          </w:p>
        </w:tc>
        <w:tc>
          <w:tcPr>
            <w:tcW w:w="825"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10000</w:t>
            </w:r>
          </w:p>
        </w:tc>
        <w:tc>
          <w:tcPr>
            <w:tcW w:w="705"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TSP</w:t>
            </w:r>
          </w:p>
        </w:tc>
        <w:tc>
          <w:tcPr>
            <w:tcW w:w="765"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非正常</w:t>
            </w:r>
          </w:p>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排放</w:t>
            </w:r>
          </w:p>
        </w:tc>
        <w:tc>
          <w:tcPr>
            <w:tcW w:w="660"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75</w:t>
            </w:r>
          </w:p>
        </w:tc>
        <w:tc>
          <w:tcPr>
            <w:tcW w:w="855" w:type="dxa"/>
            <w:noWrap w:val="0"/>
            <w:tcMar>
              <w:left w:w="0" w:type="dxa"/>
              <w:right w:w="0" w:type="dxa"/>
            </w:tcMar>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175.8</w:t>
            </w:r>
          </w:p>
        </w:tc>
        <w:tc>
          <w:tcPr>
            <w:tcW w:w="675" w:type="dxa"/>
            <w:noWrap w:val="0"/>
            <w:tcMar>
              <w:left w:w="0" w:type="dxa"/>
              <w:right w:w="0" w:type="dxa"/>
            </w:tcMar>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1.758</w:t>
            </w:r>
          </w:p>
        </w:tc>
        <w:tc>
          <w:tcPr>
            <w:tcW w:w="645"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超标</w:t>
            </w:r>
          </w:p>
          <w:p>
            <w:pPr>
              <w:pStyle w:val="81"/>
              <w:snapToGrid w:val="0"/>
              <w:jc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0.47</w:t>
            </w:r>
            <w:r>
              <w:rPr>
                <w:rFonts w:ascii="Times New Roman" w:hAnsi="Times New Roman" w:eastAsia="宋体"/>
                <w:color w:val="auto"/>
                <w:szCs w:val="21"/>
                <w:highlight w:val="none"/>
                <w:lang w:val="en-US" w:eastAsia="zh-CN"/>
              </w:rPr>
              <w:t>倍</w:t>
            </w:r>
          </w:p>
        </w:tc>
        <w:tc>
          <w:tcPr>
            <w:tcW w:w="1406"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4次/年，</w:t>
            </w:r>
          </w:p>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1h/次</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883" w:type="dxa"/>
            <w:noWrap w:val="0"/>
            <w:tcMar>
              <w:left w:w="0" w:type="dxa"/>
              <w:right w:w="0"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r>
              <w:rPr>
                <w:rFonts w:ascii="Times New Roman" w:hAnsi="Times New Roman" w:eastAsia="宋体" w:cs="Times New Roman"/>
                <w:color w:val="auto"/>
                <w:sz w:val="21"/>
                <w:highlight w:val="none"/>
              </w:rPr>
              <w:t>#</w:t>
            </w:r>
          </w:p>
        </w:tc>
        <w:tc>
          <w:tcPr>
            <w:tcW w:w="757" w:type="dxa"/>
            <w:vMerge w:val="continue"/>
            <w:noWrap w:val="0"/>
            <w:tcMar>
              <w:left w:w="0" w:type="dxa"/>
              <w:right w:w="0"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915" w:type="dxa"/>
            <w:noWrap w:val="0"/>
            <w:tcMar>
              <w:left w:w="0" w:type="dxa"/>
              <w:right w:w="0" w:type="dxa"/>
            </w:tcMar>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二级破碎筛分</w:t>
            </w:r>
            <w:r>
              <w:rPr>
                <w:rFonts w:hint="eastAsia" w:ascii="Times New Roman" w:hAnsi="Times New Roman" w:eastAsia="宋体"/>
                <w:color w:val="auto"/>
                <w:sz w:val="21"/>
                <w:highlight w:val="none"/>
              </w:rPr>
              <w:t>②</w:t>
            </w:r>
          </w:p>
        </w:tc>
        <w:tc>
          <w:tcPr>
            <w:tcW w:w="825"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10000</w:t>
            </w:r>
          </w:p>
        </w:tc>
        <w:tc>
          <w:tcPr>
            <w:tcW w:w="705"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TSP</w:t>
            </w:r>
          </w:p>
        </w:tc>
        <w:tc>
          <w:tcPr>
            <w:tcW w:w="765"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非正常</w:t>
            </w:r>
          </w:p>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排放</w:t>
            </w:r>
          </w:p>
        </w:tc>
        <w:tc>
          <w:tcPr>
            <w:tcW w:w="660"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75</w:t>
            </w:r>
          </w:p>
        </w:tc>
        <w:tc>
          <w:tcPr>
            <w:tcW w:w="855" w:type="dxa"/>
            <w:noWrap w:val="0"/>
            <w:tcMar>
              <w:left w:w="0" w:type="dxa"/>
              <w:right w:w="0" w:type="dxa"/>
            </w:tcMar>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351.6</w:t>
            </w:r>
          </w:p>
        </w:tc>
        <w:tc>
          <w:tcPr>
            <w:tcW w:w="675" w:type="dxa"/>
            <w:noWrap w:val="0"/>
            <w:tcMar>
              <w:left w:w="0" w:type="dxa"/>
              <w:right w:w="0" w:type="dxa"/>
            </w:tcMar>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3.516</w:t>
            </w:r>
          </w:p>
        </w:tc>
        <w:tc>
          <w:tcPr>
            <w:tcW w:w="645"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超标</w:t>
            </w:r>
          </w:p>
          <w:p>
            <w:pPr>
              <w:pStyle w:val="81"/>
              <w:snapToGrid w:val="0"/>
              <w:jc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1.93</w:t>
            </w:r>
            <w:r>
              <w:rPr>
                <w:rFonts w:ascii="Times New Roman" w:hAnsi="Times New Roman" w:eastAsia="宋体"/>
                <w:color w:val="auto"/>
                <w:szCs w:val="21"/>
                <w:highlight w:val="none"/>
                <w:lang w:val="en-US" w:eastAsia="zh-CN"/>
              </w:rPr>
              <w:t>倍</w:t>
            </w:r>
          </w:p>
        </w:tc>
        <w:tc>
          <w:tcPr>
            <w:tcW w:w="1406"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4次/年，</w:t>
            </w:r>
          </w:p>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1h/次</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883" w:type="dxa"/>
            <w:noWrap w:val="0"/>
            <w:tcMar>
              <w:left w:w="0" w:type="dxa"/>
              <w:right w:w="0"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w:t>
            </w:r>
            <w:r>
              <w:rPr>
                <w:rFonts w:ascii="Times New Roman" w:hAnsi="Times New Roman" w:eastAsia="宋体" w:cs="Times New Roman"/>
                <w:color w:val="auto"/>
                <w:sz w:val="21"/>
                <w:highlight w:val="none"/>
              </w:rPr>
              <w:t>#</w:t>
            </w:r>
          </w:p>
        </w:tc>
        <w:tc>
          <w:tcPr>
            <w:tcW w:w="757" w:type="dxa"/>
            <w:vMerge w:val="continue"/>
            <w:noWrap w:val="0"/>
            <w:tcMar>
              <w:left w:w="0" w:type="dxa"/>
              <w:right w:w="0" w:type="dxa"/>
            </w:tcMar>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915" w:type="dxa"/>
            <w:noWrap w:val="0"/>
            <w:tcMar>
              <w:left w:w="0" w:type="dxa"/>
              <w:right w:w="0" w:type="dxa"/>
            </w:tcMar>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②</w:t>
            </w:r>
          </w:p>
        </w:tc>
        <w:tc>
          <w:tcPr>
            <w:tcW w:w="825"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10000</w:t>
            </w:r>
          </w:p>
        </w:tc>
        <w:tc>
          <w:tcPr>
            <w:tcW w:w="705"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TSP</w:t>
            </w:r>
          </w:p>
        </w:tc>
        <w:tc>
          <w:tcPr>
            <w:tcW w:w="765"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非正常</w:t>
            </w:r>
          </w:p>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排放</w:t>
            </w:r>
          </w:p>
        </w:tc>
        <w:tc>
          <w:tcPr>
            <w:tcW w:w="660"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75</w:t>
            </w:r>
          </w:p>
        </w:tc>
        <w:tc>
          <w:tcPr>
            <w:tcW w:w="855" w:type="dxa"/>
            <w:noWrap w:val="0"/>
            <w:tcMar>
              <w:left w:w="0" w:type="dxa"/>
              <w:right w:w="0" w:type="dxa"/>
            </w:tcMar>
            <w:vAlign w:val="center"/>
          </w:tcPr>
          <w:p>
            <w:pPr>
              <w:widowControl/>
              <w:adjustRightInd w:val="0"/>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70.3</w:t>
            </w:r>
          </w:p>
        </w:tc>
        <w:tc>
          <w:tcPr>
            <w:tcW w:w="675" w:type="dxa"/>
            <w:noWrap w:val="0"/>
            <w:tcMar>
              <w:left w:w="0" w:type="dxa"/>
              <w:right w:w="0" w:type="dxa"/>
            </w:tcMar>
            <w:vAlign w:val="center"/>
          </w:tcPr>
          <w:p>
            <w:pPr>
              <w:widowControl/>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703</w:t>
            </w:r>
          </w:p>
        </w:tc>
        <w:tc>
          <w:tcPr>
            <w:tcW w:w="645" w:type="dxa"/>
            <w:noWrap w:val="0"/>
            <w:tcMar>
              <w:left w:w="0" w:type="dxa"/>
              <w:right w:w="0" w:type="dxa"/>
            </w:tcMar>
            <w:vAlign w:val="center"/>
          </w:tcPr>
          <w:p>
            <w:pPr>
              <w:pStyle w:val="81"/>
              <w:snapToGrid w:val="0"/>
              <w:jc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达标</w:t>
            </w:r>
          </w:p>
        </w:tc>
        <w:tc>
          <w:tcPr>
            <w:tcW w:w="1406" w:type="dxa"/>
            <w:noWrap w:val="0"/>
            <w:tcMar>
              <w:left w:w="0" w:type="dxa"/>
              <w:right w:w="0" w:type="dxa"/>
            </w:tcMar>
            <w:vAlign w:val="center"/>
          </w:tcPr>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4次/年，</w:t>
            </w:r>
          </w:p>
          <w:p>
            <w:pPr>
              <w:pStyle w:val="81"/>
              <w:snapToGrid w:val="0"/>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1h/次</w:t>
            </w:r>
          </w:p>
        </w:tc>
      </w:tr>
    </w:tbl>
    <w:p>
      <w:pPr>
        <w:pStyle w:val="6"/>
        <w:rPr>
          <w:rFonts w:ascii="Times New Roman" w:hAnsi="Times New Roman" w:eastAsia="宋体"/>
          <w:color w:val="auto"/>
          <w:highlight w:val="none"/>
        </w:rPr>
      </w:pPr>
      <w:r>
        <w:rPr>
          <w:rFonts w:ascii="Times New Roman" w:hAnsi="Times New Roman" w:eastAsia="宋体"/>
          <w:color w:val="auto"/>
          <w:highlight w:val="none"/>
        </w:rPr>
        <w:t>2.</w:t>
      </w:r>
      <w:r>
        <w:rPr>
          <w:rFonts w:hint="eastAsia" w:ascii="Times New Roman" w:hAnsi="Times New Roman" w:eastAsia="宋体"/>
          <w:color w:val="auto"/>
          <w:highlight w:val="none"/>
        </w:rPr>
        <w:t>5</w:t>
      </w:r>
      <w:r>
        <w:rPr>
          <w:rFonts w:ascii="Times New Roman" w:hAnsi="Times New Roman" w:eastAsia="宋体"/>
          <w:color w:val="auto"/>
          <w:highlight w:val="none"/>
        </w:rPr>
        <w:t xml:space="preserve">.5.7 运营期污染物产排情况汇总 </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本项目运营期污染物排放情况详见表2.</w:t>
      </w:r>
      <w:r>
        <w:rPr>
          <w:rFonts w:hint="eastAsia" w:ascii="Times New Roman" w:hAnsi="Times New Roman" w:eastAsia="宋体"/>
          <w:color w:val="auto"/>
          <w:highlight w:val="none"/>
        </w:rPr>
        <w:t>5</w:t>
      </w:r>
      <w:r>
        <w:rPr>
          <w:rFonts w:ascii="Times New Roman" w:hAnsi="Times New Roman" w:eastAsia="宋体"/>
          <w:color w:val="auto"/>
          <w:highlight w:val="none"/>
        </w:rPr>
        <w:t>-</w:t>
      </w:r>
      <w:r>
        <w:rPr>
          <w:rFonts w:hint="eastAsia" w:ascii="Times New Roman" w:hAnsi="Times New Roman" w:eastAsia="宋体"/>
          <w:color w:val="auto"/>
          <w:highlight w:val="none"/>
        </w:rPr>
        <w:t>2</w:t>
      </w:r>
      <w:r>
        <w:rPr>
          <w:rFonts w:hint="eastAsia"/>
          <w:color w:val="auto"/>
          <w:highlight w:val="none"/>
          <w:lang w:val="en-US" w:eastAsia="zh-CN"/>
        </w:rPr>
        <w:t>1</w:t>
      </w:r>
      <w:r>
        <w:rPr>
          <w:rFonts w:ascii="Times New Roman" w:hAnsi="Times New Roman" w:eastAsia="宋体"/>
          <w:color w:val="auto"/>
          <w:highlight w:val="none"/>
        </w:rPr>
        <w:t>。</w:t>
      </w:r>
    </w:p>
    <w:p>
      <w:pPr>
        <w:pStyle w:val="87"/>
        <w:rPr>
          <w:rFonts w:ascii="Times New Roman" w:hAnsi="Times New Roman" w:eastAsia="宋体" w:cs="Times New Roman"/>
          <w:color w:val="auto"/>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87"/>
        <w:rPr>
          <w:rFonts w:ascii="Times New Roman" w:hAnsi="Times New Roman" w:eastAsia="宋体" w:cs="Times New Roman"/>
          <w:color w:val="auto"/>
          <w:highlight w:val="none"/>
        </w:rPr>
      </w:pPr>
      <w:r>
        <w:rPr>
          <w:rFonts w:ascii="Times New Roman" w:hAnsi="Times New Roman" w:eastAsia="宋体" w:cs="Times New Roman"/>
          <w:color w:val="auto"/>
          <w:highlight w:val="none"/>
        </w:rPr>
        <w:t>表2.</w:t>
      </w:r>
      <w:r>
        <w:rPr>
          <w:rFonts w:hint="eastAsia" w:ascii="Times New Roman" w:hAnsi="Times New Roman" w:eastAsia="宋体" w:cs="Times New Roman"/>
          <w:color w:val="auto"/>
          <w:highlight w:val="none"/>
        </w:rPr>
        <w:t>5</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2</w:t>
      </w:r>
      <w:r>
        <w:rPr>
          <w:rFonts w:hint="eastAsia" w:cs="Times New Roman"/>
          <w:color w:val="auto"/>
          <w:highlight w:val="none"/>
          <w:lang w:val="en-US" w:eastAsia="zh-CN"/>
        </w:rPr>
        <w:t>1</w:t>
      </w:r>
      <w:r>
        <w:rPr>
          <w:rFonts w:ascii="Times New Roman" w:hAnsi="Times New Roman" w:eastAsia="宋体" w:cs="Times New Roman"/>
          <w:color w:val="auto"/>
          <w:highlight w:val="none"/>
        </w:rPr>
        <w:t xml:space="preserve"> 项目主要污染源污染物产排情况汇总一览表</w:t>
      </w:r>
    </w:p>
    <w:tbl>
      <w:tblPr>
        <w:tblStyle w:val="48"/>
        <w:tblW w:w="9086"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742"/>
        <w:gridCol w:w="524"/>
        <w:gridCol w:w="2051"/>
        <w:gridCol w:w="1260"/>
        <w:gridCol w:w="1470"/>
        <w:gridCol w:w="1492"/>
        <w:gridCol w:w="154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类别</w:t>
            </w:r>
          </w:p>
        </w:tc>
        <w:tc>
          <w:tcPr>
            <w:tcW w:w="2575" w:type="dxa"/>
            <w:gridSpan w:val="2"/>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污染源</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污染物</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产生量（t/a）</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削减量（t/a）</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排放量（t/a）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restar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废气</w:t>
            </w:r>
          </w:p>
        </w:tc>
        <w:tc>
          <w:tcPr>
            <w:tcW w:w="524" w:type="dxa"/>
            <w:vMerge w:val="restar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无组织</w:t>
            </w:r>
          </w:p>
        </w:tc>
        <w:tc>
          <w:tcPr>
            <w:tcW w:w="205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表土剥离</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少量</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少量</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少量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凿岩钻孔</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r>
              <w:rPr>
                <w:rFonts w:ascii="Times New Roman" w:hAnsi="Times New Roman" w:eastAsia="宋体" w:cs="Times New Roman"/>
                <w:color w:val="auto"/>
                <w:sz w:val="21"/>
                <w:highlight w:val="none"/>
              </w:rPr>
              <w:t>.0</w:t>
            </w:r>
          </w:p>
        </w:tc>
        <w:tc>
          <w:tcPr>
            <w:tcW w:w="1492"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1.8</w:t>
            </w:r>
          </w:p>
        </w:tc>
        <w:tc>
          <w:tcPr>
            <w:tcW w:w="154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vMerge w:val="restar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爆破</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5.117</w:t>
            </w:r>
          </w:p>
        </w:tc>
        <w:tc>
          <w:tcPr>
            <w:tcW w:w="1492"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5.117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hint="eastAsia" w:ascii="Times New Roman" w:hAnsi="Times New Roman" w:eastAsia="宋体" w:cs="Times New Roman"/>
                <w:bCs/>
                <w:color w:val="auto"/>
                <w:sz w:val="21"/>
                <w:highlight w:val="none"/>
              </w:rPr>
              <w:t>1.325</w:t>
            </w:r>
          </w:p>
        </w:tc>
        <w:tc>
          <w:tcPr>
            <w:tcW w:w="1492"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hint="eastAsia" w:ascii="Times New Roman" w:hAnsi="Times New Roman" w:eastAsia="宋体" w:cs="Times New Roman"/>
                <w:bCs/>
                <w:color w:val="auto"/>
                <w:sz w:val="21"/>
                <w:highlight w:val="none"/>
              </w:rPr>
              <w:t>1.325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40</w:t>
            </w:r>
          </w:p>
        </w:tc>
        <w:tc>
          <w:tcPr>
            <w:tcW w:w="1492"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28</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采装</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5</w:t>
            </w:r>
          </w:p>
        </w:tc>
        <w:tc>
          <w:tcPr>
            <w:tcW w:w="1492"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3.5</w:t>
            </w:r>
          </w:p>
        </w:tc>
        <w:tc>
          <w:tcPr>
            <w:tcW w:w="1547"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olor w:val="auto"/>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①</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1.875</w:t>
            </w:r>
          </w:p>
        </w:tc>
        <w:tc>
          <w:tcPr>
            <w:tcW w:w="1492"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1.687</w:t>
            </w:r>
          </w:p>
        </w:tc>
        <w:tc>
          <w:tcPr>
            <w:tcW w:w="1547"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0.188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olor w:val="auto"/>
                <w:highlight w:val="none"/>
              </w:rPr>
            </w:pPr>
            <w:r>
              <w:rPr>
                <w:rFonts w:hint="eastAsia" w:ascii="Times New Roman" w:hAnsi="Times New Roman" w:eastAsia="宋体" w:cs="Times New Roman"/>
                <w:color w:val="auto"/>
                <w:sz w:val="21"/>
                <w:highlight w:val="none"/>
              </w:rPr>
              <w:t>二级破碎</w:t>
            </w:r>
            <w:r>
              <w:rPr>
                <w:rFonts w:hint="eastAsia" w:ascii="Times New Roman" w:hAnsi="Times New Roman" w:eastAsia="宋体"/>
                <w:color w:val="auto"/>
                <w:sz w:val="21"/>
                <w:highlight w:val="none"/>
              </w:rPr>
              <w:t>①</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3.75</w:t>
            </w:r>
          </w:p>
        </w:tc>
        <w:tc>
          <w:tcPr>
            <w:tcW w:w="1492"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3.375</w:t>
            </w:r>
          </w:p>
        </w:tc>
        <w:tc>
          <w:tcPr>
            <w:tcW w:w="1547"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0.375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olor w:val="auto"/>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①</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7.5</w:t>
            </w:r>
          </w:p>
        </w:tc>
        <w:tc>
          <w:tcPr>
            <w:tcW w:w="1492"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6.75</w:t>
            </w:r>
          </w:p>
        </w:tc>
        <w:tc>
          <w:tcPr>
            <w:tcW w:w="1547"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olor w:val="auto"/>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②</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1.875</w:t>
            </w:r>
          </w:p>
        </w:tc>
        <w:tc>
          <w:tcPr>
            <w:tcW w:w="1492"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1.687</w:t>
            </w:r>
          </w:p>
        </w:tc>
        <w:tc>
          <w:tcPr>
            <w:tcW w:w="1547"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0.188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olor w:val="auto"/>
                <w:highlight w:val="none"/>
              </w:rPr>
            </w:pPr>
            <w:r>
              <w:rPr>
                <w:rFonts w:hint="eastAsia" w:ascii="Times New Roman" w:hAnsi="Times New Roman" w:eastAsia="宋体" w:cs="Times New Roman"/>
                <w:color w:val="auto"/>
                <w:sz w:val="21"/>
                <w:highlight w:val="none"/>
              </w:rPr>
              <w:t>二级破碎筛分</w:t>
            </w:r>
            <w:r>
              <w:rPr>
                <w:rFonts w:hint="eastAsia" w:ascii="Times New Roman" w:hAnsi="Times New Roman" w:eastAsia="宋体"/>
                <w:color w:val="auto"/>
                <w:sz w:val="21"/>
                <w:highlight w:val="none"/>
              </w:rPr>
              <w:t>②</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3.75</w:t>
            </w:r>
          </w:p>
        </w:tc>
        <w:tc>
          <w:tcPr>
            <w:tcW w:w="1492"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3.375</w:t>
            </w:r>
          </w:p>
        </w:tc>
        <w:tc>
          <w:tcPr>
            <w:tcW w:w="1547"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0.375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olor w:val="auto"/>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②</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0.75</w:t>
            </w:r>
          </w:p>
        </w:tc>
        <w:tc>
          <w:tcPr>
            <w:tcW w:w="1492"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0.675</w:t>
            </w:r>
          </w:p>
        </w:tc>
        <w:tc>
          <w:tcPr>
            <w:tcW w:w="1547"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落料</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35</w:t>
            </w:r>
          </w:p>
        </w:tc>
        <w:tc>
          <w:tcPr>
            <w:tcW w:w="1492"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0.262</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装卸</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279</w:t>
            </w:r>
          </w:p>
        </w:tc>
        <w:tc>
          <w:tcPr>
            <w:tcW w:w="1492"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0.195</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堆料场①</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0.2</w:t>
            </w:r>
          </w:p>
        </w:tc>
        <w:tc>
          <w:tcPr>
            <w:tcW w:w="1492"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w:t>
            </w:r>
          </w:p>
        </w:tc>
        <w:tc>
          <w:tcPr>
            <w:tcW w:w="1547"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堆料场②</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15</w:t>
            </w:r>
          </w:p>
        </w:tc>
        <w:tc>
          <w:tcPr>
            <w:tcW w:w="1492"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0.075</w:t>
            </w:r>
          </w:p>
        </w:tc>
        <w:tc>
          <w:tcPr>
            <w:tcW w:w="1547"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s="Times New Roman"/>
                <w:color w:val="auto"/>
                <w:sz w:val="21"/>
                <w:highlight w:val="none"/>
              </w:rPr>
              <w:t>③</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0.15</w:t>
            </w:r>
          </w:p>
        </w:tc>
        <w:tc>
          <w:tcPr>
            <w:tcW w:w="1492"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0.075</w:t>
            </w:r>
          </w:p>
        </w:tc>
        <w:tc>
          <w:tcPr>
            <w:tcW w:w="1547"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④</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w:t>
            </w:r>
          </w:p>
        </w:tc>
        <w:tc>
          <w:tcPr>
            <w:tcW w:w="1492"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0.05</w:t>
            </w:r>
          </w:p>
        </w:tc>
        <w:tc>
          <w:tcPr>
            <w:tcW w:w="1547"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⑤</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0.2</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⑥</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15</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0.075</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⑦</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0.15</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0.075</w:t>
            </w:r>
          </w:p>
        </w:tc>
        <w:tc>
          <w:tcPr>
            <w:tcW w:w="1547"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⑧</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0.05</w:t>
            </w:r>
          </w:p>
        </w:tc>
        <w:tc>
          <w:tcPr>
            <w:tcW w:w="1547"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临时排土场</w:t>
            </w:r>
            <w:r>
              <w:rPr>
                <w:rFonts w:hint="eastAsia" w:ascii="Times New Roman" w:hAnsi="Times New Roman" w:eastAsia="宋体"/>
                <w:color w:val="auto"/>
                <w:sz w:val="21"/>
                <w:highlight w:val="none"/>
              </w:rPr>
              <w:t>①</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0.2</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w:t>
            </w:r>
          </w:p>
        </w:tc>
        <w:tc>
          <w:tcPr>
            <w:tcW w:w="1547"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临时排土场</w:t>
            </w:r>
            <w:r>
              <w:rPr>
                <w:rFonts w:hint="eastAsia" w:ascii="Times New Roman" w:hAnsi="Times New Roman" w:eastAsia="宋体"/>
                <w:color w:val="auto"/>
                <w:sz w:val="21"/>
                <w:highlight w:val="none"/>
              </w:rPr>
              <w:t>②</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0.2</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道路扬尘</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w:t>
            </w:r>
            <w:r>
              <w:rPr>
                <w:rFonts w:hint="eastAsia" w:ascii="Times New Roman" w:hAnsi="Times New Roman" w:eastAsia="宋体" w:cs="Times New Roman"/>
                <w:color w:val="auto"/>
                <w:kern w:val="0"/>
                <w:sz w:val="21"/>
                <w:highlight w:val="none"/>
              </w:rPr>
              <w:t>468</w:t>
            </w:r>
          </w:p>
        </w:tc>
        <w:tc>
          <w:tcPr>
            <w:tcW w:w="1492"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0.881</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0.587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vMerge w:val="restar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汽车尾气</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pacing w:val="2"/>
                <w:sz w:val="21"/>
                <w:highlight w:val="none"/>
              </w:rPr>
              <w:t>CO</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643</w:t>
            </w:r>
          </w:p>
        </w:tc>
        <w:tc>
          <w:tcPr>
            <w:tcW w:w="1492"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643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pacing w:val="2"/>
                <w:sz w:val="21"/>
                <w:highlight w:val="none"/>
              </w:rPr>
              <w:t>HC</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203</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203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90"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967</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967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vMerge w:val="restar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厨房</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油烟</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0.0</w:t>
            </w:r>
            <w:r>
              <w:rPr>
                <w:rFonts w:hint="eastAsia" w:ascii="Times New Roman" w:hAnsi="Times New Roman" w:eastAsia="宋体" w:cs="Times New Roman"/>
                <w:bCs/>
                <w:color w:val="auto"/>
                <w:sz w:val="21"/>
                <w:highlight w:val="none"/>
              </w:rPr>
              <w:t>1215</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bCs/>
                <w:color w:val="auto"/>
                <w:sz w:val="21"/>
                <w:highlight w:val="none"/>
              </w:rPr>
              <w:t>0.00972</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0.00</w:t>
            </w:r>
            <w:r>
              <w:rPr>
                <w:rFonts w:hint="eastAsia" w:ascii="Times New Roman" w:hAnsi="Times New Roman" w:eastAsia="宋体" w:cs="Times New Roman"/>
                <w:bCs/>
                <w:color w:val="auto"/>
                <w:sz w:val="21"/>
                <w:highlight w:val="none"/>
              </w:rPr>
              <w:t>243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tcBorders>
              <w:tl2br w:val="nil"/>
              <w:tr2bl w:val="nil"/>
            </w:tcBorders>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0.00</w:t>
            </w:r>
            <w:r>
              <w:rPr>
                <w:rFonts w:hint="eastAsia" w:ascii="Times New Roman" w:hAnsi="Times New Roman" w:eastAsia="宋体" w:cs="Times New Roman"/>
                <w:bCs/>
                <w:color w:val="auto"/>
                <w:sz w:val="21"/>
                <w:highlight w:val="none"/>
              </w:rPr>
              <w:t>0378</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bCs/>
                <w:color w:val="auto"/>
                <w:sz w:val="21"/>
                <w:highlight w:val="none"/>
              </w:rPr>
              <w:t>0</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0.00</w:t>
            </w:r>
            <w:r>
              <w:rPr>
                <w:rFonts w:hint="eastAsia" w:ascii="Times New Roman" w:hAnsi="Times New Roman" w:eastAsia="宋体" w:cs="Times New Roman"/>
                <w:bCs/>
                <w:color w:val="auto"/>
                <w:sz w:val="21"/>
                <w:highlight w:val="none"/>
              </w:rPr>
              <w:t>0378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tcBorders>
              <w:tl2br w:val="nil"/>
              <w:tr2bl w:val="nil"/>
            </w:tcBorders>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SO</w:t>
            </w:r>
            <w:r>
              <w:rPr>
                <w:rFonts w:ascii="Times New Roman" w:hAnsi="Times New Roman" w:eastAsia="宋体" w:cs="Times New Roman"/>
                <w:color w:val="auto"/>
                <w:sz w:val="21"/>
                <w:highlight w:val="none"/>
                <w:vertAlign w:val="subscript"/>
              </w:rPr>
              <w:t>2</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0.000</w:t>
            </w:r>
            <w:r>
              <w:rPr>
                <w:rFonts w:hint="eastAsia" w:ascii="Times New Roman" w:hAnsi="Times New Roman" w:eastAsia="宋体" w:cs="Times New Roman"/>
                <w:color w:val="auto"/>
                <w:sz w:val="21"/>
                <w:highlight w:val="none"/>
              </w:rPr>
              <w:t>486</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0.000</w:t>
            </w:r>
            <w:r>
              <w:rPr>
                <w:rFonts w:hint="eastAsia" w:ascii="Times New Roman" w:hAnsi="Times New Roman" w:eastAsia="宋体" w:cs="Times New Roman"/>
                <w:color w:val="auto"/>
                <w:sz w:val="21"/>
                <w:highlight w:val="none"/>
              </w:rPr>
              <w:t>486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tcBorders>
              <w:tl2br w:val="nil"/>
              <w:tr2bl w:val="nil"/>
            </w:tcBorders>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0.00</w:t>
            </w:r>
            <w:r>
              <w:rPr>
                <w:rFonts w:hint="eastAsia" w:ascii="Times New Roman" w:hAnsi="Times New Roman" w:eastAsia="宋体" w:cs="Times New Roman"/>
                <w:color w:val="auto"/>
                <w:sz w:val="21"/>
                <w:highlight w:val="none"/>
              </w:rPr>
              <w:t>4752</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0.00</w:t>
            </w:r>
            <w:r>
              <w:rPr>
                <w:rFonts w:hint="eastAsia" w:ascii="Times New Roman" w:hAnsi="Times New Roman" w:eastAsia="宋体" w:cs="Times New Roman"/>
                <w:color w:val="auto"/>
                <w:sz w:val="21"/>
                <w:highlight w:val="none"/>
              </w:rPr>
              <w:t>4752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restar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有组织</w:t>
            </w:r>
          </w:p>
        </w:tc>
        <w:tc>
          <w:tcPr>
            <w:tcW w:w="2051"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①</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16.875</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16.706</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olor w:val="auto"/>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olor w:val="auto"/>
                <w:highlight w:val="none"/>
              </w:rPr>
            </w:pPr>
          </w:p>
        </w:tc>
        <w:tc>
          <w:tcPr>
            <w:tcW w:w="2051"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w:t>
            </w:r>
            <w:r>
              <w:rPr>
                <w:rFonts w:hint="eastAsia" w:ascii="Times New Roman" w:hAnsi="Times New Roman" w:eastAsia="宋体"/>
                <w:color w:val="auto"/>
                <w:sz w:val="21"/>
                <w:highlight w:val="none"/>
              </w:rPr>
              <w:t>①</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33.75</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33.412</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①</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67.5</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66.825</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0.675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②</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16.875</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16.706</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二级破碎筛分</w:t>
            </w:r>
            <w:r>
              <w:rPr>
                <w:rFonts w:hint="eastAsia" w:ascii="Times New Roman" w:hAnsi="Times New Roman" w:eastAsia="宋体"/>
                <w:color w:val="auto"/>
                <w:sz w:val="21"/>
                <w:highlight w:val="none"/>
              </w:rPr>
              <w:t>②</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33.75</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33.412</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51"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②</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70"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6.75</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6.682</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restar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w:t>
            </w:r>
          </w:p>
        </w:tc>
        <w:tc>
          <w:tcPr>
            <w:tcW w:w="2575" w:type="dxa"/>
            <w:gridSpan w:val="2"/>
            <w:tcBorders>
              <w:tl2br w:val="nil"/>
              <w:tr2bl w:val="nil"/>
            </w:tcBorders>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初期雨水</w:t>
            </w:r>
          </w:p>
        </w:tc>
        <w:tc>
          <w:tcPr>
            <w:tcW w:w="1260" w:type="dxa"/>
            <w:tcBorders>
              <w:tl2br w:val="nil"/>
              <w:tr2bl w:val="nil"/>
            </w:tcBorders>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pacing w:val="-2"/>
                <w:kern w:val="0"/>
                <w:sz w:val="21"/>
                <w:highlight w:val="none"/>
                <w:u w:val="single"/>
              </w:rPr>
            </w:pPr>
            <w:r>
              <w:rPr>
                <w:rFonts w:hint="eastAsia" w:cs="Times New Roman"/>
                <w:color w:val="auto"/>
                <w:sz w:val="21"/>
                <w:highlight w:val="none"/>
                <w:u w:val="single"/>
                <w:lang w:val="en-US" w:eastAsia="zh-CN"/>
              </w:rPr>
              <w:t>401</w:t>
            </w:r>
            <w:r>
              <w:rPr>
                <w:rFonts w:ascii="Times New Roman" w:hAnsi="Times New Roman" w:eastAsia="宋体" w:cs="Times New Roman"/>
                <w:color w:val="auto"/>
                <w:sz w:val="21"/>
                <w:highlight w:val="none"/>
                <w:u w:val="single"/>
              </w:rPr>
              <w:t>m</w:t>
            </w:r>
            <w:r>
              <w:rPr>
                <w:rFonts w:ascii="Times New Roman" w:hAnsi="Times New Roman" w:eastAsia="宋体" w:cs="Times New Roman"/>
                <w:color w:val="auto"/>
                <w:sz w:val="21"/>
                <w:highlight w:val="none"/>
                <w:u w:val="single"/>
                <w:vertAlign w:val="superscript"/>
              </w:rPr>
              <w:t>3</w:t>
            </w:r>
            <w:r>
              <w:rPr>
                <w:rFonts w:ascii="Times New Roman" w:hAnsi="Times New Roman" w:eastAsia="宋体" w:cs="Times New Roman"/>
                <w:color w:val="auto"/>
                <w:sz w:val="21"/>
                <w:highlight w:val="none"/>
                <w:u w:val="single"/>
              </w:rPr>
              <w:t>/次</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cs="Times New Roman"/>
                <w:color w:val="auto"/>
                <w:sz w:val="21"/>
                <w:highlight w:val="none"/>
                <w:u w:val="single"/>
                <w:lang w:val="en-US" w:eastAsia="zh-CN"/>
              </w:rPr>
              <w:t>401</w:t>
            </w:r>
            <w:r>
              <w:rPr>
                <w:rFonts w:ascii="Times New Roman" w:hAnsi="Times New Roman" w:eastAsia="宋体" w:cs="Times New Roman"/>
                <w:color w:val="auto"/>
                <w:sz w:val="21"/>
                <w:highlight w:val="none"/>
                <w:u w:val="single"/>
              </w:rPr>
              <w:t>m</w:t>
            </w:r>
            <w:r>
              <w:rPr>
                <w:rFonts w:ascii="Times New Roman" w:hAnsi="Times New Roman" w:eastAsia="宋体" w:cs="Times New Roman"/>
                <w:color w:val="auto"/>
                <w:sz w:val="21"/>
                <w:highlight w:val="none"/>
                <w:u w:val="single"/>
                <w:vertAlign w:val="superscript"/>
              </w:rPr>
              <w:t>3</w:t>
            </w:r>
            <w:r>
              <w:rPr>
                <w:rFonts w:ascii="Times New Roman" w:hAnsi="Times New Roman" w:eastAsia="宋体" w:cs="Times New Roman"/>
                <w:color w:val="auto"/>
                <w:sz w:val="21"/>
                <w:highlight w:val="none"/>
                <w:u w:val="single"/>
              </w:rPr>
              <w:t>/次</w:t>
            </w:r>
          </w:p>
        </w:tc>
        <w:tc>
          <w:tcPr>
            <w:tcW w:w="1547" w:type="dxa"/>
            <w:tcBorders>
              <w:tl2br w:val="nil"/>
              <w:tr2bl w:val="nil"/>
            </w:tcBorders>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575" w:type="dxa"/>
            <w:gridSpan w:val="2"/>
            <w:tcBorders>
              <w:tl2br w:val="nil"/>
              <w:tr2bl w:val="nil"/>
            </w:tcBorders>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车辆清洗</w:t>
            </w:r>
          </w:p>
        </w:tc>
        <w:tc>
          <w:tcPr>
            <w:tcW w:w="1260" w:type="dxa"/>
            <w:tcBorders>
              <w:tl2br w:val="nil"/>
              <w:tr2bl w:val="nil"/>
            </w:tcBorders>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pacing w:val="-2"/>
                <w:kern w:val="0"/>
                <w:sz w:val="21"/>
                <w:highlight w:val="none"/>
              </w:rPr>
            </w:pPr>
            <w:r>
              <w:rPr>
                <w:rFonts w:hint="eastAsia" w:ascii="Times New Roman" w:hAnsi="Times New Roman" w:eastAsia="宋体" w:cs="Times New Roman"/>
                <w:color w:val="auto"/>
                <w:spacing w:val="-2"/>
                <w:kern w:val="0"/>
                <w:sz w:val="21"/>
                <w:highlight w:val="none"/>
              </w:rPr>
              <w:t>840</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pacing w:val="-2"/>
                <w:kern w:val="0"/>
                <w:sz w:val="21"/>
                <w:highlight w:val="none"/>
              </w:rPr>
              <w:t>840</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575" w:type="dxa"/>
            <w:gridSpan w:val="2"/>
            <w:tcBorders>
              <w:tl2br w:val="nil"/>
              <w:tr2bl w:val="nil"/>
            </w:tcBorders>
            <w:noWrap w:val="0"/>
            <w:vAlign w:val="center"/>
          </w:tcPr>
          <w:p>
            <w:pPr>
              <w:tabs>
                <w:tab w:val="left" w:pos="624"/>
              </w:tabs>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洗砂废水</w:t>
            </w:r>
          </w:p>
        </w:tc>
        <w:tc>
          <w:tcPr>
            <w:tcW w:w="1260" w:type="dxa"/>
            <w:tcBorders>
              <w:tl2br w:val="nil"/>
              <w:tr2bl w:val="nil"/>
            </w:tcBorders>
            <w:noWrap w:val="0"/>
            <w:vAlign w:val="center"/>
          </w:tcPr>
          <w:p>
            <w:pPr>
              <w:tabs>
                <w:tab w:val="left" w:pos="624"/>
              </w:tabs>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75000</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75000</w:t>
            </w:r>
          </w:p>
        </w:tc>
        <w:tc>
          <w:tcPr>
            <w:tcW w:w="1547"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575" w:type="dxa"/>
            <w:gridSpan w:val="2"/>
            <w:vMerge w:val="restar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综合</w:t>
            </w:r>
            <w:r>
              <w:rPr>
                <w:rFonts w:ascii="Times New Roman" w:hAnsi="Times New Roman" w:eastAsia="宋体" w:cs="Times New Roman"/>
                <w:color w:val="auto"/>
                <w:sz w:val="21"/>
                <w:highlight w:val="none"/>
              </w:rPr>
              <w:t>污水</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89</w:t>
            </w:r>
            <w:r>
              <w:rPr>
                <w:rFonts w:ascii="Times New Roman" w:hAnsi="Times New Roman" w:eastAsia="宋体" w:cs="Times New Roman"/>
                <w:color w:val="auto"/>
                <w:sz w:val="21"/>
                <w:highlight w:val="none"/>
              </w:rPr>
              <w:t>0</w:t>
            </w:r>
          </w:p>
        </w:tc>
        <w:tc>
          <w:tcPr>
            <w:tcW w:w="1492"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89</w:t>
            </w:r>
            <w:r>
              <w:rPr>
                <w:rFonts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575" w:type="dxa"/>
            <w:gridSpan w:val="2"/>
            <w:vMerge w:val="continue"/>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COD</w:t>
            </w:r>
            <w:r>
              <w:rPr>
                <w:rFonts w:ascii="Times New Roman" w:hAnsi="Times New Roman" w:eastAsia="宋体" w:cs="Times New Roman"/>
                <w:color w:val="auto"/>
                <w:sz w:val="21"/>
                <w:highlight w:val="none"/>
                <w:vertAlign w:val="subscript"/>
              </w:rPr>
              <w:t>Cr</w:t>
            </w:r>
          </w:p>
        </w:tc>
        <w:tc>
          <w:tcPr>
            <w:tcW w:w="1470"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702</w:t>
            </w:r>
          </w:p>
        </w:tc>
        <w:tc>
          <w:tcPr>
            <w:tcW w:w="1492"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105</w:t>
            </w:r>
          </w:p>
        </w:tc>
        <w:tc>
          <w:tcPr>
            <w:tcW w:w="1547"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597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575" w:type="dxa"/>
            <w:gridSpan w:val="2"/>
            <w:vMerge w:val="continue"/>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BOD</w:t>
            </w:r>
            <w:r>
              <w:rPr>
                <w:rFonts w:ascii="Times New Roman" w:hAnsi="Times New Roman" w:eastAsia="宋体" w:cs="Times New Roman"/>
                <w:color w:val="auto"/>
                <w:sz w:val="21"/>
                <w:highlight w:val="none"/>
                <w:vertAlign w:val="subscript"/>
              </w:rPr>
              <w:t>5</w:t>
            </w:r>
          </w:p>
        </w:tc>
        <w:tc>
          <w:tcPr>
            <w:tcW w:w="1470"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459</w:t>
            </w:r>
          </w:p>
        </w:tc>
        <w:tc>
          <w:tcPr>
            <w:tcW w:w="1492"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046</w:t>
            </w:r>
          </w:p>
        </w:tc>
        <w:tc>
          <w:tcPr>
            <w:tcW w:w="1547"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413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575" w:type="dxa"/>
            <w:gridSpan w:val="2"/>
            <w:vMerge w:val="continue"/>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SS</w:t>
            </w:r>
          </w:p>
        </w:tc>
        <w:tc>
          <w:tcPr>
            <w:tcW w:w="1470"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432</w:t>
            </w:r>
          </w:p>
        </w:tc>
        <w:tc>
          <w:tcPr>
            <w:tcW w:w="1492"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13</w:t>
            </w:r>
          </w:p>
        </w:tc>
        <w:tc>
          <w:tcPr>
            <w:tcW w:w="1547"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302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575" w:type="dxa"/>
            <w:gridSpan w:val="2"/>
            <w:vMerge w:val="continue"/>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NH</w:t>
            </w:r>
            <w:r>
              <w:rPr>
                <w:rFonts w:ascii="Times New Roman" w:hAnsi="Times New Roman" w:eastAsia="宋体" w:cs="Times New Roman"/>
                <w:color w:val="auto"/>
                <w:sz w:val="21"/>
                <w:highlight w:val="none"/>
                <w:vertAlign w:val="subscript"/>
              </w:rPr>
              <w:t>3</w:t>
            </w:r>
            <w:r>
              <w:rPr>
                <w:rFonts w:ascii="Times New Roman" w:hAnsi="Times New Roman" w:eastAsia="宋体" w:cs="Times New Roman"/>
                <w:color w:val="auto"/>
                <w:sz w:val="21"/>
                <w:highlight w:val="none"/>
              </w:rPr>
              <w:t>-N</w:t>
            </w:r>
          </w:p>
        </w:tc>
        <w:tc>
          <w:tcPr>
            <w:tcW w:w="1470"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052</w:t>
            </w:r>
          </w:p>
        </w:tc>
        <w:tc>
          <w:tcPr>
            <w:tcW w:w="1492" w:type="dxa"/>
            <w:tcBorders>
              <w:tl2br w:val="nil"/>
              <w:tr2bl w:val="nil"/>
            </w:tcBorders>
            <w:noWrap w:val="0"/>
            <w:vAlign w:val="center"/>
          </w:tcPr>
          <w:p>
            <w:pPr>
              <w:tabs>
                <w:tab w:val="left" w:pos="5940"/>
              </w:tabs>
              <w:spacing w:line="240" w:lineRule="exact"/>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547"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575" w:type="dxa"/>
            <w:gridSpan w:val="2"/>
            <w:vMerge w:val="continue"/>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动植物油</w:t>
            </w:r>
          </w:p>
        </w:tc>
        <w:tc>
          <w:tcPr>
            <w:tcW w:w="1470"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81</w:t>
            </w:r>
          </w:p>
        </w:tc>
        <w:tc>
          <w:tcPr>
            <w:tcW w:w="1492"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0.041</w:t>
            </w:r>
          </w:p>
        </w:tc>
        <w:tc>
          <w:tcPr>
            <w:tcW w:w="1547"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噪声</w:t>
            </w:r>
          </w:p>
        </w:tc>
        <w:tc>
          <w:tcPr>
            <w:tcW w:w="2575" w:type="dxa"/>
            <w:gridSpan w:val="2"/>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设备</w:t>
            </w:r>
            <w:r>
              <w:rPr>
                <w:rFonts w:hint="eastAsia" w:ascii="Times New Roman" w:hAnsi="Times New Roman" w:eastAsia="宋体" w:cs="Times New Roman"/>
                <w:color w:val="auto"/>
                <w:sz w:val="21"/>
                <w:highlight w:val="none"/>
              </w:rPr>
              <w:t>、爆破</w:t>
            </w:r>
          </w:p>
        </w:tc>
        <w:tc>
          <w:tcPr>
            <w:tcW w:w="1260"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Leq(A)</w:t>
            </w:r>
          </w:p>
        </w:tc>
        <w:tc>
          <w:tcPr>
            <w:tcW w:w="1470"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75~11</w:t>
            </w:r>
            <w:r>
              <w:rPr>
                <w:rFonts w:hint="eastAsia" w:ascii="Times New Roman" w:hAnsi="Times New Roman" w:eastAsia="宋体" w:cs="Times New Roman"/>
                <w:color w:val="auto"/>
                <w:sz w:val="21"/>
                <w:highlight w:val="none"/>
              </w:rPr>
              <w:t>5</w:t>
            </w:r>
            <w:r>
              <w:rPr>
                <w:rFonts w:ascii="Times New Roman" w:hAnsi="Times New Roman" w:eastAsia="宋体" w:cs="Times New Roman"/>
                <w:color w:val="auto"/>
                <w:sz w:val="21"/>
                <w:highlight w:val="none"/>
              </w:rPr>
              <w:t>dB(A)</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消声、减振等</w:t>
            </w:r>
          </w:p>
        </w:tc>
        <w:tc>
          <w:tcPr>
            <w:tcW w:w="1547"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厂界47⁓57dB(A)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restar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固体废物</w:t>
            </w:r>
          </w:p>
        </w:tc>
        <w:tc>
          <w:tcPr>
            <w:tcW w:w="2575" w:type="dxa"/>
            <w:gridSpan w:val="2"/>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采矿区</w:t>
            </w:r>
          </w:p>
        </w:tc>
        <w:tc>
          <w:tcPr>
            <w:tcW w:w="1260"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表土</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1000</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1000</w:t>
            </w:r>
          </w:p>
        </w:tc>
        <w:tc>
          <w:tcPr>
            <w:tcW w:w="1547" w:type="dxa"/>
            <w:tcBorders>
              <w:tl2br w:val="nil"/>
              <w:tr2bl w:val="nil"/>
            </w:tcBorders>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575" w:type="dxa"/>
            <w:gridSpan w:val="2"/>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采矿区</w:t>
            </w:r>
          </w:p>
        </w:tc>
        <w:tc>
          <w:tcPr>
            <w:tcW w:w="1260"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废土石渣</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4000</w:t>
            </w:r>
          </w:p>
        </w:tc>
        <w:tc>
          <w:tcPr>
            <w:tcW w:w="1492"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4000</w:t>
            </w:r>
          </w:p>
        </w:tc>
        <w:tc>
          <w:tcPr>
            <w:tcW w:w="1547" w:type="dxa"/>
            <w:tcBorders>
              <w:tl2br w:val="nil"/>
              <w:tr2bl w:val="nil"/>
            </w:tcBorders>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575" w:type="dxa"/>
            <w:gridSpan w:val="2"/>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除尘装置</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除尘器粉尘</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173.745</w:t>
            </w:r>
          </w:p>
        </w:tc>
        <w:tc>
          <w:tcPr>
            <w:tcW w:w="1492" w:type="dxa"/>
            <w:tcBorders>
              <w:tl2br w:val="nil"/>
              <w:tr2bl w:val="nil"/>
            </w:tcBorders>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173.745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575" w:type="dxa"/>
            <w:gridSpan w:val="2"/>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沉砂池</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泥渣</w:t>
            </w:r>
          </w:p>
        </w:tc>
        <w:tc>
          <w:tcPr>
            <w:tcW w:w="1470"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highlight w:val="none"/>
                <w:u w:val="single"/>
                <w:lang w:val="en-US" w:eastAsia="zh-CN"/>
              </w:rPr>
            </w:pPr>
            <w:r>
              <w:rPr>
                <w:rFonts w:hint="eastAsia" w:cs="Times New Roman"/>
                <w:color w:val="auto"/>
                <w:sz w:val="21"/>
                <w:highlight w:val="none"/>
                <w:u w:val="single"/>
                <w:lang w:val="en-US" w:eastAsia="zh-CN"/>
              </w:rPr>
              <w:t>5</w:t>
            </w:r>
          </w:p>
        </w:tc>
        <w:tc>
          <w:tcPr>
            <w:tcW w:w="1492" w:type="dxa"/>
            <w:tcBorders>
              <w:tl2br w:val="nil"/>
              <w:tr2bl w:val="nil"/>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highlight w:val="none"/>
                <w:u w:val="single"/>
                <w:lang w:val="en-US" w:eastAsia="zh-CN"/>
              </w:rPr>
            </w:pPr>
            <w:r>
              <w:rPr>
                <w:rFonts w:hint="eastAsia" w:cs="Times New Roman"/>
                <w:color w:val="auto"/>
                <w:sz w:val="21"/>
                <w:highlight w:val="none"/>
                <w:u w:val="single"/>
                <w:lang w:val="en-US" w:eastAsia="zh-CN"/>
              </w:rPr>
              <w:t>5</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575" w:type="dxa"/>
            <w:gridSpan w:val="2"/>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洗砂区</w:t>
            </w:r>
          </w:p>
        </w:tc>
        <w:tc>
          <w:tcPr>
            <w:tcW w:w="1260"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洗砂泥饼</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2352.5</w:t>
            </w:r>
          </w:p>
        </w:tc>
        <w:tc>
          <w:tcPr>
            <w:tcW w:w="1492"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2352.5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575" w:type="dxa"/>
            <w:gridSpan w:val="2"/>
            <w:vMerge w:val="restar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机修房</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废零件</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3.0</w:t>
            </w:r>
          </w:p>
        </w:tc>
        <w:tc>
          <w:tcPr>
            <w:tcW w:w="1492" w:type="dxa"/>
            <w:tcBorders>
              <w:tl2br w:val="nil"/>
              <w:tr2bl w:val="nil"/>
            </w:tcBorders>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575" w:type="dxa"/>
            <w:gridSpan w:val="2"/>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废含油抹布</w:t>
            </w:r>
          </w:p>
        </w:tc>
        <w:tc>
          <w:tcPr>
            <w:tcW w:w="1470" w:type="dxa"/>
            <w:tcBorders>
              <w:tl2br w:val="nil"/>
              <w:tr2bl w:val="nil"/>
            </w:tcBorders>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0.02</w:t>
            </w:r>
          </w:p>
        </w:tc>
        <w:tc>
          <w:tcPr>
            <w:tcW w:w="1492"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547" w:type="dxa"/>
            <w:tcBorders>
              <w:tl2br w:val="nil"/>
              <w:tr2bl w:val="nil"/>
            </w:tcBorders>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575" w:type="dxa"/>
            <w:gridSpan w:val="2"/>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废机油</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w:t>
            </w:r>
          </w:p>
        </w:tc>
        <w:tc>
          <w:tcPr>
            <w:tcW w:w="1492" w:type="dxa"/>
            <w:tcBorders>
              <w:tl2br w:val="nil"/>
              <w:tr2bl w:val="nil"/>
            </w:tcBorders>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249" w:hRule="atLeast"/>
          <w:jc w:val="center"/>
        </w:trPr>
        <w:tc>
          <w:tcPr>
            <w:tcW w:w="742" w:type="dxa"/>
            <w:vMerge w:val="continue"/>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575" w:type="dxa"/>
            <w:gridSpan w:val="2"/>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生活区</w:t>
            </w:r>
          </w:p>
        </w:tc>
        <w:tc>
          <w:tcPr>
            <w:tcW w:w="126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生活垃圾</w:t>
            </w:r>
          </w:p>
        </w:tc>
        <w:tc>
          <w:tcPr>
            <w:tcW w:w="1470"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13</w:t>
            </w:r>
            <w:r>
              <w:rPr>
                <w:rFonts w:ascii="Times New Roman" w:hAnsi="Times New Roman" w:eastAsia="宋体" w:cs="Times New Roman"/>
                <w:color w:val="auto"/>
                <w:sz w:val="21"/>
                <w:highlight w:val="none"/>
              </w:rPr>
              <w:t>.5</w:t>
            </w:r>
          </w:p>
        </w:tc>
        <w:tc>
          <w:tcPr>
            <w:tcW w:w="1492" w:type="dxa"/>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547"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13</w:t>
            </w:r>
            <w:r>
              <w:rPr>
                <w:rFonts w:ascii="Times New Roman" w:hAnsi="Times New Roman" w:eastAsia="宋体" w:cs="Times New Roman"/>
                <w:color w:val="auto"/>
                <w:sz w:val="21"/>
                <w:highlight w:val="none"/>
              </w:rPr>
              <w:t>.5</w:t>
            </w:r>
          </w:p>
        </w:tc>
      </w:tr>
    </w:tbl>
    <w:p>
      <w:pPr>
        <w:pStyle w:val="5"/>
        <w:rPr>
          <w:rFonts w:ascii="Times New Roman" w:hAnsi="Times New Roman" w:eastAsia="宋体"/>
          <w:color w:val="auto"/>
          <w:highlight w:val="none"/>
        </w:rPr>
      </w:pPr>
      <w:r>
        <w:rPr>
          <w:rFonts w:ascii="Times New Roman" w:hAnsi="Times New Roman" w:eastAsia="宋体"/>
          <w:color w:val="auto"/>
          <w:highlight w:val="none"/>
        </w:rPr>
        <w:t>2.</w:t>
      </w:r>
      <w:r>
        <w:rPr>
          <w:rFonts w:hint="eastAsia" w:ascii="Times New Roman" w:hAnsi="Times New Roman" w:eastAsia="宋体"/>
          <w:color w:val="auto"/>
          <w:highlight w:val="none"/>
        </w:rPr>
        <w:t>5</w:t>
      </w:r>
      <w:r>
        <w:rPr>
          <w:rFonts w:ascii="Times New Roman" w:hAnsi="Times New Roman" w:eastAsia="宋体"/>
          <w:color w:val="auto"/>
          <w:highlight w:val="none"/>
        </w:rPr>
        <w:t>.6 闭矿期污染源分析</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露天矿因资源枯竭而闭矿后，凿岩、爆破、采装、运输等工序全部结束，颗粒物、噪声、固体废物不再产生。因采掘场的剥离最终形成的开采面，经过水土保持工程和生态恢复措施的逐步实施，以及矿区复垦及生态恢复方案的实施，矿区生态环境会得到改善。原来的景观格局发生变化，土地利用情况发生了变化。</w:t>
      </w:r>
    </w:p>
    <w:p>
      <w:pPr>
        <w:pStyle w:val="5"/>
        <w:rPr>
          <w:rFonts w:ascii="Times New Roman" w:hAnsi="Times New Roman" w:eastAsia="宋体"/>
          <w:color w:val="auto"/>
          <w:highlight w:val="none"/>
        </w:rPr>
      </w:pPr>
      <w:r>
        <w:rPr>
          <w:rFonts w:ascii="Times New Roman" w:hAnsi="Times New Roman" w:eastAsia="宋体"/>
          <w:color w:val="auto"/>
          <w:highlight w:val="none"/>
        </w:rPr>
        <w:t>2.</w:t>
      </w:r>
      <w:r>
        <w:rPr>
          <w:rFonts w:hint="eastAsia" w:ascii="Times New Roman" w:hAnsi="Times New Roman" w:eastAsia="宋体"/>
          <w:color w:val="auto"/>
          <w:highlight w:val="none"/>
        </w:rPr>
        <w:t>5</w:t>
      </w:r>
      <w:r>
        <w:rPr>
          <w:rFonts w:ascii="Times New Roman" w:hAnsi="Times New Roman" w:eastAsia="宋体"/>
          <w:color w:val="auto"/>
          <w:highlight w:val="none"/>
        </w:rPr>
        <w:t>.7 “三本账”分析</w:t>
      </w:r>
    </w:p>
    <w:p>
      <w:pPr>
        <w:ind w:firstLine="472"/>
        <w:rPr>
          <w:rFonts w:ascii="Times New Roman" w:hAnsi="Times New Roman" w:eastAsia="宋体" w:cs="Times New Roman"/>
          <w:color w:val="auto"/>
          <w:spacing w:val="-2"/>
          <w:kern w:val="0"/>
          <w:szCs w:val="24"/>
          <w:highlight w:val="none"/>
        </w:rPr>
      </w:pPr>
      <w:r>
        <w:rPr>
          <w:rFonts w:hint="eastAsia" w:ascii="Times New Roman" w:hAnsi="Times New Roman" w:eastAsia="宋体" w:cs="Times New Roman"/>
          <w:color w:val="auto"/>
          <w:spacing w:val="-2"/>
          <w:kern w:val="0"/>
          <w:szCs w:val="24"/>
          <w:highlight w:val="none"/>
          <w:u w:val="single"/>
        </w:rPr>
        <w:t>项目整合前，</w:t>
      </w:r>
      <w:r>
        <w:rPr>
          <w:rFonts w:hint="eastAsia" w:ascii="Times New Roman" w:hAnsi="Times New Roman" w:eastAsia="宋体"/>
          <w:color w:val="auto"/>
          <w:szCs w:val="24"/>
          <w:highlight w:val="none"/>
          <w:u w:val="single"/>
        </w:rPr>
        <w:t>原</w:t>
      </w:r>
      <w:r>
        <w:rPr>
          <w:rFonts w:hint="eastAsia" w:ascii="Times New Roman" w:hAnsi="Times New Roman" w:eastAsia="宋体" w:cs="Times New Roman"/>
          <w:color w:val="auto"/>
          <w:spacing w:val="-2"/>
          <w:kern w:val="0"/>
          <w:szCs w:val="24"/>
          <w:highlight w:val="none"/>
          <w:u w:val="single"/>
        </w:rPr>
        <w:t>海江采石场和</w:t>
      </w:r>
      <w:r>
        <w:rPr>
          <w:rFonts w:hint="eastAsia" w:ascii="Times New Roman" w:hAnsi="Times New Roman" w:eastAsia="宋体"/>
          <w:color w:val="auto"/>
          <w:szCs w:val="24"/>
          <w:highlight w:val="none"/>
          <w:u w:val="single"/>
        </w:rPr>
        <w:t>原</w:t>
      </w:r>
      <w:r>
        <w:rPr>
          <w:rFonts w:hint="eastAsia" w:ascii="Times New Roman" w:hAnsi="Times New Roman" w:eastAsia="宋体" w:cs="Times New Roman"/>
          <w:color w:val="auto"/>
          <w:spacing w:val="-2"/>
          <w:kern w:val="0"/>
          <w:szCs w:val="24"/>
          <w:highlight w:val="none"/>
          <w:u w:val="single"/>
        </w:rPr>
        <w:t>宏保兴采石场总产能</w:t>
      </w:r>
      <w:r>
        <w:rPr>
          <w:rFonts w:hint="eastAsia" w:cs="Times New Roman"/>
          <w:color w:val="auto"/>
          <w:spacing w:val="-2"/>
          <w:kern w:val="0"/>
          <w:szCs w:val="24"/>
          <w:highlight w:val="none"/>
          <w:u w:val="single"/>
          <w:lang w:val="en-US" w:eastAsia="zh-CN"/>
        </w:rPr>
        <w:t>均</w:t>
      </w:r>
      <w:r>
        <w:rPr>
          <w:rFonts w:hint="eastAsia" w:ascii="Times New Roman" w:hAnsi="Times New Roman" w:eastAsia="宋体" w:cs="Times New Roman"/>
          <w:color w:val="auto"/>
          <w:spacing w:val="-2"/>
          <w:kern w:val="0"/>
          <w:szCs w:val="24"/>
          <w:highlight w:val="none"/>
          <w:u w:val="single"/>
        </w:rPr>
        <w:t>为10万t/a，整合后矿山产能扩大至50万t/a</w:t>
      </w:r>
      <w:r>
        <w:rPr>
          <w:rFonts w:hint="eastAsia" w:cs="Times New Roman"/>
          <w:color w:val="auto"/>
          <w:spacing w:val="-2"/>
          <w:kern w:val="0"/>
          <w:szCs w:val="24"/>
          <w:highlight w:val="none"/>
          <w:u w:val="single"/>
          <w:lang w:eastAsia="zh-CN"/>
        </w:rPr>
        <w:t>，</w:t>
      </w:r>
      <w:r>
        <w:rPr>
          <w:rFonts w:hint="eastAsia" w:cs="Times New Roman"/>
          <w:color w:val="auto"/>
          <w:spacing w:val="-2"/>
          <w:kern w:val="0"/>
          <w:szCs w:val="24"/>
          <w:highlight w:val="none"/>
          <w:u w:val="single"/>
          <w:lang w:val="en-US" w:eastAsia="zh-CN"/>
        </w:rPr>
        <w:t>原</w:t>
      </w:r>
      <w:r>
        <w:rPr>
          <w:rFonts w:hint="eastAsia" w:ascii="Times New Roman" w:hAnsi="Times New Roman" w:eastAsia="宋体" w:cs="Times New Roman"/>
          <w:color w:val="auto"/>
          <w:spacing w:val="-2"/>
          <w:kern w:val="0"/>
          <w:szCs w:val="24"/>
          <w:highlight w:val="none"/>
          <w:u w:val="single"/>
        </w:rPr>
        <w:t>海江采石场和</w:t>
      </w:r>
      <w:r>
        <w:rPr>
          <w:rFonts w:hint="eastAsia" w:ascii="Times New Roman" w:hAnsi="Times New Roman" w:eastAsia="宋体"/>
          <w:color w:val="auto"/>
          <w:szCs w:val="24"/>
          <w:highlight w:val="none"/>
          <w:u w:val="single"/>
        </w:rPr>
        <w:t>原</w:t>
      </w:r>
      <w:r>
        <w:rPr>
          <w:rFonts w:hint="eastAsia" w:ascii="Times New Roman" w:hAnsi="Times New Roman" w:eastAsia="宋体" w:cs="Times New Roman"/>
          <w:color w:val="auto"/>
          <w:spacing w:val="-2"/>
          <w:kern w:val="0"/>
          <w:szCs w:val="24"/>
          <w:highlight w:val="none"/>
          <w:u w:val="single"/>
        </w:rPr>
        <w:t>宏保兴采石场</w:t>
      </w:r>
      <w:r>
        <w:rPr>
          <w:rFonts w:hint="eastAsia" w:ascii="Times New Roman" w:hAnsi="Times New Roman" w:cs="Times New Roman"/>
          <w:color w:val="auto"/>
          <w:spacing w:val="-2"/>
          <w:kern w:val="0"/>
          <w:szCs w:val="24"/>
          <w:highlight w:val="none"/>
          <w:u w:val="single"/>
          <w:lang w:val="en-US" w:eastAsia="zh-CN"/>
        </w:rPr>
        <w:t>破碎筛分生产线设备均予以拆除更新，</w:t>
      </w:r>
      <w:r>
        <w:rPr>
          <w:rFonts w:hint="eastAsia" w:ascii="Times New Roman" w:hAnsi="Times New Roman" w:eastAsia="宋体" w:cs="Times New Roman"/>
          <w:color w:val="auto"/>
          <w:spacing w:val="-2"/>
          <w:kern w:val="0"/>
          <w:szCs w:val="24"/>
          <w:highlight w:val="none"/>
          <w:u w:val="single"/>
        </w:rPr>
        <w:t>项目在废气、废水、固体废物、生态环境和环境风险方向均采取相应以新带老整改措施，待相应措施建设完成后，将有效削减现有工程污染物的排放，</w:t>
      </w:r>
      <w:r>
        <w:rPr>
          <w:rFonts w:ascii="Times New Roman" w:hAnsi="Times New Roman" w:eastAsia="宋体" w:cs="Times New Roman"/>
          <w:color w:val="auto"/>
          <w:spacing w:val="-2"/>
          <w:kern w:val="0"/>
          <w:szCs w:val="24"/>
          <w:highlight w:val="none"/>
          <w:u w:val="single"/>
        </w:rPr>
        <w:t>项目</w:t>
      </w:r>
      <w:r>
        <w:rPr>
          <w:rFonts w:hint="eastAsia" w:ascii="Times New Roman" w:hAnsi="Times New Roman" w:eastAsia="宋体" w:cs="Times New Roman"/>
          <w:color w:val="auto"/>
          <w:spacing w:val="-2"/>
          <w:kern w:val="0"/>
          <w:szCs w:val="24"/>
          <w:highlight w:val="none"/>
          <w:u w:val="single"/>
          <w:lang w:val="en-US" w:eastAsia="zh-CN"/>
        </w:rPr>
        <w:t>整合</w:t>
      </w:r>
      <w:r>
        <w:rPr>
          <w:rFonts w:ascii="Times New Roman" w:hAnsi="Times New Roman" w:eastAsia="宋体" w:cs="Times New Roman"/>
          <w:color w:val="auto"/>
          <w:spacing w:val="-2"/>
          <w:kern w:val="0"/>
          <w:szCs w:val="24"/>
          <w:highlight w:val="none"/>
          <w:u w:val="single"/>
        </w:rPr>
        <w:t>前后“三本账”分析详见表2.</w:t>
      </w:r>
      <w:r>
        <w:rPr>
          <w:rFonts w:hint="eastAsia" w:ascii="Times New Roman" w:hAnsi="Times New Roman" w:eastAsia="宋体" w:cs="Times New Roman"/>
          <w:color w:val="auto"/>
          <w:spacing w:val="-2"/>
          <w:kern w:val="0"/>
          <w:szCs w:val="24"/>
          <w:highlight w:val="none"/>
          <w:u w:val="single"/>
        </w:rPr>
        <w:t>5</w:t>
      </w:r>
      <w:r>
        <w:rPr>
          <w:rFonts w:ascii="Times New Roman" w:hAnsi="Times New Roman" w:eastAsia="宋体" w:cs="Times New Roman"/>
          <w:color w:val="auto"/>
          <w:spacing w:val="-2"/>
          <w:kern w:val="0"/>
          <w:szCs w:val="24"/>
          <w:highlight w:val="none"/>
          <w:u w:val="single"/>
        </w:rPr>
        <w:t>-</w:t>
      </w:r>
      <w:r>
        <w:rPr>
          <w:rFonts w:hint="eastAsia" w:ascii="Times New Roman" w:hAnsi="Times New Roman" w:eastAsia="宋体" w:cs="Times New Roman"/>
          <w:color w:val="auto"/>
          <w:spacing w:val="-2"/>
          <w:kern w:val="0"/>
          <w:szCs w:val="24"/>
          <w:highlight w:val="none"/>
          <w:u w:val="single"/>
        </w:rPr>
        <w:t>2</w:t>
      </w:r>
      <w:r>
        <w:rPr>
          <w:rFonts w:hint="eastAsia" w:cs="Times New Roman"/>
          <w:color w:val="auto"/>
          <w:spacing w:val="-2"/>
          <w:kern w:val="0"/>
          <w:szCs w:val="24"/>
          <w:highlight w:val="none"/>
          <w:u w:val="single"/>
          <w:lang w:val="en-US" w:eastAsia="zh-CN"/>
        </w:rPr>
        <w:t>2</w:t>
      </w:r>
      <w:r>
        <w:rPr>
          <w:rFonts w:ascii="Times New Roman" w:hAnsi="Times New Roman" w:eastAsia="宋体" w:cs="Times New Roman"/>
          <w:color w:val="auto"/>
          <w:spacing w:val="-2"/>
          <w:kern w:val="0"/>
          <w:szCs w:val="24"/>
          <w:highlight w:val="none"/>
          <w:u w:val="single"/>
        </w:rPr>
        <w:t xml:space="preserve">。 </w:t>
      </w:r>
    </w:p>
    <w:p>
      <w:pPr>
        <w:pStyle w:val="87"/>
        <w:rPr>
          <w:rFonts w:ascii="Times New Roman" w:hAnsi="Times New Roman" w:eastAsia="宋体" w:cs="Times New Roman"/>
          <w:color w:val="auto"/>
          <w:highlight w:val="none"/>
        </w:rPr>
      </w:pPr>
      <w:r>
        <w:rPr>
          <w:rFonts w:ascii="Times New Roman" w:hAnsi="Times New Roman" w:eastAsia="宋体" w:cs="Times New Roman"/>
          <w:color w:val="auto"/>
          <w:highlight w:val="none"/>
        </w:rPr>
        <w:t>表2.</w:t>
      </w:r>
      <w:r>
        <w:rPr>
          <w:rFonts w:hint="eastAsia" w:ascii="Times New Roman" w:hAnsi="Times New Roman" w:eastAsia="宋体" w:cs="Times New Roman"/>
          <w:color w:val="auto"/>
          <w:highlight w:val="none"/>
        </w:rPr>
        <w:t>5</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2</w:t>
      </w:r>
      <w:r>
        <w:rPr>
          <w:rFonts w:hint="eastAsia" w:cs="Times New Roman"/>
          <w:color w:val="auto"/>
          <w:highlight w:val="none"/>
          <w:lang w:val="en-US" w:eastAsia="zh-CN"/>
        </w:rPr>
        <w:t>2</w:t>
      </w:r>
      <w:r>
        <w:rPr>
          <w:rFonts w:ascii="Times New Roman" w:hAnsi="Times New Roman" w:eastAsia="宋体" w:cs="Times New Roman"/>
          <w:color w:val="auto"/>
          <w:highlight w:val="none"/>
        </w:rPr>
        <w:t xml:space="preserve"> </w:t>
      </w:r>
      <w:r>
        <w:rPr>
          <w:rFonts w:hint="eastAsia" w:cs="Times New Roman"/>
          <w:color w:val="auto"/>
          <w:highlight w:val="none"/>
          <w:lang w:val="en-US" w:eastAsia="zh-CN"/>
        </w:rPr>
        <w:t>整合</w:t>
      </w:r>
      <w:r>
        <w:rPr>
          <w:rFonts w:ascii="Times New Roman" w:hAnsi="Times New Roman" w:eastAsia="宋体" w:cs="Times New Roman"/>
          <w:color w:val="auto"/>
          <w:highlight w:val="none"/>
        </w:rPr>
        <w:t>前后“三本账”分析情况表</w:t>
      </w:r>
      <w:bookmarkStart w:id="127" w:name="_Toc10169"/>
    </w:p>
    <w:tbl>
      <w:tblPr>
        <w:tblStyle w:val="48"/>
        <w:tblW w:w="9071"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
      <w:tblGrid>
        <w:gridCol w:w="413"/>
        <w:gridCol w:w="390"/>
        <w:gridCol w:w="1457"/>
        <w:gridCol w:w="1192"/>
        <w:gridCol w:w="1110"/>
        <w:gridCol w:w="1110"/>
        <w:gridCol w:w="1065"/>
        <w:gridCol w:w="1130"/>
        <w:gridCol w:w="1204"/>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803"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类别</w:t>
            </w: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污染源</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污染物</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现有项目污染物排放量（t/a）</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b/>
                <w:color w:val="auto"/>
                <w:sz w:val="21"/>
                <w:highlight w:val="none"/>
                <w:lang w:val="en-US" w:eastAsia="zh-CN"/>
              </w:rPr>
              <w:t>整合</w:t>
            </w:r>
            <w:r>
              <w:rPr>
                <w:rFonts w:ascii="Times New Roman" w:hAnsi="Times New Roman" w:eastAsia="宋体" w:cs="Times New Roman"/>
                <w:b/>
                <w:color w:val="auto"/>
                <w:sz w:val="21"/>
                <w:highlight w:val="none"/>
              </w:rPr>
              <w:t>项目排放量（t/a）</w:t>
            </w:r>
          </w:p>
        </w:tc>
        <w:tc>
          <w:tcPr>
            <w:tcW w:w="1065" w:type="dxa"/>
            <w:noWrap w:val="0"/>
            <w:vAlign w:val="center"/>
          </w:tcPr>
          <w:p>
            <w:pPr>
              <w:pStyle w:val="121"/>
              <w:adjustRightInd w:val="0"/>
              <w:snapToGrid w:val="0"/>
              <w:spacing w:line="240" w:lineRule="auto"/>
              <w:ind w:firstLine="0" w:firstLineChars="0"/>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“以新带老”削减量（t/a）</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highlight w:val="none"/>
                <w:lang w:val="en-US" w:eastAsia="zh-CN"/>
              </w:rPr>
              <w:t>整合</w:t>
            </w:r>
            <w:r>
              <w:rPr>
                <w:rFonts w:ascii="Times New Roman" w:hAnsi="Times New Roman" w:eastAsia="宋体" w:cs="Times New Roman"/>
                <w:b/>
                <w:bCs/>
                <w:color w:val="auto"/>
                <w:sz w:val="21"/>
                <w:highlight w:val="none"/>
              </w:rPr>
              <w:t>后排放总量</w:t>
            </w:r>
            <w:r>
              <w:rPr>
                <w:rFonts w:ascii="Times New Roman" w:hAnsi="Times New Roman" w:eastAsia="宋体" w:cs="Times New Roman"/>
                <w:b/>
                <w:bCs/>
                <w:color w:val="auto"/>
                <w:sz w:val="21"/>
                <w:szCs w:val="21"/>
                <w:highlight w:val="none"/>
              </w:rPr>
              <w:t>（t/a）</w:t>
            </w:r>
          </w:p>
        </w:tc>
        <w:tc>
          <w:tcPr>
            <w:tcW w:w="1204"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变化量（t/a）</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废气</w:t>
            </w:r>
          </w:p>
        </w:tc>
        <w:tc>
          <w:tcPr>
            <w:tcW w:w="390" w:type="dxa"/>
            <w:vMerge w:val="restart"/>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无组织</w:t>
            </w: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表土剥离</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少量</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少量</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少量</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少量</w:t>
            </w:r>
          </w:p>
        </w:tc>
        <w:tc>
          <w:tcPr>
            <w:tcW w:w="120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凿岩钻孔</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0.04</w:t>
            </w:r>
          </w:p>
        </w:tc>
        <w:tc>
          <w:tcPr>
            <w:tcW w:w="1110" w:type="dxa"/>
            <w:noWrap w:val="0"/>
            <w:vAlign w:val="center"/>
          </w:tcPr>
          <w:p>
            <w:pPr>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0.</w:t>
            </w:r>
            <w:r>
              <w:rPr>
                <w:rFonts w:hint="eastAsia" w:ascii="Times New Roman" w:hAnsi="Times New Roman" w:eastAsia="宋体" w:cs="Times New Roman"/>
                <w:color w:val="auto"/>
                <w:sz w:val="21"/>
                <w:highlight w:val="none"/>
                <w:u w:val="single"/>
              </w:rPr>
              <w:t>2</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0.04</w:t>
            </w:r>
          </w:p>
        </w:tc>
        <w:tc>
          <w:tcPr>
            <w:tcW w:w="113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2</w:t>
            </w:r>
          </w:p>
        </w:tc>
        <w:tc>
          <w:tcPr>
            <w:tcW w:w="1204"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0.16</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爆破</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0.888</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5.117</w:t>
            </w:r>
          </w:p>
        </w:tc>
        <w:tc>
          <w:tcPr>
            <w:tcW w:w="1065"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0.888</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5.117</w:t>
            </w:r>
          </w:p>
        </w:tc>
        <w:tc>
          <w:tcPr>
            <w:tcW w:w="120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+4.229</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hint="eastAsia" w:ascii="Times New Roman" w:hAnsi="Times New Roman" w:eastAsia="宋体" w:cs="Times New Roman"/>
                <w:color w:val="auto"/>
                <w:sz w:val="21"/>
                <w:highlight w:val="none"/>
              </w:rPr>
              <w:t>0.23</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bCs/>
                <w:color w:val="auto"/>
                <w:sz w:val="21"/>
                <w:highlight w:val="none"/>
                <w:u w:val="single"/>
              </w:rPr>
              <w:t>1.325</w:t>
            </w:r>
          </w:p>
        </w:tc>
        <w:tc>
          <w:tcPr>
            <w:tcW w:w="1065"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Cs/>
                <w:color w:val="auto"/>
                <w:sz w:val="21"/>
                <w:highlight w:val="none"/>
                <w:u w:val="single"/>
              </w:rPr>
            </w:pPr>
            <w:r>
              <w:rPr>
                <w:rFonts w:hint="eastAsia" w:ascii="Times New Roman" w:hAnsi="Times New Roman" w:eastAsia="宋体" w:cs="Times New Roman"/>
                <w:color w:val="auto"/>
                <w:sz w:val="21"/>
                <w:highlight w:val="none"/>
                <w:u w:val="single"/>
              </w:rPr>
              <w:t>0.23</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hint="eastAsia" w:ascii="Times New Roman" w:hAnsi="Times New Roman" w:eastAsia="宋体" w:cs="Times New Roman"/>
                <w:bCs/>
                <w:color w:val="auto"/>
                <w:sz w:val="21"/>
                <w:highlight w:val="none"/>
              </w:rPr>
              <w:t>1.325</w:t>
            </w:r>
          </w:p>
        </w:tc>
        <w:tc>
          <w:tcPr>
            <w:tcW w:w="120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bCs/>
                <w:color w:val="auto"/>
                <w:sz w:val="21"/>
                <w:highlight w:val="none"/>
              </w:rPr>
              <w:t>+1.095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8</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kern w:val="0"/>
                <w:sz w:val="21"/>
                <w:highlight w:val="none"/>
                <w:u w:val="single"/>
              </w:rPr>
              <w:t>12</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u w:val="single"/>
              </w:rPr>
            </w:pPr>
            <w:r>
              <w:rPr>
                <w:rFonts w:hint="eastAsia" w:ascii="Times New Roman" w:hAnsi="Times New Roman" w:eastAsia="宋体" w:cs="Times New Roman"/>
                <w:color w:val="auto"/>
                <w:sz w:val="21"/>
                <w:highlight w:val="none"/>
                <w:u w:val="single"/>
              </w:rPr>
              <w:t>8</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12</w:t>
            </w:r>
          </w:p>
        </w:tc>
        <w:tc>
          <w:tcPr>
            <w:tcW w:w="1204" w:type="dxa"/>
            <w:noWrap w:val="0"/>
            <w:vAlign w:val="bottom"/>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4</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采装</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1</w:t>
            </w:r>
          </w:p>
        </w:tc>
        <w:tc>
          <w:tcPr>
            <w:tcW w:w="1110" w:type="dxa"/>
            <w:noWrap w:val="0"/>
            <w:vAlign w:val="center"/>
          </w:tcPr>
          <w:p>
            <w:pPr>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kern w:val="0"/>
                <w:sz w:val="21"/>
                <w:highlight w:val="none"/>
                <w:u w:val="single"/>
              </w:rPr>
              <w:t>1.5</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u w:val="single"/>
              </w:rPr>
            </w:pPr>
            <w:r>
              <w:rPr>
                <w:rFonts w:hint="eastAsia" w:ascii="Times New Roman" w:hAnsi="Times New Roman" w:eastAsia="宋体" w:cs="Times New Roman"/>
                <w:color w:val="auto"/>
                <w:sz w:val="21"/>
                <w:highlight w:val="none"/>
                <w:u w:val="single"/>
              </w:rPr>
              <w:t>1</w:t>
            </w:r>
          </w:p>
        </w:tc>
        <w:tc>
          <w:tcPr>
            <w:tcW w:w="1130"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1.5</w:t>
            </w:r>
          </w:p>
        </w:tc>
        <w:tc>
          <w:tcPr>
            <w:tcW w:w="1204"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0.5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筛选破碎</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颗粒物</w:t>
            </w:r>
          </w:p>
        </w:tc>
        <w:tc>
          <w:tcPr>
            <w:tcW w:w="111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25</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u w:val="single"/>
              </w:rPr>
            </w:pPr>
            <w:r>
              <w:rPr>
                <w:rFonts w:hint="eastAsia" w:ascii="Times New Roman" w:hAnsi="Times New Roman" w:eastAsia="宋体" w:cs="Times New Roman"/>
                <w:color w:val="auto"/>
                <w:sz w:val="21"/>
                <w:highlight w:val="none"/>
                <w:u w:val="single"/>
              </w:rPr>
              <w:t>0.376</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u w:val="single"/>
                <w:lang w:bidi="ar"/>
              </w:rPr>
            </w:pPr>
            <w:r>
              <w:rPr>
                <w:rFonts w:hint="eastAsia" w:ascii="Times New Roman" w:hAnsi="Times New Roman" w:eastAsia="宋体" w:cs="Times New Roman"/>
                <w:color w:val="auto"/>
                <w:kern w:val="0"/>
                <w:sz w:val="21"/>
                <w:highlight w:val="none"/>
                <w:u w:val="single"/>
              </w:rPr>
              <w:t>25</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0.376</w:t>
            </w:r>
          </w:p>
        </w:tc>
        <w:tc>
          <w:tcPr>
            <w:tcW w:w="1204"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-24.62</w:t>
            </w:r>
            <w:r>
              <w:rPr>
                <w:rFonts w:hint="eastAsia" w:ascii="Times New Roman" w:hAnsi="Times New Roman" w:eastAsia="宋体" w:cs="Times New Roman"/>
                <w:color w:val="auto"/>
                <w:sz w:val="21"/>
                <w:highlight w:val="none"/>
              </w:rPr>
              <w:t>4</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二级破碎筛分</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颗粒物</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50</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u w:val="single"/>
              </w:rPr>
            </w:pPr>
            <w:r>
              <w:rPr>
                <w:rFonts w:hint="eastAsia" w:ascii="Times New Roman" w:hAnsi="Times New Roman" w:eastAsia="宋体" w:cs="Times New Roman"/>
                <w:color w:val="auto"/>
                <w:sz w:val="21"/>
                <w:highlight w:val="none"/>
                <w:u w:val="single"/>
              </w:rPr>
              <w:t>0.75</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u w:val="single"/>
                <w:lang w:bidi="ar"/>
              </w:rPr>
            </w:pPr>
            <w:r>
              <w:rPr>
                <w:rFonts w:hint="eastAsia" w:ascii="Times New Roman" w:hAnsi="Times New Roman" w:eastAsia="宋体" w:cs="Times New Roman"/>
                <w:color w:val="auto"/>
                <w:kern w:val="0"/>
                <w:sz w:val="21"/>
                <w:highlight w:val="none"/>
                <w:u w:val="single"/>
              </w:rPr>
              <w:t>50</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0.75</w:t>
            </w:r>
          </w:p>
        </w:tc>
        <w:tc>
          <w:tcPr>
            <w:tcW w:w="1204" w:type="dxa"/>
            <w:noWrap w:val="0"/>
            <w:vAlign w:val="bottom"/>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-49.25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颗粒物</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55</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u w:val="single"/>
              </w:rPr>
            </w:pPr>
            <w:r>
              <w:rPr>
                <w:rFonts w:hint="eastAsia" w:ascii="Times New Roman" w:hAnsi="Times New Roman" w:eastAsia="宋体" w:cs="Times New Roman"/>
                <w:color w:val="auto"/>
                <w:sz w:val="21"/>
                <w:highlight w:val="none"/>
                <w:u w:val="single"/>
              </w:rPr>
              <w:t>0.825</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u w:val="single"/>
                <w:lang w:bidi="ar"/>
              </w:rPr>
            </w:pPr>
            <w:r>
              <w:rPr>
                <w:rFonts w:hint="eastAsia" w:ascii="Times New Roman" w:hAnsi="Times New Roman" w:eastAsia="宋体" w:cs="Times New Roman"/>
                <w:color w:val="auto"/>
                <w:kern w:val="0"/>
                <w:sz w:val="21"/>
                <w:highlight w:val="none"/>
                <w:u w:val="single"/>
              </w:rPr>
              <w:t>55</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0.825</w:t>
            </w:r>
          </w:p>
        </w:tc>
        <w:tc>
          <w:tcPr>
            <w:tcW w:w="1204"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-54.175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堆料场①</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1</w:t>
            </w:r>
          </w:p>
        </w:tc>
        <w:tc>
          <w:tcPr>
            <w:tcW w:w="1110"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1</w:t>
            </w:r>
          </w:p>
        </w:tc>
        <w:tc>
          <w:tcPr>
            <w:tcW w:w="1130" w:type="dxa"/>
            <w:noWrap w:val="0"/>
            <w:vAlign w:val="bottom"/>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0.1</w:t>
            </w:r>
          </w:p>
        </w:tc>
        <w:tc>
          <w:tcPr>
            <w:tcW w:w="1204"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堆料场②</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c>
          <w:tcPr>
            <w:tcW w:w="1110"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0.075</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c>
          <w:tcPr>
            <w:tcW w:w="1130" w:type="dxa"/>
            <w:noWrap w:val="0"/>
            <w:vAlign w:val="bottom"/>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0.075</w:t>
            </w:r>
          </w:p>
        </w:tc>
        <w:tc>
          <w:tcPr>
            <w:tcW w:w="1204"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25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s="Times New Roman"/>
                <w:color w:val="auto"/>
                <w:sz w:val="21"/>
                <w:highlight w:val="none"/>
              </w:rPr>
              <w:t>③</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颗粒物</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c>
          <w:tcPr>
            <w:tcW w:w="1110"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0.075</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c>
          <w:tcPr>
            <w:tcW w:w="1130" w:type="dxa"/>
            <w:noWrap w:val="0"/>
            <w:vAlign w:val="bottom"/>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0.075</w:t>
            </w:r>
          </w:p>
        </w:tc>
        <w:tc>
          <w:tcPr>
            <w:tcW w:w="1204"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25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④</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c>
          <w:tcPr>
            <w:tcW w:w="1110"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0.05</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c>
          <w:tcPr>
            <w:tcW w:w="1130" w:type="dxa"/>
            <w:noWrap w:val="0"/>
            <w:vAlign w:val="bottom"/>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0.05</w:t>
            </w:r>
          </w:p>
        </w:tc>
        <w:tc>
          <w:tcPr>
            <w:tcW w:w="1204" w:type="dxa"/>
            <w:noWrap w:val="0"/>
            <w:vAlign w:val="bottom"/>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0.02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⑤</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1</w:t>
            </w:r>
          </w:p>
        </w:tc>
        <w:tc>
          <w:tcPr>
            <w:tcW w:w="1110"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1</w:t>
            </w:r>
          </w:p>
        </w:tc>
        <w:tc>
          <w:tcPr>
            <w:tcW w:w="1130" w:type="dxa"/>
            <w:noWrap w:val="0"/>
            <w:vAlign w:val="bottom"/>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0.1</w:t>
            </w:r>
          </w:p>
        </w:tc>
        <w:tc>
          <w:tcPr>
            <w:tcW w:w="1204" w:type="dxa"/>
            <w:noWrap w:val="0"/>
            <w:vAlign w:val="bottom"/>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⑥</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颗粒物</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c>
          <w:tcPr>
            <w:tcW w:w="1110" w:type="dxa"/>
            <w:noWrap w:val="0"/>
            <w:vAlign w:val="bottom"/>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0.075</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c>
          <w:tcPr>
            <w:tcW w:w="1130" w:type="dxa"/>
            <w:noWrap w:val="0"/>
            <w:vAlign w:val="bottom"/>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0.075</w:t>
            </w:r>
          </w:p>
        </w:tc>
        <w:tc>
          <w:tcPr>
            <w:tcW w:w="1204" w:type="dxa"/>
            <w:noWrap w:val="0"/>
            <w:vAlign w:val="bottom"/>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25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⑦</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c>
          <w:tcPr>
            <w:tcW w:w="1110" w:type="dxa"/>
            <w:noWrap w:val="0"/>
            <w:vAlign w:val="bottom"/>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0.075</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05</w:t>
            </w:r>
          </w:p>
        </w:tc>
        <w:tc>
          <w:tcPr>
            <w:tcW w:w="1130" w:type="dxa"/>
            <w:noWrap w:val="0"/>
            <w:vAlign w:val="bottom"/>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0.075</w:t>
            </w:r>
          </w:p>
        </w:tc>
        <w:tc>
          <w:tcPr>
            <w:tcW w:w="1204" w:type="dxa"/>
            <w:noWrap w:val="0"/>
            <w:vAlign w:val="bottom"/>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25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⑧</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c>
          <w:tcPr>
            <w:tcW w:w="1110" w:type="dxa"/>
            <w:noWrap w:val="0"/>
            <w:vAlign w:val="bottom"/>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0.05</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c>
          <w:tcPr>
            <w:tcW w:w="1130" w:type="dxa"/>
            <w:noWrap w:val="0"/>
            <w:vAlign w:val="bottom"/>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0.05</w:t>
            </w:r>
          </w:p>
        </w:tc>
        <w:tc>
          <w:tcPr>
            <w:tcW w:w="1204" w:type="dxa"/>
            <w:noWrap w:val="0"/>
            <w:vAlign w:val="bottom"/>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0.02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临时排土场</w:t>
            </w:r>
            <w:r>
              <w:rPr>
                <w:rFonts w:hint="eastAsia" w:ascii="Times New Roman" w:hAnsi="Times New Roman" w:eastAsia="宋体"/>
                <w:color w:val="auto"/>
                <w:sz w:val="21"/>
                <w:highlight w:val="none"/>
              </w:rPr>
              <w:t>①</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颗粒物</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c>
          <w:tcPr>
            <w:tcW w:w="1110"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c>
          <w:tcPr>
            <w:tcW w:w="1130" w:type="dxa"/>
            <w:noWrap w:val="0"/>
            <w:vAlign w:val="bottom"/>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0.1</w:t>
            </w:r>
          </w:p>
        </w:tc>
        <w:tc>
          <w:tcPr>
            <w:tcW w:w="1204"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7</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临时排土场</w:t>
            </w:r>
            <w:r>
              <w:rPr>
                <w:rFonts w:hint="eastAsia" w:ascii="Times New Roman" w:hAnsi="Times New Roman" w:eastAsia="宋体"/>
                <w:color w:val="auto"/>
                <w:sz w:val="21"/>
                <w:highlight w:val="none"/>
              </w:rPr>
              <w:t>②</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c>
          <w:tcPr>
            <w:tcW w:w="1110" w:type="dxa"/>
            <w:noWrap w:val="0"/>
            <w:vAlign w:val="bottom"/>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03</w:t>
            </w:r>
          </w:p>
        </w:tc>
        <w:tc>
          <w:tcPr>
            <w:tcW w:w="1130" w:type="dxa"/>
            <w:noWrap w:val="0"/>
            <w:vAlign w:val="bottom"/>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0.1</w:t>
            </w:r>
          </w:p>
        </w:tc>
        <w:tc>
          <w:tcPr>
            <w:tcW w:w="1204"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7</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落料</w:t>
            </w:r>
          </w:p>
        </w:tc>
        <w:tc>
          <w:tcPr>
            <w:tcW w:w="1192"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0.07</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i w:val="0"/>
                <w:iCs w:val="0"/>
                <w:color w:val="auto"/>
                <w:sz w:val="21"/>
                <w:highlight w:val="none"/>
                <w:u w:val="single"/>
              </w:rPr>
            </w:pPr>
            <w:r>
              <w:rPr>
                <w:rFonts w:ascii="Times New Roman" w:hAnsi="Times New Roman" w:eastAsia="宋体" w:cs="Times New Roman"/>
                <w:i w:val="0"/>
                <w:iCs w:val="0"/>
                <w:color w:val="auto"/>
                <w:kern w:val="0"/>
                <w:sz w:val="21"/>
                <w:highlight w:val="none"/>
                <w:u w:val="single"/>
              </w:rPr>
              <w:t>0.</w:t>
            </w:r>
            <w:r>
              <w:rPr>
                <w:rFonts w:hint="eastAsia" w:ascii="Times New Roman" w:hAnsi="Times New Roman" w:eastAsia="宋体" w:cs="Times New Roman"/>
                <w:i w:val="0"/>
                <w:iCs w:val="0"/>
                <w:color w:val="auto"/>
                <w:kern w:val="0"/>
                <w:sz w:val="21"/>
                <w:highlight w:val="none"/>
                <w:u w:val="single"/>
              </w:rPr>
              <w:t>088</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u w:val="single"/>
              </w:rPr>
            </w:pPr>
            <w:r>
              <w:rPr>
                <w:rFonts w:hint="eastAsia" w:ascii="Times New Roman" w:hAnsi="Times New Roman" w:eastAsia="宋体" w:cs="Times New Roman"/>
                <w:color w:val="auto"/>
                <w:kern w:val="0"/>
                <w:sz w:val="21"/>
                <w:highlight w:val="none"/>
                <w:u w:val="single"/>
              </w:rPr>
              <w:t>0.07</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088</w:t>
            </w:r>
          </w:p>
        </w:tc>
        <w:tc>
          <w:tcPr>
            <w:tcW w:w="1204"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0.018</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装卸</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0.056</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i w:val="0"/>
                <w:iCs w:val="0"/>
                <w:color w:val="auto"/>
                <w:sz w:val="21"/>
                <w:highlight w:val="none"/>
                <w:u w:val="single"/>
              </w:rPr>
            </w:pPr>
            <w:r>
              <w:rPr>
                <w:rFonts w:ascii="Times New Roman" w:hAnsi="Times New Roman" w:eastAsia="宋体" w:cs="Times New Roman"/>
                <w:i w:val="0"/>
                <w:iCs w:val="0"/>
                <w:color w:val="auto"/>
                <w:kern w:val="0"/>
                <w:sz w:val="21"/>
                <w:highlight w:val="none"/>
                <w:u w:val="single"/>
              </w:rPr>
              <w:t>0.</w:t>
            </w:r>
            <w:r>
              <w:rPr>
                <w:rFonts w:hint="eastAsia" w:ascii="Times New Roman" w:hAnsi="Times New Roman" w:eastAsia="宋体" w:cs="Times New Roman"/>
                <w:i w:val="0"/>
                <w:iCs w:val="0"/>
                <w:color w:val="auto"/>
                <w:kern w:val="0"/>
                <w:sz w:val="21"/>
                <w:highlight w:val="none"/>
                <w:u w:val="single"/>
              </w:rPr>
              <w:t>084</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kern w:val="0"/>
                <w:sz w:val="21"/>
                <w:highlight w:val="none"/>
                <w:u w:val="single"/>
              </w:rPr>
              <w:t>0.056</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084</w:t>
            </w:r>
          </w:p>
        </w:tc>
        <w:tc>
          <w:tcPr>
            <w:tcW w:w="1204"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0.028</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道路扬尘</w:t>
            </w:r>
          </w:p>
        </w:tc>
        <w:tc>
          <w:tcPr>
            <w:tcW w:w="1192"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110"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0.294</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i w:val="0"/>
                <w:iCs w:val="0"/>
                <w:color w:val="auto"/>
                <w:sz w:val="21"/>
                <w:highlight w:val="none"/>
                <w:u w:val="single"/>
              </w:rPr>
            </w:pPr>
            <w:r>
              <w:rPr>
                <w:rFonts w:hint="eastAsia" w:ascii="Times New Roman" w:hAnsi="Times New Roman" w:eastAsia="宋体" w:cs="Times New Roman"/>
                <w:i w:val="0"/>
                <w:iCs w:val="0"/>
                <w:color w:val="auto"/>
                <w:sz w:val="21"/>
                <w:highlight w:val="none"/>
                <w:u w:val="single"/>
              </w:rPr>
              <w:t>0.587</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kern w:val="0"/>
                <w:sz w:val="21"/>
                <w:highlight w:val="none"/>
                <w:u w:val="single"/>
              </w:rPr>
              <w:t>0.294</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0.587</w:t>
            </w:r>
          </w:p>
        </w:tc>
        <w:tc>
          <w:tcPr>
            <w:tcW w:w="1204"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0.293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汽车尾气</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pacing w:val="2"/>
                <w:sz w:val="21"/>
                <w:highlight w:val="none"/>
              </w:rPr>
            </w:pPr>
            <w:r>
              <w:rPr>
                <w:rFonts w:ascii="Times New Roman" w:hAnsi="Times New Roman" w:eastAsia="宋体" w:cs="Times New Roman"/>
                <w:color w:val="auto"/>
                <w:spacing w:val="2"/>
                <w:sz w:val="21"/>
                <w:highlight w:val="none"/>
              </w:rPr>
              <w:t>CO</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0.128</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i w:val="0"/>
                <w:iCs w:val="0"/>
                <w:color w:val="auto"/>
                <w:kern w:val="0"/>
                <w:sz w:val="21"/>
                <w:highlight w:val="none"/>
                <w:u w:val="single"/>
              </w:rPr>
            </w:pPr>
            <w:r>
              <w:rPr>
                <w:rFonts w:ascii="Times New Roman" w:hAnsi="Times New Roman" w:eastAsia="宋体" w:cs="Times New Roman"/>
                <w:i w:val="0"/>
                <w:iCs w:val="0"/>
                <w:color w:val="auto"/>
                <w:sz w:val="21"/>
                <w:highlight w:val="none"/>
                <w:u w:val="single"/>
              </w:rPr>
              <w:t>0.</w:t>
            </w:r>
            <w:r>
              <w:rPr>
                <w:rFonts w:hint="eastAsia" w:ascii="Times New Roman" w:hAnsi="Times New Roman" w:eastAsia="宋体" w:cs="Times New Roman"/>
                <w:i w:val="0"/>
                <w:iCs w:val="0"/>
                <w:color w:val="auto"/>
                <w:sz w:val="21"/>
                <w:highlight w:val="none"/>
                <w:u w:val="single"/>
              </w:rPr>
              <w:t>643</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kern w:val="0"/>
                <w:sz w:val="21"/>
                <w:highlight w:val="none"/>
                <w:u w:val="single"/>
              </w:rPr>
              <w:t>0.128</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643</w:t>
            </w:r>
          </w:p>
        </w:tc>
        <w:tc>
          <w:tcPr>
            <w:tcW w:w="1204"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515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pacing w:val="2"/>
                <w:sz w:val="21"/>
                <w:highlight w:val="none"/>
              </w:rPr>
            </w:pPr>
            <w:r>
              <w:rPr>
                <w:rFonts w:ascii="Times New Roman" w:hAnsi="Times New Roman" w:eastAsia="宋体" w:cs="Times New Roman"/>
                <w:color w:val="auto"/>
                <w:spacing w:val="2"/>
                <w:sz w:val="21"/>
                <w:highlight w:val="none"/>
              </w:rPr>
              <w:t>HC</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0.04</w:t>
            </w:r>
          </w:p>
        </w:tc>
        <w:tc>
          <w:tcPr>
            <w:tcW w:w="111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i w:val="0"/>
                <w:iCs w:val="0"/>
                <w:color w:val="auto"/>
                <w:kern w:val="0"/>
                <w:sz w:val="21"/>
                <w:highlight w:val="none"/>
                <w:u w:val="single"/>
              </w:rPr>
            </w:pPr>
            <w:r>
              <w:rPr>
                <w:rFonts w:ascii="Times New Roman" w:hAnsi="Times New Roman" w:eastAsia="宋体" w:cs="Times New Roman"/>
                <w:i w:val="0"/>
                <w:iCs w:val="0"/>
                <w:color w:val="auto"/>
                <w:sz w:val="21"/>
                <w:highlight w:val="none"/>
                <w:u w:val="single"/>
              </w:rPr>
              <w:t>0.</w:t>
            </w:r>
            <w:r>
              <w:rPr>
                <w:rFonts w:hint="eastAsia" w:ascii="Times New Roman" w:hAnsi="Times New Roman" w:eastAsia="宋体" w:cs="Times New Roman"/>
                <w:i w:val="0"/>
                <w:iCs w:val="0"/>
                <w:color w:val="auto"/>
                <w:sz w:val="21"/>
                <w:highlight w:val="none"/>
                <w:u w:val="single"/>
              </w:rPr>
              <w:t>203</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kern w:val="0"/>
                <w:sz w:val="21"/>
                <w:highlight w:val="none"/>
                <w:u w:val="single"/>
              </w:rPr>
              <w:t>0.04</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203</w:t>
            </w:r>
          </w:p>
        </w:tc>
        <w:tc>
          <w:tcPr>
            <w:tcW w:w="1204"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163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pacing w:val="2"/>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0.394</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i w:val="0"/>
                <w:iCs w:val="0"/>
                <w:color w:val="auto"/>
                <w:kern w:val="0"/>
                <w:sz w:val="21"/>
                <w:highlight w:val="none"/>
                <w:u w:val="single"/>
              </w:rPr>
            </w:pPr>
            <w:r>
              <w:rPr>
                <w:rFonts w:ascii="Times New Roman" w:hAnsi="Times New Roman" w:eastAsia="宋体" w:cs="Times New Roman"/>
                <w:i w:val="0"/>
                <w:iCs w:val="0"/>
                <w:color w:val="auto"/>
                <w:sz w:val="21"/>
                <w:highlight w:val="none"/>
                <w:u w:val="single"/>
              </w:rPr>
              <w:t>1.</w:t>
            </w:r>
            <w:r>
              <w:rPr>
                <w:rFonts w:hint="eastAsia" w:ascii="Times New Roman" w:hAnsi="Times New Roman" w:eastAsia="宋体" w:cs="Times New Roman"/>
                <w:i w:val="0"/>
                <w:iCs w:val="0"/>
                <w:color w:val="auto"/>
                <w:sz w:val="21"/>
                <w:highlight w:val="none"/>
                <w:u w:val="single"/>
              </w:rPr>
              <w:t>967</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kern w:val="0"/>
                <w:sz w:val="21"/>
                <w:highlight w:val="none"/>
                <w:u w:val="single"/>
              </w:rPr>
              <w:t>0.394</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967</w:t>
            </w:r>
          </w:p>
        </w:tc>
        <w:tc>
          <w:tcPr>
            <w:tcW w:w="1204"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+1.573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vMerge w:val="restart"/>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厨房</w:t>
            </w:r>
          </w:p>
        </w:tc>
        <w:tc>
          <w:tcPr>
            <w:tcW w:w="1192"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hint="eastAsia" w:ascii="Times New Roman" w:hAnsi="Times New Roman" w:eastAsia="宋体" w:cs="Times New Roman"/>
                <w:color w:val="auto"/>
                <w:kern w:val="0"/>
                <w:sz w:val="21"/>
                <w:highlight w:val="none"/>
              </w:rPr>
              <w:t>0.000196</w:t>
            </w:r>
          </w:p>
        </w:tc>
        <w:tc>
          <w:tcPr>
            <w:tcW w:w="111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i w:val="0"/>
                <w:iCs w:val="0"/>
                <w:color w:val="auto"/>
                <w:kern w:val="0"/>
                <w:sz w:val="21"/>
                <w:highlight w:val="none"/>
                <w:u w:val="single"/>
              </w:rPr>
            </w:pPr>
            <w:r>
              <w:rPr>
                <w:rFonts w:ascii="Times New Roman" w:hAnsi="Times New Roman" w:eastAsia="宋体" w:cs="Times New Roman"/>
                <w:bCs/>
                <w:i w:val="0"/>
                <w:iCs w:val="0"/>
                <w:color w:val="auto"/>
                <w:sz w:val="21"/>
                <w:highlight w:val="none"/>
                <w:u w:val="single"/>
              </w:rPr>
              <w:t>0.00</w:t>
            </w:r>
            <w:r>
              <w:rPr>
                <w:rFonts w:hint="eastAsia" w:ascii="Times New Roman" w:hAnsi="Times New Roman" w:eastAsia="宋体" w:cs="Times New Roman"/>
                <w:bCs/>
                <w:i w:val="0"/>
                <w:iCs w:val="0"/>
                <w:color w:val="auto"/>
                <w:sz w:val="21"/>
                <w:highlight w:val="none"/>
                <w:u w:val="single"/>
              </w:rPr>
              <w:t>0378</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u w:val="single"/>
              </w:rPr>
            </w:pPr>
            <w:r>
              <w:rPr>
                <w:rFonts w:hint="eastAsia" w:ascii="Times New Roman" w:hAnsi="Times New Roman" w:eastAsia="宋体" w:cs="Times New Roman"/>
                <w:color w:val="auto"/>
                <w:kern w:val="0"/>
                <w:sz w:val="21"/>
                <w:highlight w:val="none"/>
                <w:u w:val="single"/>
              </w:rPr>
              <w:t>0.000196</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0.00</w:t>
            </w:r>
            <w:r>
              <w:rPr>
                <w:rFonts w:hint="eastAsia" w:ascii="Times New Roman" w:hAnsi="Times New Roman" w:eastAsia="宋体" w:cs="Times New Roman"/>
                <w:bCs/>
                <w:color w:val="auto"/>
                <w:sz w:val="21"/>
                <w:highlight w:val="none"/>
              </w:rPr>
              <w:t>0378</w:t>
            </w:r>
          </w:p>
        </w:tc>
        <w:tc>
          <w:tcPr>
            <w:tcW w:w="1204"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0.000182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vMerge w:val="continue"/>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2"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SO</w:t>
            </w:r>
            <w:r>
              <w:rPr>
                <w:rFonts w:ascii="Times New Roman" w:hAnsi="Times New Roman" w:eastAsia="宋体" w:cs="Times New Roman"/>
                <w:color w:val="auto"/>
                <w:sz w:val="21"/>
                <w:highlight w:val="none"/>
                <w:vertAlign w:val="subscript"/>
              </w:rPr>
              <w:t>2</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hint="eastAsia" w:ascii="Times New Roman" w:hAnsi="Times New Roman" w:eastAsia="宋体" w:cs="Times New Roman"/>
                <w:color w:val="auto"/>
                <w:kern w:val="0"/>
                <w:sz w:val="21"/>
                <w:highlight w:val="none"/>
              </w:rPr>
              <w:t>0.000252</w:t>
            </w:r>
          </w:p>
        </w:tc>
        <w:tc>
          <w:tcPr>
            <w:tcW w:w="111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i w:val="0"/>
                <w:iCs w:val="0"/>
                <w:color w:val="auto"/>
                <w:kern w:val="0"/>
                <w:sz w:val="21"/>
                <w:highlight w:val="none"/>
                <w:u w:val="single"/>
              </w:rPr>
            </w:pPr>
            <w:r>
              <w:rPr>
                <w:rFonts w:ascii="Times New Roman" w:hAnsi="Times New Roman" w:eastAsia="宋体" w:cs="Times New Roman"/>
                <w:i w:val="0"/>
                <w:iCs w:val="0"/>
                <w:color w:val="auto"/>
                <w:sz w:val="21"/>
                <w:highlight w:val="none"/>
                <w:u w:val="single"/>
              </w:rPr>
              <w:t>0.000</w:t>
            </w:r>
            <w:r>
              <w:rPr>
                <w:rFonts w:hint="eastAsia" w:ascii="Times New Roman" w:hAnsi="Times New Roman" w:eastAsia="宋体" w:cs="Times New Roman"/>
                <w:i w:val="0"/>
                <w:iCs w:val="0"/>
                <w:color w:val="auto"/>
                <w:sz w:val="21"/>
                <w:highlight w:val="none"/>
                <w:u w:val="single"/>
              </w:rPr>
              <w:t>486</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kern w:val="0"/>
                <w:sz w:val="21"/>
                <w:highlight w:val="none"/>
                <w:u w:val="single"/>
              </w:rPr>
              <w:t>0.000252</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0.000</w:t>
            </w:r>
            <w:r>
              <w:rPr>
                <w:rFonts w:hint="eastAsia" w:ascii="Times New Roman" w:hAnsi="Times New Roman" w:eastAsia="宋体" w:cs="Times New Roman"/>
                <w:color w:val="auto"/>
                <w:sz w:val="21"/>
                <w:highlight w:val="none"/>
              </w:rPr>
              <w:t>486</w:t>
            </w:r>
          </w:p>
        </w:tc>
        <w:tc>
          <w:tcPr>
            <w:tcW w:w="1204"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0.000234</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vMerge w:val="continue"/>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2"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hint="eastAsia" w:ascii="Times New Roman" w:hAnsi="Times New Roman" w:eastAsia="宋体" w:cs="Times New Roman"/>
                <w:color w:val="auto"/>
                <w:kern w:val="0"/>
                <w:sz w:val="21"/>
                <w:highlight w:val="none"/>
              </w:rPr>
              <w:t>0.002464</w:t>
            </w:r>
          </w:p>
        </w:tc>
        <w:tc>
          <w:tcPr>
            <w:tcW w:w="111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i w:val="0"/>
                <w:iCs w:val="0"/>
                <w:color w:val="auto"/>
                <w:kern w:val="0"/>
                <w:sz w:val="21"/>
                <w:highlight w:val="none"/>
                <w:u w:val="single"/>
              </w:rPr>
            </w:pPr>
            <w:r>
              <w:rPr>
                <w:rFonts w:ascii="Times New Roman" w:hAnsi="Times New Roman" w:eastAsia="宋体" w:cs="Times New Roman"/>
                <w:i w:val="0"/>
                <w:iCs w:val="0"/>
                <w:color w:val="auto"/>
                <w:sz w:val="21"/>
                <w:highlight w:val="none"/>
                <w:u w:val="single"/>
              </w:rPr>
              <w:t>0.00</w:t>
            </w:r>
            <w:r>
              <w:rPr>
                <w:rFonts w:hint="eastAsia" w:ascii="Times New Roman" w:hAnsi="Times New Roman" w:eastAsia="宋体" w:cs="Times New Roman"/>
                <w:i w:val="0"/>
                <w:iCs w:val="0"/>
                <w:color w:val="auto"/>
                <w:sz w:val="21"/>
                <w:highlight w:val="none"/>
                <w:u w:val="single"/>
              </w:rPr>
              <w:t>4752</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kern w:val="0"/>
                <w:sz w:val="21"/>
                <w:highlight w:val="none"/>
                <w:u w:val="single"/>
              </w:rPr>
              <w:t>0.002464</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w:t>
            </w:r>
            <w:r>
              <w:rPr>
                <w:rFonts w:hint="eastAsia" w:ascii="Times New Roman" w:hAnsi="Times New Roman" w:eastAsia="宋体" w:cs="Times New Roman"/>
                <w:color w:val="auto"/>
                <w:sz w:val="21"/>
                <w:highlight w:val="none"/>
              </w:rPr>
              <w:t>4752</w:t>
            </w:r>
          </w:p>
        </w:tc>
        <w:tc>
          <w:tcPr>
            <w:tcW w:w="1204"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0.002288</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restart"/>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有组织</w:t>
            </w:r>
          </w:p>
        </w:tc>
        <w:tc>
          <w:tcPr>
            <w:tcW w:w="1457" w:type="dxa"/>
            <w:vMerge w:val="continue"/>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油烟</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0.00</w:t>
            </w:r>
            <w:r>
              <w:rPr>
                <w:rFonts w:hint="eastAsia" w:ascii="Times New Roman" w:hAnsi="Times New Roman" w:eastAsia="宋体" w:cs="Times New Roman"/>
                <w:bCs/>
                <w:color w:val="auto"/>
                <w:sz w:val="21"/>
                <w:highlight w:val="none"/>
              </w:rPr>
              <w:t>63</w:t>
            </w:r>
          </w:p>
        </w:tc>
        <w:tc>
          <w:tcPr>
            <w:tcW w:w="111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i w:val="0"/>
                <w:iCs w:val="0"/>
                <w:color w:val="auto"/>
                <w:kern w:val="0"/>
                <w:sz w:val="21"/>
                <w:highlight w:val="none"/>
                <w:u w:val="single"/>
              </w:rPr>
            </w:pPr>
            <w:r>
              <w:rPr>
                <w:rFonts w:ascii="Times New Roman" w:hAnsi="Times New Roman" w:eastAsia="宋体" w:cs="Times New Roman"/>
                <w:bCs/>
                <w:i w:val="0"/>
                <w:iCs w:val="0"/>
                <w:color w:val="auto"/>
                <w:sz w:val="21"/>
                <w:highlight w:val="none"/>
                <w:u w:val="single"/>
              </w:rPr>
              <w:t>0.00</w:t>
            </w:r>
            <w:r>
              <w:rPr>
                <w:rFonts w:hint="eastAsia" w:ascii="Times New Roman" w:hAnsi="Times New Roman" w:eastAsia="宋体" w:cs="Times New Roman"/>
                <w:bCs/>
                <w:i w:val="0"/>
                <w:iCs w:val="0"/>
                <w:color w:val="auto"/>
                <w:sz w:val="21"/>
                <w:highlight w:val="none"/>
                <w:u w:val="single"/>
              </w:rPr>
              <w:t>243</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bCs/>
                <w:color w:val="auto"/>
                <w:sz w:val="21"/>
                <w:highlight w:val="none"/>
                <w:u w:val="single"/>
              </w:rPr>
              <w:t>0.00</w:t>
            </w:r>
            <w:r>
              <w:rPr>
                <w:rFonts w:hint="eastAsia" w:ascii="Times New Roman" w:hAnsi="Times New Roman" w:eastAsia="宋体" w:cs="Times New Roman"/>
                <w:bCs/>
                <w:color w:val="auto"/>
                <w:sz w:val="21"/>
                <w:highlight w:val="none"/>
                <w:u w:val="single"/>
              </w:rPr>
              <w:t>63</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0.00</w:t>
            </w:r>
            <w:r>
              <w:rPr>
                <w:rFonts w:hint="eastAsia" w:ascii="Times New Roman" w:hAnsi="Times New Roman" w:eastAsia="宋体" w:cs="Times New Roman"/>
                <w:bCs/>
                <w:color w:val="auto"/>
                <w:sz w:val="21"/>
                <w:highlight w:val="none"/>
              </w:rPr>
              <w:t>243</w:t>
            </w:r>
          </w:p>
        </w:tc>
        <w:tc>
          <w:tcPr>
            <w:tcW w:w="1204"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-0.00387</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w:t>
            </w:r>
            <w:r>
              <w:rPr>
                <w:rFonts w:ascii="Times New Roman" w:hAnsi="Times New Roman" w:eastAsia="宋体" w:cs="Times New Roman"/>
                <w:color w:val="auto"/>
                <w:sz w:val="21"/>
                <w:highlight w:val="none"/>
              </w:rPr>
              <w:t>破碎</w:t>
            </w:r>
          </w:p>
        </w:tc>
        <w:tc>
          <w:tcPr>
            <w:tcW w:w="1192"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338</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338</w:t>
            </w:r>
          </w:p>
        </w:tc>
        <w:tc>
          <w:tcPr>
            <w:tcW w:w="1204"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0.338</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二级破碎筛分</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0.676</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0.676</w:t>
            </w:r>
          </w:p>
        </w:tc>
        <w:tc>
          <w:tcPr>
            <w:tcW w:w="1204"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0.676</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41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39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none"/>
              </w:rPr>
            </w:pPr>
            <w:r>
              <w:rPr>
                <w:rFonts w:ascii="Times New Roman" w:hAnsi="Times New Roman" w:eastAsia="宋体" w:cs="Times New Roman"/>
                <w:color w:val="auto"/>
                <w:sz w:val="21"/>
                <w:highlight w:val="none"/>
                <w:u w:val="none"/>
              </w:rPr>
              <w:t>0</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none"/>
              </w:rPr>
            </w:pPr>
            <w:r>
              <w:rPr>
                <w:rFonts w:ascii="Times New Roman" w:hAnsi="Times New Roman" w:eastAsia="宋体" w:cs="Times New Roman"/>
                <w:color w:val="auto"/>
                <w:kern w:val="0"/>
                <w:sz w:val="21"/>
                <w:highlight w:val="none"/>
                <w:u w:val="none"/>
              </w:rPr>
              <w:t>0.</w:t>
            </w:r>
            <w:r>
              <w:rPr>
                <w:rFonts w:hint="eastAsia" w:ascii="Times New Roman" w:hAnsi="Times New Roman" w:eastAsia="宋体" w:cs="Times New Roman"/>
                <w:color w:val="auto"/>
                <w:kern w:val="0"/>
                <w:sz w:val="21"/>
                <w:highlight w:val="none"/>
                <w:u w:val="none"/>
              </w:rPr>
              <w:t>743</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none"/>
              </w:rPr>
            </w:pPr>
            <w:r>
              <w:rPr>
                <w:rFonts w:ascii="Times New Roman" w:hAnsi="Times New Roman" w:eastAsia="宋体" w:cs="Times New Roman"/>
                <w:color w:val="auto"/>
                <w:sz w:val="21"/>
                <w:highlight w:val="none"/>
                <w:u w:val="none"/>
              </w:rPr>
              <w:t>0</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none"/>
              </w:rPr>
            </w:pPr>
            <w:r>
              <w:rPr>
                <w:rFonts w:ascii="Times New Roman" w:hAnsi="Times New Roman" w:eastAsia="宋体" w:cs="Times New Roman"/>
                <w:color w:val="auto"/>
                <w:kern w:val="0"/>
                <w:sz w:val="21"/>
                <w:highlight w:val="none"/>
                <w:u w:val="none"/>
              </w:rPr>
              <w:t>0.</w:t>
            </w:r>
            <w:r>
              <w:rPr>
                <w:rFonts w:hint="eastAsia" w:ascii="Times New Roman" w:hAnsi="Times New Roman" w:eastAsia="宋体" w:cs="Times New Roman"/>
                <w:color w:val="auto"/>
                <w:kern w:val="0"/>
                <w:sz w:val="21"/>
                <w:highlight w:val="none"/>
                <w:u w:val="none"/>
              </w:rPr>
              <w:t>743</w:t>
            </w:r>
          </w:p>
        </w:tc>
        <w:tc>
          <w:tcPr>
            <w:tcW w:w="1204" w:type="dxa"/>
            <w:noWrap w:val="0"/>
            <w:vAlign w:val="bottom"/>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none"/>
              </w:rPr>
            </w:pPr>
            <w:r>
              <w:rPr>
                <w:rFonts w:hint="eastAsia" w:ascii="Times New Roman" w:hAnsi="Times New Roman" w:eastAsia="宋体" w:cs="Times New Roman"/>
                <w:color w:val="auto"/>
                <w:sz w:val="21"/>
                <w:highlight w:val="none"/>
                <w:u w:val="none"/>
              </w:rPr>
              <w:t>+</w:t>
            </w:r>
            <w:r>
              <w:rPr>
                <w:rFonts w:ascii="Times New Roman" w:hAnsi="Times New Roman" w:eastAsia="宋体" w:cs="Times New Roman"/>
                <w:color w:val="auto"/>
                <w:sz w:val="21"/>
                <w:highlight w:val="none"/>
                <w:u w:val="none"/>
              </w:rPr>
              <w:t>0.743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803" w:type="dxa"/>
            <w:gridSpan w:val="2"/>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w:t>
            </w:r>
          </w:p>
        </w:tc>
        <w:tc>
          <w:tcPr>
            <w:tcW w:w="1457"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初期雨水</w:t>
            </w:r>
          </w:p>
        </w:tc>
        <w:tc>
          <w:tcPr>
            <w:tcW w:w="1192"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pacing w:val="-2"/>
                <w:kern w:val="0"/>
                <w:sz w:val="21"/>
                <w:highlight w:val="none"/>
                <w:u w:val="single"/>
              </w:rPr>
            </w:pPr>
            <w:r>
              <w:rPr>
                <w:rFonts w:hint="eastAsia" w:cs="Times New Roman"/>
                <w:color w:val="auto"/>
                <w:sz w:val="21"/>
                <w:highlight w:val="none"/>
                <w:u w:val="single"/>
                <w:lang w:val="en-US" w:eastAsia="zh-CN"/>
              </w:rPr>
              <w:t>380.3</w:t>
            </w:r>
            <w:r>
              <w:rPr>
                <w:rFonts w:ascii="Times New Roman" w:hAnsi="Times New Roman" w:eastAsia="宋体" w:cs="Times New Roman"/>
                <w:color w:val="auto"/>
                <w:sz w:val="21"/>
                <w:highlight w:val="none"/>
                <w:u w:val="single"/>
              </w:rPr>
              <w:t>m</w:t>
            </w:r>
            <w:r>
              <w:rPr>
                <w:rFonts w:ascii="Times New Roman" w:hAnsi="Times New Roman" w:eastAsia="宋体" w:cs="Times New Roman"/>
                <w:color w:val="auto"/>
                <w:sz w:val="21"/>
                <w:highlight w:val="none"/>
                <w:u w:val="single"/>
                <w:vertAlign w:val="superscript"/>
              </w:rPr>
              <w:t>3</w:t>
            </w:r>
            <w:r>
              <w:rPr>
                <w:rFonts w:ascii="Times New Roman" w:hAnsi="Times New Roman" w:eastAsia="宋体" w:cs="Times New Roman"/>
                <w:color w:val="auto"/>
                <w:sz w:val="21"/>
                <w:highlight w:val="none"/>
                <w:u w:val="single"/>
              </w:rPr>
              <w:t>/次</w:t>
            </w:r>
          </w:p>
        </w:tc>
        <w:tc>
          <w:tcPr>
            <w:tcW w:w="1110"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u w:val="single"/>
              </w:rPr>
            </w:pPr>
            <w:r>
              <w:rPr>
                <w:rFonts w:hint="eastAsia" w:cs="Times New Roman"/>
                <w:color w:val="auto"/>
                <w:sz w:val="21"/>
                <w:highlight w:val="none"/>
                <w:u w:val="single"/>
                <w:lang w:val="en-US" w:eastAsia="zh-CN"/>
              </w:rPr>
              <w:t>401</w:t>
            </w:r>
            <w:r>
              <w:rPr>
                <w:rFonts w:ascii="Times New Roman" w:hAnsi="Times New Roman" w:eastAsia="宋体" w:cs="Times New Roman"/>
                <w:color w:val="auto"/>
                <w:sz w:val="21"/>
                <w:highlight w:val="none"/>
                <w:u w:val="single"/>
              </w:rPr>
              <w:t>m</w:t>
            </w:r>
            <w:r>
              <w:rPr>
                <w:rFonts w:ascii="Times New Roman" w:hAnsi="Times New Roman" w:eastAsia="宋体" w:cs="Times New Roman"/>
                <w:color w:val="auto"/>
                <w:sz w:val="21"/>
                <w:highlight w:val="none"/>
                <w:u w:val="single"/>
                <w:vertAlign w:val="superscript"/>
              </w:rPr>
              <w:t>3</w:t>
            </w:r>
            <w:r>
              <w:rPr>
                <w:rFonts w:ascii="Times New Roman" w:hAnsi="Times New Roman" w:eastAsia="宋体" w:cs="Times New Roman"/>
                <w:color w:val="auto"/>
                <w:sz w:val="21"/>
                <w:highlight w:val="none"/>
                <w:u w:val="single"/>
              </w:rPr>
              <w:t>/次</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cs="Times New Roman"/>
                <w:color w:val="auto"/>
                <w:sz w:val="21"/>
                <w:highlight w:val="none"/>
                <w:u w:val="single"/>
                <w:lang w:val="en-US" w:eastAsia="zh-CN"/>
              </w:rPr>
              <w:t>380.3</w:t>
            </w:r>
            <w:r>
              <w:rPr>
                <w:rFonts w:ascii="Times New Roman" w:hAnsi="Times New Roman" w:eastAsia="宋体" w:cs="Times New Roman"/>
                <w:color w:val="auto"/>
                <w:sz w:val="21"/>
                <w:highlight w:val="none"/>
                <w:u w:val="single"/>
              </w:rPr>
              <w:t>m</w:t>
            </w:r>
            <w:r>
              <w:rPr>
                <w:rFonts w:ascii="Times New Roman" w:hAnsi="Times New Roman" w:eastAsia="宋体" w:cs="Times New Roman"/>
                <w:color w:val="auto"/>
                <w:sz w:val="21"/>
                <w:highlight w:val="none"/>
                <w:u w:val="single"/>
                <w:vertAlign w:val="superscript"/>
              </w:rPr>
              <w:t>3</w:t>
            </w:r>
            <w:r>
              <w:rPr>
                <w:rFonts w:ascii="Times New Roman" w:hAnsi="Times New Roman" w:eastAsia="宋体" w:cs="Times New Roman"/>
                <w:color w:val="auto"/>
                <w:sz w:val="21"/>
                <w:highlight w:val="none"/>
                <w:u w:val="single"/>
              </w:rPr>
              <w:t>/次</w:t>
            </w:r>
          </w:p>
        </w:tc>
        <w:tc>
          <w:tcPr>
            <w:tcW w:w="1130"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u w:val="single"/>
              </w:rPr>
            </w:pPr>
            <w:r>
              <w:rPr>
                <w:rFonts w:hint="eastAsia" w:cs="Times New Roman"/>
                <w:color w:val="auto"/>
                <w:sz w:val="21"/>
                <w:highlight w:val="none"/>
                <w:u w:val="single"/>
                <w:lang w:val="en-US" w:eastAsia="zh-CN"/>
              </w:rPr>
              <w:t>401</w:t>
            </w:r>
            <w:r>
              <w:rPr>
                <w:rFonts w:ascii="Times New Roman" w:hAnsi="Times New Roman" w:eastAsia="宋体" w:cs="Times New Roman"/>
                <w:color w:val="auto"/>
                <w:sz w:val="21"/>
                <w:highlight w:val="none"/>
                <w:u w:val="single"/>
              </w:rPr>
              <w:t>m</w:t>
            </w:r>
            <w:r>
              <w:rPr>
                <w:rFonts w:ascii="Times New Roman" w:hAnsi="Times New Roman" w:eastAsia="宋体" w:cs="Times New Roman"/>
                <w:color w:val="auto"/>
                <w:sz w:val="21"/>
                <w:highlight w:val="none"/>
                <w:u w:val="single"/>
                <w:vertAlign w:val="superscript"/>
              </w:rPr>
              <w:t>3</w:t>
            </w:r>
            <w:r>
              <w:rPr>
                <w:rFonts w:ascii="Times New Roman" w:hAnsi="Times New Roman" w:eastAsia="宋体" w:cs="Times New Roman"/>
                <w:color w:val="auto"/>
                <w:sz w:val="21"/>
                <w:highlight w:val="none"/>
                <w:u w:val="single"/>
              </w:rPr>
              <w:t>/次</w:t>
            </w:r>
          </w:p>
        </w:tc>
        <w:tc>
          <w:tcPr>
            <w:tcW w:w="120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u w:val="single"/>
                <w:lang w:bidi="ar"/>
              </w:rPr>
            </w:pPr>
            <w:r>
              <w:rPr>
                <w:rFonts w:hint="eastAsia" w:ascii="Times New Roman" w:hAnsi="Times New Roman" w:eastAsia="宋体" w:cs="Times New Roman"/>
                <w:color w:val="auto"/>
                <w:sz w:val="21"/>
                <w:highlight w:val="none"/>
                <w:u w:val="single"/>
              </w:rPr>
              <w:t>+</w:t>
            </w:r>
            <w:r>
              <w:rPr>
                <w:rFonts w:hint="eastAsia" w:cs="Times New Roman"/>
                <w:color w:val="auto"/>
                <w:sz w:val="21"/>
                <w:highlight w:val="none"/>
                <w:u w:val="single"/>
                <w:lang w:val="en-US" w:eastAsia="zh-CN"/>
              </w:rPr>
              <w:t>20.7</w:t>
            </w:r>
            <w:r>
              <w:rPr>
                <w:rFonts w:ascii="Times New Roman" w:hAnsi="Times New Roman" w:eastAsia="宋体" w:cs="Times New Roman"/>
                <w:color w:val="auto"/>
                <w:sz w:val="21"/>
                <w:highlight w:val="none"/>
                <w:u w:val="single"/>
              </w:rPr>
              <w:t>m</w:t>
            </w:r>
            <w:r>
              <w:rPr>
                <w:rFonts w:ascii="Times New Roman" w:hAnsi="Times New Roman" w:eastAsia="宋体" w:cs="Times New Roman"/>
                <w:color w:val="auto"/>
                <w:sz w:val="21"/>
                <w:highlight w:val="none"/>
                <w:u w:val="single"/>
                <w:vertAlign w:val="superscript"/>
              </w:rPr>
              <w:t>3</w:t>
            </w:r>
            <w:r>
              <w:rPr>
                <w:rFonts w:ascii="Times New Roman" w:hAnsi="Times New Roman" w:eastAsia="宋体" w:cs="Times New Roman"/>
                <w:color w:val="auto"/>
                <w:sz w:val="21"/>
                <w:highlight w:val="none"/>
                <w:u w:val="single"/>
              </w:rPr>
              <w:t>/次</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803" w:type="dxa"/>
            <w:gridSpan w:val="2"/>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车辆清洗</w:t>
            </w:r>
          </w:p>
        </w:tc>
        <w:tc>
          <w:tcPr>
            <w:tcW w:w="1192" w:type="dxa"/>
            <w:noWrap w:val="0"/>
            <w:vAlign w:val="center"/>
          </w:tcPr>
          <w:p>
            <w:pPr>
              <w:tabs>
                <w:tab w:val="left" w:pos="624"/>
              </w:tabs>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bCs/>
                <w:color w:val="auto"/>
                <w:sz w:val="21"/>
                <w:highlight w:val="none"/>
              </w:rPr>
              <w:t>废水量</w:t>
            </w:r>
          </w:p>
        </w:tc>
        <w:tc>
          <w:tcPr>
            <w:tcW w:w="111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pacing w:val="-2"/>
                <w:kern w:val="0"/>
                <w:sz w:val="21"/>
                <w:highlight w:val="none"/>
              </w:rPr>
              <w:t>0</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pacing w:val="-2"/>
                <w:kern w:val="0"/>
                <w:sz w:val="21"/>
                <w:highlight w:val="none"/>
              </w:rPr>
              <w:t>840</w:t>
            </w:r>
          </w:p>
        </w:tc>
        <w:tc>
          <w:tcPr>
            <w:tcW w:w="1065"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130"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840</w:t>
            </w:r>
          </w:p>
        </w:tc>
        <w:tc>
          <w:tcPr>
            <w:tcW w:w="120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+840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803" w:type="dxa"/>
            <w:gridSpan w:val="2"/>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tabs>
                <w:tab w:val="left" w:pos="624"/>
              </w:tabs>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洗砂废水</w:t>
            </w:r>
          </w:p>
        </w:tc>
        <w:tc>
          <w:tcPr>
            <w:tcW w:w="1192" w:type="dxa"/>
            <w:noWrap w:val="0"/>
            <w:vAlign w:val="center"/>
          </w:tcPr>
          <w:p>
            <w:pPr>
              <w:tabs>
                <w:tab w:val="left" w:pos="624"/>
              </w:tabs>
              <w:adjustRightInd w:val="0"/>
              <w:snapToGrid w:val="0"/>
              <w:spacing w:line="240" w:lineRule="auto"/>
              <w:ind w:firstLine="0" w:firstLineChars="0"/>
              <w:jc w:val="center"/>
              <w:rPr>
                <w:rFonts w:hint="eastAsia" w:ascii="Times New Roman" w:hAnsi="Times New Roman" w:eastAsia="宋体" w:cs="Times New Roman"/>
                <w:bCs/>
                <w:color w:val="auto"/>
                <w:sz w:val="21"/>
                <w:highlight w:val="none"/>
              </w:rPr>
            </w:pPr>
            <w:r>
              <w:rPr>
                <w:rFonts w:hint="eastAsia" w:ascii="Times New Roman" w:hAnsi="Times New Roman" w:eastAsia="宋体" w:cs="Times New Roman"/>
                <w:bCs/>
                <w:color w:val="auto"/>
                <w:sz w:val="21"/>
                <w:highlight w:val="none"/>
              </w:rPr>
              <w:t>废水量</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pacing w:val="-2"/>
                <w:kern w:val="0"/>
                <w:sz w:val="21"/>
                <w:highlight w:val="none"/>
              </w:rPr>
            </w:pPr>
            <w:r>
              <w:rPr>
                <w:rFonts w:hint="eastAsia" w:ascii="Times New Roman" w:hAnsi="Times New Roman" w:eastAsia="宋体" w:cs="Times New Roman"/>
                <w:color w:val="auto"/>
                <w:spacing w:val="-2"/>
                <w:kern w:val="0"/>
                <w:sz w:val="21"/>
                <w:highlight w:val="none"/>
              </w:rPr>
              <w:t>15000</w:t>
            </w:r>
          </w:p>
        </w:tc>
        <w:tc>
          <w:tcPr>
            <w:tcW w:w="1110"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pacing w:val="-2"/>
                <w:kern w:val="0"/>
                <w:sz w:val="21"/>
                <w:highlight w:val="none"/>
                <w:u w:val="single"/>
              </w:rPr>
            </w:pPr>
            <w:r>
              <w:rPr>
                <w:rFonts w:hint="eastAsia" w:ascii="Times New Roman" w:hAnsi="Times New Roman" w:eastAsia="宋体" w:cs="Times New Roman"/>
                <w:color w:val="auto"/>
                <w:sz w:val="21"/>
                <w:highlight w:val="none"/>
                <w:u w:val="single"/>
              </w:rPr>
              <w:t>75000</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pacing w:val="-2"/>
                <w:kern w:val="0"/>
                <w:sz w:val="21"/>
                <w:highlight w:val="none"/>
                <w:u w:val="single"/>
              </w:rPr>
              <w:t>15000</w:t>
            </w:r>
          </w:p>
        </w:tc>
        <w:tc>
          <w:tcPr>
            <w:tcW w:w="1130"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75000</w:t>
            </w:r>
          </w:p>
        </w:tc>
        <w:tc>
          <w:tcPr>
            <w:tcW w:w="120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+60000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803" w:type="dxa"/>
            <w:gridSpan w:val="2"/>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综合</w:t>
            </w:r>
            <w:r>
              <w:rPr>
                <w:rFonts w:ascii="Times New Roman" w:hAnsi="Times New Roman" w:eastAsia="宋体" w:cs="Times New Roman"/>
                <w:color w:val="auto"/>
                <w:sz w:val="21"/>
                <w:highlight w:val="none"/>
              </w:rPr>
              <w:t>污水</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980</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1</w:t>
            </w:r>
            <w:r>
              <w:rPr>
                <w:rFonts w:hint="eastAsia" w:ascii="Times New Roman" w:hAnsi="Times New Roman" w:eastAsia="宋体" w:cs="Times New Roman"/>
                <w:color w:val="auto"/>
                <w:sz w:val="21"/>
                <w:highlight w:val="none"/>
                <w:u w:val="single"/>
              </w:rPr>
              <w:t>89</w:t>
            </w:r>
            <w:r>
              <w:rPr>
                <w:rFonts w:ascii="Times New Roman" w:hAnsi="Times New Roman" w:eastAsia="宋体" w:cs="Times New Roman"/>
                <w:color w:val="auto"/>
                <w:sz w:val="21"/>
                <w:highlight w:val="none"/>
                <w:u w:val="single"/>
              </w:rPr>
              <w:t>0</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kern w:val="0"/>
                <w:sz w:val="21"/>
                <w:highlight w:val="none"/>
                <w:u w:val="single"/>
              </w:rPr>
              <w:t>980</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89</w:t>
            </w:r>
            <w:r>
              <w:rPr>
                <w:rFonts w:ascii="Times New Roman" w:hAnsi="Times New Roman" w:eastAsia="宋体" w:cs="Times New Roman"/>
                <w:color w:val="auto"/>
                <w:sz w:val="21"/>
                <w:highlight w:val="none"/>
              </w:rPr>
              <w:t>0</w:t>
            </w:r>
          </w:p>
        </w:tc>
        <w:tc>
          <w:tcPr>
            <w:tcW w:w="120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910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803" w:type="dxa"/>
            <w:gridSpan w:val="2"/>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vMerge w:val="continue"/>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2"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COD</w:t>
            </w:r>
            <w:r>
              <w:rPr>
                <w:rFonts w:ascii="Times New Roman" w:hAnsi="Times New Roman" w:eastAsia="宋体" w:cs="Times New Roman"/>
                <w:color w:val="auto"/>
                <w:sz w:val="21"/>
                <w:highlight w:val="none"/>
                <w:vertAlign w:val="subscript"/>
              </w:rPr>
              <w:t>Cr</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0.364</w:t>
            </w:r>
          </w:p>
        </w:tc>
        <w:tc>
          <w:tcPr>
            <w:tcW w:w="1110" w:type="dxa"/>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0.</w:t>
            </w:r>
            <w:r>
              <w:rPr>
                <w:rFonts w:hint="eastAsia" w:ascii="Times New Roman" w:hAnsi="Times New Roman" w:eastAsia="宋体" w:cs="Times New Roman"/>
                <w:color w:val="auto"/>
                <w:sz w:val="21"/>
                <w:highlight w:val="none"/>
                <w:u w:val="single"/>
              </w:rPr>
              <w:t>597</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kern w:val="0"/>
                <w:sz w:val="21"/>
                <w:highlight w:val="none"/>
                <w:u w:val="single"/>
              </w:rPr>
              <w:t>0.364</w:t>
            </w:r>
          </w:p>
        </w:tc>
        <w:tc>
          <w:tcPr>
            <w:tcW w:w="1130" w:type="dxa"/>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597</w:t>
            </w:r>
          </w:p>
        </w:tc>
        <w:tc>
          <w:tcPr>
            <w:tcW w:w="1204"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233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803" w:type="dxa"/>
            <w:gridSpan w:val="2"/>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vMerge w:val="continue"/>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2"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BOD</w:t>
            </w:r>
            <w:r>
              <w:rPr>
                <w:rFonts w:ascii="Times New Roman" w:hAnsi="Times New Roman" w:eastAsia="宋体" w:cs="Times New Roman"/>
                <w:color w:val="auto"/>
                <w:sz w:val="21"/>
                <w:highlight w:val="none"/>
                <w:vertAlign w:val="subscript"/>
              </w:rPr>
              <w:t>5</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0.233</w:t>
            </w:r>
          </w:p>
        </w:tc>
        <w:tc>
          <w:tcPr>
            <w:tcW w:w="1110" w:type="dxa"/>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0.</w:t>
            </w:r>
            <w:r>
              <w:rPr>
                <w:rFonts w:hint="eastAsia" w:ascii="Times New Roman" w:hAnsi="Times New Roman" w:eastAsia="宋体" w:cs="Times New Roman"/>
                <w:color w:val="auto"/>
                <w:sz w:val="21"/>
                <w:highlight w:val="none"/>
                <w:u w:val="single"/>
              </w:rPr>
              <w:t>413</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kern w:val="0"/>
                <w:sz w:val="21"/>
                <w:highlight w:val="none"/>
                <w:u w:val="single"/>
              </w:rPr>
              <w:t>0.233</w:t>
            </w:r>
          </w:p>
        </w:tc>
        <w:tc>
          <w:tcPr>
            <w:tcW w:w="1130" w:type="dxa"/>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413</w:t>
            </w:r>
          </w:p>
        </w:tc>
        <w:tc>
          <w:tcPr>
            <w:tcW w:w="1204"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18</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803" w:type="dxa"/>
            <w:gridSpan w:val="2"/>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vMerge w:val="continue"/>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2"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SS</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0.22</w:t>
            </w:r>
          </w:p>
        </w:tc>
        <w:tc>
          <w:tcPr>
            <w:tcW w:w="1110" w:type="dxa"/>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0.</w:t>
            </w:r>
            <w:r>
              <w:rPr>
                <w:rFonts w:hint="eastAsia" w:ascii="Times New Roman" w:hAnsi="Times New Roman" w:eastAsia="宋体" w:cs="Times New Roman"/>
                <w:color w:val="auto"/>
                <w:sz w:val="21"/>
                <w:highlight w:val="none"/>
                <w:u w:val="single"/>
              </w:rPr>
              <w:t>302</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kern w:val="0"/>
                <w:sz w:val="21"/>
                <w:highlight w:val="none"/>
                <w:u w:val="single"/>
              </w:rPr>
              <w:t>0.22</w:t>
            </w:r>
          </w:p>
        </w:tc>
        <w:tc>
          <w:tcPr>
            <w:tcW w:w="1130" w:type="dxa"/>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302</w:t>
            </w:r>
          </w:p>
        </w:tc>
        <w:tc>
          <w:tcPr>
            <w:tcW w:w="1204"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082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803" w:type="dxa"/>
            <w:gridSpan w:val="2"/>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vMerge w:val="continue"/>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2"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NH</w:t>
            </w:r>
            <w:r>
              <w:rPr>
                <w:rFonts w:ascii="Times New Roman" w:hAnsi="Times New Roman" w:eastAsia="宋体" w:cs="Times New Roman"/>
                <w:color w:val="auto"/>
                <w:sz w:val="21"/>
                <w:highlight w:val="none"/>
                <w:vertAlign w:val="subscript"/>
              </w:rPr>
              <w:t>3</w:t>
            </w:r>
            <w:r>
              <w:rPr>
                <w:rFonts w:ascii="Times New Roman" w:hAnsi="Times New Roman" w:eastAsia="宋体" w:cs="Times New Roman"/>
                <w:color w:val="auto"/>
                <w:sz w:val="21"/>
                <w:highlight w:val="none"/>
              </w:rPr>
              <w:t>-N</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0.0265</w:t>
            </w:r>
          </w:p>
        </w:tc>
        <w:tc>
          <w:tcPr>
            <w:tcW w:w="1110" w:type="dxa"/>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0.</w:t>
            </w:r>
            <w:r>
              <w:rPr>
                <w:rFonts w:hint="eastAsia" w:ascii="Times New Roman" w:hAnsi="Times New Roman" w:eastAsia="宋体" w:cs="Times New Roman"/>
                <w:color w:val="auto"/>
                <w:sz w:val="21"/>
                <w:highlight w:val="none"/>
                <w:u w:val="single"/>
              </w:rPr>
              <w:t>052</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kern w:val="0"/>
                <w:sz w:val="21"/>
                <w:highlight w:val="none"/>
                <w:u w:val="single"/>
              </w:rPr>
              <w:t>0.0265</w:t>
            </w:r>
          </w:p>
        </w:tc>
        <w:tc>
          <w:tcPr>
            <w:tcW w:w="1130" w:type="dxa"/>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052</w:t>
            </w:r>
          </w:p>
        </w:tc>
        <w:tc>
          <w:tcPr>
            <w:tcW w:w="1204"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+0.02</w:t>
            </w:r>
            <w:r>
              <w:rPr>
                <w:rFonts w:hint="eastAsia" w:ascii="Times New Roman" w:hAnsi="Times New Roman" w:eastAsia="宋体" w:cs="Times New Roman"/>
                <w:color w:val="auto"/>
                <w:sz w:val="21"/>
                <w:highlight w:val="none"/>
              </w:rPr>
              <w:t>55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803" w:type="dxa"/>
            <w:gridSpan w:val="2"/>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vMerge w:val="continue"/>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2"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动植物油</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0.042</w:t>
            </w:r>
          </w:p>
        </w:tc>
        <w:tc>
          <w:tcPr>
            <w:tcW w:w="1110" w:type="dxa"/>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0.0</w:t>
            </w:r>
            <w:r>
              <w:rPr>
                <w:rFonts w:hint="eastAsia" w:ascii="Times New Roman" w:hAnsi="Times New Roman" w:eastAsia="宋体" w:cs="Times New Roman"/>
                <w:color w:val="auto"/>
                <w:sz w:val="21"/>
                <w:highlight w:val="none"/>
                <w:u w:val="single"/>
              </w:rPr>
              <w:t>4</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kern w:val="0"/>
                <w:sz w:val="21"/>
                <w:highlight w:val="none"/>
                <w:u w:val="single"/>
              </w:rPr>
              <w:t>0.042</w:t>
            </w:r>
          </w:p>
        </w:tc>
        <w:tc>
          <w:tcPr>
            <w:tcW w:w="1130" w:type="dxa"/>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4</w:t>
            </w:r>
          </w:p>
        </w:tc>
        <w:tc>
          <w:tcPr>
            <w:tcW w:w="1204"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-0.002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803" w:type="dxa"/>
            <w:gridSpan w:val="2"/>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固体</w:t>
            </w:r>
          </w:p>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废物</w:t>
            </w: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采矿区</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表土</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200</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1000</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kern w:val="0"/>
                <w:sz w:val="21"/>
                <w:highlight w:val="none"/>
                <w:u w:val="single"/>
              </w:rPr>
              <w:t>200</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1000</w:t>
            </w:r>
          </w:p>
        </w:tc>
        <w:tc>
          <w:tcPr>
            <w:tcW w:w="120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800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803" w:type="dxa"/>
            <w:gridSpan w:val="2"/>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采矿区</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废土石渣</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800</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4000</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kern w:val="0"/>
                <w:sz w:val="21"/>
                <w:highlight w:val="none"/>
                <w:u w:val="single"/>
              </w:rPr>
              <w:t>800</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4000</w:t>
            </w:r>
          </w:p>
        </w:tc>
        <w:tc>
          <w:tcPr>
            <w:tcW w:w="120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3200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803" w:type="dxa"/>
            <w:gridSpan w:val="2"/>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除尘装置</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除尘器粉尘</w:t>
            </w:r>
          </w:p>
        </w:tc>
        <w:tc>
          <w:tcPr>
            <w:tcW w:w="111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173.745</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0</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173.745</w:t>
            </w:r>
          </w:p>
        </w:tc>
        <w:tc>
          <w:tcPr>
            <w:tcW w:w="120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173.745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803" w:type="dxa"/>
            <w:gridSpan w:val="2"/>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沉砂池</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泥渣</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110"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highlight w:val="none"/>
                <w:u w:val="single"/>
                <w:lang w:val="en-US" w:eastAsia="zh-CN"/>
              </w:rPr>
            </w:pPr>
            <w:r>
              <w:rPr>
                <w:rFonts w:hint="eastAsia" w:cs="Times New Roman"/>
                <w:color w:val="auto"/>
                <w:sz w:val="21"/>
                <w:highlight w:val="none"/>
                <w:u w:val="single"/>
                <w:lang w:val="en-US" w:eastAsia="zh-CN"/>
              </w:rPr>
              <w:t>5</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0</w:t>
            </w:r>
          </w:p>
        </w:tc>
        <w:tc>
          <w:tcPr>
            <w:tcW w:w="1130"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highlight w:val="none"/>
                <w:u w:val="single"/>
                <w:lang w:val="en-US" w:eastAsia="zh-CN"/>
              </w:rPr>
            </w:pPr>
            <w:r>
              <w:rPr>
                <w:rFonts w:hint="eastAsia" w:cs="Times New Roman"/>
                <w:color w:val="auto"/>
                <w:sz w:val="21"/>
                <w:highlight w:val="none"/>
                <w:u w:val="single"/>
                <w:lang w:val="en-US" w:eastAsia="zh-CN"/>
              </w:rPr>
              <w:t>5</w:t>
            </w:r>
          </w:p>
        </w:tc>
        <w:tc>
          <w:tcPr>
            <w:tcW w:w="1204"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highlight w:val="none"/>
                <w:u w:val="single"/>
                <w:lang w:val="en-US" w:eastAsia="zh-CN"/>
              </w:rPr>
            </w:pPr>
            <w:r>
              <w:rPr>
                <w:rFonts w:ascii="Times New Roman" w:hAnsi="Times New Roman" w:eastAsia="宋体" w:cs="Times New Roman"/>
                <w:color w:val="auto"/>
                <w:sz w:val="21"/>
                <w:highlight w:val="none"/>
                <w:u w:val="single"/>
              </w:rPr>
              <w:t>+</w:t>
            </w:r>
            <w:r>
              <w:rPr>
                <w:rFonts w:hint="eastAsia" w:cs="Times New Roman"/>
                <w:color w:val="auto"/>
                <w:sz w:val="21"/>
                <w:highlight w:val="none"/>
                <w:u w:val="singl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803" w:type="dxa"/>
            <w:gridSpan w:val="2"/>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洗砂区</w:t>
            </w:r>
          </w:p>
        </w:tc>
        <w:tc>
          <w:tcPr>
            <w:tcW w:w="1192"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洗砂泥饼</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470</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2352.5</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470</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2352.5</w:t>
            </w:r>
          </w:p>
        </w:tc>
        <w:tc>
          <w:tcPr>
            <w:tcW w:w="120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+1882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803" w:type="dxa"/>
            <w:gridSpan w:val="2"/>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机修房</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废零件</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1.0</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3.0</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kern w:val="0"/>
                <w:sz w:val="21"/>
                <w:highlight w:val="none"/>
                <w:u w:val="single"/>
              </w:rPr>
              <w:t>1.0</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3.0</w:t>
            </w:r>
          </w:p>
        </w:tc>
        <w:tc>
          <w:tcPr>
            <w:tcW w:w="120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2.0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803" w:type="dxa"/>
            <w:gridSpan w:val="2"/>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废含油抹布</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0.01</w:t>
            </w:r>
          </w:p>
        </w:tc>
        <w:tc>
          <w:tcPr>
            <w:tcW w:w="1110"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kern w:val="0"/>
                <w:sz w:val="21"/>
                <w:highlight w:val="none"/>
                <w:u w:val="single"/>
              </w:rPr>
              <w:t>0.02</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kern w:val="0"/>
                <w:sz w:val="21"/>
                <w:highlight w:val="none"/>
                <w:u w:val="single"/>
              </w:rPr>
              <w:t>0.01</w:t>
            </w:r>
          </w:p>
        </w:tc>
        <w:tc>
          <w:tcPr>
            <w:tcW w:w="1130"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0.02</w:t>
            </w:r>
          </w:p>
        </w:tc>
        <w:tc>
          <w:tcPr>
            <w:tcW w:w="120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0.01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803" w:type="dxa"/>
            <w:gridSpan w:val="2"/>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废机油</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0.04</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ascii="Times New Roman" w:hAnsi="Times New Roman" w:eastAsia="宋体" w:cs="Times New Roman"/>
                <w:color w:val="auto"/>
                <w:sz w:val="21"/>
                <w:highlight w:val="none"/>
                <w:u w:val="single"/>
              </w:rPr>
              <w:t>0.1</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kern w:val="0"/>
                <w:sz w:val="21"/>
                <w:highlight w:val="none"/>
                <w:u w:val="single"/>
              </w:rPr>
              <w:t>0.04</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w:t>
            </w:r>
          </w:p>
        </w:tc>
        <w:tc>
          <w:tcPr>
            <w:tcW w:w="120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0.06</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28" w:type="dxa"/>
            <w:bottom w:w="0" w:type="dxa"/>
            <w:right w:w="28" w:type="dxa"/>
          </w:tblCellMar>
        </w:tblPrEx>
        <w:trPr>
          <w:trHeight w:val="249" w:hRule="atLeast"/>
          <w:jc w:val="center"/>
        </w:trPr>
        <w:tc>
          <w:tcPr>
            <w:tcW w:w="803" w:type="dxa"/>
            <w:gridSpan w:val="2"/>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45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生活区</w:t>
            </w:r>
          </w:p>
        </w:tc>
        <w:tc>
          <w:tcPr>
            <w:tcW w:w="119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生活垃圾</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7</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13</w:t>
            </w:r>
            <w:r>
              <w:rPr>
                <w:rFonts w:ascii="Times New Roman" w:hAnsi="Times New Roman" w:eastAsia="宋体" w:cs="Times New Roman"/>
                <w:color w:val="auto"/>
                <w:sz w:val="21"/>
                <w:highlight w:val="none"/>
                <w:u w:val="single"/>
              </w:rPr>
              <w:t>.5</w:t>
            </w:r>
          </w:p>
        </w:tc>
        <w:tc>
          <w:tcPr>
            <w:tcW w:w="10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kern w:val="0"/>
                <w:sz w:val="21"/>
                <w:highlight w:val="none"/>
                <w:u w:val="single"/>
              </w:rPr>
              <w:t>7</w:t>
            </w:r>
          </w:p>
        </w:tc>
        <w:tc>
          <w:tcPr>
            <w:tcW w:w="11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13</w:t>
            </w:r>
            <w:r>
              <w:rPr>
                <w:rFonts w:ascii="Times New Roman" w:hAnsi="Times New Roman" w:eastAsia="宋体" w:cs="Times New Roman"/>
                <w:color w:val="auto"/>
                <w:sz w:val="21"/>
                <w:highlight w:val="none"/>
              </w:rPr>
              <w:t>.5</w:t>
            </w:r>
          </w:p>
        </w:tc>
        <w:tc>
          <w:tcPr>
            <w:tcW w:w="120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6.5</w:t>
            </w:r>
          </w:p>
        </w:tc>
      </w:tr>
    </w:tbl>
    <w:p>
      <w:pPr>
        <w:pStyle w:val="87"/>
        <w:rPr>
          <w:rFonts w:ascii="Times New Roman" w:hAnsi="Times New Roman" w:eastAsia="宋体" w:cs="Times New Roman"/>
          <w:color w:val="auto"/>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2"/>
        <w:rPr>
          <w:rFonts w:ascii="Times New Roman" w:hAnsi="Times New Roman" w:eastAsia="宋体"/>
          <w:color w:val="auto"/>
          <w:highlight w:val="none"/>
        </w:rPr>
      </w:pPr>
      <w:bookmarkStart w:id="128" w:name="_Toc14572"/>
      <w:bookmarkStart w:id="129" w:name="_Toc14967"/>
      <w:r>
        <w:rPr>
          <w:rFonts w:ascii="Times New Roman" w:hAnsi="Times New Roman" w:eastAsia="宋体"/>
          <w:color w:val="auto"/>
          <w:highlight w:val="none"/>
        </w:rPr>
        <w:t>3 环境现状调查与评价</w:t>
      </w:r>
      <w:bookmarkEnd w:id="128"/>
      <w:bookmarkEnd w:id="129"/>
    </w:p>
    <w:p>
      <w:pPr>
        <w:pStyle w:val="4"/>
        <w:rPr>
          <w:rFonts w:ascii="Times New Roman" w:hAnsi="Times New Roman" w:eastAsia="宋体"/>
          <w:color w:val="auto"/>
          <w:highlight w:val="none"/>
        </w:rPr>
      </w:pPr>
      <w:bookmarkStart w:id="130" w:name="_Toc342578182"/>
      <w:bookmarkStart w:id="131" w:name="_Toc14611"/>
      <w:bookmarkStart w:id="132" w:name="_Toc332839368"/>
      <w:bookmarkStart w:id="133" w:name="_Toc338930168"/>
      <w:bookmarkStart w:id="134" w:name="_Toc355622324"/>
      <w:bookmarkStart w:id="135" w:name="_Toc32733"/>
      <w:bookmarkStart w:id="136" w:name="_Toc338944478"/>
      <w:bookmarkStart w:id="137" w:name="_Toc334086564"/>
      <w:bookmarkStart w:id="138" w:name="_Toc332810010"/>
      <w:bookmarkStart w:id="139" w:name="_Toc13315"/>
      <w:bookmarkStart w:id="140" w:name="_Toc346100123"/>
      <w:bookmarkStart w:id="141" w:name="_Toc345857798"/>
      <w:bookmarkStart w:id="142" w:name="_Toc338930630"/>
      <w:bookmarkStart w:id="143" w:name="_Toc332839591"/>
      <w:bookmarkStart w:id="144" w:name="_Toc334022085"/>
      <w:bookmarkStart w:id="145" w:name="_Toc16510"/>
      <w:bookmarkStart w:id="146" w:name="_Toc29459"/>
      <w:bookmarkStart w:id="147" w:name="_Toc1935"/>
      <w:bookmarkStart w:id="148" w:name="_Toc19852"/>
      <w:bookmarkStart w:id="149" w:name="_Toc23211"/>
      <w:bookmarkStart w:id="150" w:name="_Toc32278"/>
      <w:bookmarkStart w:id="151" w:name="_Toc24301"/>
      <w:r>
        <w:rPr>
          <w:rFonts w:ascii="Times New Roman" w:hAnsi="Times New Roman" w:eastAsia="宋体"/>
          <w:color w:val="auto"/>
          <w:highlight w:val="none"/>
        </w:rPr>
        <w:t>3.1 自然环境</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Pr>
          <w:rFonts w:ascii="Times New Roman" w:hAnsi="Times New Roman" w:eastAsia="宋体"/>
          <w:color w:val="auto"/>
          <w:highlight w:val="none"/>
        </w:rPr>
        <w:t>现状调查与评价</w:t>
      </w:r>
      <w:bookmarkEnd w:id="146"/>
      <w:bookmarkEnd w:id="147"/>
      <w:bookmarkEnd w:id="148"/>
      <w:bookmarkEnd w:id="149"/>
      <w:bookmarkEnd w:id="150"/>
      <w:bookmarkEnd w:id="151"/>
    </w:p>
    <w:p>
      <w:pPr>
        <w:pStyle w:val="5"/>
        <w:rPr>
          <w:rFonts w:ascii="Times New Roman" w:hAnsi="Times New Roman" w:eastAsia="宋体"/>
          <w:color w:val="auto"/>
          <w:highlight w:val="none"/>
        </w:rPr>
      </w:pPr>
      <w:bookmarkStart w:id="152" w:name="_Toc1153"/>
      <w:bookmarkStart w:id="153" w:name="_Toc466"/>
      <w:bookmarkStart w:id="154" w:name="_Toc332810011"/>
      <w:bookmarkStart w:id="155" w:name="_Toc18957"/>
      <w:bookmarkStart w:id="156" w:name="_Toc2139"/>
      <w:bookmarkStart w:id="157" w:name="_Toc31399"/>
      <w:bookmarkStart w:id="158" w:name="_Toc17704"/>
      <w:r>
        <w:rPr>
          <w:rFonts w:ascii="Times New Roman" w:hAnsi="Times New Roman" w:eastAsia="宋体"/>
          <w:color w:val="auto"/>
          <w:highlight w:val="none"/>
        </w:rPr>
        <w:t>3.1.1 地理位置</w:t>
      </w:r>
      <w:bookmarkEnd w:id="152"/>
      <w:bookmarkEnd w:id="153"/>
      <w:bookmarkEnd w:id="154"/>
      <w:bookmarkEnd w:id="155"/>
      <w:bookmarkEnd w:id="156"/>
      <w:bookmarkEnd w:id="157"/>
      <w:bookmarkEnd w:id="158"/>
    </w:p>
    <w:p>
      <w:pPr>
        <w:ind w:firstLine="480"/>
        <w:rPr>
          <w:rFonts w:ascii="Times New Roman" w:hAnsi="Times New Roman" w:eastAsia="宋体"/>
          <w:color w:val="auto"/>
          <w:highlight w:val="none"/>
        </w:rPr>
      </w:pPr>
      <w:bookmarkStart w:id="159" w:name="_Toc24242"/>
      <w:bookmarkStart w:id="160" w:name="_Toc18582"/>
      <w:bookmarkStart w:id="161" w:name="_Toc11218"/>
      <w:bookmarkStart w:id="162" w:name="_Toc26371"/>
      <w:r>
        <w:rPr>
          <w:rFonts w:ascii="Times New Roman" w:hAnsi="Times New Roman" w:eastAsia="宋体" w:cs="Times New Roman"/>
          <w:color w:val="auto"/>
          <w:highlight w:val="none"/>
        </w:rPr>
        <w:t>三江侗族自治县位于广西壮族自治区北部，隶属柳州市，地处湘、黔、桂三省（区）交界处，介于东经108°53′至109°47′，北纬25°21′至26°03′之间，县城古宜镇距离柳州市203千米，距桂林市167千米。三江侗族自治县东连桂林市龙胜各族自治县，西接贵州省从江县，北靠湖南省通道县、贵州省黎平县，南邻三江县、融水苗族自治县。</w:t>
      </w:r>
    </w:p>
    <w:p>
      <w:pPr>
        <w:ind w:firstLine="480"/>
        <w:rPr>
          <w:rFonts w:ascii="Times New Roman" w:hAnsi="Times New Roman" w:eastAsia="宋体" w:cs="Times New Roman"/>
          <w:color w:val="auto"/>
          <w:kern w:val="0"/>
          <w:szCs w:val="24"/>
          <w:highlight w:val="none"/>
        </w:rPr>
      </w:pPr>
      <w:r>
        <w:rPr>
          <w:rFonts w:ascii="Times New Roman" w:hAnsi="Times New Roman" w:eastAsia="宋体" w:cs="Times New Roman"/>
          <w:color w:val="auto"/>
          <w:szCs w:val="24"/>
          <w:highlight w:val="none"/>
        </w:rPr>
        <w:t>三江县宏源采石场硅质岩矿位于三江县</w:t>
      </w:r>
      <w:r>
        <w:rPr>
          <w:rFonts w:hint="eastAsia" w:ascii="Times New Roman" w:hAnsi="Times New Roman" w:eastAsia="宋体" w:cs="Times New Roman"/>
          <w:color w:val="auto"/>
          <w:highlight w:val="none"/>
          <w:lang w:val="en-US" w:eastAsia="zh-CN"/>
        </w:rPr>
        <w:t>斗江镇东坪村东恒屯</w:t>
      </w:r>
      <w:r>
        <w:rPr>
          <w:rFonts w:ascii="Times New Roman" w:hAnsi="Times New Roman" w:eastAsia="宋体" w:cs="Times New Roman"/>
          <w:color w:val="auto"/>
          <w:szCs w:val="24"/>
          <w:highlight w:val="none"/>
        </w:rPr>
        <w:t>，行政区划隶属三江县斗江镇管辖。矿区已修建有简易公路与三江县乡村级公路相接，交通较为便利。矿区中心坐标：</w:t>
      </w:r>
      <w:r>
        <w:rPr>
          <w:rFonts w:hint="eastAsia" w:ascii="Times New Roman" w:hAnsi="Times New Roman" w:eastAsia="宋体" w:cs="Times New Roman"/>
          <w:color w:val="auto"/>
          <w:szCs w:val="24"/>
          <w:highlight w:val="none"/>
        </w:rPr>
        <w:t>109.704875</w:t>
      </w:r>
      <w:r>
        <w:rPr>
          <w:rFonts w:ascii="Times New Roman" w:hAnsi="Times New Roman" w:eastAsia="宋体" w:cs="Times New Roman"/>
          <w:color w:val="auto"/>
          <w:szCs w:val="24"/>
          <w:highlight w:val="none"/>
        </w:rPr>
        <w:t>°E，</w:t>
      </w:r>
      <w:r>
        <w:rPr>
          <w:rFonts w:hint="eastAsia" w:ascii="Times New Roman" w:hAnsi="Times New Roman" w:eastAsia="宋体" w:cs="Times New Roman"/>
          <w:color w:val="auto"/>
          <w:szCs w:val="24"/>
          <w:highlight w:val="none"/>
        </w:rPr>
        <w:t>25.757735</w:t>
      </w:r>
      <w:r>
        <w:rPr>
          <w:rFonts w:ascii="Times New Roman" w:hAnsi="Times New Roman" w:eastAsia="宋体" w:cs="Times New Roman"/>
          <w:color w:val="auto"/>
          <w:szCs w:val="24"/>
          <w:highlight w:val="none"/>
        </w:rPr>
        <w:t>°N，面积为0.1598km</w:t>
      </w:r>
      <w:r>
        <w:rPr>
          <w:rFonts w:ascii="Times New Roman" w:hAnsi="Times New Roman" w:eastAsia="宋体" w:cs="Times New Roman"/>
          <w:color w:val="auto"/>
          <w:szCs w:val="24"/>
          <w:highlight w:val="none"/>
          <w:vertAlign w:val="superscript"/>
        </w:rPr>
        <w:t>2</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具体</w:t>
      </w:r>
      <w:r>
        <w:rPr>
          <w:rFonts w:ascii="Times New Roman" w:hAnsi="Times New Roman" w:eastAsia="宋体" w:cs="Times New Roman"/>
          <w:color w:val="auto"/>
          <w:szCs w:val="24"/>
          <w:highlight w:val="none"/>
        </w:rPr>
        <w:t>见附图1。</w:t>
      </w:r>
    </w:p>
    <w:p>
      <w:pPr>
        <w:pStyle w:val="5"/>
        <w:rPr>
          <w:rFonts w:hint="eastAsia" w:ascii="Times New Roman" w:hAnsi="Times New Roman" w:eastAsia="宋体"/>
          <w:color w:val="auto"/>
          <w:highlight w:val="none"/>
        </w:rPr>
      </w:pPr>
      <w:bookmarkStart w:id="163" w:name="_Toc15292"/>
      <w:bookmarkStart w:id="164" w:name="_Toc14592"/>
      <w:bookmarkStart w:id="165" w:name="_Toc18586"/>
      <w:bookmarkStart w:id="166" w:name="_Toc32158"/>
      <w:r>
        <w:rPr>
          <w:rFonts w:ascii="Times New Roman" w:hAnsi="Times New Roman" w:eastAsia="宋体"/>
          <w:color w:val="auto"/>
          <w:highlight w:val="none"/>
        </w:rPr>
        <w:t>3.1.2 地形地貌</w:t>
      </w:r>
      <w:bookmarkEnd w:id="159"/>
      <w:bookmarkEnd w:id="163"/>
      <w:bookmarkEnd w:id="164"/>
      <w:bookmarkEnd w:id="165"/>
      <w:bookmarkEnd w:id="166"/>
      <w:r>
        <w:rPr>
          <w:rFonts w:hint="eastAsia" w:ascii="Times New Roman" w:hAnsi="Times New Roman" w:eastAsia="宋体"/>
          <w:color w:val="auto"/>
          <w:highlight w:val="none"/>
        </w:rPr>
        <w:t>地质</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highlight w:val="none"/>
        </w:rPr>
        <w:t>三江侗族自治县地处江南古陆南缘，按构造单元属九万大山穹褶断带和龙脉褶断带之间，在地质构造发展史上经历了丹洲期、震旦纪及寒武纪以及志留纪末期的广西运动等几次大的地质运动。造成本区域地层发生强烈褶皱、断裂、隆起以及近四亿年的风化剥蚀、侵蚀，逐渐形成了北北东-南南西展布连绵山岭和起伏丘坡。其东属越岭山脉，东北濒八十里大南山脉，西属九万山脉，南属大苗山脉，境内峰峦叠嶂，河流纵横，地面崎岖，地形复杂，地势北部高，南部低，东、西向境内中部倾斜，整个地形地势呈现北高南低的特点，呈现大丘陵地形。全县丘陵面积占四分之三，低山占四分之一。全县四周地形变化大，沟壑纵横，沟谷深度割切，山高坡陡；县城周边为地形起伏小、谷宽坡缓的丘陵地带。</w:t>
      </w:r>
    </w:p>
    <w:p>
      <w:pPr>
        <w:ind w:firstLine="480"/>
        <w:rPr>
          <w:rFonts w:ascii="Times New Roman" w:hAnsi="Times New Roman" w:eastAsia="宋体" w:cs="Times New Roman"/>
          <w:b/>
          <w:bCs/>
          <w:color w:val="auto"/>
          <w:highlight w:val="none"/>
        </w:rPr>
      </w:pPr>
      <w:r>
        <w:rPr>
          <w:rFonts w:ascii="Times New Roman" w:hAnsi="Times New Roman" w:eastAsia="宋体" w:cs="Times New Roman"/>
          <w:color w:val="auto"/>
          <w:highlight w:val="none"/>
        </w:rPr>
        <w:t>矿区一带属中低山地貌，地势大体呈北高南低，矿区周边地形最高海拔标高 447.0m，最低海拔标高227.0m，相对高差220.0m左右，山体自然坡度20~50度。据《中国地震动峰值加速度区划图（1：400万）》（GB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18306-2015 图 A1），评估区地震动峰值加速度为0.05g，相当于地震基本烈度VI度。根据《中国地震动反应谱特征周期区划图（1：400万）》（GB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18306-2015图B1），评估区地震反应谱特征周期为0.35s，属弱震区，区域地壳稳定性属基本稳定区。</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矿区出露地层主要为震旦系老堡组及第四系，简述如下：</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震旦系老堡组（Z</w:t>
      </w:r>
      <w:r>
        <w:rPr>
          <w:rFonts w:ascii="Times New Roman" w:hAnsi="Times New Roman" w:eastAsia="宋体" w:cs="Times New Roman"/>
          <w:color w:val="auto"/>
          <w:highlight w:val="none"/>
          <w:vertAlign w:val="subscript"/>
        </w:rPr>
        <w:t>2</w:t>
      </w:r>
      <w:r>
        <w:rPr>
          <w:rFonts w:ascii="Times New Roman" w:hAnsi="Times New Roman" w:eastAsia="宋体" w:cs="Times New Roman"/>
          <w:color w:val="auto"/>
          <w:highlight w:val="none"/>
        </w:rPr>
        <w:t>l）：主要为灰—灰白色、少许深灰色薄—厚层状石英硅质岩。上、下部以薄层者为主，色较深。倾向180°，倾角26°。</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第四系残破积（Q）：为黄—褐黄色粉质粘土夹硅质岩碎石，硅质岩碎石含量一般在20%以下，主要分布于沟谷低凹地带，厚度0.3～2.5m。</w:t>
      </w:r>
      <w:r>
        <w:rPr>
          <w:rFonts w:ascii="Times New Roman" w:hAnsi="Times New Roman" w:eastAsia="宋体" w:cs="Times New Roman"/>
          <w:color w:val="auto"/>
          <w:highlight w:val="none"/>
        </w:rPr>
        <w:br w:type="textWrapping"/>
      </w:r>
      <w:r>
        <w:rPr>
          <w:rFonts w:ascii="Times New Roman" w:hAnsi="Times New Roman" w:eastAsia="宋体" w:cs="Times New Roman"/>
          <w:color w:val="auto"/>
          <w:highlight w:val="none"/>
        </w:rPr>
        <w:t xml:space="preserve">    矿区位于龙胜褶断带西南角，三江—融安断裂带东侧，构造线总体呈南北走向，岩层倾角26°，倾向180°。矿区内未见有规模的断裂构造，岩体节理裂隙发育中等。矿区地质构造条件复杂程度为简单类型。</w:t>
      </w:r>
    </w:p>
    <w:p>
      <w:pPr>
        <w:pStyle w:val="5"/>
        <w:rPr>
          <w:rFonts w:ascii="Times New Roman" w:hAnsi="Times New Roman" w:eastAsia="宋体"/>
          <w:color w:val="auto"/>
          <w:highlight w:val="none"/>
        </w:rPr>
      </w:pPr>
      <w:bookmarkStart w:id="167" w:name="_Toc19727"/>
      <w:bookmarkStart w:id="168" w:name="_Toc21136"/>
      <w:bookmarkStart w:id="169" w:name="_Toc11869"/>
      <w:bookmarkStart w:id="170" w:name="_Toc579"/>
      <w:bookmarkStart w:id="171" w:name="_Toc31822"/>
      <w:bookmarkStart w:id="172" w:name="_Toc6757"/>
      <w:bookmarkStart w:id="173" w:name="_Toc21475"/>
      <w:bookmarkStart w:id="174" w:name="_Toc19968"/>
      <w:bookmarkStart w:id="175" w:name="_Toc24366"/>
      <w:bookmarkStart w:id="176" w:name="_Toc409451326"/>
      <w:bookmarkStart w:id="177" w:name="_Toc13813"/>
      <w:r>
        <w:rPr>
          <w:rFonts w:ascii="Times New Roman" w:hAnsi="Times New Roman" w:eastAsia="宋体"/>
          <w:color w:val="auto"/>
          <w:highlight w:val="none"/>
        </w:rPr>
        <w:t>3.1.3 气候与气象</w:t>
      </w:r>
    </w:p>
    <w:p>
      <w:pPr>
        <w:ind w:firstLine="480"/>
        <w:rPr>
          <w:rFonts w:ascii="Times New Roman" w:hAnsi="Times New Roman" w:eastAsia="宋体" w:cs="Times New Roman"/>
          <w:color w:val="auto"/>
          <w:highlight w:val="none"/>
        </w:rPr>
      </w:pPr>
      <w:bookmarkStart w:id="178" w:name="_Toc8899"/>
      <w:bookmarkEnd w:id="178"/>
      <w:bookmarkStart w:id="179" w:name="_Toc8716"/>
      <w:r>
        <w:rPr>
          <w:rFonts w:ascii="Times New Roman" w:hAnsi="Times New Roman" w:eastAsia="宋体" w:cs="Times New Roman"/>
          <w:color w:val="auto"/>
          <w:highlight w:val="none"/>
        </w:rPr>
        <w:t>三江侗族自治县气候类型为中亚热带山地气候，四季分明，夏凉冬暖、热雨充沛，气候宜人。全年平均气温为17℃至19℃之间，南北气温相差1℃至2℃，一月份最冷，月平均温度为7.3℃，极端最低温度为-5.4℃，7月份最热，月平均气温27.3℃，极端最高温度39.5℃，全年大于10℃的活动积温5500℃。雨季分配不均匀，夏常洪涝秋易旱，冬春常受寒潮、冰雹、大风等灾害性天气的影响。雨季多在5-7月之间，年平均降雨量149</w:t>
      </w:r>
      <w:r>
        <w:rPr>
          <w:rFonts w:hint="eastAsia" w:ascii="Times New Roman" w:hAnsi="Times New Roman" w:eastAsia="宋体" w:cs="Times New Roman"/>
          <w:color w:val="auto"/>
          <w:highlight w:val="none"/>
        </w:rPr>
        <w:t>2.7</w:t>
      </w:r>
      <w:r>
        <w:rPr>
          <w:rFonts w:ascii="Times New Roman" w:hAnsi="Times New Roman" w:eastAsia="宋体" w:cs="Times New Roman"/>
          <w:color w:val="auto"/>
          <w:highlight w:val="none"/>
        </w:rPr>
        <w:t>毫米，</w:t>
      </w:r>
      <w:r>
        <w:rPr>
          <w:rFonts w:hint="eastAsia" w:ascii="Times New Roman" w:hAnsi="Times New Roman" w:eastAsia="宋体" w:cs="Times New Roman"/>
          <w:color w:val="auto"/>
          <w:highlight w:val="none"/>
        </w:rPr>
        <w:t>最大降雨量308.2毫米（2000年6月10日），</w:t>
      </w:r>
      <w:r>
        <w:rPr>
          <w:rFonts w:ascii="Times New Roman" w:hAnsi="Times New Roman" w:eastAsia="宋体" w:cs="Times New Roman"/>
          <w:color w:val="auto"/>
          <w:highlight w:val="none"/>
        </w:rPr>
        <w:t>年蒸发量在1348毫米左右。</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县境四季长短南北有别，春秋短而大致相同，南部地区夏长于冬，北部地区冬夏大致相同。但日照时间偏少，三江侗族自治县在国内和区内属日照偏少地区，年实际日照数平均1332.3小时。年均无霜期321天，四季宜耕。</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三江侗族自治县境属季风性气候区，每年4月初东北季风转为东南季风，6月中旬至9月初，县境为西南季风所控制，其后为东北季风所取代，盛夏结束，县内全年风向，以东北偏北为最多，其次为北风和东北风，历年平均风速为1.4米/秒。</w:t>
      </w:r>
    </w:p>
    <w:p>
      <w:pPr>
        <w:ind w:firstLine="480"/>
        <w:rPr>
          <w:rFonts w:hint="eastAsia" w:ascii="Times New Roman" w:hAnsi="Times New Roman" w:eastAsia="宋体"/>
          <w:color w:val="auto"/>
          <w:highlight w:val="none"/>
        </w:rPr>
      </w:pPr>
      <w:r>
        <w:rPr>
          <w:rFonts w:ascii="Times New Roman" w:hAnsi="Times New Roman" w:eastAsia="宋体"/>
          <w:color w:val="auto"/>
          <w:highlight w:val="none"/>
        </w:rPr>
        <w:t>县境雨多、雾多、林多、溪河纵横，空气比较潮湿。晨昏多雾，雾日居广西之首，历年平均雾日79天。历年平均相对湿度为81%，其中5、6月相对湿度最大，平均为84%，1月最小，为78%。</w:t>
      </w:r>
    </w:p>
    <w:p>
      <w:pPr>
        <w:pStyle w:val="5"/>
        <w:rPr>
          <w:rFonts w:ascii="Times New Roman" w:hAnsi="Times New Roman" w:eastAsia="宋体"/>
          <w:color w:val="auto"/>
          <w:highlight w:val="none"/>
        </w:rPr>
      </w:pPr>
      <w:r>
        <w:rPr>
          <w:rFonts w:ascii="Times New Roman" w:hAnsi="Times New Roman" w:eastAsia="宋体"/>
          <w:color w:val="auto"/>
          <w:highlight w:val="none"/>
        </w:rPr>
        <w:t>3.1.</w:t>
      </w:r>
      <w:bookmarkEnd w:id="179"/>
      <w:r>
        <w:rPr>
          <w:rFonts w:ascii="Times New Roman" w:hAnsi="Times New Roman" w:eastAsia="宋体"/>
          <w:color w:val="auto"/>
          <w:highlight w:val="none"/>
        </w:rPr>
        <w:t>4 河流水系</w:t>
      </w:r>
    </w:p>
    <w:p>
      <w:pPr>
        <w:ind w:firstLine="480"/>
        <w:rPr>
          <w:rFonts w:ascii="Times New Roman" w:hAnsi="Times New Roman" w:eastAsia="宋体" w:cs="Times New Roman"/>
          <w:color w:val="auto"/>
          <w:highlight w:val="none"/>
        </w:rPr>
      </w:pPr>
      <w:bookmarkStart w:id="180" w:name="_Toc5083"/>
      <w:bookmarkEnd w:id="180"/>
      <w:bookmarkStart w:id="181" w:name="_Toc20177"/>
      <w:bookmarkEnd w:id="181"/>
      <w:bookmarkStart w:id="182" w:name="_Toc4247"/>
      <w:r>
        <w:rPr>
          <w:rFonts w:hint="eastAsia" w:ascii="Times New Roman" w:hAnsi="Times New Roman" w:eastAsia="宋体"/>
          <w:color w:val="auto"/>
          <w:highlight w:val="none"/>
        </w:rPr>
        <w:t>三江</w:t>
      </w:r>
      <w:r>
        <w:rPr>
          <w:rFonts w:ascii="Times New Roman" w:hAnsi="Times New Roman" w:eastAsia="宋体"/>
          <w:color w:val="auto"/>
          <w:highlight w:val="none"/>
        </w:rPr>
        <w:t>县水系发达，全县共有大小河川74条，全长689</w:t>
      </w:r>
      <w:r>
        <w:rPr>
          <w:rFonts w:ascii="Times New Roman" w:hAnsi="Times New Roman" w:eastAsia="宋体"/>
          <w:bCs/>
          <w:color w:val="auto"/>
          <w:highlight w:val="none"/>
        </w:rPr>
        <w:t>千米</w:t>
      </w:r>
      <w:r>
        <w:rPr>
          <w:rFonts w:ascii="Times New Roman" w:hAnsi="Times New Roman" w:eastAsia="宋体"/>
          <w:color w:val="auto"/>
          <w:highlight w:val="none"/>
        </w:rPr>
        <w:t>，总集雨面积19288.3平方千米（包括县外）。其中流域面积大于50平方千米的河流18条，主要有都柳江、</w:t>
      </w:r>
      <w:r>
        <w:rPr>
          <w:rFonts w:hint="eastAsia" w:ascii="Times New Roman" w:hAnsi="Times New Roman" w:eastAsia="宋体"/>
          <w:color w:val="auto"/>
          <w:highlight w:val="none"/>
        </w:rPr>
        <w:t>寻江</w:t>
      </w:r>
      <w:r>
        <w:rPr>
          <w:rFonts w:ascii="Times New Roman" w:hAnsi="Times New Roman" w:eastAsia="宋体"/>
          <w:color w:val="auto"/>
          <w:highlight w:val="none"/>
        </w:rPr>
        <w:t>、融江、苗江、四甲河、林溪河、八江河、西坡河、晒江等河流。都柳江</w:t>
      </w:r>
      <w:r>
        <w:rPr>
          <w:rFonts w:ascii="Times New Roman" w:hAnsi="Times New Roman" w:eastAsia="宋体"/>
          <w:bCs/>
          <w:color w:val="auto"/>
          <w:highlight w:val="none"/>
        </w:rPr>
        <w:t>发源于贵州省，流过榕江、从江两县后，由西向东从梅林乡石碑流抵老堡口与</w:t>
      </w:r>
      <w:r>
        <w:rPr>
          <w:rFonts w:hint="eastAsia" w:ascii="Times New Roman" w:hAnsi="Times New Roman" w:eastAsia="宋体"/>
          <w:bCs/>
          <w:color w:val="auto"/>
          <w:highlight w:val="none"/>
        </w:rPr>
        <w:t>寻江</w:t>
      </w:r>
      <w:r>
        <w:rPr>
          <w:rFonts w:ascii="Times New Roman" w:hAnsi="Times New Roman" w:eastAsia="宋体"/>
          <w:bCs/>
          <w:color w:val="auto"/>
          <w:highlight w:val="none"/>
        </w:rPr>
        <w:t>相汇后成融江折向南流，</w:t>
      </w:r>
      <w:r>
        <w:rPr>
          <w:rFonts w:ascii="Times New Roman" w:hAnsi="Times New Roman" w:eastAsia="宋体"/>
          <w:color w:val="auto"/>
          <w:highlight w:val="none"/>
        </w:rPr>
        <w:t>都柳江</w:t>
      </w:r>
      <w:r>
        <w:rPr>
          <w:rFonts w:ascii="Times New Roman" w:hAnsi="Times New Roman" w:eastAsia="宋体"/>
          <w:bCs/>
          <w:color w:val="auto"/>
          <w:highlight w:val="none"/>
        </w:rPr>
        <w:t>干流长91</w:t>
      </w:r>
      <w:r>
        <w:rPr>
          <w:rFonts w:ascii="Times New Roman" w:hAnsi="Times New Roman" w:eastAsia="宋体"/>
          <w:color w:val="auto"/>
          <w:highlight w:val="none"/>
        </w:rPr>
        <w:t>千米</w:t>
      </w:r>
      <w:r>
        <w:rPr>
          <w:rFonts w:ascii="Times New Roman" w:hAnsi="Times New Roman" w:eastAsia="宋体"/>
          <w:bCs/>
          <w:color w:val="auto"/>
          <w:highlight w:val="none"/>
        </w:rPr>
        <w:t>，集雨面积13200</w:t>
      </w:r>
      <w:r>
        <w:rPr>
          <w:rFonts w:ascii="Times New Roman" w:hAnsi="Times New Roman" w:eastAsia="宋体"/>
          <w:color w:val="auto"/>
          <w:highlight w:val="none"/>
        </w:rPr>
        <w:t>平方千米</w:t>
      </w:r>
      <w:r>
        <w:rPr>
          <w:rFonts w:ascii="Times New Roman" w:hAnsi="Times New Roman" w:eastAsia="宋体"/>
          <w:bCs/>
          <w:color w:val="auto"/>
          <w:highlight w:val="none"/>
        </w:rPr>
        <w:t>，其中本县境内1600</w:t>
      </w:r>
      <w:r>
        <w:rPr>
          <w:rFonts w:ascii="Times New Roman" w:hAnsi="Times New Roman" w:eastAsia="宋体"/>
          <w:color w:val="auto"/>
          <w:highlight w:val="none"/>
        </w:rPr>
        <w:t>平方千米</w:t>
      </w:r>
      <w:r>
        <w:rPr>
          <w:rFonts w:ascii="Times New Roman" w:hAnsi="Times New Roman" w:eastAsia="宋体"/>
          <w:bCs/>
          <w:color w:val="auto"/>
          <w:highlight w:val="none"/>
        </w:rPr>
        <w:t>，河道比降0.7‰，最大洪峰流量13000立方米/秒，最小枯水流量30.0立方米/秒，平均流量393.0立方米/秒，年径流量92.6亿立方米；其次是</w:t>
      </w:r>
      <w:r>
        <w:rPr>
          <w:rFonts w:hint="eastAsia" w:ascii="Times New Roman" w:hAnsi="Times New Roman" w:eastAsia="宋体"/>
          <w:bCs/>
          <w:color w:val="auto"/>
          <w:highlight w:val="none"/>
        </w:rPr>
        <w:t>寻江</w:t>
      </w:r>
      <w:r>
        <w:rPr>
          <w:rFonts w:ascii="Times New Roman" w:hAnsi="Times New Roman" w:eastAsia="宋体"/>
          <w:bCs/>
          <w:color w:val="auto"/>
          <w:highlight w:val="none"/>
        </w:rPr>
        <w:t>，</w:t>
      </w:r>
      <w:r>
        <w:rPr>
          <w:rFonts w:hint="eastAsia" w:ascii="Times New Roman" w:hAnsi="Times New Roman" w:eastAsia="宋体"/>
          <w:bCs/>
          <w:color w:val="auto"/>
          <w:highlight w:val="none"/>
        </w:rPr>
        <w:t>寻江</w:t>
      </w:r>
      <w:r>
        <w:rPr>
          <w:rFonts w:ascii="Times New Roman" w:hAnsi="Times New Roman" w:eastAsia="宋体"/>
          <w:bCs/>
          <w:color w:val="auto"/>
          <w:highlight w:val="none"/>
        </w:rPr>
        <w:t>发源桂北资源县，中经发源于湖南城步县的一支江水相汇合，经龙胜流入三江，从斗江</w:t>
      </w:r>
      <w:r>
        <w:rPr>
          <w:rFonts w:hint="eastAsia" w:ascii="Times New Roman" w:hAnsi="Times New Roman" w:eastAsia="宋体"/>
          <w:bCs/>
          <w:color w:val="auto"/>
          <w:highlight w:val="none"/>
        </w:rPr>
        <w:t>、</w:t>
      </w:r>
      <w:r>
        <w:rPr>
          <w:rFonts w:ascii="Times New Roman" w:hAnsi="Times New Roman" w:eastAsia="宋体"/>
          <w:bCs/>
          <w:color w:val="auto"/>
          <w:highlight w:val="none"/>
        </w:rPr>
        <w:t>沙宜到老堡口，全长63</w:t>
      </w:r>
      <w:r>
        <w:rPr>
          <w:rFonts w:ascii="Times New Roman" w:hAnsi="Times New Roman" w:eastAsia="宋体"/>
          <w:color w:val="auto"/>
          <w:highlight w:val="none"/>
        </w:rPr>
        <w:t>千米</w:t>
      </w:r>
      <w:r>
        <w:rPr>
          <w:rFonts w:ascii="Times New Roman" w:hAnsi="Times New Roman" w:eastAsia="宋体"/>
          <w:bCs/>
          <w:color w:val="auto"/>
          <w:highlight w:val="none"/>
        </w:rPr>
        <w:t>，集雨面积4550</w:t>
      </w:r>
      <w:r>
        <w:rPr>
          <w:rFonts w:ascii="Times New Roman" w:hAnsi="Times New Roman" w:eastAsia="宋体"/>
          <w:color w:val="auto"/>
          <w:highlight w:val="none"/>
        </w:rPr>
        <w:t>平方千米</w:t>
      </w:r>
      <w:r>
        <w:rPr>
          <w:rFonts w:ascii="Times New Roman" w:hAnsi="Times New Roman" w:eastAsia="宋体"/>
          <w:bCs/>
          <w:color w:val="auto"/>
          <w:highlight w:val="none"/>
        </w:rPr>
        <w:t>，河道比降 0.8‰，最大洪峰流量为6650.0立方米/秒，最小枯水流量24.5立方米/秒，平均流量为162.0 立方米/秒，年径流量达58.4亿立方米；融江系</w:t>
      </w:r>
      <w:r>
        <w:rPr>
          <w:rFonts w:ascii="Times New Roman" w:hAnsi="Times New Roman" w:eastAsia="宋体"/>
          <w:color w:val="auto"/>
          <w:highlight w:val="none"/>
        </w:rPr>
        <w:t>都柳江</w:t>
      </w:r>
      <w:r>
        <w:rPr>
          <w:rFonts w:ascii="Times New Roman" w:hAnsi="Times New Roman" w:eastAsia="宋体"/>
          <w:bCs/>
          <w:color w:val="auto"/>
          <w:highlight w:val="none"/>
        </w:rPr>
        <w:t>、</w:t>
      </w:r>
      <w:r>
        <w:rPr>
          <w:rFonts w:hint="eastAsia" w:ascii="Times New Roman" w:hAnsi="Times New Roman" w:eastAsia="宋体"/>
          <w:bCs/>
          <w:color w:val="auto"/>
          <w:highlight w:val="none"/>
        </w:rPr>
        <w:t>寻江</w:t>
      </w:r>
      <w:r>
        <w:rPr>
          <w:rFonts w:ascii="Times New Roman" w:hAnsi="Times New Roman" w:eastAsia="宋体"/>
          <w:bCs/>
          <w:color w:val="auto"/>
          <w:highlight w:val="none"/>
        </w:rPr>
        <w:t>两江在老堡乡老堡口汇流而成，后流经老堡乡、丹洲镇进入</w:t>
      </w:r>
      <w:r>
        <w:rPr>
          <w:rFonts w:hint="eastAsia" w:ascii="Times New Roman" w:hAnsi="Times New Roman" w:eastAsia="宋体"/>
          <w:bCs/>
          <w:color w:val="auto"/>
          <w:highlight w:val="none"/>
        </w:rPr>
        <w:t>三江县</w:t>
      </w:r>
      <w:r>
        <w:rPr>
          <w:rFonts w:ascii="Times New Roman" w:hAnsi="Times New Roman" w:eastAsia="宋体"/>
          <w:bCs/>
          <w:color w:val="auto"/>
          <w:highlight w:val="none"/>
        </w:rPr>
        <w:t>，朝南直向柳州奔流，在县域流长40千米，集雨面积1.34亿</w:t>
      </w:r>
      <w:r>
        <w:rPr>
          <w:rFonts w:ascii="Times New Roman" w:hAnsi="Times New Roman" w:eastAsia="宋体"/>
          <w:color w:val="auto"/>
          <w:highlight w:val="none"/>
        </w:rPr>
        <w:t>平方千米</w:t>
      </w:r>
      <w:r>
        <w:rPr>
          <w:rFonts w:ascii="Times New Roman" w:hAnsi="Times New Roman" w:eastAsia="宋体"/>
          <w:bCs/>
          <w:color w:val="auto"/>
          <w:highlight w:val="none"/>
        </w:rPr>
        <w:t>，河道比降0.5‰，最大洪峰流量为13000立方米/秒，最小枯水流量55立方米/秒，平均流量为450立方米/秒，年径流量达171.45亿立方米</w:t>
      </w:r>
      <w:r>
        <w:rPr>
          <w:rFonts w:hint="eastAsia" w:ascii="Times New Roman" w:hAnsi="Times New Roman" w:eastAsia="宋体" w:cs="Times New Roman"/>
          <w:color w:val="auto"/>
          <w:highlight w:val="none"/>
          <w:shd w:val="clear" w:color="auto" w:fill="FFFFFF"/>
        </w:rPr>
        <w:t>。</w:t>
      </w:r>
    </w:p>
    <w:p>
      <w:pPr>
        <w:autoSpaceDE w:val="0"/>
        <w:adjustRightInd w:val="0"/>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本项目周边</w:t>
      </w:r>
      <w:r>
        <w:rPr>
          <w:rFonts w:ascii="Times New Roman" w:hAnsi="Times New Roman" w:eastAsia="宋体" w:cs="Times New Roman"/>
          <w:color w:val="auto"/>
          <w:highlight w:val="none"/>
        </w:rPr>
        <w:t>没有明显的河流水系，</w:t>
      </w:r>
      <w:r>
        <w:rPr>
          <w:rFonts w:hint="eastAsia" w:ascii="Times New Roman" w:hAnsi="Times New Roman" w:eastAsia="宋体" w:cs="Times New Roman"/>
          <w:color w:val="auto"/>
          <w:highlight w:val="none"/>
        </w:rPr>
        <w:t>项目南侧约10m处有一条</w:t>
      </w:r>
      <w:r>
        <w:rPr>
          <w:rFonts w:hint="eastAsia" w:ascii="Times New Roman" w:hAnsi="Times New Roman" w:eastAsia="宋体"/>
          <w:color w:val="auto"/>
          <w:highlight w:val="none"/>
        </w:rPr>
        <w:t>无名小沟</w:t>
      </w:r>
      <w:r>
        <w:rPr>
          <w:rFonts w:hint="eastAsia" w:ascii="Times New Roman" w:hAnsi="Times New Roman" w:eastAsia="宋体" w:cs="Times New Roman"/>
          <w:color w:val="auto"/>
          <w:highlight w:val="none"/>
        </w:rPr>
        <w:t>，其源头为山泉水，主要用于下游农田</w:t>
      </w:r>
      <w:r>
        <w:rPr>
          <w:rFonts w:ascii="Times New Roman" w:hAnsi="Times New Roman" w:eastAsia="宋体" w:cs="Times New Roman"/>
          <w:color w:val="auto"/>
          <w:szCs w:val="24"/>
          <w:highlight w:val="none"/>
        </w:rPr>
        <w:t>灌溉</w:t>
      </w:r>
      <w:r>
        <w:rPr>
          <w:rFonts w:hint="eastAsia" w:ascii="Times New Roman" w:hAnsi="Times New Roman" w:eastAsia="宋体" w:cs="Times New Roman"/>
          <w:color w:val="auto"/>
          <w:szCs w:val="24"/>
          <w:highlight w:val="none"/>
        </w:rPr>
        <w:t>，流入</w:t>
      </w:r>
      <w:r>
        <w:rPr>
          <w:rFonts w:hint="eastAsia" w:ascii="Times New Roman" w:hAnsi="Times New Roman" w:eastAsia="宋体" w:cs="Times New Roman"/>
          <w:color w:val="auto"/>
          <w:highlight w:val="none"/>
        </w:rPr>
        <w:t>斗江</w:t>
      </w:r>
      <w:r>
        <w:rPr>
          <w:rFonts w:hint="eastAsia" w:ascii="Times New Roman" w:hAnsi="Times New Roman" w:eastAsia="宋体" w:cs="Times New Roman"/>
          <w:color w:val="auto"/>
          <w:highlight w:val="none"/>
          <w:lang w:val="en-US" w:eastAsia="zh-CN"/>
        </w:rPr>
        <w:t>河</w:t>
      </w:r>
      <w:r>
        <w:rPr>
          <w:rFonts w:hint="eastAsia" w:ascii="Times New Roman" w:hAnsi="Times New Roman" w:eastAsia="宋体" w:cs="Times New Roman"/>
          <w:color w:val="auto"/>
          <w:highlight w:val="none"/>
        </w:rPr>
        <w:t>最终汇入古宜河。</w:t>
      </w:r>
    </w:p>
    <w:bookmarkEnd w:id="182"/>
    <w:p>
      <w:pPr>
        <w:pStyle w:val="5"/>
        <w:rPr>
          <w:rFonts w:ascii="Times New Roman" w:hAnsi="Times New Roman" w:eastAsia="宋体"/>
          <w:color w:val="auto"/>
          <w:highlight w:val="none"/>
        </w:rPr>
      </w:pPr>
      <w:r>
        <w:rPr>
          <w:rFonts w:ascii="Times New Roman" w:hAnsi="Times New Roman" w:eastAsia="宋体"/>
          <w:color w:val="auto"/>
          <w:highlight w:val="none"/>
        </w:rPr>
        <w:t>3.1.5 水文地质</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根据1：20万三江幅水文地质调查报告，区域地下水类型为松散岩类孔隙水及碎屑岩基岩裂隙水，以大气降水补给为主，其中，松散岩类孔隙水含水量贫乏，碎屑岩基岩裂隙水水量贫乏。</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据地层岩性、地下水赋存形式、埋藏条件和水力特征，评估区内地下水类型主要为松散岩类孔隙水和碎屑岩类裂隙水两大类。</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松散岩类孔隙水：主要赋存于第四系残积层及强风化岩松散层孔隙中，接受大气降雨补给。由于地表水排泄条件良好及松散层渗透性较好，因而水量小。区内松散层在水平与垂直方向上分布不均，故孔隙潜水储存条件差，水位动态变化较大，且随季节的影响而变化。地下水在松散层孔隙中呈无压层流，迳流速度缓慢，局部形成上层滞水，一般以季节性小泉眼形式在沟谷底或陡坎处呈线状排泄。</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碎屑岩类裂隙水：主要赋存于震旦系老堡组石英硅质岩裂隙中，该层为矿区的主要矿层，分布于整个矿区。因受构造褶皱影响，裂隙较发育，含风化裂隙水，水量贫乏。裂隙水一般以面状分散渗流形式沿冲沟排泄转化为地表径流。</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根据区域水文地质资料，当地最低侵蚀基准面标高为+220m，本矿区矿体最低开采标高为+227m，高于当地最低侵蚀基准面。据现场调查，矿区附近未见地下水出露，矿区地下水对矿床开采无不良影响。</w:t>
      </w:r>
    </w:p>
    <w:bookmarkEnd w:id="167"/>
    <w:p>
      <w:pPr>
        <w:pStyle w:val="5"/>
        <w:rPr>
          <w:rFonts w:ascii="Times New Roman" w:hAnsi="Times New Roman" w:eastAsia="宋体"/>
          <w:color w:val="auto"/>
          <w:highlight w:val="none"/>
        </w:rPr>
      </w:pPr>
      <w:bookmarkStart w:id="183" w:name="_Toc15340"/>
      <w:bookmarkEnd w:id="183"/>
      <w:bookmarkStart w:id="184" w:name="_Toc12608"/>
      <w:bookmarkEnd w:id="184"/>
      <w:bookmarkStart w:id="185" w:name="_Toc22958"/>
      <w:bookmarkEnd w:id="185"/>
      <w:bookmarkStart w:id="186" w:name="_Toc10375"/>
      <w:bookmarkEnd w:id="186"/>
      <w:bookmarkStart w:id="187" w:name="_Toc11534"/>
      <w:r>
        <w:rPr>
          <w:rFonts w:ascii="Times New Roman" w:hAnsi="Times New Roman" w:eastAsia="宋体"/>
          <w:color w:val="auto"/>
          <w:highlight w:val="none"/>
        </w:rPr>
        <w:t>3.1.</w:t>
      </w:r>
      <w:bookmarkEnd w:id="187"/>
      <w:r>
        <w:rPr>
          <w:rFonts w:ascii="Times New Roman" w:hAnsi="Times New Roman" w:eastAsia="宋体"/>
          <w:color w:val="auto"/>
          <w:highlight w:val="none"/>
        </w:rPr>
        <w:t>6 土壤</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三江县处于中亚热带常绿阔叶林红壤和黄壤地带，但随着山地海拔高度的不同，分为红壤地带、黄红壤地带、黄壤地带；全县垂直分布规律大体是：500以下的丘陵为红壤地带性土壤，500~800m为黄红壤地带性土壤，850m以上为黄壤地带性土壤。土壤总的特点是：土地肥厚，多为壤土；有机质含量高。</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土壤普查资料及现场调查，矿区范围内土壤主要为基岩自然风化而成的粉质粘土，含有硅质岩碎片，硅质岩碎片的含量一般在20%以下。山体的缓坡及洼地处厚度较厚，厚度约为0.3m~2.5m。坡地上厚度约为0.3m~1.5m质地一般为重壤到枯壤，pH值为5.5~7.5，有机质含量在1.2%~3.0%。</w:t>
      </w:r>
    </w:p>
    <w:p>
      <w:pPr>
        <w:pStyle w:val="5"/>
        <w:rPr>
          <w:rFonts w:ascii="Times New Roman" w:hAnsi="Times New Roman" w:eastAsia="宋体"/>
          <w:color w:val="auto"/>
          <w:highlight w:val="none"/>
        </w:rPr>
      </w:pPr>
      <w:bookmarkStart w:id="188" w:name="_Toc1352"/>
      <w:bookmarkEnd w:id="188"/>
      <w:bookmarkStart w:id="189" w:name="_Toc21426"/>
      <w:bookmarkEnd w:id="189"/>
      <w:bookmarkStart w:id="190" w:name="_Toc23962"/>
      <w:bookmarkEnd w:id="190"/>
      <w:bookmarkStart w:id="191" w:name="_Toc8256"/>
      <w:r>
        <w:rPr>
          <w:rFonts w:ascii="Times New Roman" w:hAnsi="Times New Roman" w:eastAsia="宋体"/>
          <w:color w:val="auto"/>
          <w:highlight w:val="none"/>
        </w:rPr>
        <w:t>3.1.</w:t>
      </w:r>
      <w:bookmarkEnd w:id="191"/>
      <w:r>
        <w:rPr>
          <w:rFonts w:ascii="Times New Roman" w:hAnsi="Times New Roman" w:eastAsia="宋体"/>
          <w:color w:val="auto"/>
          <w:highlight w:val="none"/>
        </w:rPr>
        <w:t>7 矿产资源</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三江县县境内已发现的矿种有石煤、铁、钒、锰、铜、铅锌、钨、锑、金、铀、磷、钾、金刚石、重晶石、石英石、辉绿岩、矿泉水、砖瓦粘土、建筑用砂砾、片石等20种，探明储量的有8种，矿床、矿（化）点62个，其中大型矿床1处，小型矿床22处。县域矿产主要分布在三江至从江公路沿线，包括程村乡大树磷矿（1.995万吨）、竹岭槽钒矿（8.96万吨）、竹岭槽煤（2895.96万吨）；良口乡南寨褐铁矿（6.3万吨）、氧化硅（5万吨）、铅锌矿、金刚山石灰岩（10万吨）、信洞石灰岩（1000万吨）、大滩磷矿（3.6万吨）、同乐石煤矿（含钒矿2585.8万吨）、洋溪磷矿（2.7万吨）、高路赤铁矿（未查明储量）；富禄甲圩赤铁矿（约3-5万吨）。</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目前，县域开发利用的主要矿产资源有重晶石、铅锌矿、锰矿、石英石、辉绿岩、粘土、砂砾、片石等8种矿产。</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根据2017年11月中国冶金地质总局广西地质勘查院提交的《三江县宏源采石场硅质岩矿矿产资源储量简测报告》，矿区范围保有资源储量为推断的内蕴经济资源量（333）962.19万m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（折合2309.26万t）。其中保有（333）可利用硅质岩矿资源量939.53万m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（合2254.87万t）；边坡压占（333）硅质岩矿资源量156.37万m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（合375.29万t）。</w:t>
      </w:r>
    </w:p>
    <w:p>
      <w:pPr>
        <w:pStyle w:val="5"/>
        <w:rPr>
          <w:rFonts w:ascii="Times New Roman" w:hAnsi="Times New Roman" w:eastAsia="宋体"/>
          <w:color w:val="auto"/>
          <w:highlight w:val="none"/>
        </w:rPr>
      </w:pPr>
      <w:bookmarkStart w:id="192" w:name="_Toc22929"/>
      <w:bookmarkEnd w:id="192"/>
      <w:bookmarkStart w:id="193" w:name="_Toc6189"/>
      <w:bookmarkEnd w:id="193"/>
      <w:bookmarkStart w:id="194" w:name="_Toc3962"/>
      <w:bookmarkEnd w:id="194"/>
      <w:bookmarkStart w:id="195" w:name="_Toc15843"/>
      <w:r>
        <w:rPr>
          <w:rFonts w:ascii="Times New Roman" w:hAnsi="Times New Roman" w:eastAsia="宋体"/>
          <w:color w:val="auto"/>
          <w:highlight w:val="none"/>
        </w:rPr>
        <w:t>3.1.</w:t>
      </w:r>
      <w:bookmarkEnd w:id="195"/>
      <w:r>
        <w:rPr>
          <w:rFonts w:ascii="Times New Roman" w:hAnsi="Times New Roman" w:eastAsia="宋体"/>
          <w:color w:val="auto"/>
          <w:highlight w:val="none"/>
        </w:rPr>
        <w:t>8 动植物资源</w:t>
      </w:r>
    </w:p>
    <w:p>
      <w:pPr>
        <w:ind w:firstLine="480"/>
        <w:rPr>
          <w:rFonts w:hint="eastAsia" w:ascii="Times New Roman" w:hAnsi="Times New Roman" w:eastAsia="宋体"/>
          <w:color w:val="auto"/>
          <w:highlight w:val="none"/>
        </w:rPr>
      </w:pPr>
      <w:bookmarkStart w:id="196" w:name="_Toc17192"/>
      <w:bookmarkEnd w:id="196"/>
      <w:bookmarkStart w:id="197" w:name="_Toc7055"/>
      <w:r>
        <w:rPr>
          <w:rFonts w:hint="eastAsia" w:ascii="Times New Roman" w:hAnsi="Times New Roman" w:eastAsia="宋体"/>
          <w:color w:val="auto"/>
          <w:highlight w:val="none"/>
        </w:rPr>
        <w:t>2018年，三江县全县林业用地面积192192.2公顷，有林面积182760.8公顷，活立木总蓄积3618539立方米。其中公益林面积41821.5公顷、商品林面积128863.4公顷，经济林面积58166公顷。全县县域用材林以杉、松、阔叶林和竹林为主，杉木林面积55231公顷，松林7997.7公顷，阔叶林53864.3公顷，竹林面积为6110.3公顷，油茶林面积49846公顷。其中公益林主要分布在古宜（4393.6公顷）、丹洲（7681.8公顷）、老堡（7628.5公顷）、斗江（4912.5公顷）、良口（5099.3公顷）、洋溪（3717.3公顷）、富禄（2837.8公顷）、梅林（4298.8公顷）和林溪（1251.9公顷）九个乡镇。</w:t>
      </w:r>
    </w:p>
    <w:p>
      <w:pPr>
        <w:ind w:firstLine="480"/>
        <w:rPr>
          <w:rFonts w:ascii="Times New Roman" w:hAnsi="Times New Roman" w:eastAsia="宋体" w:cs="Times New Roman"/>
          <w:color w:val="auto"/>
          <w:highlight w:val="none"/>
        </w:rPr>
      </w:pPr>
      <w:r>
        <w:rPr>
          <w:rFonts w:ascii="Times New Roman" w:hAnsi="Times New Roman" w:eastAsia="宋体"/>
          <w:color w:val="auto"/>
          <w:highlight w:val="none"/>
        </w:rPr>
        <w:t>县域森林茂密，生物多样性好。分布有国家保护野生植物有金毛狗、樟、闽楠、任豆、花榈木、福建观音座莲、海南五针松、观光木、檫树共</w:t>
      </w:r>
      <w:r>
        <w:rPr>
          <w:rFonts w:hint="eastAsia" w:ascii="Times New Roman" w:hAnsi="Times New Roman" w:eastAsia="宋体"/>
          <w:color w:val="auto"/>
          <w:highlight w:val="none"/>
        </w:rPr>
        <w:t>9</w:t>
      </w:r>
      <w:r>
        <w:rPr>
          <w:rFonts w:ascii="Times New Roman" w:hAnsi="Times New Roman" w:eastAsia="宋体"/>
          <w:color w:val="auto"/>
          <w:highlight w:val="none"/>
        </w:rPr>
        <w:t>种；拥有国家一级国家重点保护野生动物蟒蛇、二级国家保护动物大鲵、赤腹鹰、雀鹰、燕隼、白鹇、领鸺鹠、红腹锦鸡、细痣疣螈、红脚隼、原鸡、白腹黑啄木鸟、白鹤、穿山甲、猕猴、水獭、苏门</w:t>
      </w:r>
      <w:r>
        <w:rPr>
          <w:rFonts w:ascii="Times New Roman" w:hAnsi="Times New Roman" w:eastAsia="宋体" w:cs="Times New Roman"/>
          <w:color w:val="auto"/>
          <w:highlight w:val="none"/>
        </w:rPr>
        <w:t>羚共16种。</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根据对评价区植物的资源综合调查，项目区域共有维管植物309种，评价区内植物区系成分以草本植物为主。评价区内发现1种国家</w:t>
      </w:r>
      <w:r>
        <w:rPr>
          <w:rFonts w:ascii="Times New Roman" w:hAnsi="Times New Roman" w:eastAsia="宋体" w:cs="Times New Roman"/>
          <w:color w:val="auto"/>
          <w:kern w:val="0"/>
          <w:szCs w:val="24"/>
          <w:highlight w:val="none"/>
        </w:rPr>
        <w:t>Ⅱ</w:t>
      </w:r>
      <w:r>
        <w:rPr>
          <w:rFonts w:ascii="Times New Roman" w:hAnsi="Times New Roman" w:eastAsia="宋体" w:cs="Times New Roman"/>
          <w:color w:val="auto"/>
          <w:szCs w:val="24"/>
          <w:highlight w:val="none"/>
        </w:rPr>
        <w:t>级重点保护野生植物金毛狗，为蕨类草本植物，生于项目区红线外，公路旁山坡，种群数量仅有2丛，面积约30m</w:t>
      </w:r>
      <w:r>
        <w:rPr>
          <w:rFonts w:ascii="Times New Roman" w:hAnsi="Times New Roman" w:eastAsia="宋体" w:cs="Times New Roman"/>
          <w:color w:val="auto"/>
          <w:szCs w:val="24"/>
          <w:highlight w:val="none"/>
          <w:vertAlign w:val="superscript"/>
        </w:rPr>
        <w:t>2</w:t>
      </w:r>
      <w:r>
        <w:rPr>
          <w:rFonts w:ascii="Times New Roman" w:hAnsi="Times New Roman" w:eastAsia="宋体" w:cs="Times New Roman"/>
          <w:color w:val="auto"/>
          <w:szCs w:val="24"/>
          <w:highlight w:val="none"/>
        </w:rPr>
        <w:t>，坐标为：</w:t>
      </w:r>
      <w:r>
        <w:rPr>
          <w:rFonts w:ascii="Times New Roman" w:hAnsi="Times New Roman" w:eastAsia="宋体" w:cs="Times New Roman"/>
          <w:color w:val="auto"/>
          <w:highlight w:val="none"/>
        </w:rPr>
        <w:t>109°42′32.8"E，25°45′28.5"N</w:t>
      </w:r>
      <w:r>
        <w:rPr>
          <w:rFonts w:ascii="Times New Roman" w:hAnsi="Times New Roman" w:eastAsia="宋体" w:cs="Times New Roman"/>
          <w:color w:val="auto"/>
          <w:szCs w:val="24"/>
          <w:highlight w:val="none"/>
        </w:rPr>
        <w:t>。经实地调查，在评价区范围内共调查到3株古树。3株古树生于项目红线区外，公路南侧，树种均为枫香树，树龄100年、120年和140年，均为三级古树。</w:t>
      </w:r>
    </w:p>
    <w:p>
      <w:pPr>
        <w:pStyle w:val="5"/>
        <w:rPr>
          <w:rFonts w:hint="eastAsia" w:ascii="Times New Roman" w:hAnsi="Times New Roman" w:eastAsia="宋体"/>
          <w:color w:val="auto"/>
          <w:highlight w:val="none"/>
        </w:rPr>
      </w:pPr>
      <w:r>
        <w:rPr>
          <w:rFonts w:hint="eastAsia" w:ascii="Times New Roman" w:hAnsi="Times New Roman" w:eastAsia="宋体"/>
          <w:color w:val="auto"/>
          <w:highlight w:val="none"/>
        </w:rPr>
        <w:t>3.1.9 区域饮用水源情况</w:t>
      </w:r>
    </w:p>
    <w:p>
      <w:pPr>
        <w:pStyle w:val="6"/>
        <w:rPr>
          <w:rFonts w:hint="eastAsia" w:ascii="Times New Roman" w:hAnsi="Times New Roman" w:eastAsia="宋体"/>
          <w:color w:val="auto"/>
          <w:highlight w:val="none"/>
        </w:rPr>
      </w:pPr>
      <w:r>
        <w:rPr>
          <w:rFonts w:hint="eastAsia" w:ascii="Times New Roman" w:hAnsi="Times New Roman" w:eastAsia="宋体"/>
          <w:color w:val="auto"/>
          <w:highlight w:val="none"/>
        </w:rPr>
        <w:t>3.1.9.1 三江县县城饮用水源</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三江县县</w:t>
      </w:r>
      <w:r>
        <w:rPr>
          <w:rFonts w:ascii="Times New Roman" w:hAnsi="Times New Roman" w:eastAsia="宋体" w:cs="Times New Roman"/>
          <w:color w:val="auto"/>
          <w:highlight w:val="none"/>
        </w:rPr>
        <w:t>城饮用水水源地</w:t>
      </w:r>
      <w:r>
        <w:rPr>
          <w:rFonts w:hint="eastAsia" w:ascii="Times New Roman" w:hAnsi="Times New Roman" w:eastAsia="宋体" w:cs="Times New Roman"/>
          <w:color w:val="auto"/>
          <w:highlight w:val="none"/>
        </w:rPr>
        <w:t>设</w:t>
      </w:r>
      <w:r>
        <w:rPr>
          <w:rFonts w:ascii="Times New Roman" w:hAnsi="Times New Roman" w:eastAsia="宋体" w:cs="Times New Roman"/>
          <w:color w:val="auto"/>
          <w:highlight w:val="none"/>
        </w:rPr>
        <w:t>有</w:t>
      </w:r>
      <w:r>
        <w:rPr>
          <w:rFonts w:hint="eastAsia" w:ascii="Times New Roman" w:hAnsi="Times New Roman" w:eastAsia="宋体" w:cs="Times New Roman"/>
          <w:color w:val="auto"/>
          <w:highlight w:val="none"/>
        </w:rPr>
        <w:t>河东水厂取水口和河西水厂取水口，分别位于厘金滩电站大坝上游2000m处和下游3600m处的寻江河段。</w:t>
      </w:r>
      <w:r>
        <w:rPr>
          <w:rFonts w:ascii="Times New Roman" w:hAnsi="Times New Roman" w:eastAsia="宋体" w:cs="Times New Roman"/>
          <w:color w:val="auto"/>
          <w:highlight w:val="none"/>
        </w:rPr>
        <w:t>2012年，</w:t>
      </w:r>
      <w:r>
        <w:rPr>
          <w:rFonts w:hint="eastAsia" w:ascii="Times New Roman" w:hAnsi="Times New Roman" w:eastAsia="宋体" w:cs="Times New Roman"/>
          <w:color w:val="auto"/>
          <w:highlight w:val="none"/>
        </w:rPr>
        <w:t>三江县</w:t>
      </w:r>
      <w:r>
        <w:rPr>
          <w:rFonts w:ascii="Times New Roman" w:hAnsi="Times New Roman" w:eastAsia="宋体" w:cs="Times New Roman"/>
          <w:color w:val="auto"/>
          <w:highlight w:val="none"/>
        </w:rPr>
        <w:t>完成县城饮用水水源保护区划分，并且获得自治区人民政府核准批复。</w:t>
      </w:r>
      <w:r>
        <w:rPr>
          <w:rFonts w:hint="eastAsia" w:ascii="Times New Roman" w:hAnsi="Times New Roman" w:eastAsia="宋体" w:cs="Times New Roman"/>
          <w:color w:val="auto"/>
          <w:highlight w:val="none"/>
        </w:rPr>
        <w:t>具体情况见附图11。</w:t>
      </w:r>
    </w:p>
    <w:p>
      <w:pPr>
        <w:widowControl/>
        <w:adjustRightInd w:val="0"/>
        <w:snapToGrid w:val="0"/>
        <w:spacing w:line="240" w:lineRule="auto"/>
        <w:ind w:firstLine="0" w:firstLineChars="0"/>
        <w:jc w:val="center"/>
        <w:rPr>
          <w:rFonts w:hint="eastAsia" w:ascii="Times New Roman" w:hAnsi="Times New Roman" w:eastAsia="宋体"/>
          <w:b/>
          <w:bCs/>
          <w:color w:val="auto"/>
          <w:szCs w:val="28"/>
          <w:highlight w:val="none"/>
        </w:rPr>
      </w:pPr>
      <w:r>
        <w:rPr>
          <w:rFonts w:hint="eastAsia" w:ascii="Times New Roman" w:hAnsi="Times New Roman" w:eastAsia="宋体"/>
          <w:b/>
          <w:bCs/>
          <w:color w:val="auto"/>
          <w:szCs w:val="28"/>
          <w:highlight w:val="none"/>
        </w:rPr>
        <w:t>表3.1-1   三江县县城饮用水源保护区划分结果表</w:t>
      </w:r>
    </w:p>
    <w:tbl>
      <w:tblPr>
        <w:tblStyle w:val="48"/>
        <w:tblW w:w="9071"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91"/>
        <w:gridCol w:w="728"/>
        <w:gridCol w:w="6713"/>
        <w:gridCol w:w="7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blHeader/>
          <w:jc w:val="center"/>
        </w:trPr>
        <w:tc>
          <w:tcPr>
            <w:tcW w:w="891" w:type="dxa"/>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保护</w:t>
            </w:r>
          </w:p>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类型</w:t>
            </w:r>
          </w:p>
        </w:tc>
        <w:tc>
          <w:tcPr>
            <w:tcW w:w="7441" w:type="dxa"/>
            <w:gridSpan w:val="2"/>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保护区范围</w:t>
            </w:r>
          </w:p>
        </w:tc>
        <w:tc>
          <w:tcPr>
            <w:tcW w:w="739" w:type="dxa"/>
            <w:noWrap w:val="0"/>
            <w:tcMar>
              <w:top w:w="15" w:type="dxa"/>
              <w:left w:w="15" w:type="dxa"/>
              <w:bottom w:w="0" w:type="dxa"/>
              <w:right w:w="15" w:type="dxa"/>
            </w:tcMar>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面积（km</w:t>
            </w:r>
            <w:r>
              <w:rPr>
                <w:rFonts w:ascii="Times New Roman" w:hAnsi="Times New Roman" w:eastAsia="宋体" w:cs="Times New Roman"/>
                <w:color w:val="auto"/>
                <w:sz w:val="21"/>
                <w:highlight w:val="none"/>
                <w:vertAlign w:val="superscript"/>
              </w:rPr>
              <w:t>2</w:t>
            </w:r>
            <w:r>
              <w:rPr>
                <w:rFonts w:ascii="Times New Roman" w:hAnsi="Times New Roman" w:eastAsia="宋体" w:cs="Times New Roman"/>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91" w:type="dxa"/>
            <w:vMerge w:val="restart"/>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一级</w:t>
            </w:r>
          </w:p>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保护区</w:t>
            </w:r>
          </w:p>
        </w:tc>
        <w:tc>
          <w:tcPr>
            <w:tcW w:w="728" w:type="dxa"/>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水域</w:t>
            </w:r>
          </w:p>
        </w:tc>
        <w:tc>
          <w:tcPr>
            <w:tcW w:w="6713" w:type="dxa"/>
            <w:noWrap w:val="0"/>
            <w:vAlign w:val="center"/>
          </w:tcPr>
          <w:p>
            <w:pPr>
              <w:widowControl/>
              <w:adjustRightInd w:val="0"/>
              <w:snapToGrid w:val="0"/>
              <w:spacing w:line="240" w:lineRule="auto"/>
              <w:ind w:firstLine="0" w:firstLineChars="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长度分别为寻江水域从河东水厂取水口上游2000米至该取水口下游100米处、河西水厂取水口上游1100米至该取水口下游100米处的寻江河段，入河支流八江河水域长度为从汇入口向该河上游延伸1000米的河段；宽度为各河段两岸5年一遇洪水所能淹没线间的距离。</w:t>
            </w:r>
          </w:p>
        </w:tc>
        <w:tc>
          <w:tcPr>
            <w:tcW w:w="739" w:type="dxa"/>
            <w:vMerge w:val="restart"/>
            <w:noWrap w:val="0"/>
            <w:tcMar>
              <w:top w:w="15" w:type="dxa"/>
              <w:left w:w="15" w:type="dxa"/>
              <w:bottom w:w="0" w:type="dxa"/>
              <w:right w:w="15" w:type="dxa"/>
            </w:tcMar>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91" w:type="dxa"/>
            <w:vMerge w:val="continue"/>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p>
        </w:tc>
        <w:tc>
          <w:tcPr>
            <w:tcW w:w="728" w:type="dxa"/>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陆域</w:t>
            </w:r>
          </w:p>
        </w:tc>
        <w:tc>
          <w:tcPr>
            <w:tcW w:w="6713"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一级保护区水域河段两岸各纵深50米的陆域。</w:t>
            </w:r>
          </w:p>
        </w:tc>
        <w:tc>
          <w:tcPr>
            <w:tcW w:w="739" w:type="dxa"/>
            <w:vMerge w:val="continue"/>
            <w:noWrap w:val="0"/>
            <w:tcMar>
              <w:top w:w="15" w:type="dxa"/>
              <w:left w:w="15" w:type="dxa"/>
              <w:bottom w:w="0" w:type="dxa"/>
              <w:right w:w="15" w:type="dxa"/>
            </w:tcMar>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91" w:type="dxa"/>
            <w:vMerge w:val="restart"/>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二级</w:t>
            </w:r>
          </w:p>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保护区</w:t>
            </w:r>
          </w:p>
        </w:tc>
        <w:tc>
          <w:tcPr>
            <w:tcW w:w="728" w:type="dxa"/>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水域</w:t>
            </w:r>
          </w:p>
        </w:tc>
        <w:tc>
          <w:tcPr>
            <w:tcW w:w="6713" w:type="dxa"/>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长度为河东水厂取水口上游4000米处至河西水厂取水口下游300米处、八江河从汇入口向其上游延伸3700米（八江河与林溪河交汇处）的河段，宽度为各河段两岸10年一遇洪水淹没线间的距离。一级保护区水域除外。</w:t>
            </w:r>
          </w:p>
        </w:tc>
        <w:tc>
          <w:tcPr>
            <w:tcW w:w="739" w:type="dxa"/>
            <w:vMerge w:val="restart"/>
            <w:noWrap w:val="0"/>
            <w:tcMar>
              <w:top w:w="15" w:type="dxa"/>
              <w:left w:w="15" w:type="dxa"/>
              <w:bottom w:w="0" w:type="dxa"/>
              <w:right w:w="15" w:type="dxa"/>
            </w:tcMar>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24.814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91" w:type="dxa"/>
            <w:vMerge w:val="continue"/>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p>
        </w:tc>
        <w:tc>
          <w:tcPr>
            <w:tcW w:w="728" w:type="dxa"/>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陆域</w:t>
            </w:r>
          </w:p>
        </w:tc>
        <w:tc>
          <w:tcPr>
            <w:tcW w:w="6713" w:type="dxa"/>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二级保护区水域河段两岸各纵深不小于1000米的陆域。一级保护区陆域除外。</w:t>
            </w:r>
          </w:p>
        </w:tc>
        <w:tc>
          <w:tcPr>
            <w:tcW w:w="739" w:type="dxa"/>
            <w:vMerge w:val="continue"/>
            <w:noWrap w:val="0"/>
            <w:tcMar>
              <w:top w:w="15" w:type="dxa"/>
              <w:left w:w="15" w:type="dxa"/>
              <w:bottom w:w="0" w:type="dxa"/>
              <w:right w:w="15" w:type="dxa"/>
            </w:tcMar>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91" w:type="dxa"/>
            <w:vMerge w:val="restart"/>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准保护区</w:t>
            </w:r>
          </w:p>
        </w:tc>
        <w:tc>
          <w:tcPr>
            <w:tcW w:w="728" w:type="dxa"/>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水域</w:t>
            </w:r>
          </w:p>
        </w:tc>
        <w:tc>
          <w:tcPr>
            <w:tcW w:w="6713" w:type="dxa"/>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长度为寻江二级保护区水域上游边界上溯4000米、入河支流</w:t>
            </w:r>
            <w:r>
              <w:rPr>
                <w:rFonts w:hint="eastAsia" w:ascii="Times New Roman" w:hAnsi="Times New Roman" w:eastAsia="宋体" w:cs="Times New Roman"/>
                <w:color w:val="auto"/>
                <w:sz w:val="21"/>
                <w:highlight w:val="none"/>
              </w:rPr>
              <w:t>斗江</w:t>
            </w:r>
            <w:r>
              <w:rPr>
                <w:rFonts w:ascii="Times New Roman" w:hAnsi="Times New Roman" w:eastAsia="宋体" w:cs="Times New Roman"/>
                <w:color w:val="auto"/>
                <w:sz w:val="21"/>
                <w:highlight w:val="none"/>
              </w:rPr>
              <w:t>从汇入口向其上游延伸2000米的河段，宽度为各河段两岸10年一遇洪水淹没线间的距离。</w:t>
            </w:r>
          </w:p>
        </w:tc>
        <w:tc>
          <w:tcPr>
            <w:tcW w:w="739" w:type="dxa"/>
            <w:vMerge w:val="restart"/>
            <w:noWrap w:val="0"/>
            <w:tcMar>
              <w:top w:w="15" w:type="dxa"/>
              <w:left w:w="15" w:type="dxa"/>
              <w:bottom w:w="0" w:type="dxa"/>
              <w:right w:w="15" w:type="dxa"/>
            </w:tcMar>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9.48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91" w:type="dxa"/>
            <w:vMerge w:val="continue"/>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p>
        </w:tc>
        <w:tc>
          <w:tcPr>
            <w:tcW w:w="728" w:type="dxa"/>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陆域</w:t>
            </w:r>
          </w:p>
        </w:tc>
        <w:tc>
          <w:tcPr>
            <w:tcW w:w="6713" w:type="dxa"/>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准保护区水域河段两岸各纵深不小于1000米的陆域。</w:t>
            </w:r>
          </w:p>
        </w:tc>
        <w:tc>
          <w:tcPr>
            <w:tcW w:w="739" w:type="dxa"/>
            <w:vMerge w:val="continue"/>
            <w:noWrap w:val="0"/>
            <w:tcMar>
              <w:top w:w="15" w:type="dxa"/>
              <w:left w:w="15" w:type="dxa"/>
              <w:bottom w:w="0" w:type="dxa"/>
              <w:right w:w="15" w:type="dxa"/>
            </w:tcMar>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32" w:type="dxa"/>
            <w:gridSpan w:val="3"/>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合 计</w:t>
            </w:r>
          </w:p>
        </w:tc>
        <w:tc>
          <w:tcPr>
            <w:tcW w:w="739" w:type="dxa"/>
            <w:noWrap w:val="0"/>
            <w:tcMar>
              <w:top w:w="15" w:type="dxa"/>
              <w:left w:w="15" w:type="dxa"/>
              <w:bottom w:w="0" w:type="dxa"/>
              <w:right w:w="15" w:type="dxa"/>
            </w:tcMar>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35.094</w:t>
            </w:r>
          </w:p>
        </w:tc>
      </w:tr>
    </w:tbl>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本项目位于三江县县城饮用水源保护区上游</w:t>
      </w:r>
      <w:r>
        <w:rPr>
          <w:rFonts w:hint="eastAsia"/>
          <w:color w:val="auto"/>
          <w:highlight w:val="none"/>
          <w:lang w:eastAsia="zh-CN"/>
        </w:rPr>
        <w:t>，</w:t>
      </w:r>
      <w:r>
        <w:rPr>
          <w:rFonts w:hint="eastAsia"/>
          <w:color w:val="auto"/>
          <w:highlight w:val="none"/>
          <w:u w:val="single"/>
          <w:lang w:val="en-US" w:eastAsia="zh-CN"/>
        </w:rPr>
        <w:t>距其准保护区陆域</w:t>
      </w:r>
      <w:r>
        <w:rPr>
          <w:rFonts w:hint="eastAsia" w:ascii="Times New Roman" w:hAnsi="Times New Roman" w:eastAsia="宋体"/>
          <w:color w:val="auto"/>
          <w:highlight w:val="none"/>
          <w:u w:val="single"/>
        </w:rPr>
        <w:t>约1km</w:t>
      </w:r>
      <w:r>
        <w:rPr>
          <w:rFonts w:hint="eastAsia" w:ascii="Times New Roman" w:hAnsi="Times New Roman" w:eastAsia="宋体"/>
          <w:color w:val="auto"/>
          <w:highlight w:val="none"/>
        </w:rPr>
        <w:t>，不在饮用水源保护区内。</w:t>
      </w:r>
    </w:p>
    <w:p>
      <w:pPr>
        <w:pStyle w:val="6"/>
        <w:rPr>
          <w:rFonts w:hint="eastAsia" w:ascii="Times New Roman" w:hAnsi="Times New Roman" w:eastAsia="宋体"/>
          <w:color w:val="auto"/>
          <w:highlight w:val="none"/>
        </w:rPr>
      </w:pPr>
      <w:r>
        <w:rPr>
          <w:rFonts w:hint="eastAsia" w:ascii="Times New Roman" w:hAnsi="Times New Roman" w:eastAsia="宋体"/>
          <w:color w:val="auto"/>
          <w:highlight w:val="none"/>
        </w:rPr>
        <w:t>3.1.9.2 斗江镇饮用水源</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根据《广西壮族自治区人民政府关于同意柳州市乡镇集中式饮用水水源保护区划定方案的批复》（桂政函</w:t>
      </w:r>
      <w:r>
        <w:rPr>
          <w:rFonts w:ascii="Times New Roman" w:hAnsi="Times New Roman" w:eastAsia="宋体"/>
          <w:color w:val="auto"/>
          <w:highlight w:val="none"/>
        </w:rPr>
        <w:t>〔201</w:t>
      </w:r>
      <w:r>
        <w:rPr>
          <w:rFonts w:hint="eastAsia" w:ascii="Times New Roman" w:hAnsi="Times New Roman" w:eastAsia="宋体"/>
          <w:color w:val="auto"/>
          <w:highlight w:val="none"/>
        </w:rPr>
        <w:t>6</w:t>
      </w:r>
      <w:r>
        <w:rPr>
          <w:rFonts w:ascii="Times New Roman" w:hAnsi="Times New Roman" w:eastAsia="宋体"/>
          <w:color w:val="auto"/>
          <w:highlight w:val="none"/>
        </w:rPr>
        <w:t>〕</w:t>
      </w:r>
      <w:r>
        <w:rPr>
          <w:rFonts w:hint="eastAsia" w:ascii="Times New Roman" w:hAnsi="Times New Roman" w:eastAsia="宋体"/>
          <w:color w:val="auto"/>
          <w:highlight w:val="none"/>
        </w:rPr>
        <w:t>266号），斗江镇饮用水水源地</w:t>
      </w:r>
      <w:r>
        <w:rPr>
          <w:rFonts w:hint="eastAsia" w:ascii="Times New Roman" w:hAnsi="Times New Roman" w:eastAsia="宋体"/>
          <w:color w:val="auto"/>
          <w:highlight w:val="none"/>
          <w:lang w:val="en-US" w:eastAsia="zh-CN"/>
        </w:rPr>
        <w:t>为四甲河河段，</w:t>
      </w:r>
      <w:r>
        <w:rPr>
          <w:rFonts w:hint="eastAsia" w:ascii="Times New Roman" w:hAnsi="Times New Roman" w:eastAsia="宋体"/>
          <w:color w:val="auto"/>
          <w:highlight w:val="none"/>
        </w:rPr>
        <w:t>划分具体情况见表3.1-2。具体见附图10。</w:t>
      </w:r>
    </w:p>
    <w:p>
      <w:pPr>
        <w:widowControl/>
        <w:adjustRightInd w:val="0"/>
        <w:snapToGrid w:val="0"/>
        <w:spacing w:line="240" w:lineRule="auto"/>
        <w:ind w:firstLine="0" w:firstLineChars="0"/>
        <w:jc w:val="center"/>
        <w:rPr>
          <w:rFonts w:hint="eastAsia" w:ascii="Times New Roman" w:hAnsi="Times New Roman" w:eastAsia="宋体"/>
          <w:b/>
          <w:bCs/>
          <w:color w:val="auto"/>
          <w:szCs w:val="28"/>
          <w:highlight w:val="none"/>
        </w:rPr>
      </w:pPr>
      <w:r>
        <w:rPr>
          <w:rFonts w:hint="eastAsia" w:ascii="Times New Roman" w:hAnsi="Times New Roman" w:eastAsia="宋体"/>
          <w:b/>
          <w:bCs/>
          <w:color w:val="auto"/>
          <w:szCs w:val="28"/>
          <w:highlight w:val="none"/>
        </w:rPr>
        <w:t>表3.1-2 斗江镇饮用水水源地划分结果表</w:t>
      </w:r>
    </w:p>
    <w:tbl>
      <w:tblPr>
        <w:tblStyle w:val="48"/>
        <w:tblW w:w="9071"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91"/>
        <w:gridCol w:w="728"/>
        <w:gridCol w:w="6713"/>
        <w:gridCol w:w="7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blHeader/>
          <w:jc w:val="center"/>
        </w:trPr>
        <w:tc>
          <w:tcPr>
            <w:tcW w:w="891" w:type="dxa"/>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保护</w:t>
            </w:r>
          </w:p>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类型</w:t>
            </w:r>
          </w:p>
        </w:tc>
        <w:tc>
          <w:tcPr>
            <w:tcW w:w="7441" w:type="dxa"/>
            <w:gridSpan w:val="2"/>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保护区范围</w:t>
            </w:r>
          </w:p>
        </w:tc>
        <w:tc>
          <w:tcPr>
            <w:tcW w:w="739" w:type="dxa"/>
            <w:noWrap w:val="0"/>
            <w:tcMar>
              <w:top w:w="15" w:type="dxa"/>
              <w:left w:w="15" w:type="dxa"/>
              <w:bottom w:w="0" w:type="dxa"/>
              <w:right w:w="15" w:type="dxa"/>
            </w:tcMar>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面积（km</w:t>
            </w:r>
            <w:r>
              <w:rPr>
                <w:rFonts w:ascii="Times New Roman" w:hAnsi="Times New Roman" w:eastAsia="宋体" w:cs="Times New Roman"/>
                <w:color w:val="auto"/>
                <w:sz w:val="21"/>
                <w:highlight w:val="none"/>
                <w:vertAlign w:val="superscript"/>
              </w:rPr>
              <w:t>2</w:t>
            </w:r>
            <w:r>
              <w:rPr>
                <w:rFonts w:ascii="Times New Roman" w:hAnsi="Times New Roman" w:eastAsia="宋体" w:cs="Times New Roman"/>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91" w:type="dxa"/>
            <w:vMerge w:val="restart"/>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一级</w:t>
            </w:r>
          </w:p>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保护区</w:t>
            </w:r>
          </w:p>
        </w:tc>
        <w:tc>
          <w:tcPr>
            <w:tcW w:w="728" w:type="dxa"/>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水域</w:t>
            </w:r>
          </w:p>
        </w:tc>
        <w:tc>
          <w:tcPr>
            <w:tcW w:w="6713" w:type="dxa"/>
            <w:noWrap w:val="0"/>
            <w:vAlign w:val="center"/>
          </w:tcPr>
          <w:p>
            <w:pPr>
              <w:widowControl/>
              <w:adjustRightInd w:val="0"/>
              <w:snapToGrid w:val="0"/>
              <w:spacing w:line="240" w:lineRule="auto"/>
              <w:ind w:firstLine="0" w:firstLineChars="0"/>
              <w:rPr>
                <w:rFonts w:ascii="Times New Roman" w:hAnsi="Times New Roman" w:eastAsia="宋体" w:cs="Times New Roman"/>
                <w:color w:val="auto"/>
                <w:sz w:val="21"/>
                <w:highlight w:val="none"/>
              </w:rPr>
            </w:pPr>
            <w:r>
              <w:rPr>
                <w:rFonts w:hint="eastAsia" w:ascii="Times New Roman" w:hAnsi="Times New Roman" w:eastAsia="宋体"/>
                <w:color w:val="auto"/>
                <w:sz w:val="21"/>
                <w:highlight w:val="none"/>
              </w:rPr>
              <w:t>长度为取水口上游1200 米（水坝处）至下游100 米的水域，宽度为5 年一遇洪水所能淹没的区域。</w:t>
            </w:r>
          </w:p>
        </w:tc>
        <w:tc>
          <w:tcPr>
            <w:tcW w:w="739" w:type="dxa"/>
            <w:noWrap w:val="0"/>
            <w:tcMar>
              <w:top w:w="15" w:type="dxa"/>
              <w:left w:w="15" w:type="dxa"/>
              <w:bottom w:w="0" w:type="dxa"/>
              <w:right w:w="15" w:type="dxa"/>
            </w:tcMar>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91" w:type="dxa"/>
            <w:vMerge w:val="continue"/>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p>
        </w:tc>
        <w:tc>
          <w:tcPr>
            <w:tcW w:w="728" w:type="dxa"/>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陆域</w:t>
            </w:r>
          </w:p>
        </w:tc>
        <w:tc>
          <w:tcPr>
            <w:tcW w:w="6713"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olor w:val="auto"/>
                <w:sz w:val="21"/>
                <w:highlight w:val="none"/>
              </w:rPr>
              <w:t>一级保护区水域两岸各纵深50 米的陆域。</w:t>
            </w:r>
          </w:p>
        </w:tc>
        <w:tc>
          <w:tcPr>
            <w:tcW w:w="739" w:type="dxa"/>
            <w:noWrap w:val="0"/>
            <w:tcMar>
              <w:top w:w="15" w:type="dxa"/>
              <w:left w:w="15" w:type="dxa"/>
              <w:bottom w:w="0" w:type="dxa"/>
              <w:right w:w="15" w:type="dxa"/>
            </w:tcMar>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91" w:type="dxa"/>
            <w:vMerge w:val="restart"/>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二级</w:t>
            </w:r>
          </w:p>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保护区</w:t>
            </w:r>
          </w:p>
        </w:tc>
        <w:tc>
          <w:tcPr>
            <w:tcW w:w="728" w:type="dxa"/>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水域</w:t>
            </w:r>
          </w:p>
        </w:tc>
        <w:tc>
          <w:tcPr>
            <w:tcW w:w="6713" w:type="dxa"/>
            <w:noWrap w:val="0"/>
            <w:vAlign w:val="center"/>
          </w:tcPr>
          <w:p>
            <w:pPr>
              <w:widowControl/>
              <w:adjustRightInd w:val="0"/>
              <w:snapToGrid w:val="0"/>
              <w:spacing w:before="62" w:line="240" w:lineRule="auto"/>
              <w:ind w:firstLine="0" w:firstLineChars="0"/>
              <w:jc w:val="left"/>
              <w:rPr>
                <w:rFonts w:ascii="Times New Roman" w:hAnsi="Times New Roman" w:eastAsia="宋体" w:cs="Times New Roman"/>
                <w:color w:val="auto"/>
                <w:sz w:val="21"/>
                <w:highlight w:val="none"/>
              </w:rPr>
            </w:pPr>
            <w:r>
              <w:rPr>
                <w:rFonts w:hint="eastAsia" w:ascii="Times New Roman" w:hAnsi="Times New Roman" w:eastAsia="宋体"/>
                <w:color w:val="auto"/>
                <w:spacing w:val="-2"/>
                <w:sz w:val="21"/>
                <w:highlight w:val="none"/>
              </w:rPr>
              <w:t>长度为取水口上游（包括右岸入河支流）3200 米至下游300 米的水域，宽度为10 年一遇洪水所能淹没的区域。一级保护区水域除外。</w:t>
            </w:r>
          </w:p>
        </w:tc>
        <w:tc>
          <w:tcPr>
            <w:tcW w:w="739" w:type="dxa"/>
            <w:noWrap w:val="0"/>
            <w:tcMar>
              <w:top w:w="15" w:type="dxa"/>
              <w:left w:w="15" w:type="dxa"/>
              <w:bottom w:w="0" w:type="dxa"/>
              <w:right w:w="15" w:type="dxa"/>
            </w:tcMar>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r>
              <w:rPr>
                <w:rFonts w:ascii="Times New Roman" w:hAnsi="Times New Roman" w:eastAsia="宋体" w:cs="Times New Roman"/>
                <w:color w:val="auto"/>
                <w:sz w:val="21"/>
                <w:highlight w:val="none"/>
              </w:rPr>
              <w:t>14</w:t>
            </w:r>
            <w:r>
              <w:rPr>
                <w:rFonts w:hint="eastAsia" w:ascii="Times New Roman" w:hAnsi="Times New Roman" w:eastAsia="宋体" w:cs="Times New Roman"/>
                <w:color w:val="auto"/>
                <w:sz w:val="21"/>
                <w:highlight w:val="none"/>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91" w:type="dxa"/>
            <w:vMerge w:val="continue"/>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p>
        </w:tc>
        <w:tc>
          <w:tcPr>
            <w:tcW w:w="728" w:type="dxa"/>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陆域</w:t>
            </w:r>
          </w:p>
        </w:tc>
        <w:tc>
          <w:tcPr>
            <w:tcW w:w="6713" w:type="dxa"/>
            <w:noWrap w:val="0"/>
            <w:vAlign w:val="center"/>
          </w:tcPr>
          <w:p>
            <w:pPr>
              <w:widowControl/>
              <w:adjustRightInd w:val="0"/>
              <w:snapToGrid w:val="0"/>
              <w:spacing w:before="62" w:line="240" w:lineRule="auto"/>
              <w:ind w:firstLine="0" w:firstLineChars="0"/>
              <w:jc w:val="left"/>
              <w:rPr>
                <w:rFonts w:ascii="Times New Roman" w:hAnsi="Times New Roman" w:eastAsia="宋体" w:cs="Times New Roman"/>
                <w:color w:val="auto"/>
                <w:sz w:val="21"/>
                <w:highlight w:val="none"/>
              </w:rPr>
            </w:pPr>
            <w:r>
              <w:rPr>
                <w:rFonts w:hint="eastAsia" w:ascii="Times New Roman" w:hAnsi="Times New Roman" w:eastAsia="宋体"/>
                <w:color w:val="auto"/>
                <w:sz w:val="21"/>
                <w:highlight w:val="none"/>
              </w:rPr>
              <w:t>一、二级保护区水域两岸各纵深不小于1000 米的集雨范围。一级保护区陆域除外。</w:t>
            </w:r>
          </w:p>
        </w:tc>
        <w:tc>
          <w:tcPr>
            <w:tcW w:w="739" w:type="dxa"/>
            <w:noWrap w:val="0"/>
            <w:tcMar>
              <w:top w:w="15" w:type="dxa"/>
              <w:left w:w="15" w:type="dxa"/>
              <w:bottom w:w="0" w:type="dxa"/>
              <w:right w:w="15" w:type="dxa"/>
            </w:tcMar>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olor w:val="auto"/>
                <w:sz w:val="21"/>
                <w:highlight w:val="none"/>
              </w:rPr>
              <w:t>7.983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32" w:type="dxa"/>
            <w:gridSpan w:val="3"/>
            <w:noWrap w:val="0"/>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合 计</w:t>
            </w:r>
          </w:p>
        </w:tc>
        <w:tc>
          <w:tcPr>
            <w:tcW w:w="739" w:type="dxa"/>
            <w:noWrap w:val="0"/>
            <w:tcMar>
              <w:top w:w="15" w:type="dxa"/>
              <w:left w:w="15" w:type="dxa"/>
              <w:bottom w:w="0" w:type="dxa"/>
              <w:right w:w="15" w:type="dxa"/>
            </w:tcMar>
            <w:vAlign w:val="center"/>
          </w:tcPr>
          <w:p>
            <w:pPr>
              <w:widowControl/>
              <w:adjustRightInd w:val="0"/>
              <w:snapToGrid w:val="0"/>
              <w:spacing w:before="62"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8.316</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本项目位于斗江镇饮用水水源地上游</w:t>
      </w:r>
      <w:r>
        <w:rPr>
          <w:rFonts w:hint="eastAsia"/>
          <w:color w:val="auto"/>
          <w:highlight w:val="none"/>
          <w:lang w:eastAsia="zh-CN"/>
        </w:rPr>
        <w:t>，</w:t>
      </w:r>
      <w:r>
        <w:rPr>
          <w:rFonts w:hint="eastAsia"/>
          <w:color w:val="auto"/>
          <w:highlight w:val="none"/>
          <w:u w:val="single"/>
          <w:lang w:val="en-US" w:eastAsia="zh-CN"/>
        </w:rPr>
        <w:t>距其二级保护区陆域</w:t>
      </w:r>
      <w:r>
        <w:rPr>
          <w:rFonts w:hint="eastAsia" w:ascii="Times New Roman" w:hAnsi="Times New Roman" w:eastAsia="宋体"/>
          <w:color w:val="auto"/>
          <w:highlight w:val="none"/>
          <w:u w:val="single"/>
        </w:rPr>
        <w:t>约550m</w:t>
      </w:r>
      <w:r>
        <w:rPr>
          <w:rFonts w:hint="eastAsia" w:ascii="Times New Roman" w:hAnsi="Times New Roman" w:eastAsia="宋体"/>
          <w:color w:val="auto"/>
          <w:highlight w:val="none"/>
        </w:rPr>
        <w:t>，不在饮用水源保护区内。</w:t>
      </w:r>
    </w:p>
    <w:bookmarkEnd w:id="197"/>
    <w:p>
      <w:pPr>
        <w:pStyle w:val="4"/>
        <w:rPr>
          <w:rFonts w:ascii="Times New Roman" w:hAnsi="Times New Roman" w:eastAsia="宋体"/>
          <w:color w:val="auto"/>
          <w:highlight w:val="none"/>
        </w:rPr>
      </w:pPr>
      <w:bookmarkStart w:id="198" w:name="_Toc25459"/>
      <w:bookmarkStart w:id="199" w:name="_Toc6719"/>
      <w:r>
        <w:rPr>
          <w:rFonts w:ascii="Times New Roman" w:hAnsi="Times New Roman" w:eastAsia="宋体"/>
          <w:color w:val="auto"/>
          <w:highlight w:val="none"/>
        </w:rPr>
        <w:t xml:space="preserve">3.2 </w:t>
      </w:r>
      <w:bookmarkEnd w:id="168"/>
      <w:bookmarkEnd w:id="169"/>
      <w:bookmarkEnd w:id="170"/>
      <w:bookmarkEnd w:id="171"/>
      <w:bookmarkStart w:id="200" w:name="_Toc25020"/>
      <w:bookmarkStart w:id="201" w:name="_Toc32402"/>
      <w:bookmarkStart w:id="202" w:name="_Toc31675"/>
      <w:bookmarkStart w:id="203" w:name="_Toc19916"/>
      <w:r>
        <w:rPr>
          <w:rFonts w:ascii="Times New Roman" w:hAnsi="Times New Roman" w:eastAsia="宋体"/>
          <w:color w:val="auto"/>
          <w:highlight w:val="none"/>
        </w:rPr>
        <w:t>环境质量现状调查与评价</w:t>
      </w:r>
      <w:bookmarkEnd w:id="172"/>
      <w:bookmarkEnd w:id="173"/>
      <w:bookmarkEnd w:id="174"/>
      <w:bookmarkEnd w:id="175"/>
      <w:bookmarkEnd w:id="176"/>
      <w:bookmarkEnd w:id="177"/>
      <w:bookmarkEnd w:id="198"/>
      <w:bookmarkEnd w:id="199"/>
      <w:bookmarkEnd w:id="200"/>
      <w:bookmarkEnd w:id="201"/>
      <w:bookmarkEnd w:id="202"/>
      <w:bookmarkEnd w:id="203"/>
    </w:p>
    <w:p>
      <w:pPr>
        <w:pStyle w:val="5"/>
        <w:rPr>
          <w:rFonts w:ascii="Times New Roman" w:hAnsi="Times New Roman" w:eastAsia="宋体"/>
          <w:color w:val="auto"/>
          <w:highlight w:val="none"/>
        </w:rPr>
      </w:pPr>
      <w:bookmarkStart w:id="204" w:name="_Toc25240"/>
      <w:bookmarkStart w:id="205" w:name="_Toc15563"/>
      <w:bookmarkStart w:id="206" w:name="_Toc6572"/>
      <w:bookmarkStart w:id="207" w:name="_Toc8506"/>
      <w:bookmarkStart w:id="208" w:name="_Toc26455"/>
      <w:bookmarkStart w:id="209" w:name="_Toc23365"/>
      <w:bookmarkStart w:id="210" w:name="_Toc27279"/>
      <w:bookmarkStart w:id="211" w:name="_Toc32361"/>
      <w:bookmarkStart w:id="212" w:name="_Toc409451327"/>
      <w:r>
        <w:rPr>
          <w:rFonts w:ascii="Times New Roman" w:hAnsi="Times New Roman" w:eastAsia="宋体"/>
          <w:color w:val="auto"/>
          <w:highlight w:val="none"/>
        </w:rPr>
        <w:t>3.2.1 环境空气质量现状调查与评价</w:t>
      </w:r>
      <w:bookmarkEnd w:id="204"/>
      <w:bookmarkEnd w:id="205"/>
      <w:bookmarkEnd w:id="206"/>
      <w:bookmarkEnd w:id="207"/>
      <w:bookmarkEnd w:id="208"/>
      <w:bookmarkEnd w:id="209"/>
      <w:bookmarkEnd w:id="210"/>
      <w:bookmarkEnd w:id="211"/>
      <w:bookmarkEnd w:id="212"/>
      <w:bookmarkStart w:id="213" w:name="_Toc22413"/>
      <w:bookmarkStart w:id="214" w:name="_Toc1131"/>
    </w:p>
    <w:p>
      <w:pPr>
        <w:pStyle w:val="6"/>
        <w:rPr>
          <w:rFonts w:ascii="Times New Roman" w:hAnsi="Times New Roman" w:eastAsia="宋体"/>
          <w:color w:val="auto"/>
          <w:highlight w:val="none"/>
        </w:rPr>
      </w:pPr>
      <w:bookmarkStart w:id="215" w:name="_Toc6511"/>
      <w:r>
        <w:rPr>
          <w:rFonts w:ascii="Times New Roman" w:hAnsi="Times New Roman" w:eastAsia="宋体"/>
          <w:color w:val="auto"/>
          <w:highlight w:val="none"/>
        </w:rPr>
        <w:t xml:space="preserve">3.2.1.1 </w:t>
      </w:r>
      <w:bookmarkEnd w:id="213"/>
      <w:bookmarkEnd w:id="214"/>
      <w:bookmarkEnd w:id="215"/>
      <w:r>
        <w:rPr>
          <w:rFonts w:ascii="Times New Roman" w:hAnsi="Times New Roman" w:eastAsia="宋体"/>
          <w:color w:val="auto"/>
          <w:highlight w:val="none"/>
        </w:rPr>
        <w:t>项目所在区域环境空气质量达标判定</w:t>
      </w:r>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根据《环境影响评价技术导则 大气环境》（HJ</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2.2-2018）</w:t>
      </w:r>
      <w:r>
        <w:rPr>
          <w:rFonts w:hint="eastAsia" w:ascii="Times New Roman" w:hAnsi="Times New Roman" w:eastAsia="宋体" w:cs="Times New Roman"/>
          <w:color w:val="auto"/>
          <w:highlight w:val="none"/>
        </w:rPr>
        <w:t>第6.4.1.1“</w:t>
      </w:r>
      <w:r>
        <w:rPr>
          <w:rFonts w:ascii="Times New Roman" w:hAnsi="Times New Roman" w:eastAsia="宋体" w:cs="Times New Roman"/>
          <w:color w:val="auto"/>
          <w:highlight w:val="none"/>
        </w:rPr>
        <w:t>城市环境空气质量达标情况评价指标为SO</w:t>
      </w:r>
      <w:r>
        <w:rPr>
          <w:rFonts w:ascii="Times New Roman" w:hAnsi="Times New Roman" w:eastAsia="宋体" w:cs="Times New Roman"/>
          <w:color w:val="auto"/>
          <w:highlight w:val="none"/>
          <w:vertAlign w:val="subscript"/>
        </w:rPr>
        <w:t>2</w:t>
      </w:r>
      <w:r>
        <w:rPr>
          <w:rFonts w:ascii="Times New Roman" w:hAnsi="Times New Roman" w:eastAsia="宋体" w:cs="Times New Roman"/>
          <w:color w:val="auto"/>
          <w:highlight w:val="none"/>
        </w:rPr>
        <w:t>、NO</w:t>
      </w:r>
      <w:r>
        <w:rPr>
          <w:rFonts w:ascii="Times New Roman" w:hAnsi="Times New Roman" w:eastAsia="宋体" w:cs="Times New Roman"/>
          <w:color w:val="auto"/>
          <w:highlight w:val="none"/>
          <w:vertAlign w:val="subscript"/>
        </w:rPr>
        <w:t>2</w:t>
      </w:r>
      <w:r>
        <w:rPr>
          <w:rFonts w:ascii="Times New Roman" w:hAnsi="Times New Roman" w:eastAsia="宋体" w:cs="Times New Roman"/>
          <w:color w:val="auto"/>
          <w:highlight w:val="none"/>
        </w:rPr>
        <w:t>、PM</w:t>
      </w:r>
      <w:r>
        <w:rPr>
          <w:rFonts w:ascii="Times New Roman" w:hAnsi="Times New Roman" w:eastAsia="宋体" w:cs="Times New Roman"/>
          <w:color w:val="auto"/>
          <w:highlight w:val="none"/>
          <w:vertAlign w:val="subscript"/>
        </w:rPr>
        <w:t>10</w:t>
      </w:r>
      <w:r>
        <w:rPr>
          <w:rFonts w:ascii="Times New Roman" w:hAnsi="Times New Roman" w:eastAsia="宋体" w:cs="Times New Roman"/>
          <w:color w:val="auto"/>
          <w:highlight w:val="none"/>
        </w:rPr>
        <w:t>、PM</w:t>
      </w:r>
      <w:r>
        <w:rPr>
          <w:rFonts w:ascii="Times New Roman" w:hAnsi="Times New Roman" w:eastAsia="宋体" w:cs="Times New Roman"/>
          <w:color w:val="auto"/>
          <w:highlight w:val="none"/>
          <w:vertAlign w:val="subscript"/>
        </w:rPr>
        <w:t>2.5</w:t>
      </w:r>
      <w:r>
        <w:rPr>
          <w:rFonts w:ascii="Times New Roman" w:hAnsi="Times New Roman" w:eastAsia="宋体" w:cs="Times New Roman"/>
          <w:color w:val="auto"/>
          <w:highlight w:val="none"/>
        </w:rPr>
        <w:t>、CO和O</w:t>
      </w:r>
      <w:r>
        <w:rPr>
          <w:rFonts w:ascii="Times New Roman" w:hAnsi="Times New Roman" w:eastAsia="宋体" w:cs="Times New Roman"/>
          <w:color w:val="auto"/>
          <w:highlight w:val="none"/>
          <w:vertAlign w:val="subscript"/>
        </w:rPr>
        <w:t>3</w:t>
      </w:r>
      <w:r>
        <w:rPr>
          <w:rFonts w:ascii="Times New Roman" w:hAnsi="Times New Roman" w:eastAsia="宋体" w:cs="Times New Roman"/>
          <w:color w:val="auto"/>
          <w:highlight w:val="none"/>
        </w:rPr>
        <w:t>，六项污染物全部达标即为城市环境空气质量达标</w:t>
      </w:r>
      <w:r>
        <w:rPr>
          <w:rFonts w:hint="eastAsia" w:ascii="Times New Roman" w:hAnsi="Times New Roman" w:eastAsia="宋体" w:cs="Times New Roman"/>
          <w:color w:val="auto"/>
          <w:highlight w:val="none"/>
        </w:rPr>
        <w:t>。”第6.4.1.2“根据国家或地方生态环境主管部门公开发布的城市环境空气质量达标情况，判断项目所在区域是否属于达标区。”</w:t>
      </w:r>
      <w:r>
        <w:rPr>
          <w:rFonts w:ascii="Times New Roman" w:hAnsi="Times New Roman" w:eastAsia="宋体" w:cs="Times New Roman"/>
          <w:color w:val="auto"/>
          <w:highlight w:val="none"/>
        </w:rPr>
        <w:t>本项目评价选取的基准年为2018年</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根据</w:t>
      </w:r>
      <w:r>
        <w:rPr>
          <w:rFonts w:hint="eastAsia" w:ascii="Times New Roman" w:hAnsi="Times New Roman" w:eastAsia="宋体" w:cs="Times New Roman"/>
          <w:color w:val="auto"/>
          <w:highlight w:val="none"/>
        </w:rPr>
        <w:t>三江侗族自治县2018环境质量状况公报</w:t>
      </w:r>
      <w:r>
        <w:rPr>
          <w:rFonts w:ascii="Times New Roman" w:hAnsi="Times New Roman" w:eastAsia="宋体" w:cs="Times New Roman"/>
          <w:color w:val="auto"/>
          <w:highlight w:val="none"/>
        </w:rPr>
        <w:t>，具体统计见下表3.2-1。</w:t>
      </w:r>
    </w:p>
    <w:p>
      <w:pPr>
        <w:spacing w:line="240" w:lineRule="auto"/>
        <w:ind w:firstLine="0" w:firstLineChars="0"/>
        <w:jc w:val="center"/>
        <w:rPr>
          <w:rFonts w:hint="eastAsia"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 xml:space="preserve">表3.2-1 </w:t>
      </w:r>
      <w:r>
        <w:rPr>
          <w:rFonts w:hint="eastAsia" w:ascii="Times New Roman" w:hAnsi="Times New Roman" w:eastAsia="宋体" w:cs="Times New Roman"/>
          <w:b/>
          <w:bCs/>
          <w:color w:val="auto"/>
          <w:highlight w:val="none"/>
        </w:rPr>
        <w:t>三江县</w:t>
      </w:r>
      <w:r>
        <w:rPr>
          <w:rFonts w:ascii="Times New Roman" w:hAnsi="Times New Roman" w:eastAsia="宋体" w:cs="Times New Roman"/>
          <w:b/>
          <w:bCs/>
          <w:color w:val="auto"/>
          <w:highlight w:val="none"/>
        </w:rPr>
        <w:t>2018年空气质量现状评价表</w:t>
      </w:r>
      <w:r>
        <w:rPr>
          <w:rFonts w:hint="eastAsia" w:ascii="Times New Roman" w:hAnsi="Times New Roman" w:eastAsia="宋体" w:cs="Times New Roman"/>
          <w:b/>
          <w:bCs/>
          <w:color w:val="auto"/>
          <w:highlight w:val="none"/>
        </w:rPr>
        <w:t>（除CO单位为mg/m</w:t>
      </w:r>
      <w:r>
        <w:rPr>
          <w:rFonts w:hint="eastAsia" w:ascii="Times New Roman" w:hAnsi="Times New Roman" w:eastAsia="宋体" w:cs="Times New Roman"/>
          <w:b/>
          <w:bCs/>
          <w:color w:val="auto"/>
          <w:highlight w:val="none"/>
          <w:vertAlign w:val="superscript"/>
        </w:rPr>
        <w:t>3</w:t>
      </w:r>
      <w:r>
        <w:rPr>
          <w:rFonts w:hint="eastAsia" w:ascii="Times New Roman" w:hAnsi="Times New Roman" w:eastAsia="宋体" w:cs="Times New Roman"/>
          <w:b/>
          <w:bCs/>
          <w:color w:val="auto"/>
          <w:highlight w:val="none"/>
        </w:rPr>
        <w:t>，其它为</w:t>
      </w:r>
      <w:r>
        <w:rPr>
          <w:rFonts w:ascii="Times New Roman" w:hAnsi="Times New Roman" w:eastAsia="宋体" w:cs="Times New Roman"/>
          <w:b/>
          <w:bCs/>
          <w:color w:val="auto"/>
          <w:sz w:val="21"/>
          <w:highlight w:val="none"/>
        </w:rPr>
        <w:t>µg/m</w:t>
      </w:r>
      <w:r>
        <w:rPr>
          <w:rFonts w:ascii="Times New Roman" w:hAnsi="Times New Roman" w:eastAsia="宋体" w:cs="Times New Roman"/>
          <w:b/>
          <w:bCs/>
          <w:color w:val="auto"/>
          <w:sz w:val="21"/>
          <w:highlight w:val="none"/>
          <w:vertAlign w:val="superscript"/>
        </w:rPr>
        <w:t>3</w:t>
      </w:r>
      <w:r>
        <w:rPr>
          <w:rFonts w:hint="eastAsia" w:ascii="Times New Roman" w:hAnsi="Times New Roman" w:eastAsia="宋体" w:cs="Times New Roman"/>
          <w:b/>
          <w:bCs/>
          <w:color w:val="auto"/>
          <w:highlight w:val="none"/>
        </w:rPr>
        <w:t>）</w:t>
      </w:r>
    </w:p>
    <w:tbl>
      <w:tblPr>
        <w:tblStyle w:val="48"/>
        <w:tblW w:w="9071"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947"/>
        <w:gridCol w:w="3426"/>
        <w:gridCol w:w="1218"/>
        <w:gridCol w:w="1091"/>
        <w:gridCol w:w="1160"/>
        <w:gridCol w:w="122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c>
          <w:tcPr>
            <w:tcW w:w="947"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污染物</w:t>
            </w:r>
          </w:p>
        </w:tc>
        <w:tc>
          <w:tcPr>
            <w:tcW w:w="3426"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年评价指标</w:t>
            </w:r>
          </w:p>
        </w:tc>
        <w:tc>
          <w:tcPr>
            <w:tcW w:w="1218"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现状浓度</w:t>
            </w:r>
          </w:p>
        </w:tc>
        <w:tc>
          <w:tcPr>
            <w:tcW w:w="1091"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标准值</w:t>
            </w:r>
          </w:p>
        </w:tc>
        <w:tc>
          <w:tcPr>
            <w:tcW w:w="1160"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占标率/%</w:t>
            </w:r>
          </w:p>
        </w:tc>
        <w:tc>
          <w:tcPr>
            <w:tcW w:w="1229"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c>
          <w:tcPr>
            <w:tcW w:w="94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SO</w:t>
            </w:r>
            <w:r>
              <w:rPr>
                <w:rFonts w:ascii="Times New Roman" w:hAnsi="Times New Roman" w:eastAsia="宋体" w:cs="Times New Roman"/>
                <w:color w:val="auto"/>
                <w:sz w:val="21"/>
                <w:highlight w:val="none"/>
                <w:vertAlign w:val="subscript"/>
              </w:rPr>
              <w:t>2</w:t>
            </w:r>
          </w:p>
        </w:tc>
        <w:tc>
          <w:tcPr>
            <w:tcW w:w="3426"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r>
              <w:rPr>
                <w:rFonts w:hint="eastAsia" w:ascii="Times New Roman" w:hAnsi="Times New Roman" w:eastAsia="宋体" w:cs="Times New Roman"/>
                <w:color w:val="auto"/>
                <w:sz w:val="21"/>
                <w:highlight w:val="none"/>
              </w:rPr>
              <w:t>质量浓度</w:t>
            </w:r>
          </w:p>
        </w:tc>
        <w:tc>
          <w:tcPr>
            <w:tcW w:w="1218"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25</w:t>
            </w:r>
          </w:p>
        </w:tc>
        <w:tc>
          <w:tcPr>
            <w:tcW w:w="109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60</w:t>
            </w:r>
          </w:p>
        </w:tc>
        <w:tc>
          <w:tcPr>
            <w:tcW w:w="1160" w:type="dxa"/>
            <w:noWrap w:val="0"/>
            <w:vAlign w:val="center"/>
          </w:tcPr>
          <w:p>
            <w:pPr>
              <w:widowControl/>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41.7</w:t>
            </w:r>
          </w:p>
        </w:tc>
        <w:tc>
          <w:tcPr>
            <w:tcW w:w="122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c>
          <w:tcPr>
            <w:tcW w:w="947"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342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日平均第98百分位数</w:t>
            </w:r>
          </w:p>
        </w:tc>
        <w:tc>
          <w:tcPr>
            <w:tcW w:w="1218"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54</w:t>
            </w:r>
          </w:p>
        </w:tc>
        <w:tc>
          <w:tcPr>
            <w:tcW w:w="109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150</w:t>
            </w:r>
          </w:p>
        </w:tc>
        <w:tc>
          <w:tcPr>
            <w:tcW w:w="1160" w:type="dxa"/>
            <w:noWrap w:val="0"/>
            <w:vAlign w:val="center"/>
          </w:tcPr>
          <w:p>
            <w:pPr>
              <w:widowControl/>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36</w:t>
            </w:r>
          </w:p>
        </w:tc>
        <w:tc>
          <w:tcPr>
            <w:tcW w:w="1229" w:type="dxa"/>
            <w:noWrap w:val="0"/>
            <w:vAlign w:val="center"/>
          </w:tcPr>
          <w:p>
            <w:pPr>
              <w:snapToGrid w:val="0"/>
              <w:spacing w:line="240" w:lineRule="auto"/>
              <w:ind w:firstLine="42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c>
          <w:tcPr>
            <w:tcW w:w="94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2</w:t>
            </w:r>
          </w:p>
        </w:tc>
        <w:tc>
          <w:tcPr>
            <w:tcW w:w="342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r>
              <w:rPr>
                <w:rFonts w:hint="eastAsia" w:ascii="Times New Roman" w:hAnsi="Times New Roman" w:eastAsia="宋体" w:cs="Times New Roman"/>
                <w:color w:val="auto"/>
                <w:sz w:val="21"/>
                <w:highlight w:val="none"/>
              </w:rPr>
              <w:t>质量浓度</w:t>
            </w:r>
          </w:p>
        </w:tc>
        <w:tc>
          <w:tcPr>
            <w:tcW w:w="1218"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12</w:t>
            </w:r>
          </w:p>
        </w:tc>
        <w:tc>
          <w:tcPr>
            <w:tcW w:w="109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40</w:t>
            </w:r>
          </w:p>
        </w:tc>
        <w:tc>
          <w:tcPr>
            <w:tcW w:w="1160" w:type="dxa"/>
            <w:noWrap w:val="0"/>
            <w:vAlign w:val="center"/>
          </w:tcPr>
          <w:p>
            <w:pPr>
              <w:widowControl/>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30</w:t>
            </w:r>
          </w:p>
        </w:tc>
        <w:tc>
          <w:tcPr>
            <w:tcW w:w="122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c>
          <w:tcPr>
            <w:tcW w:w="947"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342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日平均第98百分位数</w:t>
            </w:r>
          </w:p>
        </w:tc>
        <w:tc>
          <w:tcPr>
            <w:tcW w:w="1218"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28</w:t>
            </w:r>
          </w:p>
        </w:tc>
        <w:tc>
          <w:tcPr>
            <w:tcW w:w="109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80</w:t>
            </w:r>
          </w:p>
        </w:tc>
        <w:tc>
          <w:tcPr>
            <w:tcW w:w="1160" w:type="dxa"/>
            <w:noWrap w:val="0"/>
            <w:vAlign w:val="center"/>
          </w:tcPr>
          <w:p>
            <w:pPr>
              <w:widowControl/>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35</w:t>
            </w:r>
          </w:p>
        </w:tc>
        <w:tc>
          <w:tcPr>
            <w:tcW w:w="1229" w:type="dxa"/>
            <w:noWrap w:val="0"/>
            <w:vAlign w:val="center"/>
          </w:tcPr>
          <w:p>
            <w:pPr>
              <w:snapToGrid w:val="0"/>
              <w:spacing w:line="240" w:lineRule="auto"/>
              <w:ind w:firstLine="42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c>
          <w:tcPr>
            <w:tcW w:w="94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PM</w:t>
            </w:r>
            <w:r>
              <w:rPr>
                <w:rFonts w:ascii="Times New Roman" w:hAnsi="Times New Roman" w:eastAsia="宋体" w:cs="Times New Roman"/>
                <w:color w:val="auto"/>
                <w:sz w:val="21"/>
                <w:highlight w:val="none"/>
                <w:vertAlign w:val="subscript"/>
              </w:rPr>
              <w:t>10</w:t>
            </w:r>
          </w:p>
        </w:tc>
        <w:tc>
          <w:tcPr>
            <w:tcW w:w="342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r>
              <w:rPr>
                <w:rFonts w:hint="eastAsia" w:ascii="Times New Roman" w:hAnsi="Times New Roman" w:eastAsia="宋体" w:cs="Times New Roman"/>
                <w:color w:val="auto"/>
                <w:sz w:val="21"/>
                <w:highlight w:val="none"/>
              </w:rPr>
              <w:t>质量浓度</w:t>
            </w:r>
          </w:p>
        </w:tc>
        <w:tc>
          <w:tcPr>
            <w:tcW w:w="1218"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46</w:t>
            </w:r>
          </w:p>
        </w:tc>
        <w:tc>
          <w:tcPr>
            <w:tcW w:w="109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70</w:t>
            </w:r>
          </w:p>
        </w:tc>
        <w:tc>
          <w:tcPr>
            <w:tcW w:w="1160" w:type="dxa"/>
            <w:noWrap w:val="0"/>
            <w:vAlign w:val="center"/>
          </w:tcPr>
          <w:p>
            <w:pPr>
              <w:widowControl/>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65.7</w:t>
            </w:r>
          </w:p>
        </w:tc>
        <w:tc>
          <w:tcPr>
            <w:tcW w:w="122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c>
          <w:tcPr>
            <w:tcW w:w="947"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342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日平均第95百分位数</w:t>
            </w:r>
          </w:p>
        </w:tc>
        <w:tc>
          <w:tcPr>
            <w:tcW w:w="1218"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97</w:t>
            </w:r>
          </w:p>
        </w:tc>
        <w:tc>
          <w:tcPr>
            <w:tcW w:w="109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150</w:t>
            </w:r>
          </w:p>
        </w:tc>
        <w:tc>
          <w:tcPr>
            <w:tcW w:w="1160" w:type="dxa"/>
            <w:noWrap w:val="0"/>
            <w:vAlign w:val="center"/>
          </w:tcPr>
          <w:p>
            <w:pPr>
              <w:widowControl/>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64.7</w:t>
            </w:r>
          </w:p>
        </w:tc>
        <w:tc>
          <w:tcPr>
            <w:tcW w:w="122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c>
          <w:tcPr>
            <w:tcW w:w="94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PM</w:t>
            </w:r>
            <w:r>
              <w:rPr>
                <w:rFonts w:ascii="Times New Roman" w:hAnsi="Times New Roman" w:eastAsia="宋体" w:cs="Times New Roman"/>
                <w:color w:val="auto"/>
                <w:sz w:val="21"/>
                <w:highlight w:val="none"/>
                <w:vertAlign w:val="subscript"/>
              </w:rPr>
              <w:t>2.5</w:t>
            </w:r>
          </w:p>
        </w:tc>
        <w:tc>
          <w:tcPr>
            <w:tcW w:w="342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r>
              <w:rPr>
                <w:rFonts w:hint="eastAsia" w:ascii="Times New Roman" w:hAnsi="Times New Roman" w:eastAsia="宋体" w:cs="Times New Roman"/>
                <w:color w:val="auto"/>
                <w:sz w:val="21"/>
                <w:highlight w:val="none"/>
              </w:rPr>
              <w:t>质量浓度</w:t>
            </w:r>
          </w:p>
        </w:tc>
        <w:tc>
          <w:tcPr>
            <w:tcW w:w="1218"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32</w:t>
            </w:r>
          </w:p>
        </w:tc>
        <w:tc>
          <w:tcPr>
            <w:tcW w:w="109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35</w:t>
            </w:r>
          </w:p>
        </w:tc>
        <w:tc>
          <w:tcPr>
            <w:tcW w:w="1160" w:type="dxa"/>
            <w:noWrap w:val="0"/>
            <w:vAlign w:val="center"/>
          </w:tcPr>
          <w:p>
            <w:pPr>
              <w:widowControl/>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91.4</w:t>
            </w:r>
          </w:p>
        </w:tc>
        <w:tc>
          <w:tcPr>
            <w:tcW w:w="122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c>
          <w:tcPr>
            <w:tcW w:w="947"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342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日平均第95百分位数</w:t>
            </w:r>
          </w:p>
        </w:tc>
        <w:tc>
          <w:tcPr>
            <w:tcW w:w="1218"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w:t>
            </w:r>
          </w:p>
        </w:tc>
        <w:tc>
          <w:tcPr>
            <w:tcW w:w="109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75</w:t>
            </w:r>
          </w:p>
        </w:tc>
        <w:tc>
          <w:tcPr>
            <w:tcW w:w="1160" w:type="dxa"/>
            <w:noWrap w:val="0"/>
            <w:vAlign w:val="center"/>
          </w:tcPr>
          <w:p>
            <w:pPr>
              <w:widowControl/>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93.3</w:t>
            </w:r>
          </w:p>
        </w:tc>
        <w:tc>
          <w:tcPr>
            <w:tcW w:w="122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c>
          <w:tcPr>
            <w:tcW w:w="94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w:t>
            </w:r>
          </w:p>
        </w:tc>
        <w:tc>
          <w:tcPr>
            <w:tcW w:w="342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日平均第95百分位数</w:t>
            </w:r>
          </w:p>
        </w:tc>
        <w:tc>
          <w:tcPr>
            <w:tcW w:w="1218"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1.1</w:t>
            </w:r>
          </w:p>
        </w:tc>
        <w:tc>
          <w:tcPr>
            <w:tcW w:w="109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r>
              <w:rPr>
                <w:rFonts w:hint="eastAsia" w:ascii="Times New Roman" w:hAnsi="Times New Roman" w:eastAsia="宋体" w:cs="Times New Roman"/>
                <w:color w:val="auto"/>
                <w:sz w:val="21"/>
                <w:highlight w:val="none"/>
              </w:rPr>
              <w:t>.0</w:t>
            </w:r>
          </w:p>
        </w:tc>
        <w:tc>
          <w:tcPr>
            <w:tcW w:w="1160" w:type="dxa"/>
            <w:noWrap w:val="0"/>
            <w:vAlign w:val="center"/>
          </w:tcPr>
          <w:p>
            <w:pPr>
              <w:widowControl/>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27.5</w:t>
            </w:r>
          </w:p>
        </w:tc>
        <w:tc>
          <w:tcPr>
            <w:tcW w:w="1229"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c>
          <w:tcPr>
            <w:tcW w:w="94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O</w:t>
            </w:r>
            <w:r>
              <w:rPr>
                <w:rFonts w:ascii="Times New Roman" w:hAnsi="Times New Roman" w:eastAsia="宋体" w:cs="Times New Roman"/>
                <w:color w:val="auto"/>
                <w:sz w:val="21"/>
                <w:highlight w:val="none"/>
                <w:vertAlign w:val="subscript"/>
              </w:rPr>
              <w:t>3</w:t>
            </w:r>
          </w:p>
        </w:tc>
        <w:tc>
          <w:tcPr>
            <w:tcW w:w="342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日最大8小时滑动平均值第90百位数</w:t>
            </w:r>
          </w:p>
        </w:tc>
        <w:tc>
          <w:tcPr>
            <w:tcW w:w="1218"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95</w:t>
            </w:r>
          </w:p>
        </w:tc>
        <w:tc>
          <w:tcPr>
            <w:tcW w:w="109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160</w:t>
            </w:r>
          </w:p>
        </w:tc>
        <w:tc>
          <w:tcPr>
            <w:tcW w:w="1160" w:type="dxa"/>
            <w:noWrap w:val="0"/>
            <w:vAlign w:val="center"/>
          </w:tcPr>
          <w:p>
            <w:pPr>
              <w:widowControl/>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59.4</w:t>
            </w:r>
          </w:p>
        </w:tc>
        <w:tc>
          <w:tcPr>
            <w:tcW w:w="122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bl>
    <w:p>
      <w:pPr>
        <w:widowControl/>
        <w:ind w:firstLine="480"/>
        <w:rPr>
          <w:rFonts w:ascii="Times New Roman" w:hAnsi="Times New Roman" w:eastAsia="宋体" w:cs="Times New Roman"/>
          <w:color w:val="auto"/>
          <w:kern w:val="0"/>
          <w:highlight w:val="none"/>
          <w:lang w:bidi="ar"/>
        </w:rPr>
      </w:pPr>
      <w:r>
        <w:rPr>
          <w:rFonts w:ascii="Times New Roman" w:hAnsi="Times New Roman" w:eastAsia="宋体" w:cs="Times New Roman"/>
          <w:color w:val="auto"/>
          <w:kern w:val="0"/>
          <w:highlight w:val="none"/>
          <w:lang w:bidi="ar"/>
        </w:rPr>
        <w:t>根据《环境影响评价技术导则 大气环境》（HJ</w:t>
      </w:r>
      <w:r>
        <w:rPr>
          <w:rFonts w:hint="eastAsia" w:ascii="Times New Roman" w:hAnsi="Times New Roman" w:eastAsia="宋体" w:cs="Times New Roman"/>
          <w:color w:val="auto"/>
          <w:kern w:val="0"/>
          <w:highlight w:val="none"/>
          <w:lang w:val="en-US" w:eastAsia="zh-CN" w:bidi="ar"/>
        </w:rPr>
        <w:t xml:space="preserve"> </w:t>
      </w:r>
      <w:r>
        <w:rPr>
          <w:rFonts w:ascii="Times New Roman" w:hAnsi="Times New Roman" w:eastAsia="宋体" w:cs="Times New Roman"/>
          <w:color w:val="auto"/>
          <w:kern w:val="0"/>
          <w:highlight w:val="none"/>
          <w:lang w:bidi="ar"/>
        </w:rPr>
        <w:t>2.2-2018）中6.4.1.1的判定依据，判定本项目所在区域</w:t>
      </w:r>
      <w:r>
        <w:rPr>
          <w:rFonts w:hint="eastAsia" w:ascii="Times New Roman" w:hAnsi="Times New Roman" w:eastAsia="宋体" w:cs="Times New Roman"/>
          <w:color w:val="auto"/>
          <w:highlight w:val="none"/>
        </w:rPr>
        <w:t>三江侗族自治县</w:t>
      </w:r>
      <w:r>
        <w:rPr>
          <w:rFonts w:ascii="Times New Roman" w:hAnsi="Times New Roman" w:eastAsia="宋体" w:cs="Times New Roman"/>
          <w:color w:val="auto"/>
          <w:kern w:val="0"/>
          <w:highlight w:val="none"/>
          <w:lang w:bidi="ar"/>
        </w:rPr>
        <w:t>为达标区。</w:t>
      </w:r>
    </w:p>
    <w:p>
      <w:pPr>
        <w:pStyle w:val="6"/>
        <w:rPr>
          <w:rFonts w:ascii="Times New Roman" w:hAnsi="Times New Roman" w:eastAsia="宋体"/>
          <w:color w:val="auto"/>
          <w:highlight w:val="none"/>
        </w:rPr>
      </w:pPr>
      <w:r>
        <w:rPr>
          <w:rFonts w:ascii="Times New Roman" w:hAnsi="Times New Roman" w:eastAsia="宋体"/>
          <w:color w:val="auto"/>
          <w:highlight w:val="none"/>
        </w:rPr>
        <w:t>3.2.</w:t>
      </w:r>
      <w:r>
        <w:rPr>
          <w:rFonts w:hint="eastAsia" w:ascii="Times New Roman" w:hAnsi="Times New Roman" w:eastAsia="宋体"/>
          <w:color w:val="auto"/>
          <w:highlight w:val="none"/>
        </w:rPr>
        <w:t>1</w:t>
      </w:r>
      <w:r>
        <w:rPr>
          <w:rFonts w:ascii="Times New Roman" w:hAnsi="Times New Roman" w:eastAsia="宋体"/>
          <w:color w:val="auto"/>
          <w:highlight w:val="none"/>
        </w:rPr>
        <w:t>.2 基本污染物环境质量现状</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三江侗族自治县</w:t>
      </w:r>
      <w:r>
        <w:rPr>
          <w:rFonts w:ascii="Times New Roman" w:hAnsi="Times New Roman" w:eastAsia="宋体" w:cs="Times New Roman"/>
          <w:color w:val="auto"/>
          <w:highlight w:val="none"/>
        </w:rPr>
        <w:t>共设</w:t>
      </w:r>
      <w:r>
        <w:rPr>
          <w:rFonts w:hint="eastAsia" w:ascii="Times New Roman" w:hAnsi="Times New Roman" w:eastAsia="宋体" w:cs="Times New Roman"/>
          <w:color w:val="auto"/>
          <w:highlight w:val="none"/>
        </w:rPr>
        <w:t>1</w:t>
      </w:r>
      <w:r>
        <w:rPr>
          <w:rFonts w:ascii="Times New Roman" w:hAnsi="Times New Roman" w:eastAsia="宋体" w:cs="Times New Roman"/>
          <w:color w:val="auto"/>
          <w:highlight w:val="none"/>
        </w:rPr>
        <w:t>个环境空气自动监测站点</w:t>
      </w:r>
      <w:r>
        <w:rPr>
          <w:rFonts w:hint="eastAsia" w:ascii="Times New Roman" w:hAnsi="Times New Roman" w:eastAsia="宋体" w:cs="Times New Roman"/>
          <w:color w:val="auto"/>
          <w:highlight w:val="none"/>
        </w:rPr>
        <w:t>（三江县古宜中学）</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于2018年1月正式运行，</w:t>
      </w:r>
      <w:r>
        <w:rPr>
          <w:rFonts w:ascii="Times New Roman" w:hAnsi="Times New Roman" w:eastAsia="宋体" w:cs="Times New Roman"/>
          <w:color w:val="auto"/>
          <w:highlight w:val="none"/>
        </w:rPr>
        <w:t>以项目矿区红线范围中心坐标</w:t>
      </w:r>
      <w:r>
        <w:rPr>
          <w:rFonts w:hint="eastAsia" w:ascii="Times New Roman" w:hAnsi="Times New Roman" w:eastAsia="宋体" w:cs="Times New Roman"/>
          <w:color w:val="auto"/>
          <w:szCs w:val="24"/>
          <w:highlight w:val="none"/>
        </w:rPr>
        <w:t>109.704875</w:t>
      </w:r>
      <w:r>
        <w:rPr>
          <w:rFonts w:ascii="Times New Roman" w:hAnsi="Times New Roman" w:eastAsia="宋体" w:cs="Times New Roman"/>
          <w:color w:val="auto"/>
          <w:szCs w:val="24"/>
          <w:highlight w:val="none"/>
        </w:rPr>
        <w:t>°E，</w:t>
      </w:r>
      <w:r>
        <w:rPr>
          <w:rFonts w:hint="eastAsia" w:ascii="Times New Roman" w:hAnsi="Times New Roman" w:eastAsia="宋体" w:cs="Times New Roman"/>
          <w:color w:val="auto"/>
          <w:szCs w:val="24"/>
          <w:highlight w:val="none"/>
        </w:rPr>
        <w:t>25.757735</w:t>
      </w:r>
      <w:r>
        <w:rPr>
          <w:rFonts w:ascii="Times New Roman" w:hAnsi="Times New Roman" w:eastAsia="宋体" w:cs="Times New Roman"/>
          <w:color w:val="auto"/>
          <w:szCs w:val="24"/>
          <w:highlight w:val="none"/>
        </w:rPr>
        <w:t>°N</w:t>
      </w:r>
      <w:r>
        <w:rPr>
          <w:rFonts w:ascii="Times New Roman" w:hAnsi="Times New Roman" w:eastAsia="宋体" w:cs="Times New Roman"/>
          <w:color w:val="auto"/>
          <w:highlight w:val="none"/>
        </w:rPr>
        <w:t>为原点（X=0，Y=0），监测站基本情况见表3.2-2。</w:t>
      </w:r>
    </w:p>
    <w:p>
      <w:pPr>
        <w:pStyle w:val="13"/>
        <w:rPr>
          <w:rFonts w:ascii="Times New Roman" w:hAnsi="Times New Roman" w:eastAsia="宋体"/>
          <w:color w:val="auto"/>
          <w:highlight w:val="none"/>
        </w:rPr>
      </w:pPr>
      <w:bookmarkStart w:id="216" w:name="_Ref528416079"/>
      <w:r>
        <w:rPr>
          <w:rFonts w:ascii="Times New Roman" w:hAnsi="Times New Roman" w:eastAsia="宋体"/>
          <w:color w:val="auto"/>
          <w:highlight w:val="none"/>
        </w:rPr>
        <w:t>表</w:t>
      </w:r>
      <w:bookmarkEnd w:id="216"/>
      <w:r>
        <w:rPr>
          <w:rFonts w:ascii="Times New Roman" w:hAnsi="Times New Roman" w:eastAsia="宋体"/>
          <w:color w:val="auto"/>
          <w:highlight w:val="none"/>
        </w:rPr>
        <w:t xml:space="preserve">3.2-2  </w:t>
      </w:r>
      <w:r>
        <w:rPr>
          <w:rFonts w:hint="eastAsia" w:ascii="Times New Roman" w:hAnsi="Times New Roman" w:eastAsia="宋体"/>
          <w:bCs/>
          <w:color w:val="auto"/>
          <w:highlight w:val="none"/>
        </w:rPr>
        <w:t>三江县</w:t>
      </w:r>
      <w:r>
        <w:rPr>
          <w:rFonts w:ascii="Times New Roman" w:hAnsi="Times New Roman" w:eastAsia="宋体"/>
          <w:color w:val="auto"/>
          <w:highlight w:val="none"/>
        </w:rPr>
        <w:t>大气环境监测站点位基本信息</w:t>
      </w:r>
    </w:p>
    <w:tbl>
      <w:tblPr>
        <w:tblStyle w:val="48"/>
        <w:tblW w:w="907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1455"/>
        <w:gridCol w:w="1359"/>
        <w:gridCol w:w="2016"/>
        <w:gridCol w:w="1080"/>
        <w:gridCol w:w="1080"/>
        <w:gridCol w:w="7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blHeader/>
          <w:jc w:val="center"/>
        </w:trPr>
        <w:tc>
          <w:tcPr>
            <w:tcW w:w="1306" w:type="dxa"/>
            <w:vMerge w:val="restart"/>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lang w:bidi="ar"/>
              </w:rPr>
              <w:t>监测站名称</w:t>
            </w:r>
          </w:p>
        </w:tc>
        <w:tc>
          <w:tcPr>
            <w:tcW w:w="2814" w:type="dxa"/>
            <w:gridSpan w:val="2"/>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lang w:bidi="ar"/>
              </w:rPr>
              <w:t>监测站坐标/m</w:t>
            </w:r>
          </w:p>
        </w:tc>
        <w:tc>
          <w:tcPr>
            <w:tcW w:w="2016" w:type="dxa"/>
            <w:vMerge w:val="restart"/>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lang w:bidi="ar"/>
              </w:rPr>
              <w:t>监测因子</w:t>
            </w:r>
          </w:p>
        </w:tc>
        <w:tc>
          <w:tcPr>
            <w:tcW w:w="1080" w:type="dxa"/>
            <w:vMerge w:val="restart"/>
            <w:noWrap w:val="0"/>
            <w:vAlign w:val="center"/>
          </w:tcPr>
          <w:p>
            <w:pPr>
              <w:pStyle w:val="86"/>
              <w:rPr>
                <w:rFonts w:ascii="Times New Roman" w:hAnsi="Times New Roman" w:eastAsia="宋体" w:cs="Times New Roman"/>
                <w:color w:val="auto"/>
                <w:highlight w:val="none"/>
                <w:lang w:bidi="ar"/>
              </w:rPr>
            </w:pPr>
            <w:r>
              <w:rPr>
                <w:rFonts w:ascii="Times New Roman" w:hAnsi="Times New Roman" w:eastAsia="宋体" w:cs="Times New Roman"/>
                <w:color w:val="auto"/>
                <w:highlight w:val="none"/>
                <w:lang w:bidi="ar"/>
              </w:rPr>
              <w:t>相对厂区方位</w:t>
            </w:r>
          </w:p>
        </w:tc>
        <w:tc>
          <w:tcPr>
            <w:tcW w:w="1080" w:type="dxa"/>
            <w:vMerge w:val="restart"/>
            <w:noWrap w:val="0"/>
            <w:vAlign w:val="center"/>
          </w:tcPr>
          <w:p>
            <w:pPr>
              <w:pStyle w:val="86"/>
              <w:rPr>
                <w:rFonts w:ascii="Times New Roman" w:hAnsi="Times New Roman" w:eastAsia="宋体" w:cs="Times New Roman"/>
                <w:color w:val="auto"/>
                <w:highlight w:val="none"/>
                <w:lang w:bidi="ar"/>
              </w:rPr>
            </w:pPr>
            <w:r>
              <w:rPr>
                <w:rFonts w:ascii="Times New Roman" w:hAnsi="Times New Roman" w:eastAsia="宋体" w:cs="Times New Roman"/>
                <w:color w:val="auto"/>
                <w:highlight w:val="none"/>
                <w:lang w:bidi="ar"/>
              </w:rPr>
              <w:t>相对厂界距离/km</w:t>
            </w:r>
          </w:p>
        </w:tc>
        <w:tc>
          <w:tcPr>
            <w:tcW w:w="775" w:type="dxa"/>
            <w:vMerge w:val="restart"/>
            <w:noWrap w:val="0"/>
            <w:vAlign w:val="center"/>
          </w:tcPr>
          <w:p>
            <w:pPr>
              <w:pStyle w:val="86"/>
              <w:rPr>
                <w:rFonts w:ascii="Times New Roman" w:hAnsi="Times New Roman" w:eastAsia="宋体" w:cs="Times New Roman"/>
                <w:color w:val="auto"/>
                <w:highlight w:val="none"/>
                <w:lang w:bidi="ar"/>
              </w:rPr>
            </w:pPr>
            <w:r>
              <w:rPr>
                <w:rFonts w:ascii="Times New Roman" w:hAnsi="Times New Roman" w:eastAsia="宋体" w:cs="Times New Roman"/>
                <w:color w:val="auto"/>
                <w:highlight w:val="none"/>
                <w:lang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blHeader/>
          <w:jc w:val="center"/>
        </w:trPr>
        <w:tc>
          <w:tcPr>
            <w:tcW w:w="1306" w:type="dxa"/>
            <w:vMerge w:val="continue"/>
            <w:noWrap w:val="0"/>
            <w:vAlign w:val="center"/>
          </w:tcPr>
          <w:p>
            <w:pPr>
              <w:pStyle w:val="86"/>
              <w:rPr>
                <w:rFonts w:ascii="Times New Roman" w:hAnsi="Times New Roman" w:eastAsia="宋体" w:cs="Times New Roman"/>
                <w:color w:val="auto"/>
                <w:highlight w:val="none"/>
                <w:lang w:bidi="ar"/>
              </w:rPr>
            </w:pP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b/>
                <w:color w:val="auto"/>
                <w:kern w:val="0"/>
                <w:sz w:val="21"/>
                <w:highlight w:val="none"/>
              </w:rPr>
              <w:t>X</w:t>
            </w:r>
          </w:p>
        </w:tc>
        <w:tc>
          <w:tcPr>
            <w:tcW w:w="135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b/>
                <w:color w:val="auto"/>
                <w:kern w:val="0"/>
                <w:sz w:val="21"/>
                <w:highlight w:val="none"/>
              </w:rPr>
              <w:t>Y</w:t>
            </w:r>
          </w:p>
        </w:tc>
        <w:tc>
          <w:tcPr>
            <w:tcW w:w="2016" w:type="dxa"/>
            <w:vMerge w:val="continue"/>
            <w:noWrap w:val="0"/>
            <w:vAlign w:val="center"/>
          </w:tcPr>
          <w:p>
            <w:pPr>
              <w:pStyle w:val="86"/>
              <w:rPr>
                <w:rFonts w:ascii="Times New Roman" w:hAnsi="Times New Roman" w:eastAsia="宋体" w:cs="Times New Roman"/>
                <w:color w:val="auto"/>
                <w:highlight w:val="none"/>
                <w:lang w:bidi="ar"/>
              </w:rPr>
            </w:pPr>
          </w:p>
        </w:tc>
        <w:tc>
          <w:tcPr>
            <w:tcW w:w="1080" w:type="dxa"/>
            <w:vMerge w:val="continue"/>
            <w:noWrap w:val="0"/>
            <w:vAlign w:val="center"/>
          </w:tcPr>
          <w:p>
            <w:pPr>
              <w:pStyle w:val="86"/>
              <w:rPr>
                <w:rFonts w:ascii="Times New Roman" w:hAnsi="Times New Roman" w:eastAsia="宋体" w:cs="Times New Roman"/>
                <w:color w:val="auto"/>
                <w:highlight w:val="none"/>
                <w:lang w:bidi="ar"/>
              </w:rPr>
            </w:pPr>
          </w:p>
        </w:tc>
        <w:tc>
          <w:tcPr>
            <w:tcW w:w="1080" w:type="dxa"/>
            <w:vMerge w:val="continue"/>
            <w:noWrap w:val="0"/>
            <w:vAlign w:val="center"/>
          </w:tcPr>
          <w:p>
            <w:pPr>
              <w:pStyle w:val="86"/>
              <w:rPr>
                <w:rFonts w:ascii="Times New Roman" w:hAnsi="Times New Roman" w:eastAsia="宋体" w:cs="Times New Roman"/>
                <w:color w:val="auto"/>
                <w:highlight w:val="none"/>
                <w:lang w:bidi="ar"/>
              </w:rPr>
            </w:pPr>
          </w:p>
        </w:tc>
        <w:tc>
          <w:tcPr>
            <w:tcW w:w="775" w:type="dxa"/>
            <w:vMerge w:val="continue"/>
            <w:noWrap w:val="0"/>
            <w:vAlign w:val="center"/>
          </w:tcPr>
          <w:p>
            <w:pPr>
              <w:pStyle w:val="86"/>
              <w:rPr>
                <w:rFonts w:ascii="Times New Roman" w:hAnsi="Times New Roman" w:eastAsia="宋体" w:cs="Times New Roman"/>
                <w:color w:val="auto"/>
                <w:highlight w:val="none"/>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blHeader/>
          <w:jc w:val="center"/>
        </w:trPr>
        <w:tc>
          <w:tcPr>
            <w:tcW w:w="1306" w:type="dxa"/>
            <w:noWrap w:val="0"/>
            <w:vAlign w:val="center"/>
          </w:tcPr>
          <w:p>
            <w:pPr>
              <w:pStyle w:val="86"/>
              <w:rPr>
                <w:rFonts w:hint="eastAsia" w:ascii="Times New Roman" w:hAnsi="Times New Roman" w:eastAsia="宋体" w:cs="Times New Roman"/>
                <w:b w:val="0"/>
                <w:bCs/>
                <w:color w:val="auto"/>
                <w:highlight w:val="none"/>
                <w:lang w:bidi="ar"/>
              </w:rPr>
            </w:pPr>
            <w:r>
              <w:rPr>
                <w:rFonts w:hint="eastAsia" w:ascii="Times New Roman" w:hAnsi="Times New Roman" w:eastAsia="宋体" w:cs="Times New Roman"/>
                <w:b w:val="0"/>
                <w:bCs/>
                <w:color w:val="auto"/>
                <w:highlight w:val="none"/>
                <w:lang w:bidi="ar"/>
              </w:rPr>
              <w:t>三江县</w:t>
            </w:r>
          </w:p>
          <w:p>
            <w:pPr>
              <w:pStyle w:val="86"/>
              <w:rPr>
                <w:rFonts w:hint="eastAsia"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lang w:bidi="ar"/>
              </w:rPr>
              <w:t>古宜中学</w:t>
            </w:r>
          </w:p>
        </w:tc>
        <w:tc>
          <w:tcPr>
            <w:tcW w:w="1455" w:type="dxa"/>
            <w:noWrap w:val="0"/>
            <w:vAlign w:val="center"/>
          </w:tcPr>
          <w:p>
            <w:pPr>
              <w:pStyle w:val="86"/>
              <w:rPr>
                <w:rFonts w:ascii="Times New Roman" w:hAnsi="Times New Roman" w:eastAsia="宋体" w:cs="Times New Roman"/>
                <w:b w:val="0"/>
                <w:bCs/>
                <w:color w:val="auto"/>
                <w:highlight w:val="none"/>
                <w:lang w:bidi="ar"/>
              </w:rPr>
            </w:pPr>
            <w:r>
              <w:rPr>
                <w:rFonts w:hint="eastAsia" w:ascii="Times New Roman" w:hAnsi="Times New Roman" w:eastAsia="宋体" w:cs="Times New Roman"/>
                <w:b w:val="0"/>
                <w:bCs/>
                <w:color w:val="auto"/>
                <w:szCs w:val="24"/>
                <w:highlight w:val="none"/>
              </w:rPr>
              <w:t>109.603193</w:t>
            </w:r>
            <w:r>
              <w:rPr>
                <w:rFonts w:ascii="Times New Roman" w:hAnsi="Times New Roman" w:eastAsia="宋体" w:cs="Times New Roman"/>
                <w:b w:val="0"/>
                <w:bCs/>
                <w:color w:val="auto"/>
                <w:szCs w:val="24"/>
                <w:highlight w:val="none"/>
              </w:rPr>
              <w:t>°E</w:t>
            </w:r>
          </w:p>
        </w:tc>
        <w:tc>
          <w:tcPr>
            <w:tcW w:w="1359" w:type="dxa"/>
            <w:noWrap w:val="0"/>
            <w:vAlign w:val="center"/>
          </w:tcPr>
          <w:p>
            <w:pPr>
              <w:pStyle w:val="86"/>
              <w:rPr>
                <w:rFonts w:ascii="Times New Roman" w:hAnsi="Times New Roman" w:eastAsia="宋体" w:cs="Times New Roman"/>
                <w:b w:val="0"/>
                <w:bCs/>
                <w:color w:val="auto"/>
                <w:highlight w:val="none"/>
                <w:lang w:bidi="ar"/>
              </w:rPr>
            </w:pPr>
            <w:r>
              <w:rPr>
                <w:rFonts w:hint="eastAsia" w:ascii="Times New Roman" w:hAnsi="Times New Roman" w:eastAsia="宋体" w:cs="Times New Roman"/>
                <w:b w:val="0"/>
                <w:bCs/>
                <w:color w:val="auto"/>
                <w:szCs w:val="24"/>
                <w:highlight w:val="none"/>
              </w:rPr>
              <w:t>25.777074</w:t>
            </w:r>
            <w:r>
              <w:rPr>
                <w:rFonts w:ascii="Times New Roman" w:hAnsi="Times New Roman" w:eastAsia="宋体" w:cs="Times New Roman"/>
                <w:b w:val="0"/>
                <w:bCs/>
                <w:color w:val="auto"/>
                <w:szCs w:val="24"/>
                <w:highlight w:val="none"/>
              </w:rPr>
              <w:t>°N</w:t>
            </w:r>
          </w:p>
        </w:tc>
        <w:tc>
          <w:tcPr>
            <w:tcW w:w="2016" w:type="dxa"/>
            <w:noWrap w:val="0"/>
            <w:vAlign w:val="center"/>
          </w:tcPr>
          <w:p>
            <w:pPr>
              <w:pStyle w:val="86"/>
              <w:rPr>
                <w:rFonts w:ascii="Times New Roman" w:hAnsi="Times New Roman" w:eastAsia="宋体" w:cs="Times New Roman"/>
                <w:b w:val="0"/>
                <w:bCs/>
                <w:color w:val="auto"/>
                <w:highlight w:val="none"/>
                <w:lang w:bidi="ar"/>
              </w:rPr>
            </w:pPr>
            <w:r>
              <w:rPr>
                <w:rFonts w:ascii="Times New Roman" w:hAnsi="Times New Roman" w:eastAsia="宋体" w:cs="Times New Roman"/>
                <w:b w:val="0"/>
                <w:bCs/>
                <w:color w:val="auto"/>
                <w:highlight w:val="none"/>
                <w:lang w:bidi="ar"/>
              </w:rPr>
              <w:t>SO</w:t>
            </w:r>
            <w:r>
              <w:rPr>
                <w:rFonts w:ascii="Times New Roman" w:hAnsi="Times New Roman" w:eastAsia="宋体" w:cs="Times New Roman"/>
                <w:b w:val="0"/>
                <w:bCs/>
                <w:color w:val="auto"/>
                <w:highlight w:val="none"/>
                <w:vertAlign w:val="subscript"/>
                <w:lang w:bidi="ar"/>
              </w:rPr>
              <w:t>2</w:t>
            </w:r>
            <w:r>
              <w:rPr>
                <w:rFonts w:ascii="Times New Roman" w:hAnsi="Times New Roman" w:eastAsia="宋体" w:cs="Times New Roman"/>
                <w:b w:val="0"/>
                <w:bCs/>
                <w:color w:val="auto"/>
                <w:highlight w:val="none"/>
                <w:lang w:bidi="ar"/>
              </w:rPr>
              <w:t>、NO</w:t>
            </w:r>
            <w:r>
              <w:rPr>
                <w:rFonts w:ascii="Times New Roman" w:hAnsi="Times New Roman" w:eastAsia="宋体" w:cs="Times New Roman"/>
                <w:b w:val="0"/>
                <w:bCs/>
                <w:color w:val="auto"/>
                <w:highlight w:val="none"/>
                <w:vertAlign w:val="subscript"/>
                <w:lang w:bidi="ar"/>
              </w:rPr>
              <w:t>2</w:t>
            </w:r>
            <w:r>
              <w:rPr>
                <w:rFonts w:ascii="Times New Roman" w:hAnsi="Times New Roman" w:eastAsia="宋体" w:cs="Times New Roman"/>
                <w:b w:val="0"/>
                <w:bCs/>
                <w:color w:val="auto"/>
                <w:highlight w:val="none"/>
                <w:lang w:bidi="ar"/>
              </w:rPr>
              <w:t>、PM</w:t>
            </w:r>
            <w:r>
              <w:rPr>
                <w:rFonts w:ascii="Times New Roman" w:hAnsi="Times New Roman" w:eastAsia="宋体" w:cs="Times New Roman"/>
                <w:b w:val="0"/>
                <w:bCs/>
                <w:color w:val="auto"/>
                <w:highlight w:val="none"/>
                <w:vertAlign w:val="subscript"/>
                <w:lang w:bidi="ar"/>
              </w:rPr>
              <w:t>10</w:t>
            </w:r>
            <w:r>
              <w:rPr>
                <w:rFonts w:ascii="Times New Roman" w:hAnsi="Times New Roman" w:eastAsia="宋体" w:cs="Times New Roman"/>
                <w:b w:val="0"/>
                <w:bCs/>
                <w:color w:val="auto"/>
                <w:highlight w:val="none"/>
                <w:lang w:bidi="ar"/>
              </w:rPr>
              <w:t>、PM</w:t>
            </w:r>
            <w:r>
              <w:rPr>
                <w:rFonts w:ascii="Times New Roman" w:hAnsi="Times New Roman" w:eastAsia="宋体" w:cs="Times New Roman"/>
                <w:b w:val="0"/>
                <w:bCs/>
                <w:color w:val="auto"/>
                <w:highlight w:val="none"/>
                <w:vertAlign w:val="subscript"/>
                <w:lang w:bidi="ar"/>
              </w:rPr>
              <w:t>2.5</w:t>
            </w:r>
            <w:r>
              <w:rPr>
                <w:rFonts w:ascii="Times New Roman" w:hAnsi="Times New Roman" w:eastAsia="宋体" w:cs="Times New Roman"/>
                <w:b w:val="0"/>
                <w:bCs/>
                <w:color w:val="auto"/>
                <w:highlight w:val="none"/>
                <w:lang w:bidi="ar"/>
              </w:rPr>
              <w:t>、O</w:t>
            </w:r>
            <w:r>
              <w:rPr>
                <w:rFonts w:ascii="Times New Roman" w:hAnsi="Times New Roman" w:eastAsia="宋体" w:cs="Times New Roman"/>
                <w:b w:val="0"/>
                <w:bCs/>
                <w:color w:val="auto"/>
                <w:highlight w:val="none"/>
                <w:vertAlign w:val="subscript"/>
                <w:lang w:bidi="ar"/>
              </w:rPr>
              <w:t>3</w:t>
            </w:r>
            <w:r>
              <w:rPr>
                <w:rFonts w:ascii="Times New Roman" w:hAnsi="Times New Roman" w:eastAsia="宋体" w:cs="Times New Roman"/>
                <w:b w:val="0"/>
                <w:bCs/>
                <w:color w:val="auto"/>
                <w:highlight w:val="none"/>
                <w:lang w:bidi="ar"/>
              </w:rPr>
              <w:t>、CO</w:t>
            </w:r>
          </w:p>
        </w:tc>
        <w:tc>
          <w:tcPr>
            <w:tcW w:w="1080" w:type="dxa"/>
            <w:noWrap w:val="0"/>
            <w:vAlign w:val="center"/>
          </w:tcPr>
          <w:p>
            <w:pPr>
              <w:pStyle w:val="86"/>
              <w:rPr>
                <w:rFonts w:ascii="Times New Roman" w:hAnsi="Times New Roman" w:eastAsia="宋体" w:cs="Times New Roman"/>
                <w:b w:val="0"/>
                <w:bCs/>
                <w:color w:val="auto"/>
                <w:highlight w:val="none"/>
                <w:lang w:bidi="ar"/>
              </w:rPr>
            </w:pPr>
            <w:r>
              <w:rPr>
                <w:rFonts w:hint="eastAsia" w:ascii="Times New Roman" w:hAnsi="Times New Roman" w:eastAsia="宋体" w:cs="Times New Roman"/>
                <w:b w:val="0"/>
                <w:bCs/>
                <w:color w:val="auto"/>
                <w:highlight w:val="none"/>
                <w:lang w:bidi="ar"/>
              </w:rPr>
              <w:t>NW</w:t>
            </w:r>
          </w:p>
        </w:tc>
        <w:tc>
          <w:tcPr>
            <w:tcW w:w="1080" w:type="dxa"/>
            <w:noWrap w:val="0"/>
            <w:vAlign w:val="center"/>
          </w:tcPr>
          <w:p>
            <w:pPr>
              <w:pStyle w:val="86"/>
              <w:rPr>
                <w:rFonts w:ascii="Times New Roman" w:hAnsi="Times New Roman" w:eastAsia="宋体" w:cs="Times New Roman"/>
                <w:b w:val="0"/>
                <w:bCs/>
                <w:color w:val="auto"/>
                <w:highlight w:val="none"/>
                <w:lang w:bidi="ar"/>
              </w:rPr>
            </w:pPr>
            <w:r>
              <w:rPr>
                <w:rFonts w:hint="eastAsia" w:ascii="Times New Roman" w:hAnsi="Times New Roman" w:eastAsia="宋体" w:cs="Times New Roman"/>
                <w:b w:val="0"/>
                <w:bCs/>
                <w:color w:val="auto"/>
                <w:highlight w:val="none"/>
                <w:lang w:bidi="ar"/>
              </w:rPr>
              <w:t>10.6</w:t>
            </w:r>
          </w:p>
        </w:tc>
        <w:tc>
          <w:tcPr>
            <w:tcW w:w="775" w:type="dxa"/>
            <w:noWrap w:val="0"/>
            <w:vAlign w:val="center"/>
          </w:tcPr>
          <w:p>
            <w:pPr>
              <w:pStyle w:val="86"/>
              <w:rPr>
                <w:rFonts w:ascii="Times New Roman" w:hAnsi="Times New Roman" w:eastAsia="宋体" w:cs="Times New Roman"/>
                <w:b w:val="0"/>
                <w:bCs/>
                <w:color w:val="auto"/>
                <w:highlight w:val="none"/>
                <w:lang w:bidi="ar"/>
              </w:rPr>
            </w:pPr>
            <w:r>
              <w:rPr>
                <w:rFonts w:hint="eastAsia" w:ascii="Times New Roman" w:hAnsi="Times New Roman" w:eastAsia="宋体" w:cs="Times New Roman"/>
                <w:b w:val="0"/>
                <w:bCs/>
                <w:color w:val="auto"/>
                <w:highlight w:val="none"/>
                <w:lang w:bidi="ar"/>
              </w:rPr>
              <w:t>县</w:t>
            </w:r>
            <w:r>
              <w:rPr>
                <w:rFonts w:ascii="Times New Roman" w:hAnsi="Times New Roman" w:eastAsia="宋体" w:cs="Times New Roman"/>
                <w:b w:val="0"/>
                <w:bCs/>
                <w:color w:val="auto"/>
                <w:highlight w:val="none"/>
                <w:lang w:bidi="ar"/>
              </w:rPr>
              <w:t>控</w:t>
            </w:r>
          </w:p>
        </w:tc>
      </w:tr>
    </w:tbl>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根据《环境影响评价技术导则 大气环境》（HJ</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2.2-2018）及《环境空气质量评价技术规范（试行）》（HJ</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663-2013）中的统计方法，对六项基本污染物标进行环境质量现状评价，具体如下：</w:t>
      </w:r>
    </w:p>
    <w:p>
      <w:pPr>
        <w:ind w:firstLine="480"/>
        <w:rPr>
          <w:rFonts w:ascii="Times New Roman" w:hAnsi="Times New Roman" w:eastAsia="宋体" w:cs="Times New Roman"/>
          <w:color w:val="auto"/>
          <w:highlight w:val="none"/>
          <w:lang w:val="zh-CN"/>
        </w:rPr>
      </w:pPr>
      <w:r>
        <w:rPr>
          <w:rFonts w:ascii="Times New Roman" w:hAnsi="Times New Roman" w:eastAsia="宋体" w:cs="Times New Roman"/>
          <w:color w:val="auto"/>
          <w:highlight w:val="none"/>
        </w:rPr>
        <w:t>根据《环境影响评价技术导则 大气环境》（HJ</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2.2-2018）中6.4.3.1“</w:t>
      </w:r>
      <w:r>
        <w:rPr>
          <w:rFonts w:ascii="Times New Roman" w:hAnsi="Times New Roman" w:eastAsia="宋体" w:cs="Times New Roman"/>
          <w:color w:val="auto"/>
          <w:highlight w:val="none"/>
          <w:lang w:val="zh-CN"/>
        </w:rPr>
        <w:t>对采用多个长期监测点位数据进行现状评价的，取各污染物相同时刻各监测点位的浓度平均值，作为评价范围内环境空气保护目标及网格点环境质量现状浓度</w:t>
      </w:r>
      <w:r>
        <w:rPr>
          <w:rFonts w:ascii="Times New Roman" w:hAnsi="Times New Roman" w:eastAsia="宋体" w:cs="Times New Roman"/>
          <w:color w:val="auto"/>
          <w:highlight w:val="none"/>
        </w:rPr>
        <w:t>”</w:t>
      </w:r>
      <w:r>
        <w:rPr>
          <w:rFonts w:ascii="Times New Roman" w:hAnsi="Times New Roman" w:eastAsia="宋体" w:cs="Times New Roman"/>
          <w:color w:val="auto"/>
          <w:highlight w:val="none"/>
          <w:lang w:val="zh-CN"/>
        </w:rPr>
        <w:t>，计算方法见下公式：</w:t>
      </w:r>
    </w:p>
    <w:p>
      <w:pPr>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inline distT="0" distB="0" distL="114300" distR="114300">
            <wp:extent cx="2818765" cy="579755"/>
            <wp:effectExtent l="0" t="0" r="635" b="10795"/>
            <wp:docPr id="51"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34"/>
                    <pic:cNvPicPr>
                      <a:picLocks noChangeAspect="1"/>
                    </pic:cNvPicPr>
                  </pic:nvPicPr>
                  <pic:blipFill>
                    <a:blip r:embed="rId69"/>
                    <a:stretch>
                      <a:fillRect/>
                    </a:stretch>
                  </pic:blipFill>
                  <pic:spPr>
                    <a:xfrm>
                      <a:off x="0" y="0"/>
                      <a:ext cx="2818765" cy="579755"/>
                    </a:xfrm>
                    <a:prstGeom prst="rect">
                      <a:avLst/>
                    </a:prstGeom>
                    <a:noFill/>
                    <a:ln>
                      <a:noFill/>
                    </a:ln>
                  </pic:spPr>
                </pic:pic>
              </a:graphicData>
            </a:graphic>
          </wp:inline>
        </w:drawing>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lang w:val="zh-CN"/>
        </w:rPr>
        <w:t>式中：C</w:t>
      </w:r>
      <w:r>
        <w:rPr>
          <w:rFonts w:ascii="Times New Roman" w:hAnsi="Times New Roman" w:eastAsia="宋体" w:cs="Times New Roman"/>
          <w:color w:val="auto"/>
          <w:highlight w:val="none"/>
          <w:vertAlign w:val="subscript"/>
          <w:lang w:val="zh-CN"/>
        </w:rPr>
        <w:t>现状（x，y，t）</w:t>
      </w:r>
      <w:r>
        <w:rPr>
          <w:rFonts w:ascii="Times New Roman" w:hAnsi="Times New Roman" w:eastAsia="宋体" w:cs="Times New Roman"/>
          <w:color w:val="auto"/>
          <w:highlight w:val="none"/>
          <w:lang w:val="zh-CN"/>
        </w:rPr>
        <w:t>——环境空气保护目标及网格点（x，y）在t时刻环境质量现状浓度，</w:t>
      </w:r>
      <w:r>
        <w:rPr>
          <w:rFonts w:ascii="Times New Roman" w:hAnsi="Times New Roman" w:eastAsia="宋体" w:cs="Times New Roman"/>
          <w:color w:val="auto"/>
          <w:highlight w:val="none"/>
        </w:rPr>
        <w:t>µg/m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C</w:t>
      </w:r>
      <w:r>
        <w:rPr>
          <w:rFonts w:ascii="Times New Roman" w:hAnsi="Times New Roman" w:eastAsia="宋体" w:cs="Times New Roman"/>
          <w:color w:val="auto"/>
          <w:highlight w:val="none"/>
          <w:vertAlign w:val="subscript"/>
          <w:lang w:val="zh-CN"/>
        </w:rPr>
        <w:t>现状（j，t）</w:t>
      </w:r>
      <w:r>
        <w:rPr>
          <w:rFonts w:ascii="Times New Roman" w:hAnsi="Times New Roman" w:eastAsia="宋体" w:cs="Times New Roman"/>
          <w:color w:val="auto"/>
          <w:highlight w:val="none"/>
          <w:lang w:val="zh-CN"/>
        </w:rPr>
        <w:t>——第j个监测点位在t时刻环境质量现状浓度（包括短期浓度和长期浓度），</w:t>
      </w:r>
      <w:r>
        <w:rPr>
          <w:rFonts w:ascii="Times New Roman" w:hAnsi="Times New Roman" w:eastAsia="宋体" w:cs="Times New Roman"/>
          <w:color w:val="auto"/>
          <w:highlight w:val="none"/>
        </w:rPr>
        <w:t>µg/m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n——长期监测点位数。</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百分位数按照《环境空气质量评价技术规范（试行）》（HJ</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663-2013）中的统计方法对各污染物的年评价指标进行环境质量现状评价。</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污染物浓度序列的第</w:t>
      </w:r>
      <w:r>
        <w:rPr>
          <w:rFonts w:ascii="Times New Roman" w:hAnsi="Times New Roman" w:eastAsia="宋体" w:cs="Times New Roman"/>
          <w:i/>
          <w:color w:val="auto"/>
          <w:highlight w:val="none"/>
        </w:rPr>
        <w:t>p</w:t>
      </w:r>
      <w:r>
        <w:rPr>
          <w:rFonts w:ascii="Times New Roman" w:hAnsi="Times New Roman" w:eastAsia="宋体" w:cs="Times New Roman"/>
          <w:color w:val="auto"/>
          <w:highlight w:val="none"/>
        </w:rPr>
        <w:t>百分位数计算方法如下：</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color w:val="auto"/>
          <w:szCs w:val="24"/>
          <w:highlight w:val="none"/>
        </w:rPr>
        <w:instrText xml:space="preserve"> = 1 \* GB3 </w:instrText>
      </w:r>
      <w:r>
        <w:rPr>
          <w:rFonts w:ascii="Times New Roman" w:hAnsi="Times New Roman" w:eastAsia="宋体" w:cs="Times New Roman"/>
          <w:color w:val="auto"/>
          <w:szCs w:val="24"/>
          <w:highlight w:val="none"/>
        </w:rPr>
        <w:fldChar w:fldCharType="separate"/>
      </w:r>
      <w:r>
        <w:rPr>
          <w:rFonts w:ascii="Times New Roman" w:hAnsi="Times New Roman" w:eastAsia="宋体" w:cs="Times New Roman"/>
          <w:color w:val="auto"/>
          <w:szCs w:val="24"/>
          <w:highlight w:val="none"/>
        </w:rPr>
        <w:t>①</w:t>
      </w:r>
      <w:r>
        <w:rPr>
          <w:rFonts w:ascii="Times New Roman" w:hAnsi="Times New Roman" w:eastAsia="宋体" w:cs="Times New Roman"/>
          <w:color w:val="auto"/>
          <w:szCs w:val="24"/>
          <w:highlight w:val="none"/>
        </w:rPr>
        <w:fldChar w:fldCharType="end"/>
      </w:r>
      <w:r>
        <w:rPr>
          <w:rFonts w:ascii="Times New Roman" w:hAnsi="Times New Roman" w:eastAsia="宋体" w:cs="Times New Roman"/>
          <w:color w:val="auto"/>
          <w:szCs w:val="24"/>
          <w:highlight w:val="none"/>
        </w:rPr>
        <w:t>将污染物浓度序列按数值从小到大排序，排序后的浓度序列为</w:t>
      </w:r>
      <w:r>
        <w:rPr>
          <w:rFonts w:ascii="Times New Roman" w:hAnsi="Times New Roman" w:eastAsia="宋体" w:cs="Times New Roman"/>
          <w:color w:val="auto"/>
          <w:szCs w:val="24"/>
          <w:highlight w:val="none"/>
        </w:rPr>
        <w:drawing>
          <wp:inline distT="0" distB="0" distL="114300" distR="114300">
            <wp:extent cx="1170940" cy="303530"/>
            <wp:effectExtent l="0" t="0" r="10160" b="1270"/>
            <wp:docPr id="52"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35"/>
                    <pic:cNvPicPr>
                      <a:picLocks noChangeAspect="1"/>
                    </pic:cNvPicPr>
                  </pic:nvPicPr>
                  <pic:blipFill>
                    <a:blip r:embed="rId70"/>
                    <a:stretch>
                      <a:fillRect/>
                    </a:stretch>
                  </pic:blipFill>
                  <pic:spPr>
                    <a:xfrm>
                      <a:off x="0" y="0"/>
                      <a:ext cx="1170940" cy="303530"/>
                    </a:xfrm>
                    <a:prstGeom prst="rect">
                      <a:avLst/>
                    </a:prstGeom>
                    <a:noFill/>
                    <a:ln>
                      <a:noFill/>
                    </a:ln>
                  </pic:spPr>
                </pic:pic>
              </a:graphicData>
            </a:graphic>
          </wp:inline>
        </w:drawing>
      </w:r>
      <w:r>
        <w:rPr>
          <w:rFonts w:ascii="Times New Roman" w:hAnsi="Times New Roman" w:eastAsia="宋体" w:cs="Times New Roman"/>
          <w:color w:val="auto"/>
          <w:szCs w:val="24"/>
          <w:highlight w:val="none"/>
        </w:rPr>
        <w:t>。</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 2 \* GB3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②</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t>计算第</w:t>
      </w:r>
      <w:r>
        <w:rPr>
          <w:rFonts w:ascii="Times New Roman" w:hAnsi="Times New Roman" w:eastAsia="宋体" w:cs="Times New Roman"/>
          <w:i/>
          <w:color w:val="auto"/>
          <w:highlight w:val="none"/>
        </w:rPr>
        <w:t>p</w:t>
      </w:r>
      <w:r>
        <w:rPr>
          <w:rFonts w:ascii="Times New Roman" w:hAnsi="Times New Roman" w:eastAsia="宋体" w:cs="Times New Roman"/>
          <w:color w:val="auto"/>
          <w:highlight w:val="none"/>
        </w:rPr>
        <w:t>百分位数</w:t>
      </w:r>
      <w:r>
        <w:rPr>
          <w:rFonts w:ascii="Times New Roman" w:hAnsi="Times New Roman" w:eastAsia="宋体" w:cs="Times New Roman"/>
          <w:i/>
          <w:color w:val="auto"/>
          <w:highlight w:val="none"/>
        </w:rPr>
        <w:t>m</w:t>
      </w:r>
      <w:r>
        <w:rPr>
          <w:rFonts w:ascii="Times New Roman" w:hAnsi="Times New Roman" w:eastAsia="宋体" w:cs="Times New Roman"/>
          <w:i/>
          <w:color w:val="auto"/>
          <w:highlight w:val="none"/>
          <w:vertAlign w:val="subscript"/>
        </w:rPr>
        <w:t>p</w:t>
      </w:r>
      <w:r>
        <w:rPr>
          <w:rFonts w:ascii="Times New Roman" w:hAnsi="Times New Roman" w:eastAsia="宋体" w:cs="Times New Roman"/>
          <w:color w:val="auto"/>
          <w:highlight w:val="none"/>
        </w:rPr>
        <w:t>的序数</w:t>
      </w:r>
      <w:r>
        <w:rPr>
          <w:rFonts w:ascii="Times New Roman" w:hAnsi="Times New Roman" w:eastAsia="宋体" w:cs="Times New Roman"/>
          <w:i/>
          <w:color w:val="auto"/>
          <w:highlight w:val="none"/>
        </w:rPr>
        <w:t>k</w:t>
      </w:r>
      <w:r>
        <w:rPr>
          <w:rFonts w:ascii="Times New Roman" w:hAnsi="Times New Roman" w:eastAsia="宋体" w:cs="Times New Roman"/>
          <w:color w:val="auto"/>
          <w:highlight w:val="none"/>
        </w:rPr>
        <w:t>，序数</w:t>
      </w:r>
      <w:r>
        <w:rPr>
          <w:rFonts w:ascii="Times New Roman" w:hAnsi="Times New Roman" w:eastAsia="宋体" w:cs="Times New Roman"/>
          <w:i/>
          <w:color w:val="auto"/>
          <w:highlight w:val="none"/>
        </w:rPr>
        <w:t>k</w:t>
      </w:r>
      <w:r>
        <w:rPr>
          <w:rFonts w:ascii="Times New Roman" w:hAnsi="Times New Roman" w:eastAsia="宋体" w:cs="Times New Roman"/>
          <w:color w:val="auto"/>
          <w:highlight w:val="none"/>
        </w:rPr>
        <w:t>按下式计算：</w:t>
      </w:r>
    </w:p>
    <w:p>
      <w:pPr>
        <w:pStyle w:val="81"/>
        <w:spacing w:line="360" w:lineRule="auto"/>
        <w:jc w:val="center"/>
        <w:rPr>
          <w:rFonts w:ascii="Times New Roman" w:hAnsi="Times New Roman" w:eastAsia="宋体"/>
          <w:color w:val="auto"/>
          <w:highlight w:val="none"/>
        </w:rPr>
      </w:pPr>
      <w:r>
        <w:rPr>
          <w:rFonts w:ascii="Times New Roman" w:hAnsi="Times New Roman" w:eastAsia="宋体"/>
          <w:color w:val="auto"/>
          <w:highlight w:val="none"/>
        </w:rPr>
        <w:drawing>
          <wp:inline distT="0" distB="0" distL="114300" distR="114300">
            <wp:extent cx="1617980" cy="444500"/>
            <wp:effectExtent l="0" t="0" r="1270" b="12700"/>
            <wp:docPr id="53"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6"/>
                    <pic:cNvPicPr>
                      <a:picLocks noChangeAspect="1"/>
                    </pic:cNvPicPr>
                  </pic:nvPicPr>
                  <pic:blipFill>
                    <a:blip r:embed="rId71"/>
                    <a:stretch>
                      <a:fillRect/>
                    </a:stretch>
                  </pic:blipFill>
                  <pic:spPr>
                    <a:xfrm>
                      <a:off x="0" y="0"/>
                      <a:ext cx="1617980" cy="444500"/>
                    </a:xfrm>
                    <a:prstGeom prst="rect">
                      <a:avLst/>
                    </a:prstGeom>
                    <a:noFill/>
                    <a:ln>
                      <a:noFill/>
                    </a:ln>
                  </pic:spPr>
                </pic:pic>
              </a:graphicData>
            </a:graphic>
          </wp:inline>
        </w:drawing>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式中:</w:t>
      </w:r>
    </w:p>
    <w:p>
      <w:pPr>
        <w:ind w:firstLine="480"/>
        <w:rPr>
          <w:rFonts w:ascii="Times New Roman" w:hAnsi="Times New Roman" w:eastAsia="宋体" w:cs="Times New Roman"/>
          <w:color w:val="auto"/>
          <w:highlight w:val="none"/>
        </w:rPr>
      </w:pPr>
      <w:r>
        <w:rPr>
          <w:rFonts w:ascii="Times New Roman" w:hAnsi="Times New Roman" w:eastAsia="宋体" w:cs="Times New Roman"/>
          <w:i/>
          <w:color w:val="auto"/>
          <w:highlight w:val="none"/>
        </w:rPr>
        <w:t>k</w:t>
      </w:r>
      <w:r>
        <w:rPr>
          <w:rFonts w:ascii="Times New Roman" w:hAnsi="Times New Roman" w:eastAsia="宋体" w:cs="Times New Roman"/>
          <w:color w:val="auto"/>
          <w:highlight w:val="none"/>
        </w:rPr>
        <w:t>——</w:t>
      </w:r>
      <w:r>
        <w:rPr>
          <w:rFonts w:ascii="Times New Roman" w:hAnsi="Times New Roman" w:eastAsia="宋体" w:cs="Times New Roman"/>
          <w:i/>
          <w:color w:val="auto"/>
          <w:highlight w:val="none"/>
        </w:rPr>
        <w:t>p</w:t>
      </w:r>
      <w:r>
        <w:rPr>
          <w:rFonts w:ascii="Times New Roman" w:hAnsi="Times New Roman" w:eastAsia="宋体" w:cs="Times New Roman"/>
          <w:color w:val="auto"/>
          <w:highlight w:val="none"/>
        </w:rPr>
        <w:t>%位置对应的序数。</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n——污染物浓度序列中的浓度值数量。</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 3 \* GB3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③</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t>第</w:t>
      </w:r>
      <w:r>
        <w:rPr>
          <w:rFonts w:ascii="Times New Roman" w:hAnsi="Times New Roman" w:eastAsia="宋体" w:cs="Times New Roman"/>
          <w:i/>
          <w:color w:val="auto"/>
          <w:highlight w:val="none"/>
        </w:rPr>
        <w:t>p</w:t>
      </w:r>
      <w:r>
        <w:rPr>
          <w:rFonts w:ascii="Times New Roman" w:hAnsi="Times New Roman" w:eastAsia="宋体" w:cs="Times New Roman"/>
          <w:color w:val="auto"/>
          <w:highlight w:val="none"/>
        </w:rPr>
        <w:t>百分位数</w:t>
      </w:r>
      <w:r>
        <w:rPr>
          <w:rFonts w:ascii="Times New Roman" w:hAnsi="Times New Roman" w:eastAsia="宋体" w:cs="Times New Roman"/>
          <w:i/>
          <w:color w:val="auto"/>
          <w:highlight w:val="none"/>
        </w:rPr>
        <w:t>m</w:t>
      </w:r>
      <w:r>
        <w:rPr>
          <w:rFonts w:ascii="Times New Roman" w:hAnsi="Times New Roman" w:eastAsia="宋体" w:cs="Times New Roman"/>
          <w:i/>
          <w:color w:val="auto"/>
          <w:highlight w:val="none"/>
          <w:vertAlign w:val="subscript"/>
        </w:rPr>
        <w:t>p</w:t>
      </w:r>
      <w:r>
        <w:rPr>
          <w:rFonts w:ascii="Times New Roman" w:hAnsi="Times New Roman" w:eastAsia="宋体" w:cs="Times New Roman"/>
          <w:color w:val="auto"/>
          <w:highlight w:val="none"/>
        </w:rPr>
        <w:t>按下式计算：</w:t>
      </w:r>
    </w:p>
    <w:p>
      <w:pPr>
        <w:pStyle w:val="81"/>
        <w:spacing w:line="360" w:lineRule="auto"/>
        <w:jc w:val="center"/>
        <w:rPr>
          <w:rFonts w:ascii="Times New Roman" w:hAnsi="Times New Roman" w:eastAsia="宋体"/>
          <w:color w:val="auto"/>
          <w:highlight w:val="none"/>
        </w:rPr>
      </w:pPr>
      <w:r>
        <w:rPr>
          <w:rFonts w:ascii="Times New Roman" w:hAnsi="Times New Roman" w:eastAsia="宋体"/>
          <w:color w:val="auto"/>
          <w:highlight w:val="none"/>
        </w:rPr>
        <w:drawing>
          <wp:inline distT="0" distB="0" distL="114300" distR="114300">
            <wp:extent cx="2771775" cy="437515"/>
            <wp:effectExtent l="0" t="0" r="9525" b="635"/>
            <wp:docPr id="54"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37"/>
                    <pic:cNvPicPr>
                      <a:picLocks noChangeAspect="1"/>
                    </pic:cNvPicPr>
                  </pic:nvPicPr>
                  <pic:blipFill>
                    <a:blip r:embed="rId72"/>
                    <a:stretch>
                      <a:fillRect/>
                    </a:stretch>
                  </pic:blipFill>
                  <pic:spPr>
                    <a:xfrm>
                      <a:off x="0" y="0"/>
                      <a:ext cx="2771775" cy="437515"/>
                    </a:xfrm>
                    <a:prstGeom prst="rect">
                      <a:avLst/>
                    </a:prstGeom>
                    <a:noFill/>
                    <a:ln>
                      <a:noFill/>
                    </a:ln>
                  </pic:spPr>
                </pic:pic>
              </a:graphicData>
            </a:graphic>
          </wp:inline>
        </w:drawing>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式中：</w:t>
      </w:r>
    </w:p>
    <w:p>
      <w:pPr>
        <w:ind w:firstLine="480"/>
        <w:rPr>
          <w:rFonts w:ascii="Times New Roman" w:hAnsi="Times New Roman" w:eastAsia="宋体" w:cs="Times New Roman"/>
          <w:color w:val="auto"/>
          <w:highlight w:val="none"/>
        </w:rPr>
      </w:pPr>
      <w:r>
        <w:rPr>
          <w:rFonts w:ascii="Times New Roman" w:hAnsi="Times New Roman" w:eastAsia="宋体" w:cs="Times New Roman"/>
          <w:i/>
          <w:color w:val="auto"/>
          <w:highlight w:val="none"/>
        </w:rPr>
        <w:t>s</w:t>
      </w:r>
      <w:r>
        <w:rPr>
          <w:rFonts w:ascii="Times New Roman" w:hAnsi="Times New Roman" w:eastAsia="宋体" w:cs="Times New Roman"/>
          <w:color w:val="auto"/>
          <w:highlight w:val="none"/>
        </w:rPr>
        <w:t>——</w:t>
      </w:r>
      <w:r>
        <w:rPr>
          <w:rFonts w:ascii="Times New Roman" w:hAnsi="Times New Roman" w:eastAsia="宋体" w:cs="Times New Roman"/>
          <w:i/>
          <w:color w:val="auto"/>
          <w:highlight w:val="none"/>
        </w:rPr>
        <w:t>k</w:t>
      </w:r>
      <w:r>
        <w:rPr>
          <w:rFonts w:ascii="Times New Roman" w:hAnsi="Times New Roman" w:eastAsia="宋体" w:cs="Times New Roman"/>
          <w:color w:val="auto"/>
          <w:highlight w:val="none"/>
        </w:rPr>
        <w:t>的整数部分，当</w:t>
      </w:r>
      <w:r>
        <w:rPr>
          <w:rFonts w:ascii="Times New Roman" w:hAnsi="Times New Roman" w:eastAsia="宋体" w:cs="Times New Roman"/>
          <w:i/>
          <w:color w:val="auto"/>
          <w:highlight w:val="none"/>
        </w:rPr>
        <w:t>k</w:t>
      </w:r>
      <w:r>
        <w:rPr>
          <w:rFonts w:ascii="Times New Roman" w:hAnsi="Times New Roman" w:eastAsia="宋体" w:cs="Times New Roman"/>
          <w:color w:val="auto"/>
          <w:highlight w:val="none"/>
        </w:rPr>
        <w:t>为整数时</w:t>
      </w:r>
      <w:r>
        <w:rPr>
          <w:rFonts w:ascii="Times New Roman" w:hAnsi="Times New Roman" w:eastAsia="宋体" w:cs="Times New Roman"/>
          <w:i/>
          <w:color w:val="auto"/>
          <w:highlight w:val="none"/>
        </w:rPr>
        <w:t>s</w:t>
      </w:r>
      <w:r>
        <w:rPr>
          <w:rFonts w:ascii="Times New Roman" w:hAnsi="Times New Roman" w:eastAsia="宋体" w:cs="Times New Roman"/>
          <w:color w:val="auto"/>
          <w:highlight w:val="none"/>
        </w:rPr>
        <w:t>与</w:t>
      </w:r>
      <w:r>
        <w:rPr>
          <w:rFonts w:ascii="Times New Roman" w:hAnsi="Times New Roman" w:eastAsia="宋体" w:cs="Times New Roman"/>
          <w:i/>
          <w:color w:val="auto"/>
          <w:highlight w:val="none"/>
        </w:rPr>
        <w:t>k</w:t>
      </w:r>
      <w:r>
        <w:rPr>
          <w:rFonts w:ascii="Times New Roman" w:hAnsi="Times New Roman" w:eastAsia="宋体" w:cs="Times New Roman"/>
          <w:color w:val="auto"/>
          <w:highlight w:val="none"/>
        </w:rPr>
        <w:t>相等。</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三江县</w:t>
      </w:r>
      <w:r>
        <w:rPr>
          <w:rFonts w:ascii="Times New Roman" w:hAnsi="Times New Roman" w:eastAsia="宋体" w:cs="Times New Roman"/>
          <w:color w:val="auto"/>
          <w:highlight w:val="none"/>
        </w:rPr>
        <w:t>2018年环境空气自动监测点监测数据统计结果见表3.2-3。</w:t>
      </w:r>
    </w:p>
    <w:p>
      <w:pPr>
        <w:pStyle w:val="13"/>
        <w:rPr>
          <w:rFonts w:ascii="Times New Roman" w:hAnsi="Times New Roman" w:eastAsia="宋体"/>
          <w:color w:val="auto"/>
          <w:szCs w:val="24"/>
          <w:highlight w:val="none"/>
        </w:rPr>
      </w:pPr>
      <w:r>
        <w:rPr>
          <w:rFonts w:ascii="Times New Roman" w:hAnsi="Times New Roman" w:eastAsia="宋体"/>
          <w:color w:val="auto"/>
          <w:szCs w:val="24"/>
          <w:highlight w:val="none"/>
        </w:rPr>
        <w:t xml:space="preserve">表3.2-3  </w:t>
      </w:r>
      <w:r>
        <w:rPr>
          <w:rFonts w:hint="eastAsia" w:ascii="Times New Roman" w:hAnsi="Times New Roman" w:eastAsia="宋体"/>
          <w:bCs/>
          <w:color w:val="auto"/>
          <w:szCs w:val="24"/>
          <w:highlight w:val="none"/>
        </w:rPr>
        <w:t>三江县</w:t>
      </w:r>
      <w:r>
        <w:rPr>
          <w:rFonts w:ascii="Times New Roman" w:hAnsi="Times New Roman" w:eastAsia="宋体"/>
          <w:color w:val="auto"/>
          <w:szCs w:val="24"/>
          <w:highlight w:val="none"/>
        </w:rPr>
        <w:t>2018年基本污染物环境质量现状</w:t>
      </w:r>
      <w:r>
        <w:rPr>
          <w:rFonts w:hint="eastAsia" w:ascii="Times New Roman" w:hAnsi="Times New Roman" w:eastAsia="宋体"/>
          <w:bCs/>
          <w:color w:val="auto"/>
          <w:szCs w:val="24"/>
          <w:highlight w:val="none"/>
        </w:rPr>
        <w:t>（除CO单位为mg/m</w:t>
      </w:r>
      <w:r>
        <w:rPr>
          <w:rFonts w:hint="eastAsia" w:ascii="Times New Roman" w:hAnsi="Times New Roman" w:eastAsia="宋体"/>
          <w:bCs/>
          <w:color w:val="auto"/>
          <w:szCs w:val="24"/>
          <w:highlight w:val="none"/>
          <w:vertAlign w:val="superscript"/>
        </w:rPr>
        <w:t>3</w:t>
      </w:r>
      <w:r>
        <w:rPr>
          <w:rFonts w:hint="eastAsia" w:ascii="Times New Roman" w:hAnsi="Times New Roman" w:eastAsia="宋体"/>
          <w:bCs/>
          <w:color w:val="auto"/>
          <w:szCs w:val="24"/>
          <w:highlight w:val="none"/>
        </w:rPr>
        <w:t>，其它为</w:t>
      </w:r>
      <w:r>
        <w:rPr>
          <w:rFonts w:ascii="Times New Roman" w:hAnsi="Times New Roman" w:eastAsia="宋体"/>
          <w:bCs/>
          <w:color w:val="auto"/>
          <w:szCs w:val="24"/>
          <w:highlight w:val="none"/>
        </w:rPr>
        <w:t>µg/m</w:t>
      </w:r>
      <w:r>
        <w:rPr>
          <w:rFonts w:ascii="Times New Roman" w:hAnsi="Times New Roman" w:eastAsia="宋体"/>
          <w:bCs/>
          <w:color w:val="auto"/>
          <w:szCs w:val="24"/>
          <w:highlight w:val="none"/>
          <w:vertAlign w:val="superscript"/>
        </w:rPr>
        <w:t>3</w:t>
      </w:r>
      <w:r>
        <w:rPr>
          <w:rFonts w:hint="eastAsia" w:ascii="Times New Roman" w:hAnsi="Times New Roman" w:eastAsia="宋体"/>
          <w:bCs/>
          <w:color w:val="auto"/>
          <w:szCs w:val="24"/>
          <w:highlight w:val="none"/>
        </w:rPr>
        <w:t>）</w:t>
      </w:r>
    </w:p>
    <w:tbl>
      <w:tblPr>
        <w:tblStyle w:val="48"/>
        <w:tblW w:w="9105"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657"/>
        <w:gridCol w:w="657"/>
        <w:gridCol w:w="655"/>
        <w:gridCol w:w="659"/>
        <w:gridCol w:w="2084"/>
        <w:gridCol w:w="1020"/>
        <w:gridCol w:w="915"/>
        <w:gridCol w:w="945"/>
        <w:gridCol w:w="795"/>
        <w:gridCol w:w="71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atLeast"/>
          <w:jc w:val="center"/>
        </w:trPr>
        <w:tc>
          <w:tcPr>
            <w:tcW w:w="657"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sz w:val="21"/>
                <w:highlight w:val="none"/>
                <w:lang w:bidi="ar"/>
              </w:rPr>
              <w:t>点位名称</w:t>
            </w:r>
          </w:p>
        </w:tc>
        <w:tc>
          <w:tcPr>
            <w:tcW w:w="1312"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sz w:val="21"/>
                <w:highlight w:val="none"/>
                <w:lang w:bidi="ar"/>
              </w:rPr>
              <w:t>监测站坐标/m</w:t>
            </w:r>
          </w:p>
        </w:tc>
        <w:tc>
          <w:tcPr>
            <w:tcW w:w="659"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污染物</w:t>
            </w:r>
          </w:p>
        </w:tc>
        <w:tc>
          <w:tcPr>
            <w:tcW w:w="2084"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年评价指标</w:t>
            </w:r>
          </w:p>
        </w:tc>
        <w:tc>
          <w:tcPr>
            <w:tcW w:w="1020"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评价准值</w:t>
            </w:r>
          </w:p>
        </w:tc>
        <w:tc>
          <w:tcPr>
            <w:tcW w:w="915"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现状浓度</w:t>
            </w:r>
          </w:p>
        </w:tc>
        <w:tc>
          <w:tcPr>
            <w:tcW w:w="945"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最大浓度占标率/%</w:t>
            </w:r>
          </w:p>
        </w:tc>
        <w:tc>
          <w:tcPr>
            <w:tcW w:w="795"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超标频率/%</w:t>
            </w:r>
          </w:p>
        </w:tc>
        <w:tc>
          <w:tcPr>
            <w:tcW w:w="718"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达标</w:t>
            </w:r>
          </w:p>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90" w:hRule="atLeast"/>
          <w:jc w:val="center"/>
        </w:trPr>
        <w:tc>
          <w:tcPr>
            <w:tcW w:w="65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kern w:val="0"/>
                <w:sz w:val="21"/>
                <w:highlight w:val="none"/>
              </w:rPr>
            </w:pPr>
          </w:p>
        </w:tc>
        <w:tc>
          <w:tcPr>
            <w:tcW w:w="657"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X</w:t>
            </w:r>
          </w:p>
        </w:tc>
        <w:tc>
          <w:tcPr>
            <w:tcW w:w="655"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Y</w:t>
            </w:r>
          </w:p>
        </w:tc>
        <w:tc>
          <w:tcPr>
            <w:tcW w:w="659"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208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102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91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94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79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718"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atLeast"/>
          <w:jc w:val="center"/>
        </w:trPr>
        <w:tc>
          <w:tcPr>
            <w:tcW w:w="657" w:type="dxa"/>
            <w:vMerge w:val="restart"/>
            <w:noWrap w:val="0"/>
            <w:vAlign w:val="center"/>
          </w:tcPr>
          <w:p>
            <w:pPr>
              <w:pStyle w:val="86"/>
              <w:rPr>
                <w:rFonts w:ascii="Times New Roman" w:hAnsi="Times New Roman" w:eastAsia="宋体" w:cs="Times New Roman"/>
                <w:color w:val="auto"/>
                <w:szCs w:val="21"/>
                <w:highlight w:val="none"/>
              </w:rPr>
            </w:pPr>
            <w:r>
              <w:rPr>
                <w:rFonts w:hint="eastAsia" w:ascii="Times New Roman" w:hAnsi="Times New Roman" w:eastAsia="宋体" w:cs="Times New Roman"/>
                <w:b w:val="0"/>
                <w:bCs/>
                <w:color w:val="auto"/>
                <w:highlight w:val="none"/>
                <w:lang w:bidi="ar"/>
              </w:rPr>
              <w:t>三江县古宜中学</w:t>
            </w:r>
          </w:p>
        </w:tc>
        <w:tc>
          <w:tcPr>
            <w:tcW w:w="657" w:type="dxa"/>
            <w:vMerge w:val="restart"/>
            <w:noWrap w:val="0"/>
            <w:vAlign w:val="center"/>
          </w:tcPr>
          <w:p>
            <w:pPr>
              <w:pStyle w:val="86"/>
              <w:rPr>
                <w:rFonts w:ascii="Times New Roman" w:hAnsi="Times New Roman" w:eastAsia="宋体" w:cs="Times New Roman"/>
                <w:color w:val="auto"/>
                <w:szCs w:val="21"/>
                <w:highlight w:val="none"/>
              </w:rPr>
            </w:pPr>
            <w:r>
              <w:rPr>
                <w:rFonts w:hint="eastAsia" w:ascii="Times New Roman" w:hAnsi="Times New Roman" w:eastAsia="宋体" w:cs="Times New Roman"/>
                <w:b w:val="0"/>
                <w:bCs/>
                <w:color w:val="auto"/>
                <w:szCs w:val="24"/>
                <w:highlight w:val="none"/>
              </w:rPr>
              <w:t>109.603193</w:t>
            </w:r>
            <w:r>
              <w:rPr>
                <w:rFonts w:ascii="Times New Roman" w:hAnsi="Times New Roman" w:eastAsia="宋体" w:cs="Times New Roman"/>
                <w:b w:val="0"/>
                <w:bCs/>
                <w:color w:val="auto"/>
                <w:szCs w:val="24"/>
                <w:highlight w:val="none"/>
              </w:rPr>
              <w:t>°E</w:t>
            </w:r>
          </w:p>
        </w:tc>
        <w:tc>
          <w:tcPr>
            <w:tcW w:w="655" w:type="dxa"/>
            <w:vMerge w:val="restart"/>
            <w:noWrap w:val="0"/>
            <w:vAlign w:val="center"/>
          </w:tcPr>
          <w:p>
            <w:pPr>
              <w:pStyle w:val="86"/>
              <w:rPr>
                <w:rFonts w:ascii="Times New Roman" w:hAnsi="Times New Roman" w:eastAsia="宋体" w:cs="Times New Roman"/>
                <w:color w:val="auto"/>
                <w:szCs w:val="21"/>
                <w:highlight w:val="none"/>
              </w:rPr>
            </w:pPr>
            <w:r>
              <w:rPr>
                <w:rFonts w:hint="eastAsia" w:ascii="Times New Roman" w:hAnsi="Times New Roman" w:eastAsia="宋体" w:cs="Times New Roman"/>
                <w:b w:val="0"/>
                <w:bCs/>
                <w:color w:val="auto"/>
                <w:szCs w:val="24"/>
                <w:highlight w:val="none"/>
              </w:rPr>
              <w:t>25.777074</w:t>
            </w:r>
            <w:r>
              <w:rPr>
                <w:rFonts w:ascii="Times New Roman" w:hAnsi="Times New Roman" w:eastAsia="宋体" w:cs="Times New Roman"/>
                <w:b w:val="0"/>
                <w:bCs/>
                <w:color w:val="auto"/>
                <w:szCs w:val="24"/>
                <w:highlight w:val="none"/>
              </w:rPr>
              <w:t>°N</w:t>
            </w:r>
          </w:p>
        </w:tc>
        <w:tc>
          <w:tcPr>
            <w:tcW w:w="659"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SO</w:t>
            </w:r>
            <w:r>
              <w:rPr>
                <w:rFonts w:ascii="Times New Roman" w:hAnsi="Times New Roman" w:eastAsia="宋体" w:cs="Times New Roman"/>
                <w:color w:val="auto"/>
                <w:sz w:val="21"/>
                <w:highlight w:val="none"/>
                <w:vertAlign w:val="subscript"/>
              </w:rPr>
              <w:t>2</w:t>
            </w:r>
          </w:p>
        </w:tc>
        <w:tc>
          <w:tcPr>
            <w:tcW w:w="2084"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r>
              <w:rPr>
                <w:rFonts w:hint="eastAsia" w:ascii="Times New Roman" w:hAnsi="Times New Roman" w:eastAsia="宋体" w:cs="Times New Roman"/>
                <w:color w:val="auto"/>
                <w:sz w:val="21"/>
                <w:highlight w:val="none"/>
              </w:rPr>
              <w:t>质量浓度</w:t>
            </w:r>
          </w:p>
        </w:tc>
        <w:tc>
          <w:tcPr>
            <w:tcW w:w="102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60</w:t>
            </w:r>
          </w:p>
        </w:tc>
        <w:tc>
          <w:tcPr>
            <w:tcW w:w="915"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25</w:t>
            </w:r>
          </w:p>
        </w:tc>
        <w:tc>
          <w:tcPr>
            <w:tcW w:w="945" w:type="dxa"/>
            <w:noWrap w:val="0"/>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kern w:val="0"/>
                <w:sz w:val="21"/>
                <w:highlight w:val="none"/>
                <w:lang w:bidi="ar"/>
              </w:rPr>
              <w:t>41.7</w:t>
            </w:r>
          </w:p>
        </w:tc>
        <w:tc>
          <w:tcPr>
            <w:tcW w:w="7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71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atLeast"/>
          <w:jc w:val="center"/>
        </w:trPr>
        <w:tc>
          <w:tcPr>
            <w:tcW w:w="657" w:type="dxa"/>
            <w:vMerge w:val="continue"/>
            <w:noWrap w:val="0"/>
            <w:vAlign w:val="center"/>
          </w:tcPr>
          <w:p>
            <w:pPr>
              <w:pStyle w:val="86"/>
              <w:rPr>
                <w:rFonts w:hint="eastAsia" w:ascii="Times New Roman" w:hAnsi="Times New Roman" w:eastAsia="宋体" w:cs="Times New Roman"/>
                <w:b w:val="0"/>
                <w:bCs/>
                <w:color w:val="auto"/>
                <w:highlight w:val="none"/>
                <w:lang w:bidi="ar"/>
              </w:rPr>
            </w:pPr>
          </w:p>
        </w:tc>
        <w:tc>
          <w:tcPr>
            <w:tcW w:w="657" w:type="dxa"/>
            <w:vMerge w:val="continue"/>
            <w:noWrap w:val="0"/>
            <w:vAlign w:val="center"/>
          </w:tcPr>
          <w:p>
            <w:pPr>
              <w:pStyle w:val="86"/>
              <w:rPr>
                <w:rFonts w:hint="eastAsia" w:ascii="Times New Roman" w:hAnsi="Times New Roman" w:eastAsia="宋体" w:cs="Times New Roman"/>
                <w:b w:val="0"/>
                <w:bCs/>
                <w:color w:val="auto"/>
                <w:szCs w:val="24"/>
                <w:highlight w:val="none"/>
              </w:rPr>
            </w:pPr>
          </w:p>
        </w:tc>
        <w:tc>
          <w:tcPr>
            <w:tcW w:w="655" w:type="dxa"/>
            <w:vMerge w:val="continue"/>
            <w:noWrap w:val="0"/>
            <w:vAlign w:val="center"/>
          </w:tcPr>
          <w:p>
            <w:pPr>
              <w:pStyle w:val="86"/>
              <w:rPr>
                <w:rFonts w:hint="eastAsia" w:ascii="Times New Roman" w:hAnsi="Times New Roman" w:eastAsia="宋体" w:cs="Times New Roman"/>
                <w:b w:val="0"/>
                <w:bCs/>
                <w:color w:val="auto"/>
                <w:szCs w:val="24"/>
                <w:highlight w:val="none"/>
              </w:rPr>
            </w:pPr>
          </w:p>
        </w:tc>
        <w:tc>
          <w:tcPr>
            <w:tcW w:w="659"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84"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日平均第98百分位数</w:t>
            </w:r>
          </w:p>
        </w:tc>
        <w:tc>
          <w:tcPr>
            <w:tcW w:w="102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150</w:t>
            </w:r>
          </w:p>
        </w:tc>
        <w:tc>
          <w:tcPr>
            <w:tcW w:w="915"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kern w:val="0"/>
                <w:sz w:val="21"/>
                <w:highlight w:val="none"/>
                <w:lang w:bidi="ar"/>
              </w:rPr>
              <w:t>54</w:t>
            </w:r>
          </w:p>
        </w:tc>
        <w:tc>
          <w:tcPr>
            <w:tcW w:w="945" w:type="dxa"/>
            <w:noWrap w:val="0"/>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kern w:val="0"/>
                <w:sz w:val="21"/>
                <w:highlight w:val="none"/>
                <w:lang w:bidi="ar"/>
              </w:rPr>
              <w:t>36</w:t>
            </w:r>
          </w:p>
        </w:tc>
        <w:tc>
          <w:tcPr>
            <w:tcW w:w="7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71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atLeast"/>
          <w:jc w:val="center"/>
        </w:trPr>
        <w:tc>
          <w:tcPr>
            <w:tcW w:w="65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9"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2</w:t>
            </w:r>
          </w:p>
        </w:tc>
        <w:tc>
          <w:tcPr>
            <w:tcW w:w="2084"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r>
              <w:rPr>
                <w:rFonts w:hint="eastAsia" w:ascii="Times New Roman" w:hAnsi="Times New Roman" w:eastAsia="宋体" w:cs="Times New Roman"/>
                <w:color w:val="auto"/>
                <w:sz w:val="21"/>
                <w:highlight w:val="none"/>
              </w:rPr>
              <w:t>质量浓度</w:t>
            </w:r>
          </w:p>
        </w:tc>
        <w:tc>
          <w:tcPr>
            <w:tcW w:w="102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40</w:t>
            </w:r>
          </w:p>
        </w:tc>
        <w:tc>
          <w:tcPr>
            <w:tcW w:w="915"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lang w:bidi="ar"/>
              </w:rPr>
              <w:t>12</w:t>
            </w:r>
          </w:p>
        </w:tc>
        <w:tc>
          <w:tcPr>
            <w:tcW w:w="945" w:type="dxa"/>
            <w:noWrap w:val="0"/>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kern w:val="0"/>
                <w:sz w:val="21"/>
                <w:highlight w:val="none"/>
                <w:lang w:bidi="ar"/>
              </w:rPr>
              <w:t>30</w:t>
            </w:r>
          </w:p>
        </w:tc>
        <w:tc>
          <w:tcPr>
            <w:tcW w:w="7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71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atLeast"/>
          <w:jc w:val="center"/>
        </w:trPr>
        <w:tc>
          <w:tcPr>
            <w:tcW w:w="65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9"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84"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日平均第98百分位数</w:t>
            </w:r>
          </w:p>
        </w:tc>
        <w:tc>
          <w:tcPr>
            <w:tcW w:w="102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80</w:t>
            </w:r>
          </w:p>
        </w:tc>
        <w:tc>
          <w:tcPr>
            <w:tcW w:w="915"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kern w:val="0"/>
                <w:sz w:val="21"/>
                <w:highlight w:val="none"/>
                <w:lang w:bidi="ar"/>
              </w:rPr>
              <w:t>28</w:t>
            </w:r>
          </w:p>
        </w:tc>
        <w:tc>
          <w:tcPr>
            <w:tcW w:w="945" w:type="dxa"/>
            <w:noWrap w:val="0"/>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kern w:val="0"/>
                <w:sz w:val="21"/>
                <w:highlight w:val="none"/>
                <w:lang w:bidi="ar"/>
              </w:rPr>
              <w:t>35</w:t>
            </w:r>
          </w:p>
        </w:tc>
        <w:tc>
          <w:tcPr>
            <w:tcW w:w="7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71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atLeast"/>
          <w:jc w:val="center"/>
        </w:trPr>
        <w:tc>
          <w:tcPr>
            <w:tcW w:w="65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9"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PM</w:t>
            </w:r>
            <w:r>
              <w:rPr>
                <w:rFonts w:ascii="Times New Roman" w:hAnsi="Times New Roman" w:eastAsia="宋体" w:cs="Times New Roman"/>
                <w:color w:val="auto"/>
                <w:sz w:val="21"/>
                <w:highlight w:val="none"/>
                <w:vertAlign w:val="subscript"/>
              </w:rPr>
              <w:t>10</w:t>
            </w:r>
          </w:p>
        </w:tc>
        <w:tc>
          <w:tcPr>
            <w:tcW w:w="2084"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r>
              <w:rPr>
                <w:rFonts w:hint="eastAsia" w:ascii="Times New Roman" w:hAnsi="Times New Roman" w:eastAsia="宋体" w:cs="Times New Roman"/>
                <w:color w:val="auto"/>
                <w:sz w:val="21"/>
                <w:highlight w:val="none"/>
              </w:rPr>
              <w:t>质量浓度</w:t>
            </w:r>
          </w:p>
        </w:tc>
        <w:tc>
          <w:tcPr>
            <w:tcW w:w="102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70</w:t>
            </w:r>
          </w:p>
        </w:tc>
        <w:tc>
          <w:tcPr>
            <w:tcW w:w="915"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46</w:t>
            </w:r>
          </w:p>
        </w:tc>
        <w:tc>
          <w:tcPr>
            <w:tcW w:w="945" w:type="dxa"/>
            <w:noWrap w:val="0"/>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kern w:val="0"/>
                <w:sz w:val="21"/>
                <w:highlight w:val="none"/>
                <w:lang w:bidi="ar"/>
              </w:rPr>
              <w:t>65.7</w:t>
            </w:r>
          </w:p>
        </w:tc>
        <w:tc>
          <w:tcPr>
            <w:tcW w:w="7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71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atLeast"/>
          <w:jc w:val="center"/>
        </w:trPr>
        <w:tc>
          <w:tcPr>
            <w:tcW w:w="65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9"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84"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日平均第95百分位数</w:t>
            </w:r>
          </w:p>
        </w:tc>
        <w:tc>
          <w:tcPr>
            <w:tcW w:w="102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150</w:t>
            </w:r>
          </w:p>
        </w:tc>
        <w:tc>
          <w:tcPr>
            <w:tcW w:w="915"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97</w:t>
            </w:r>
          </w:p>
        </w:tc>
        <w:tc>
          <w:tcPr>
            <w:tcW w:w="945" w:type="dxa"/>
            <w:noWrap w:val="0"/>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kern w:val="0"/>
                <w:sz w:val="21"/>
                <w:highlight w:val="none"/>
                <w:lang w:bidi="ar"/>
              </w:rPr>
              <w:t>64.7</w:t>
            </w:r>
          </w:p>
        </w:tc>
        <w:tc>
          <w:tcPr>
            <w:tcW w:w="7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71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atLeast"/>
          <w:jc w:val="center"/>
        </w:trPr>
        <w:tc>
          <w:tcPr>
            <w:tcW w:w="65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9"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PM</w:t>
            </w:r>
            <w:r>
              <w:rPr>
                <w:rFonts w:ascii="Times New Roman" w:hAnsi="Times New Roman" w:eastAsia="宋体" w:cs="Times New Roman"/>
                <w:color w:val="auto"/>
                <w:sz w:val="21"/>
                <w:highlight w:val="none"/>
                <w:vertAlign w:val="subscript"/>
              </w:rPr>
              <w:t>2.5</w:t>
            </w:r>
          </w:p>
        </w:tc>
        <w:tc>
          <w:tcPr>
            <w:tcW w:w="2084"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r>
              <w:rPr>
                <w:rFonts w:hint="eastAsia" w:ascii="Times New Roman" w:hAnsi="Times New Roman" w:eastAsia="宋体" w:cs="Times New Roman"/>
                <w:color w:val="auto"/>
                <w:sz w:val="21"/>
                <w:highlight w:val="none"/>
              </w:rPr>
              <w:t>质量浓度</w:t>
            </w:r>
          </w:p>
        </w:tc>
        <w:tc>
          <w:tcPr>
            <w:tcW w:w="102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35</w:t>
            </w:r>
          </w:p>
        </w:tc>
        <w:tc>
          <w:tcPr>
            <w:tcW w:w="915"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32</w:t>
            </w:r>
          </w:p>
        </w:tc>
        <w:tc>
          <w:tcPr>
            <w:tcW w:w="945" w:type="dxa"/>
            <w:noWrap w:val="0"/>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kern w:val="0"/>
                <w:sz w:val="21"/>
                <w:highlight w:val="none"/>
                <w:lang w:bidi="ar"/>
              </w:rPr>
              <w:t>91.7</w:t>
            </w:r>
          </w:p>
        </w:tc>
        <w:tc>
          <w:tcPr>
            <w:tcW w:w="7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71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atLeast"/>
          <w:jc w:val="center"/>
        </w:trPr>
        <w:tc>
          <w:tcPr>
            <w:tcW w:w="65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9"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084"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日平均第95百分位数</w:t>
            </w:r>
          </w:p>
        </w:tc>
        <w:tc>
          <w:tcPr>
            <w:tcW w:w="102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75</w:t>
            </w:r>
          </w:p>
        </w:tc>
        <w:tc>
          <w:tcPr>
            <w:tcW w:w="915"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w:t>
            </w:r>
          </w:p>
        </w:tc>
        <w:tc>
          <w:tcPr>
            <w:tcW w:w="945" w:type="dxa"/>
            <w:noWrap w:val="0"/>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kern w:val="0"/>
                <w:sz w:val="21"/>
                <w:highlight w:val="none"/>
                <w:lang w:bidi="ar"/>
              </w:rPr>
              <w:t>93.3</w:t>
            </w:r>
          </w:p>
        </w:tc>
        <w:tc>
          <w:tcPr>
            <w:tcW w:w="7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71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atLeast"/>
          <w:jc w:val="center"/>
        </w:trPr>
        <w:tc>
          <w:tcPr>
            <w:tcW w:w="65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w:t>
            </w:r>
          </w:p>
        </w:tc>
        <w:tc>
          <w:tcPr>
            <w:tcW w:w="2084"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日平均第95百分位数</w:t>
            </w:r>
          </w:p>
        </w:tc>
        <w:tc>
          <w:tcPr>
            <w:tcW w:w="10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915"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1.1</w:t>
            </w:r>
          </w:p>
        </w:tc>
        <w:tc>
          <w:tcPr>
            <w:tcW w:w="945" w:type="dxa"/>
            <w:noWrap w:val="0"/>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kern w:val="0"/>
                <w:sz w:val="21"/>
                <w:highlight w:val="none"/>
                <w:lang w:bidi="ar"/>
              </w:rPr>
              <w:t>27.5</w:t>
            </w:r>
          </w:p>
        </w:tc>
        <w:tc>
          <w:tcPr>
            <w:tcW w:w="7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71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atLeast"/>
          <w:jc w:val="center"/>
        </w:trPr>
        <w:tc>
          <w:tcPr>
            <w:tcW w:w="65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5"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5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O</w:t>
            </w:r>
            <w:r>
              <w:rPr>
                <w:rFonts w:ascii="Times New Roman" w:hAnsi="Times New Roman" w:eastAsia="宋体" w:cs="Times New Roman"/>
                <w:color w:val="auto"/>
                <w:sz w:val="21"/>
                <w:highlight w:val="none"/>
                <w:vertAlign w:val="subscript"/>
              </w:rPr>
              <w:t>3</w:t>
            </w:r>
          </w:p>
        </w:tc>
        <w:tc>
          <w:tcPr>
            <w:tcW w:w="2084"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日最大8小时滑动平均值第90百位数</w:t>
            </w:r>
          </w:p>
        </w:tc>
        <w:tc>
          <w:tcPr>
            <w:tcW w:w="102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160</w:t>
            </w:r>
          </w:p>
        </w:tc>
        <w:tc>
          <w:tcPr>
            <w:tcW w:w="915"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95</w:t>
            </w:r>
          </w:p>
        </w:tc>
        <w:tc>
          <w:tcPr>
            <w:tcW w:w="945" w:type="dxa"/>
            <w:noWrap w:val="0"/>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kern w:val="0"/>
                <w:sz w:val="21"/>
                <w:highlight w:val="none"/>
                <w:lang w:bidi="ar"/>
              </w:rPr>
              <w:t>59.4</w:t>
            </w:r>
          </w:p>
        </w:tc>
        <w:tc>
          <w:tcPr>
            <w:tcW w:w="79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71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bl>
    <w:p>
      <w:pPr>
        <w:pStyle w:val="6"/>
        <w:spacing w:line="500" w:lineRule="exact"/>
        <w:rPr>
          <w:rFonts w:ascii="Times New Roman" w:hAnsi="Times New Roman" w:eastAsia="宋体"/>
          <w:color w:val="auto"/>
          <w:highlight w:val="none"/>
        </w:rPr>
      </w:pPr>
      <w:r>
        <w:rPr>
          <w:rFonts w:ascii="Times New Roman" w:hAnsi="Times New Roman" w:eastAsia="宋体"/>
          <w:color w:val="auto"/>
          <w:highlight w:val="none"/>
        </w:rPr>
        <w:t>3.2.</w:t>
      </w:r>
      <w:r>
        <w:rPr>
          <w:rFonts w:hint="eastAsia" w:ascii="Times New Roman" w:hAnsi="Times New Roman" w:eastAsia="宋体"/>
          <w:color w:val="auto"/>
          <w:highlight w:val="none"/>
        </w:rPr>
        <w:t>1</w:t>
      </w:r>
      <w:r>
        <w:rPr>
          <w:rFonts w:ascii="Times New Roman" w:hAnsi="Times New Roman" w:eastAsia="宋体"/>
          <w:color w:val="auto"/>
          <w:highlight w:val="none"/>
        </w:rPr>
        <w:t>.3 其他污染物环境质量现状</w:t>
      </w:r>
    </w:p>
    <w:p>
      <w:pPr>
        <w:spacing w:line="500" w:lineRule="exact"/>
        <w:ind w:firstLine="480"/>
        <w:rPr>
          <w:rFonts w:ascii="Times New Roman" w:hAnsi="Times New Roman" w:eastAsia="宋体" w:cs="Times New Roman"/>
          <w:color w:val="auto"/>
          <w:kern w:val="0"/>
          <w:highlight w:val="none"/>
          <w:lang w:bidi="ar"/>
        </w:rPr>
      </w:pPr>
      <w:r>
        <w:rPr>
          <w:rFonts w:ascii="Times New Roman" w:hAnsi="Times New Roman" w:eastAsia="宋体" w:cs="Times New Roman"/>
          <w:color w:val="auto"/>
          <w:kern w:val="0"/>
          <w:highlight w:val="none"/>
          <w:lang w:bidi="ar"/>
        </w:rPr>
        <w:t>本项目的特征污染物为TSP，</w:t>
      </w:r>
      <w:r>
        <w:rPr>
          <w:rFonts w:ascii="Times New Roman" w:hAnsi="Times New Roman" w:eastAsia="宋体" w:cs="Times New Roman"/>
          <w:color w:val="auto"/>
          <w:highlight w:val="none"/>
        </w:rPr>
        <w:t>该污染物在</w:t>
      </w:r>
      <w:r>
        <w:rPr>
          <w:rFonts w:hint="eastAsia" w:ascii="Times New Roman" w:hAnsi="Times New Roman" w:eastAsia="宋体" w:cs="Times New Roman"/>
          <w:color w:val="auto"/>
          <w:highlight w:val="none"/>
        </w:rPr>
        <w:t>三江侗族自治县</w:t>
      </w:r>
      <w:r>
        <w:rPr>
          <w:rFonts w:ascii="Times New Roman" w:hAnsi="Times New Roman" w:eastAsia="宋体" w:cs="Times New Roman"/>
          <w:color w:val="auto"/>
          <w:highlight w:val="none"/>
        </w:rPr>
        <w:t>均无评价基准年2018年连续1年的监测数据，根据《环境影响评价技术导则 大气环境》（HJ</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2.2-2018）中6.2.2.2的要求，</w:t>
      </w:r>
      <w:r>
        <w:rPr>
          <w:rFonts w:hint="eastAsia" w:ascii="Times New Roman" w:hAnsi="Times New Roman" w:eastAsia="宋体" w:cs="Times New Roman"/>
          <w:color w:val="auto"/>
          <w:highlight w:val="none"/>
        </w:rPr>
        <w:t>本次评价委托</w:t>
      </w:r>
      <w:r>
        <w:rPr>
          <w:rFonts w:ascii="Times New Roman" w:hAnsi="Times New Roman" w:eastAsia="宋体" w:cs="Times New Roman"/>
          <w:color w:val="auto"/>
          <w:highlight w:val="none"/>
        </w:rPr>
        <w:t>柳州市柳职院检验检测有限责任公司</w:t>
      </w:r>
      <w:r>
        <w:rPr>
          <w:rFonts w:hint="eastAsia" w:ascii="Times New Roman" w:hAnsi="Times New Roman" w:eastAsia="宋体" w:cs="Times New Roman"/>
          <w:color w:val="auto"/>
          <w:highlight w:val="none"/>
        </w:rPr>
        <w:t>在项目厂区内进行监测</w:t>
      </w:r>
      <w:r>
        <w:rPr>
          <w:rFonts w:ascii="Times New Roman" w:hAnsi="Times New Roman" w:eastAsia="宋体" w:cs="Times New Roman"/>
          <w:color w:val="auto"/>
          <w:kern w:val="0"/>
          <w:highlight w:val="none"/>
          <w:lang w:bidi="ar"/>
        </w:rPr>
        <w:t>，监测时间为201</w:t>
      </w:r>
      <w:r>
        <w:rPr>
          <w:rFonts w:hint="eastAsia" w:ascii="Times New Roman" w:hAnsi="Times New Roman" w:eastAsia="宋体" w:cs="Times New Roman"/>
          <w:color w:val="auto"/>
          <w:kern w:val="0"/>
          <w:highlight w:val="none"/>
          <w:lang w:bidi="ar"/>
        </w:rPr>
        <w:t>9</w:t>
      </w:r>
      <w:r>
        <w:rPr>
          <w:rFonts w:ascii="Times New Roman" w:hAnsi="Times New Roman" w:eastAsia="宋体" w:cs="Times New Roman"/>
          <w:color w:val="auto"/>
          <w:kern w:val="0"/>
          <w:highlight w:val="none"/>
          <w:lang w:bidi="ar"/>
        </w:rPr>
        <w:t>年</w:t>
      </w:r>
      <w:r>
        <w:rPr>
          <w:rFonts w:hint="eastAsia" w:ascii="Times New Roman" w:hAnsi="Times New Roman" w:eastAsia="宋体" w:cs="Times New Roman"/>
          <w:color w:val="auto"/>
          <w:kern w:val="0"/>
          <w:highlight w:val="none"/>
          <w:lang w:bidi="ar"/>
        </w:rPr>
        <w:t>7</w:t>
      </w:r>
      <w:r>
        <w:rPr>
          <w:rFonts w:ascii="Times New Roman" w:hAnsi="Times New Roman" w:eastAsia="宋体" w:cs="Times New Roman"/>
          <w:color w:val="auto"/>
          <w:kern w:val="0"/>
          <w:highlight w:val="none"/>
          <w:lang w:bidi="ar"/>
        </w:rPr>
        <w:t>月</w:t>
      </w:r>
      <w:r>
        <w:rPr>
          <w:rFonts w:hint="eastAsia" w:ascii="Times New Roman" w:hAnsi="Times New Roman" w:eastAsia="宋体" w:cs="Times New Roman"/>
          <w:color w:val="auto"/>
          <w:kern w:val="0"/>
          <w:highlight w:val="none"/>
          <w:lang w:bidi="ar"/>
        </w:rPr>
        <w:t>18</w:t>
      </w:r>
      <w:r>
        <w:rPr>
          <w:rFonts w:ascii="Times New Roman" w:hAnsi="Times New Roman" w:eastAsia="宋体" w:cs="Times New Roman"/>
          <w:color w:val="auto"/>
          <w:kern w:val="0"/>
          <w:highlight w:val="none"/>
          <w:lang w:bidi="ar"/>
        </w:rPr>
        <w:t>日~2018年</w:t>
      </w:r>
      <w:r>
        <w:rPr>
          <w:rFonts w:hint="eastAsia" w:ascii="Times New Roman" w:hAnsi="Times New Roman" w:eastAsia="宋体" w:cs="Times New Roman"/>
          <w:color w:val="auto"/>
          <w:kern w:val="0"/>
          <w:highlight w:val="none"/>
          <w:lang w:bidi="ar"/>
        </w:rPr>
        <w:t>7</w:t>
      </w:r>
      <w:r>
        <w:rPr>
          <w:rFonts w:ascii="Times New Roman" w:hAnsi="Times New Roman" w:eastAsia="宋体" w:cs="Times New Roman"/>
          <w:color w:val="auto"/>
          <w:kern w:val="0"/>
          <w:highlight w:val="none"/>
          <w:lang w:bidi="ar"/>
        </w:rPr>
        <w:t>月</w:t>
      </w:r>
      <w:r>
        <w:rPr>
          <w:rFonts w:hint="eastAsia" w:ascii="Times New Roman" w:hAnsi="Times New Roman" w:eastAsia="宋体" w:cs="Times New Roman"/>
          <w:color w:val="auto"/>
          <w:kern w:val="0"/>
          <w:highlight w:val="none"/>
          <w:lang w:bidi="ar"/>
        </w:rPr>
        <w:t>24</w:t>
      </w:r>
      <w:r>
        <w:rPr>
          <w:rFonts w:ascii="Times New Roman" w:hAnsi="Times New Roman" w:eastAsia="宋体" w:cs="Times New Roman"/>
          <w:color w:val="auto"/>
          <w:kern w:val="0"/>
          <w:highlight w:val="none"/>
          <w:lang w:bidi="ar"/>
        </w:rPr>
        <w:t>日，连续监测7天。监测点位基本信息表见表3.2-</w:t>
      </w:r>
      <w:r>
        <w:rPr>
          <w:rFonts w:hint="eastAsia" w:ascii="Times New Roman" w:hAnsi="Times New Roman" w:eastAsia="宋体" w:cs="Times New Roman"/>
          <w:color w:val="auto"/>
          <w:kern w:val="0"/>
          <w:highlight w:val="none"/>
          <w:lang w:bidi="ar"/>
        </w:rPr>
        <w:t>4</w:t>
      </w:r>
      <w:r>
        <w:rPr>
          <w:rFonts w:ascii="Times New Roman" w:hAnsi="Times New Roman" w:eastAsia="宋体" w:cs="Times New Roman"/>
          <w:color w:val="auto"/>
          <w:kern w:val="0"/>
          <w:highlight w:val="none"/>
          <w:lang w:bidi="ar"/>
        </w:rPr>
        <w:t>，</w:t>
      </w:r>
      <w:r>
        <w:rPr>
          <w:rFonts w:hint="eastAsia" w:ascii="Times New Roman" w:hAnsi="Times New Roman" w:eastAsia="宋体" w:cs="Times New Roman"/>
          <w:color w:val="auto"/>
          <w:kern w:val="0"/>
          <w:highlight w:val="none"/>
          <w:lang w:bidi="ar"/>
        </w:rPr>
        <w:t>监测方法见3.2-5，</w:t>
      </w:r>
      <w:r>
        <w:rPr>
          <w:rFonts w:ascii="Times New Roman" w:hAnsi="Times New Roman" w:eastAsia="宋体" w:cs="Times New Roman"/>
          <w:color w:val="auto"/>
          <w:kern w:val="0"/>
          <w:highlight w:val="none"/>
          <w:lang w:bidi="ar"/>
        </w:rPr>
        <w:t>监测结果见表3.2-6。具体可见附件1</w:t>
      </w:r>
      <w:r>
        <w:rPr>
          <w:rFonts w:hint="eastAsia" w:ascii="Times New Roman" w:hAnsi="Times New Roman" w:eastAsia="宋体" w:cs="Times New Roman"/>
          <w:color w:val="auto"/>
          <w:kern w:val="0"/>
          <w:highlight w:val="none"/>
          <w:lang w:bidi="ar"/>
        </w:rPr>
        <w:t>1</w:t>
      </w:r>
      <w:r>
        <w:rPr>
          <w:rFonts w:ascii="Times New Roman" w:hAnsi="Times New Roman" w:eastAsia="宋体" w:cs="Times New Roman"/>
          <w:color w:val="auto"/>
          <w:kern w:val="0"/>
          <w:highlight w:val="none"/>
          <w:lang w:bidi="ar"/>
        </w:rPr>
        <w:t>。</w:t>
      </w:r>
    </w:p>
    <w:p>
      <w:pPr>
        <w:snapToGrid w:val="0"/>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表3.2-</w:t>
      </w:r>
      <w:r>
        <w:rPr>
          <w:rFonts w:hint="eastAsia" w:ascii="Times New Roman" w:hAnsi="Times New Roman" w:eastAsia="宋体" w:cs="Times New Roman"/>
          <w:b/>
          <w:bCs/>
          <w:color w:val="auto"/>
          <w:highlight w:val="none"/>
        </w:rPr>
        <w:t>4</w:t>
      </w:r>
      <w:r>
        <w:rPr>
          <w:rFonts w:ascii="Times New Roman" w:hAnsi="Times New Roman" w:eastAsia="宋体" w:cs="Times New Roman"/>
          <w:b/>
          <w:bCs/>
          <w:color w:val="auto"/>
          <w:highlight w:val="none"/>
        </w:rPr>
        <w:t xml:space="preserve"> 其他污染物补充监测点位基本信息</w:t>
      </w:r>
    </w:p>
    <w:tbl>
      <w:tblPr>
        <w:tblStyle w:val="48"/>
        <w:tblW w:w="907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812"/>
        <w:gridCol w:w="938"/>
        <w:gridCol w:w="1200"/>
        <w:gridCol w:w="1534"/>
        <w:gridCol w:w="1485"/>
        <w:gridCol w:w="17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1353" w:type="dxa"/>
            <w:vMerge w:val="restart"/>
            <w:noWrap w:val="0"/>
            <w:vAlign w:val="center"/>
          </w:tcPr>
          <w:p>
            <w:pPr>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监测点名称</w:t>
            </w:r>
          </w:p>
        </w:tc>
        <w:tc>
          <w:tcPr>
            <w:tcW w:w="1750" w:type="dxa"/>
            <w:gridSpan w:val="2"/>
            <w:noWrap w:val="0"/>
            <w:vAlign w:val="center"/>
          </w:tcPr>
          <w:p>
            <w:pPr>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监测点坐标/m</w:t>
            </w:r>
          </w:p>
        </w:tc>
        <w:tc>
          <w:tcPr>
            <w:tcW w:w="1200" w:type="dxa"/>
            <w:vMerge w:val="restart"/>
            <w:noWrap w:val="0"/>
            <w:vAlign w:val="center"/>
          </w:tcPr>
          <w:p>
            <w:pPr>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监测因子</w:t>
            </w:r>
          </w:p>
        </w:tc>
        <w:tc>
          <w:tcPr>
            <w:tcW w:w="1534" w:type="dxa"/>
            <w:vMerge w:val="restart"/>
            <w:noWrap w:val="0"/>
            <w:vAlign w:val="center"/>
          </w:tcPr>
          <w:p>
            <w:pPr>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监测时段</w:t>
            </w:r>
          </w:p>
        </w:tc>
        <w:tc>
          <w:tcPr>
            <w:tcW w:w="1485" w:type="dxa"/>
            <w:vMerge w:val="restart"/>
            <w:noWrap w:val="0"/>
            <w:vAlign w:val="center"/>
          </w:tcPr>
          <w:p>
            <w:pPr>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相对厂址方位</w:t>
            </w:r>
          </w:p>
        </w:tc>
        <w:tc>
          <w:tcPr>
            <w:tcW w:w="1749" w:type="dxa"/>
            <w:vMerge w:val="restart"/>
            <w:noWrap w:val="0"/>
            <w:vAlign w:val="center"/>
          </w:tcPr>
          <w:p>
            <w:pPr>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相对厂界</w:t>
            </w:r>
          </w:p>
          <w:p>
            <w:pPr>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1353" w:type="dxa"/>
            <w:vMerge w:val="continue"/>
            <w:noWrap w:val="0"/>
            <w:vAlign w:val="center"/>
          </w:tcPr>
          <w:p>
            <w:pPr>
              <w:spacing w:line="240" w:lineRule="auto"/>
              <w:ind w:firstLine="0" w:firstLineChars="0"/>
              <w:jc w:val="center"/>
              <w:rPr>
                <w:rFonts w:ascii="Times New Roman" w:hAnsi="Times New Roman" w:eastAsia="宋体" w:cs="Times New Roman"/>
                <w:b/>
                <w:bCs/>
                <w:color w:val="auto"/>
                <w:kern w:val="0"/>
                <w:sz w:val="21"/>
                <w:highlight w:val="none"/>
              </w:rPr>
            </w:pPr>
          </w:p>
        </w:tc>
        <w:tc>
          <w:tcPr>
            <w:tcW w:w="812" w:type="dxa"/>
            <w:noWrap w:val="0"/>
            <w:vAlign w:val="center"/>
          </w:tcPr>
          <w:p>
            <w:pPr>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X</w:t>
            </w:r>
          </w:p>
        </w:tc>
        <w:tc>
          <w:tcPr>
            <w:tcW w:w="938" w:type="dxa"/>
            <w:noWrap w:val="0"/>
            <w:vAlign w:val="center"/>
          </w:tcPr>
          <w:p>
            <w:pPr>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Y</w:t>
            </w:r>
          </w:p>
        </w:tc>
        <w:tc>
          <w:tcPr>
            <w:tcW w:w="1200" w:type="dxa"/>
            <w:vMerge w:val="continue"/>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p>
        </w:tc>
        <w:tc>
          <w:tcPr>
            <w:tcW w:w="1534" w:type="dxa"/>
            <w:vMerge w:val="continue"/>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p>
        </w:tc>
        <w:tc>
          <w:tcPr>
            <w:tcW w:w="1485" w:type="dxa"/>
            <w:vMerge w:val="continue"/>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p>
        </w:tc>
        <w:tc>
          <w:tcPr>
            <w:tcW w:w="1749" w:type="dxa"/>
            <w:vMerge w:val="continue"/>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1353" w:type="dxa"/>
            <w:noWrap w:val="0"/>
            <w:vAlign w:val="center"/>
          </w:tcPr>
          <w:p>
            <w:pPr>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项目厂区内</w:t>
            </w:r>
          </w:p>
        </w:tc>
        <w:tc>
          <w:tcPr>
            <w:tcW w:w="812" w:type="dxa"/>
            <w:noWrap w:val="0"/>
            <w:vAlign w:val="center"/>
          </w:tcPr>
          <w:p>
            <w:pPr>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c>
          <w:tcPr>
            <w:tcW w:w="938" w:type="dxa"/>
            <w:noWrap w:val="0"/>
            <w:vAlign w:val="center"/>
          </w:tcPr>
          <w:p>
            <w:pPr>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c>
          <w:tcPr>
            <w:tcW w:w="1200"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TSP</w:t>
            </w:r>
          </w:p>
        </w:tc>
        <w:tc>
          <w:tcPr>
            <w:tcW w:w="1534"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24小时</w:t>
            </w:r>
          </w:p>
        </w:tc>
        <w:tc>
          <w:tcPr>
            <w:tcW w:w="1485" w:type="dxa"/>
            <w:noWrap w:val="0"/>
            <w:vAlign w:val="center"/>
          </w:tcPr>
          <w:p>
            <w:pPr>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w:t>
            </w:r>
          </w:p>
        </w:tc>
        <w:tc>
          <w:tcPr>
            <w:tcW w:w="1749" w:type="dxa"/>
            <w:noWrap w:val="0"/>
            <w:vAlign w:val="center"/>
          </w:tcPr>
          <w:p>
            <w:pPr>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w:t>
            </w:r>
          </w:p>
        </w:tc>
      </w:tr>
    </w:tbl>
    <w:p>
      <w:pPr>
        <w:snapToGrid w:val="0"/>
        <w:spacing w:line="240" w:lineRule="auto"/>
        <w:ind w:firstLine="0" w:firstLineChars="0"/>
        <w:jc w:val="center"/>
        <w:rPr>
          <w:rFonts w:hint="eastAsia" w:ascii="Times New Roman" w:hAnsi="Times New Roman" w:eastAsia="宋体" w:cs="Times New Roman"/>
          <w:b/>
          <w:bCs/>
          <w:color w:val="auto"/>
          <w:highlight w:val="none"/>
        </w:rPr>
      </w:pPr>
    </w:p>
    <w:p>
      <w:pPr>
        <w:snapToGrid w:val="0"/>
        <w:spacing w:line="240" w:lineRule="auto"/>
        <w:ind w:firstLine="0" w:firstLineChars="0"/>
        <w:jc w:val="center"/>
        <w:rPr>
          <w:rFonts w:hint="eastAsia"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表3.2-5 环境空气质量监测分析方法及分析仪器</w:t>
      </w:r>
    </w:p>
    <w:tbl>
      <w:tblPr>
        <w:tblStyle w:val="48"/>
        <w:tblW w:w="907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4115"/>
        <w:gridCol w:w="2145"/>
        <w:gridCol w:w="14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6" w:type="dxa"/>
            <w:noWrap w:val="0"/>
            <w:vAlign w:val="center"/>
          </w:tcPr>
          <w:p>
            <w:pPr>
              <w:tabs>
                <w:tab w:val="left" w:pos="7200"/>
              </w:tabs>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监测项目</w:t>
            </w:r>
          </w:p>
        </w:tc>
        <w:tc>
          <w:tcPr>
            <w:tcW w:w="4115" w:type="dxa"/>
            <w:noWrap w:val="0"/>
            <w:vAlign w:val="center"/>
          </w:tcPr>
          <w:p>
            <w:pPr>
              <w:tabs>
                <w:tab w:val="left" w:pos="7200"/>
              </w:tabs>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分析方法</w:t>
            </w:r>
          </w:p>
        </w:tc>
        <w:tc>
          <w:tcPr>
            <w:tcW w:w="2145" w:type="dxa"/>
            <w:noWrap w:val="0"/>
            <w:vAlign w:val="center"/>
          </w:tcPr>
          <w:p>
            <w:pPr>
              <w:tabs>
                <w:tab w:val="left" w:pos="7200"/>
              </w:tabs>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仪器名称/型号/编号</w:t>
            </w:r>
          </w:p>
        </w:tc>
        <w:tc>
          <w:tcPr>
            <w:tcW w:w="1485" w:type="dxa"/>
            <w:noWrap w:val="0"/>
            <w:vAlign w:val="center"/>
          </w:tcPr>
          <w:p>
            <w:pPr>
              <w:tabs>
                <w:tab w:val="left" w:pos="7200"/>
              </w:tabs>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检出限/范围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6" w:type="dxa"/>
            <w:noWrap w:val="0"/>
            <w:vAlign w:val="center"/>
          </w:tcPr>
          <w:p>
            <w:pPr>
              <w:tabs>
                <w:tab w:val="left" w:pos="7200"/>
              </w:tabs>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总悬浮颗粒物（TSP）</w:t>
            </w:r>
          </w:p>
        </w:tc>
        <w:tc>
          <w:tcPr>
            <w:tcW w:w="4115" w:type="dxa"/>
            <w:noWrap w:val="0"/>
            <w:vAlign w:val="center"/>
          </w:tcPr>
          <w:p>
            <w:pPr>
              <w:tabs>
                <w:tab w:val="left" w:pos="7200"/>
              </w:tabs>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环境空气 总悬浮颗粒物的测定 重量法GB/T</w:t>
            </w:r>
            <w:r>
              <w:rPr>
                <w:rFonts w:hint="eastAsia" w:ascii="Times New Roman" w:hAnsi="Times New Roman" w:eastAsia="宋体" w:cs="Times New Roman"/>
                <w:color w:val="auto"/>
                <w:sz w:val="21"/>
                <w:highlight w:val="none"/>
                <w:lang w:val="en-US" w:eastAsia="zh-CN"/>
              </w:rPr>
              <w:t xml:space="preserve"> </w:t>
            </w:r>
            <w:r>
              <w:rPr>
                <w:rFonts w:ascii="Times New Roman" w:hAnsi="Times New Roman" w:eastAsia="宋体" w:cs="Times New Roman"/>
                <w:color w:val="auto"/>
                <w:sz w:val="21"/>
                <w:highlight w:val="none"/>
              </w:rPr>
              <w:t>15432-1995</w:t>
            </w:r>
          </w:p>
        </w:tc>
        <w:tc>
          <w:tcPr>
            <w:tcW w:w="214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电子天平/X</w:t>
            </w:r>
            <w:r>
              <w:rPr>
                <w:rFonts w:hint="eastAsia" w:ascii="Times New Roman" w:hAnsi="Times New Roman" w:eastAsia="宋体" w:cs="Times New Roman"/>
                <w:color w:val="auto"/>
                <w:sz w:val="21"/>
                <w:highlight w:val="none"/>
              </w:rPr>
              <w:t>S3</w:t>
            </w:r>
            <w:r>
              <w:rPr>
                <w:rFonts w:ascii="Times New Roman" w:hAnsi="Times New Roman" w:eastAsia="宋体" w:cs="Times New Roman"/>
                <w:color w:val="auto"/>
                <w:sz w:val="21"/>
                <w:highlight w:val="none"/>
              </w:rPr>
              <w:t>05DU/LZ-Y06</w:t>
            </w:r>
          </w:p>
        </w:tc>
        <w:tc>
          <w:tcPr>
            <w:tcW w:w="1485" w:type="dxa"/>
            <w:noWrap w:val="0"/>
            <w:vAlign w:val="center"/>
          </w:tcPr>
          <w:p>
            <w:pPr>
              <w:tabs>
                <w:tab w:val="left" w:pos="-105"/>
              </w:tabs>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1μg/m</w:t>
            </w:r>
            <w:r>
              <w:rPr>
                <w:rFonts w:ascii="Times New Roman" w:hAnsi="Times New Roman" w:eastAsia="宋体" w:cs="Times New Roman"/>
                <w:color w:val="auto"/>
                <w:sz w:val="21"/>
                <w:highlight w:val="none"/>
                <w:vertAlign w:val="superscript"/>
              </w:rPr>
              <w:t>3</w:t>
            </w:r>
          </w:p>
        </w:tc>
      </w:tr>
    </w:tbl>
    <w:p>
      <w:pPr>
        <w:spacing w:line="240" w:lineRule="auto"/>
        <w:ind w:firstLine="0" w:firstLineChars="0"/>
        <w:jc w:val="center"/>
        <w:rPr>
          <w:rFonts w:ascii="Times New Roman" w:hAnsi="Times New Roman" w:eastAsia="宋体" w:cs="Times New Roman"/>
          <w:b/>
          <w:bCs/>
          <w:color w:val="auto"/>
          <w:highlight w:val="none"/>
        </w:rPr>
      </w:pPr>
    </w:p>
    <w:p>
      <w:pPr>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表3.2-6 其他污染物环境质量监测结果表</w:t>
      </w:r>
    </w:p>
    <w:tbl>
      <w:tblPr>
        <w:tblStyle w:val="48"/>
        <w:tblW w:w="907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737"/>
        <w:gridCol w:w="688"/>
        <w:gridCol w:w="580"/>
        <w:gridCol w:w="909"/>
        <w:gridCol w:w="1095"/>
        <w:gridCol w:w="1380"/>
        <w:gridCol w:w="1072"/>
        <w:gridCol w:w="719"/>
        <w:gridCol w:w="7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1177" w:type="dxa"/>
            <w:vMerge w:val="restart"/>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监测点位</w:t>
            </w:r>
          </w:p>
        </w:tc>
        <w:tc>
          <w:tcPr>
            <w:tcW w:w="1425" w:type="dxa"/>
            <w:gridSpan w:val="2"/>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监测点坐标/m</w:t>
            </w:r>
          </w:p>
        </w:tc>
        <w:tc>
          <w:tcPr>
            <w:tcW w:w="580" w:type="dxa"/>
            <w:vMerge w:val="restart"/>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污染物</w:t>
            </w:r>
          </w:p>
        </w:tc>
        <w:tc>
          <w:tcPr>
            <w:tcW w:w="909" w:type="dxa"/>
            <w:vMerge w:val="restart"/>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平均</w:t>
            </w:r>
          </w:p>
          <w:p>
            <w:pPr>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时间</w:t>
            </w:r>
          </w:p>
        </w:tc>
        <w:tc>
          <w:tcPr>
            <w:tcW w:w="1095" w:type="dxa"/>
            <w:vMerge w:val="restart"/>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评价标准/（</w:t>
            </w:r>
            <w:r>
              <w:rPr>
                <w:rFonts w:ascii="Times New Roman" w:hAnsi="Times New Roman" w:eastAsia="宋体" w:cs="Times New Roman"/>
                <w:b/>
                <w:bCs/>
                <w:color w:val="auto"/>
                <w:sz w:val="21"/>
                <w:highlight w:val="none"/>
              </w:rPr>
              <w:t>µg</w:t>
            </w:r>
            <w:r>
              <w:rPr>
                <w:rFonts w:ascii="Times New Roman" w:hAnsi="Times New Roman" w:eastAsia="宋体" w:cs="Times New Roman"/>
                <w:b/>
                <w:bCs/>
                <w:color w:val="auto"/>
                <w:kern w:val="0"/>
                <w:sz w:val="21"/>
                <w:highlight w:val="none"/>
              </w:rPr>
              <w:t>/m</w:t>
            </w:r>
            <w:r>
              <w:rPr>
                <w:rFonts w:ascii="Times New Roman" w:hAnsi="Times New Roman" w:eastAsia="宋体" w:cs="Times New Roman"/>
                <w:b/>
                <w:bCs/>
                <w:color w:val="auto"/>
                <w:kern w:val="0"/>
                <w:sz w:val="21"/>
                <w:highlight w:val="none"/>
                <w:vertAlign w:val="superscript"/>
              </w:rPr>
              <w:t>3</w:t>
            </w:r>
            <w:r>
              <w:rPr>
                <w:rFonts w:ascii="Times New Roman" w:hAnsi="Times New Roman" w:eastAsia="宋体" w:cs="Times New Roman"/>
                <w:b/>
                <w:bCs/>
                <w:color w:val="auto"/>
                <w:kern w:val="0"/>
                <w:sz w:val="21"/>
                <w:highlight w:val="none"/>
              </w:rPr>
              <w:t>）</w:t>
            </w:r>
          </w:p>
        </w:tc>
        <w:tc>
          <w:tcPr>
            <w:tcW w:w="1380" w:type="dxa"/>
            <w:vMerge w:val="restart"/>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监测浓度范围/（</w:t>
            </w:r>
            <w:r>
              <w:rPr>
                <w:rFonts w:ascii="Times New Roman" w:hAnsi="Times New Roman" w:eastAsia="宋体" w:cs="Times New Roman"/>
                <w:b/>
                <w:bCs/>
                <w:color w:val="auto"/>
                <w:sz w:val="21"/>
                <w:highlight w:val="none"/>
              </w:rPr>
              <w:t>µg</w:t>
            </w:r>
            <w:r>
              <w:rPr>
                <w:rFonts w:ascii="Times New Roman" w:hAnsi="Times New Roman" w:eastAsia="宋体" w:cs="Times New Roman"/>
                <w:b/>
                <w:bCs/>
                <w:color w:val="auto"/>
                <w:kern w:val="0"/>
                <w:sz w:val="21"/>
                <w:highlight w:val="none"/>
              </w:rPr>
              <w:t>/m</w:t>
            </w:r>
            <w:r>
              <w:rPr>
                <w:rFonts w:ascii="Times New Roman" w:hAnsi="Times New Roman" w:eastAsia="宋体" w:cs="Times New Roman"/>
                <w:b/>
                <w:bCs/>
                <w:color w:val="auto"/>
                <w:kern w:val="0"/>
                <w:sz w:val="21"/>
                <w:highlight w:val="none"/>
                <w:vertAlign w:val="superscript"/>
              </w:rPr>
              <w:t>3</w:t>
            </w:r>
            <w:r>
              <w:rPr>
                <w:rFonts w:ascii="Times New Roman" w:hAnsi="Times New Roman" w:eastAsia="宋体" w:cs="Times New Roman"/>
                <w:b/>
                <w:bCs/>
                <w:color w:val="auto"/>
                <w:kern w:val="0"/>
                <w:sz w:val="21"/>
                <w:highlight w:val="none"/>
              </w:rPr>
              <w:t>）</w:t>
            </w:r>
          </w:p>
        </w:tc>
        <w:tc>
          <w:tcPr>
            <w:tcW w:w="1072" w:type="dxa"/>
            <w:vMerge w:val="restart"/>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最大浓度占标率/%</w:t>
            </w:r>
          </w:p>
        </w:tc>
        <w:tc>
          <w:tcPr>
            <w:tcW w:w="719" w:type="dxa"/>
            <w:vMerge w:val="restart"/>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超标率/%</w:t>
            </w:r>
          </w:p>
        </w:tc>
        <w:tc>
          <w:tcPr>
            <w:tcW w:w="714" w:type="dxa"/>
            <w:vMerge w:val="restart"/>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trPr>
        <w:tc>
          <w:tcPr>
            <w:tcW w:w="1177" w:type="dxa"/>
            <w:vMerge w:val="continue"/>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kern w:val="0"/>
                <w:sz w:val="21"/>
                <w:highlight w:val="none"/>
              </w:rPr>
            </w:pPr>
          </w:p>
        </w:tc>
        <w:tc>
          <w:tcPr>
            <w:tcW w:w="737"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X</w:t>
            </w:r>
          </w:p>
        </w:tc>
        <w:tc>
          <w:tcPr>
            <w:tcW w:w="688"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Y</w:t>
            </w:r>
          </w:p>
        </w:tc>
        <w:tc>
          <w:tcPr>
            <w:tcW w:w="580" w:type="dxa"/>
            <w:vMerge w:val="continue"/>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kern w:val="0"/>
                <w:sz w:val="21"/>
                <w:highlight w:val="none"/>
              </w:rPr>
            </w:pPr>
          </w:p>
        </w:tc>
        <w:tc>
          <w:tcPr>
            <w:tcW w:w="909" w:type="dxa"/>
            <w:vMerge w:val="continue"/>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kern w:val="0"/>
                <w:sz w:val="21"/>
                <w:highlight w:val="none"/>
              </w:rPr>
            </w:pPr>
          </w:p>
        </w:tc>
        <w:tc>
          <w:tcPr>
            <w:tcW w:w="1095" w:type="dxa"/>
            <w:vMerge w:val="continue"/>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kern w:val="0"/>
                <w:sz w:val="21"/>
                <w:highlight w:val="none"/>
              </w:rPr>
            </w:pPr>
          </w:p>
        </w:tc>
        <w:tc>
          <w:tcPr>
            <w:tcW w:w="1380" w:type="dxa"/>
            <w:vMerge w:val="continue"/>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kern w:val="0"/>
                <w:sz w:val="21"/>
                <w:highlight w:val="none"/>
              </w:rPr>
            </w:pPr>
          </w:p>
        </w:tc>
        <w:tc>
          <w:tcPr>
            <w:tcW w:w="1072" w:type="dxa"/>
            <w:vMerge w:val="continue"/>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kern w:val="0"/>
                <w:sz w:val="21"/>
                <w:highlight w:val="none"/>
              </w:rPr>
            </w:pPr>
          </w:p>
        </w:tc>
        <w:tc>
          <w:tcPr>
            <w:tcW w:w="719" w:type="dxa"/>
            <w:vMerge w:val="continue"/>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kern w:val="0"/>
                <w:sz w:val="21"/>
                <w:highlight w:val="none"/>
              </w:rPr>
            </w:pPr>
          </w:p>
        </w:tc>
        <w:tc>
          <w:tcPr>
            <w:tcW w:w="714" w:type="dxa"/>
            <w:vMerge w:val="continue"/>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kern w:val="0"/>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1177"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项目厂区内</w:t>
            </w:r>
          </w:p>
        </w:tc>
        <w:tc>
          <w:tcPr>
            <w:tcW w:w="737" w:type="dxa"/>
            <w:noWrap w:val="0"/>
            <w:tcMar>
              <w:top w:w="0" w:type="dxa"/>
              <w:left w:w="57" w:type="dxa"/>
              <w:bottom w:w="0" w:type="dxa"/>
              <w:right w:w="57" w:type="dxa"/>
            </w:tcMar>
            <w:vAlign w:val="center"/>
          </w:tcPr>
          <w:p>
            <w:pPr>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c>
          <w:tcPr>
            <w:tcW w:w="688" w:type="dxa"/>
            <w:noWrap w:val="0"/>
            <w:tcMar>
              <w:top w:w="0" w:type="dxa"/>
              <w:left w:w="57" w:type="dxa"/>
              <w:bottom w:w="0" w:type="dxa"/>
              <w:right w:w="57" w:type="dxa"/>
            </w:tcMar>
            <w:vAlign w:val="center"/>
          </w:tcPr>
          <w:p>
            <w:pPr>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w:t>
            </w:r>
          </w:p>
        </w:tc>
        <w:tc>
          <w:tcPr>
            <w:tcW w:w="58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TSP</w:t>
            </w:r>
          </w:p>
        </w:tc>
        <w:tc>
          <w:tcPr>
            <w:tcW w:w="909"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24小时</w:t>
            </w:r>
          </w:p>
        </w:tc>
        <w:tc>
          <w:tcPr>
            <w:tcW w:w="1095"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300</w:t>
            </w:r>
          </w:p>
        </w:tc>
        <w:tc>
          <w:tcPr>
            <w:tcW w:w="138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17~21</w:t>
            </w:r>
          </w:p>
        </w:tc>
        <w:tc>
          <w:tcPr>
            <w:tcW w:w="1072" w:type="dxa"/>
            <w:noWrap w:val="0"/>
            <w:tcMar>
              <w:top w:w="0" w:type="dxa"/>
              <w:left w:w="57" w:type="dxa"/>
              <w:bottom w:w="0" w:type="dxa"/>
              <w:right w:w="57" w:type="dxa"/>
            </w:tcMar>
            <w:vAlign w:val="center"/>
          </w:tcPr>
          <w:p>
            <w:pPr>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7</w:t>
            </w:r>
          </w:p>
        </w:tc>
        <w:tc>
          <w:tcPr>
            <w:tcW w:w="719"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p>
        </w:tc>
        <w:tc>
          <w:tcPr>
            <w:tcW w:w="714"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达标</w:t>
            </w:r>
          </w:p>
        </w:tc>
      </w:tr>
    </w:tbl>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由监测结果可知，TSP的24小时平均浓度均可达到《环境空气质量标准》（GB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3095-2012）及其修改单二级标准。</w:t>
      </w:r>
      <w:bookmarkStart w:id="217" w:name="_Toc23167"/>
      <w:bookmarkStart w:id="218" w:name="_Toc409451328"/>
      <w:bookmarkStart w:id="219" w:name="_Toc3484"/>
      <w:bookmarkStart w:id="220" w:name="_Toc16401"/>
      <w:bookmarkStart w:id="221" w:name="_Toc16735"/>
      <w:bookmarkStart w:id="222" w:name="_Toc1111"/>
      <w:bookmarkStart w:id="223" w:name="_Toc15376"/>
      <w:bookmarkStart w:id="224" w:name="_Toc5140"/>
      <w:bookmarkStart w:id="225" w:name="_Toc24948"/>
    </w:p>
    <w:bookmarkEnd w:id="217"/>
    <w:bookmarkEnd w:id="218"/>
    <w:bookmarkEnd w:id="219"/>
    <w:bookmarkEnd w:id="220"/>
    <w:bookmarkEnd w:id="221"/>
    <w:bookmarkEnd w:id="222"/>
    <w:bookmarkEnd w:id="223"/>
    <w:bookmarkEnd w:id="224"/>
    <w:bookmarkEnd w:id="225"/>
    <w:p>
      <w:pPr>
        <w:pStyle w:val="5"/>
        <w:rPr>
          <w:rFonts w:ascii="Times New Roman" w:hAnsi="Times New Roman" w:eastAsia="宋体"/>
          <w:color w:val="auto"/>
          <w:highlight w:val="none"/>
        </w:rPr>
      </w:pPr>
      <w:r>
        <w:rPr>
          <w:rFonts w:ascii="Times New Roman" w:hAnsi="Times New Roman" w:eastAsia="宋体"/>
          <w:color w:val="auto"/>
          <w:highlight w:val="none"/>
        </w:rPr>
        <w:t>3.2.2 地表水环境质量现状调查与评价</w:t>
      </w:r>
    </w:p>
    <w:p>
      <w:pPr>
        <w:pStyle w:val="6"/>
        <w:rPr>
          <w:rFonts w:ascii="Times New Roman" w:hAnsi="Times New Roman" w:eastAsia="宋体"/>
          <w:color w:val="auto"/>
          <w:highlight w:val="none"/>
        </w:rPr>
      </w:pPr>
      <w:r>
        <w:rPr>
          <w:rFonts w:ascii="Times New Roman" w:hAnsi="Times New Roman" w:eastAsia="宋体"/>
          <w:color w:val="auto"/>
          <w:highlight w:val="none"/>
        </w:rPr>
        <w:t>3.2.2.1 建设项目污染源</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本项目的</w:t>
      </w:r>
      <w:r>
        <w:rPr>
          <w:rFonts w:ascii="Times New Roman" w:hAnsi="Times New Roman" w:eastAsia="宋体" w:cs="Times New Roman"/>
          <w:color w:val="auto"/>
          <w:spacing w:val="-2"/>
          <w:kern w:val="0"/>
          <w:szCs w:val="24"/>
          <w:highlight w:val="none"/>
        </w:rPr>
        <w:t>凿岩钻孔用水</w:t>
      </w:r>
      <w:r>
        <w:rPr>
          <w:rFonts w:hint="eastAsia" w:ascii="Times New Roman" w:hAnsi="Times New Roman" w:eastAsia="宋体" w:cs="Times New Roman"/>
          <w:color w:val="auto"/>
          <w:spacing w:val="-2"/>
          <w:kern w:val="0"/>
          <w:szCs w:val="24"/>
          <w:highlight w:val="none"/>
        </w:rPr>
        <w:t>、爆破抑尘用水、喷淋降尘用水</w:t>
      </w:r>
      <w:r>
        <w:rPr>
          <w:rFonts w:ascii="Times New Roman" w:hAnsi="Times New Roman" w:eastAsia="宋体" w:cs="Times New Roman"/>
          <w:color w:val="auto"/>
          <w:spacing w:val="-2"/>
          <w:kern w:val="0"/>
          <w:szCs w:val="24"/>
          <w:highlight w:val="none"/>
        </w:rPr>
        <w:t>全部蒸发或渗透入矿石</w:t>
      </w:r>
      <w:r>
        <w:rPr>
          <w:rFonts w:hint="eastAsia" w:ascii="Times New Roman" w:hAnsi="Times New Roman" w:eastAsia="宋体" w:cs="Times New Roman"/>
          <w:color w:val="auto"/>
          <w:spacing w:val="-2"/>
          <w:kern w:val="0"/>
          <w:szCs w:val="24"/>
          <w:highlight w:val="none"/>
        </w:rPr>
        <w:t>堆中；</w:t>
      </w:r>
      <w:r>
        <w:rPr>
          <w:rFonts w:ascii="Times New Roman" w:hAnsi="Times New Roman" w:eastAsia="宋体" w:cs="Times New Roman"/>
          <w:color w:val="auto"/>
          <w:spacing w:val="-2"/>
          <w:kern w:val="0"/>
          <w:szCs w:val="24"/>
          <w:highlight w:val="none"/>
        </w:rPr>
        <w:t>矿山内运输道路抑尘用水全部蒸发和渗透到地面</w:t>
      </w:r>
      <w:r>
        <w:rPr>
          <w:rFonts w:hint="eastAsia" w:ascii="Times New Roman" w:hAnsi="Times New Roman" w:eastAsia="宋体" w:cs="Times New Roman"/>
          <w:color w:val="auto"/>
          <w:spacing w:val="-2"/>
          <w:kern w:val="0"/>
          <w:szCs w:val="24"/>
          <w:highlight w:val="none"/>
        </w:rPr>
        <w:t>；</w:t>
      </w:r>
      <w:r>
        <w:rPr>
          <w:rFonts w:ascii="Times New Roman" w:hAnsi="Times New Roman" w:eastAsia="宋体" w:cs="Times New Roman"/>
          <w:color w:val="auto"/>
          <w:spacing w:val="-2"/>
          <w:kern w:val="0"/>
          <w:szCs w:val="24"/>
          <w:highlight w:val="none"/>
        </w:rPr>
        <w:t>堆场洒水降尘</w:t>
      </w:r>
      <w:r>
        <w:rPr>
          <w:rFonts w:hint="eastAsia" w:ascii="Times New Roman" w:hAnsi="Times New Roman" w:eastAsia="宋体" w:cs="Times New Roman"/>
          <w:color w:val="auto"/>
          <w:spacing w:val="-2"/>
          <w:kern w:val="0"/>
          <w:szCs w:val="24"/>
          <w:highlight w:val="none"/>
        </w:rPr>
        <w:t>用水、炮雾机洒水降尘用水</w:t>
      </w:r>
      <w:r>
        <w:rPr>
          <w:rFonts w:ascii="Times New Roman" w:hAnsi="Times New Roman" w:eastAsia="宋体" w:cs="Times New Roman"/>
          <w:color w:val="auto"/>
          <w:spacing w:val="-2"/>
          <w:kern w:val="0"/>
          <w:szCs w:val="24"/>
          <w:highlight w:val="none"/>
        </w:rPr>
        <w:t>被矿石吸收和蒸发</w:t>
      </w:r>
      <w:r>
        <w:rPr>
          <w:rFonts w:hint="eastAsia" w:ascii="Times New Roman" w:hAnsi="Times New Roman" w:eastAsia="宋体" w:cs="Times New Roman"/>
          <w:color w:val="auto"/>
          <w:spacing w:val="-2"/>
          <w:kern w:val="0"/>
          <w:szCs w:val="24"/>
          <w:highlight w:val="none"/>
        </w:rPr>
        <w:t>；</w:t>
      </w:r>
      <w:r>
        <w:rPr>
          <w:rFonts w:ascii="Times New Roman" w:hAnsi="Times New Roman" w:eastAsia="宋体"/>
          <w:color w:val="auto"/>
          <w:highlight w:val="none"/>
        </w:rPr>
        <w:t>车辆清洗</w:t>
      </w:r>
      <w:r>
        <w:rPr>
          <w:rFonts w:hint="eastAsia" w:ascii="Times New Roman" w:hAnsi="Times New Roman" w:eastAsia="宋体"/>
          <w:color w:val="auto"/>
          <w:highlight w:val="none"/>
        </w:rPr>
        <w:t>废水和洗砂废水处理后</w:t>
      </w:r>
      <w:r>
        <w:rPr>
          <w:rFonts w:ascii="Times New Roman" w:hAnsi="Times New Roman" w:eastAsia="宋体" w:cs="Times New Roman"/>
          <w:color w:val="auto"/>
          <w:highlight w:val="none"/>
        </w:rPr>
        <w:t>循环利用</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初期雨水经沉淀后回用于矿区洒水降尘；</w:t>
      </w:r>
      <w:r>
        <w:rPr>
          <w:rFonts w:hint="eastAsia" w:ascii="Times New Roman" w:hAnsi="Times New Roman" w:eastAsia="宋体" w:cs="Times New Roman"/>
          <w:color w:val="auto"/>
          <w:highlight w:val="none"/>
        </w:rPr>
        <w:t>项目的废水均不外排</w:t>
      </w:r>
      <w:r>
        <w:rPr>
          <w:rFonts w:ascii="Times New Roman" w:hAnsi="Times New Roman" w:eastAsia="宋体" w:cs="Times New Roman"/>
          <w:color w:val="auto"/>
          <w:highlight w:val="none"/>
        </w:rPr>
        <w:t>。</w:t>
      </w:r>
    </w:p>
    <w:p>
      <w:pPr>
        <w:pStyle w:val="6"/>
        <w:rPr>
          <w:rFonts w:ascii="Times New Roman" w:hAnsi="Times New Roman" w:eastAsia="宋体"/>
          <w:color w:val="auto"/>
          <w:highlight w:val="none"/>
        </w:rPr>
      </w:pPr>
      <w:r>
        <w:rPr>
          <w:rFonts w:ascii="Times New Roman" w:hAnsi="Times New Roman" w:eastAsia="宋体"/>
          <w:color w:val="auto"/>
          <w:highlight w:val="none"/>
        </w:rPr>
        <w:t>3.2.2.2 区域水污染源调查</w:t>
      </w:r>
    </w:p>
    <w:p>
      <w:pPr>
        <w:widowControl/>
        <w:ind w:firstLine="480"/>
        <w:rPr>
          <w:rFonts w:ascii="Times New Roman" w:hAnsi="Times New Roman" w:eastAsia="宋体" w:cs="Times New Roman"/>
          <w:color w:val="auto"/>
          <w:kern w:val="0"/>
          <w:szCs w:val="24"/>
          <w:highlight w:val="none"/>
          <w:lang w:bidi="ar"/>
        </w:rPr>
      </w:pPr>
      <w:r>
        <w:rPr>
          <w:rFonts w:ascii="Times New Roman" w:hAnsi="Times New Roman" w:eastAsia="宋体" w:cs="Times New Roman"/>
          <w:bCs/>
          <w:color w:val="auto"/>
          <w:szCs w:val="24"/>
          <w:highlight w:val="none"/>
        </w:rPr>
        <w:t>项目所在区域为山区，周边分布有少量村庄，居民日常生活产生生活废水</w:t>
      </w:r>
      <w:r>
        <w:rPr>
          <w:rFonts w:hint="eastAsia" w:ascii="Times New Roman" w:hAnsi="Times New Roman" w:eastAsia="宋体" w:cs="Times New Roman"/>
          <w:bCs/>
          <w:color w:val="auto"/>
          <w:szCs w:val="24"/>
          <w:highlight w:val="none"/>
        </w:rPr>
        <w:t>。</w:t>
      </w:r>
      <w:r>
        <w:rPr>
          <w:rFonts w:ascii="Times New Roman" w:hAnsi="Times New Roman" w:eastAsia="宋体" w:cs="Times New Roman"/>
          <w:bCs/>
          <w:color w:val="auto"/>
          <w:szCs w:val="24"/>
          <w:highlight w:val="none"/>
        </w:rPr>
        <w:t>生活污水主要污染物为</w:t>
      </w:r>
      <w:r>
        <w:rPr>
          <w:rFonts w:ascii="Times New Roman" w:hAnsi="Times New Roman" w:eastAsia="宋体" w:cs="Times New Roman"/>
          <w:color w:val="auto"/>
          <w:szCs w:val="24"/>
          <w:highlight w:val="none"/>
        </w:rPr>
        <w:t>COD</w:t>
      </w:r>
      <w:r>
        <w:rPr>
          <w:rFonts w:ascii="Times New Roman" w:hAnsi="Times New Roman" w:eastAsia="宋体" w:cs="Times New Roman"/>
          <w:color w:val="auto"/>
          <w:szCs w:val="24"/>
          <w:highlight w:val="none"/>
          <w:vertAlign w:val="subscript"/>
        </w:rPr>
        <w:t>Cr</w:t>
      </w:r>
      <w:r>
        <w:rPr>
          <w:rFonts w:ascii="Times New Roman" w:hAnsi="Times New Roman" w:eastAsia="宋体" w:cs="Times New Roman"/>
          <w:color w:val="auto"/>
          <w:szCs w:val="24"/>
          <w:highlight w:val="none"/>
        </w:rPr>
        <w:t>、BOD</w:t>
      </w:r>
      <w:r>
        <w:rPr>
          <w:rFonts w:ascii="Times New Roman" w:hAnsi="Times New Roman" w:eastAsia="宋体" w:cs="Times New Roman"/>
          <w:color w:val="auto"/>
          <w:szCs w:val="24"/>
          <w:highlight w:val="none"/>
          <w:vertAlign w:val="subscript"/>
        </w:rPr>
        <w:t>5</w:t>
      </w:r>
      <w:r>
        <w:rPr>
          <w:rFonts w:ascii="Times New Roman" w:hAnsi="Times New Roman" w:eastAsia="宋体" w:cs="Times New Roman"/>
          <w:color w:val="auto"/>
          <w:szCs w:val="24"/>
          <w:highlight w:val="none"/>
        </w:rPr>
        <w:t>、SS、NH</w:t>
      </w:r>
      <w:r>
        <w:rPr>
          <w:rFonts w:ascii="Times New Roman" w:hAnsi="Times New Roman" w:eastAsia="宋体" w:cs="Times New Roman"/>
          <w:color w:val="auto"/>
          <w:szCs w:val="24"/>
          <w:highlight w:val="none"/>
          <w:vertAlign w:val="subscript"/>
        </w:rPr>
        <w:t>3</w:t>
      </w:r>
      <w:r>
        <w:rPr>
          <w:rFonts w:ascii="Times New Roman" w:hAnsi="Times New Roman" w:eastAsia="宋体" w:cs="Times New Roman"/>
          <w:color w:val="auto"/>
          <w:szCs w:val="24"/>
          <w:highlight w:val="none"/>
        </w:rPr>
        <w:t>-N，采取化粪池进行处理，处理后用于周边旱地施肥。</w:t>
      </w:r>
    </w:p>
    <w:p>
      <w:pPr>
        <w:pStyle w:val="6"/>
        <w:rPr>
          <w:rFonts w:ascii="Times New Roman" w:hAnsi="Times New Roman" w:eastAsia="宋体"/>
          <w:color w:val="auto"/>
          <w:highlight w:val="none"/>
        </w:rPr>
      </w:pPr>
      <w:r>
        <w:rPr>
          <w:rFonts w:ascii="Times New Roman" w:hAnsi="Times New Roman" w:eastAsia="宋体"/>
          <w:color w:val="auto"/>
          <w:highlight w:val="none"/>
        </w:rPr>
        <w:t>3.2.2.3 水环境质量现状调查</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根据《环境影响评价技术导则 地表水环境》（HJ 2.3-2018）要求，本次项目区域地表水环境质量现状数据来源于</w:t>
      </w:r>
      <w:r>
        <w:rPr>
          <w:rFonts w:hint="eastAsia" w:ascii="Times New Roman" w:hAnsi="Times New Roman" w:eastAsia="宋体" w:cs="Times New Roman"/>
          <w:color w:val="auto"/>
          <w:highlight w:val="none"/>
        </w:rPr>
        <w:t>三江侗族自治县人民政府</w:t>
      </w:r>
      <w:r>
        <w:rPr>
          <w:rFonts w:ascii="Times New Roman" w:hAnsi="Times New Roman" w:eastAsia="宋体" w:cs="Times New Roman"/>
          <w:color w:val="auto"/>
          <w:highlight w:val="none"/>
        </w:rPr>
        <w:t>网站公布的</w:t>
      </w:r>
      <w:r>
        <w:rPr>
          <w:rFonts w:hint="eastAsia" w:ascii="Times New Roman" w:hAnsi="Times New Roman" w:eastAsia="宋体" w:cs="Times New Roman"/>
          <w:color w:val="auto"/>
          <w:highlight w:val="none"/>
        </w:rPr>
        <w:t>三江侗族自治县</w:t>
      </w:r>
      <w:r>
        <w:rPr>
          <w:rFonts w:ascii="Times New Roman" w:hAnsi="Times New Roman" w:eastAsia="宋体" w:cs="Times New Roman"/>
          <w:color w:val="auto"/>
          <w:highlight w:val="none"/>
        </w:rPr>
        <w:t>201</w:t>
      </w:r>
      <w:r>
        <w:rPr>
          <w:rFonts w:hint="eastAsia" w:ascii="Times New Roman" w:hAnsi="Times New Roman" w:eastAsia="宋体" w:cs="Times New Roman"/>
          <w:color w:val="auto"/>
          <w:highlight w:val="none"/>
        </w:rPr>
        <w:t>8</w:t>
      </w:r>
      <w:r>
        <w:rPr>
          <w:rFonts w:ascii="Times New Roman" w:hAnsi="Times New Roman" w:eastAsia="宋体" w:cs="Times New Roman"/>
          <w:color w:val="auto"/>
          <w:highlight w:val="none"/>
        </w:rPr>
        <w:t>年环境状况公报。公告</w:t>
      </w:r>
      <w:r>
        <w:rPr>
          <w:rFonts w:hint="eastAsia" w:ascii="Times New Roman" w:hAnsi="Times New Roman" w:eastAsia="宋体" w:cs="Times New Roman"/>
          <w:color w:val="auto"/>
          <w:highlight w:val="none"/>
        </w:rPr>
        <w:t>网络</w:t>
      </w:r>
      <w:r>
        <w:rPr>
          <w:rFonts w:ascii="Times New Roman" w:hAnsi="Times New Roman" w:eastAsia="宋体" w:cs="Times New Roman"/>
          <w:color w:val="auto"/>
          <w:highlight w:val="none"/>
        </w:rPr>
        <w:t>截图见下图3.2-1。</w:t>
      </w:r>
    </w:p>
    <w:p>
      <w:pPr>
        <w:ind w:firstLine="480"/>
        <w:rPr>
          <w:rFonts w:ascii="Times New Roman" w:hAnsi="Times New Roman" w:eastAsia="宋体" w:cs="Times New Roman"/>
          <w:b/>
          <w:bCs/>
          <w:color w:val="auto"/>
          <w:highlight w:val="none"/>
        </w:rPr>
      </w:pPr>
      <w:r>
        <w:rPr>
          <w:rFonts w:ascii="Times New Roman" w:hAnsi="Times New Roman" w:eastAsia="宋体"/>
          <w:color w:val="auto"/>
          <w:kern w:val="0"/>
          <w:szCs w:val="24"/>
          <w:highlight w:val="none"/>
          <w:lang w:bidi="ar"/>
        </w:rPr>
        <w:drawing>
          <wp:anchor distT="0" distB="0" distL="114300" distR="114300" simplePos="0" relativeHeight="251679744" behindDoc="0" locked="0" layoutInCell="1" allowOverlap="1">
            <wp:simplePos x="0" y="0"/>
            <wp:positionH relativeFrom="column">
              <wp:posOffset>-450850</wp:posOffset>
            </wp:positionH>
            <wp:positionV relativeFrom="paragraph">
              <wp:posOffset>66675</wp:posOffset>
            </wp:positionV>
            <wp:extent cx="6534785" cy="3754755"/>
            <wp:effectExtent l="0" t="0" r="18415" b="17145"/>
            <wp:wrapTopAndBottom/>
            <wp:docPr id="19"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descr="IMG_256"/>
                    <pic:cNvPicPr>
                      <a:picLocks noChangeAspect="1"/>
                    </pic:cNvPicPr>
                  </pic:nvPicPr>
                  <pic:blipFill>
                    <a:blip r:embed="rId73"/>
                    <a:srcRect l="4260" r="4393" b="3192"/>
                    <a:stretch>
                      <a:fillRect/>
                    </a:stretch>
                  </pic:blipFill>
                  <pic:spPr>
                    <a:xfrm>
                      <a:off x="0" y="0"/>
                      <a:ext cx="6534785" cy="3754755"/>
                    </a:xfrm>
                    <a:prstGeom prst="rect">
                      <a:avLst/>
                    </a:prstGeom>
                    <a:noFill/>
                    <a:ln>
                      <a:noFill/>
                    </a:ln>
                  </pic:spPr>
                </pic:pic>
              </a:graphicData>
            </a:graphic>
          </wp:anchor>
        </w:drawing>
      </w:r>
      <w:r>
        <w:rPr>
          <w:rFonts w:hint="eastAsia" w:ascii="Times New Roman" w:hAnsi="Times New Roman" w:eastAsia="宋体"/>
          <w:color w:val="auto"/>
          <w:kern w:val="0"/>
          <w:szCs w:val="24"/>
          <w:highlight w:val="none"/>
          <w:lang w:bidi="ar"/>
        </w:rPr>
        <w:t xml:space="preserve">         </w:t>
      </w:r>
      <w:r>
        <w:rPr>
          <w:rFonts w:ascii="Times New Roman" w:hAnsi="Times New Roman" w:eastAsia="宋体" w:cs="Times New Roman"/>
          <w:b/>
          <w:bCs/>
          <w:color w:val="auto"/>
          <w:highlight w:val="none"/>
        </w:rPr>
        <w:t>图3.2-1  《</w:t>
      </w:r>
      <w:r>
        <w:rPr>
          <w:rFonts w:hint="eastAsia" w:ascii="Times New Roman" w:hAnsi="Times New Roman" w:eastAsia="宋体" w:cs="Times New Roman"/>
          <w:b/>
          <w:bCs/>
          <w:color w:val="auto"/>
          <w:highlight w:val="none"/>
        </w:rPr>
        <w:t>三江侗族自治县</w:t>
      </w:r>
      <w:r>
        <w:rPr>
          <w:rFonts w:ascii="Times New Roman" w:hAnsi="Times New Roman" w:eastAsia="宋体" w:cs="Times New Roman"/>
          <w:b/>
          <w:bCs/>
          <w:color w:val="auto"/>
          <w:highlight w:val="none"/>
        </w:rPr>
        <w:t>201</w:t>
      </w:r>
      <w:r>
        <w:rPr>
          <w:rFonts w:hint="eastAsia" w:ascii="Times New Roman" w:hAnsi="Times New Roman" w:eastAsia="宋体" w:cs="Times New Roman"/>
          <w:b/>
          <w:bCs/>
          <w:color w:val="auto"/>
          <w:highlight w:val="none"/>
        </w:rPr>
        <w:t>8</w:t>
      </w:r>
      <w:r>
        <w:rPr>
          <w:rFonts w:ascii="Times New Roman" w:hAnsi="Times New Roman" w:eastAsia="宋体" w:cs="Times New Roman"/>
          <w:b/>
          <w:bCs/>
          <w:color w:val="auto"/>
          <w:highlight w:val="none"/>
        </w:rPr>
        <w:t>年环境</w:t>
      </w:r>
      <w:r>
        <w:rPr>
          <w:rFonts w:hint="eastAsia" w:ascii="Times New Roman" w:hAnsi="Times New Roman" w:eastAsia="宋体" w:cs="Times New Roman"/>
          <w:b/>
          <w:bCs/>
          <w:color w:val="auto"/>
          <w:highlight w:val="none"/>
        </w:rPr>
        <w:t>质量</w:t>
      </w:r>
      <w:r>
        <w:rPr>
          <w:rFonts w:ascii="Times New Roman" w:hAnsi="Times New Roman" w:eastAsia="宋体" w:cs="Times New Roman"/>
          <w:b/>
          <w:bCs/>
          <w:color w:val="auto"/>
          <w:highlight w:val="none"/>
        </w:rPr>
        <w:t>状况公报》网络截图</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根据公报，项目所在区域的</w:t>
      </w:r>
      <w:r>
        <w:rPr>
          <w:rFonts w:hint="eastAsia" w:ascii="Times New Roman" w:hAnsi="Times New Roman" w:eastAsia="宋体" w:cs="Times New Roman"/>
          <w:color w:val="auto"/>
          <w:highlight w:val="none"/>
        </w:rPr>
        <w:t>三江侗族自治县浔江</w:t>
      </w:r>
      <w:r>
        <w:rPr>
          <w:rFonts w:ascii="Times New Roman" w:hAnsi="Times New Roman" w:eastAsia="宋体" w:cs="Times New Roman"/>
          <w:color w:val="auto"/>
          <w:highlight w:val="none"/>
        </w:rPr>
        <w:t>河段其控制断面为</w:t>
      </w:r>
      <w:r>
        <w:rPr>
          <w:rFonts w:hint="eastAsia" w:ascii="Times New Roman" w:hAnsi="Times New Roman" w:eastAsia="宋体" w:cs="Times New Roman"/>
          <w:color w:val="auto"/>
          <w:highlight w:val="none"/>
        </w:rPr>
        <w:t>三江县水厂</w:t>
      </w:r>
      <w:r>
        <w:rPr>
          <w:rFonts w:ascii="Times New Roman" w:hAnsi="Times New Roman" w:eastAsia="宋体" w:cs="Times New Roman"/>
          <w:color w:val="auto"/>
          <w:highlight w:val="none"/>
        </w:rPr>
        <w:t>断面，</w:t>
      </w:r>
      <w:r>
        <w:rPr>
          <w:rFonts w:hint="eastAsia" w:ascii="Times New Roman" w:hAnsi="Times New Roman" w:eastAsia="宋体" w:cs="Times New Roman"/>
          <w:color w:val="auto"/>
          <w:highlight w:val="none"/>
        </w:rPr>
        <w:t>三江县水厂</w:t>
      </w:r>
      <w:r>
        <w:rPr>
          <w:rFonts w:ascii="Times New Roman" w:hAnsi="Times New Roman" w:eastAsia="宋体" w:cs="Times New Roman"/>
          <w:color w:val="auto"/>
          <w:highlight w:val="none"/>
        </w:rPr>
        <w:t>断面每月监测一次，监测项目包括水温、pH值、电导率</w:t>
      </w:r>
      <w:r>
        <w:rPr>
          <w:rFonts w:hint="eastAsia" w:ascii="Times New Roman" w:hAnsi="Times New Roman" w:eastAsia="宋体" w:cs="Times New Roman"/>
          <w:color w:val="auto"/>
          <w:highlight w:val="none"/>
        </w:rPr>
        <w:t>、悬浮物、</w:t>
      </w:r>
      <w:r>
        <w:rPr>
          <w:rFonts w:ascii="Times New Roman" w:hAnsi="Times New Roman" w:eastAsia="宋体" w:cs="Times New Roman"/>
          <w:color w:val="auto"/>
          <w:highlight w:val="none"/>
        </w:rPr>
        <w:t>溶解氧、高锰酸盐指数、化学需氧量、五日生化需氧量、氨氮、总磷、</w:t>
      </w:r>
      <w:r>
        <w:rPr>
          <w:rFonts w:hint="eastAsia" w:ascii="Times New Roman" w:hAnsi="Times New Roman" w:eastAsia="宋体" w:cs="Times New Roman"/>
          <w:color w:val="auto"/>
          <w:highlight w:val="none"/>
        </w:rPr>
        <w:t>总氮、</w:t>
      </w:r>
      <w:r>
        <w:rPr>
          <w:rFonts w:ascii="Times New Roman" w:hAnsi="Times New Roman" w:eastAsia="宋体" w:cs="Times New Roman"/>
          <w:color w:val="auto"/>
          <w:highlight w:val="none"/>
        </w:rPr>
        <w:t>铜、锌、氟化物、硒、砷、汞、镉、六价铬、铅、氰化物、挥发酚、石油类、阴离子表面活性剂、硫化物、粪大肠菌群、</w:t>
      </w:r>
      <w:r>
        <w:rPr>
          <w:rFonts w:hint="eastAsia" w:ascii="Times New Roman" w:hAnsi="Times New Roman" w:eastAsia="宋体" w:cs="Times New Roman"/>
          <w:color w:val="auto"/>
          <w:highlight w:val="none"/>
        </w:rPr>
        <w:t>锑、硫酸盐、氯化物、硝酸盐、铁、锰等</w:t>
      </w:r>
      <w:r>
        <w:rPr>
          <w:rFonts w:ascii="Times New Roman" w:hAnsi="Times New Roman" w:eastAsia="宋体" w:cs="Times New Roman"/>
          <w:color w:val="auto"/>
          <w:highlight w:val="none"/>
        </w:rPr>
        <w:t>共</w:t>
      </w:r>
      <w:r>
        <w:rPr>
          <w:rFonts w:hint="eastAsia" w:ascii="Times New Roman" w:hAnsi="Times New Roman" w:eastAsia="宋体" w:cs="Times New Roman"/>
          <w:color w:val="auto"/>
          <w:highlight w:val="none"/>
        </w:rPr>
        <w:t>32</w:t>
      </w:r>
      <w:r>
        <w:rPr>
          <w:rFonts w:ascii="Times New Roman" w:hAnsi="Times New Roman" w:eastAsia="宋体" w:cs="Times New Roman"/>
          <w:color w:val="auto"/>
          <w:highlight w:val="none"/>
        </w:rPr>
        <w:t>项。</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监测结果表明，所测断面各监测因子均满足《地表水环境质量标准》（GB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3838</w:t>
      </w:r>
      <w:r>
        <w:rPr>
          <w:rFonts w:hint="eastAsia" w:ascii="Times New Roman" w:hAnsi="Times New Roman" w:eastAsia="宋体" w:cs="Times New Roman"/>
          <w:color w:val="auto"/>
          <w:highlight w:val="none"/>
          <w:lang w:val="en-US" w:eastAsia="zh-CN"/>
        </w:rPr>
        <w:t>-</w:t>
      </w:r>
      <w:r>
        <w:rPr>
          <w:rFonts w:ascii="Times New Roman" w:hAnsi="Times New Roman" w:eastAsia="宋体" w:cs="Times New Roman"/>
          <w:color w:val="auto"/>
          <w:highlight w:val="none"/>
        </w:rPr>
        <w:t>2002）Ⅲ类水质标准要求。水质类别评价结果网路截图见下图3.2-2。</w:t>
      </w:r>
    </w:p>
    <w:p>
      <w:pPr>
        <w:ind w:firstLine="480"/>
        <w:rPr>
          <w:rFonts w:ascii="Times New Roman" w:hAnsi="Times New Roman" w:eastAsia="宋体" w:cs="Times New Roman"/>
          <w:color w:val="auto"/>
          <w:highlight w:val="none"/>
        </w:rPr>
      </w:pPr>
    </w:p>
    <w:p>
      <w:pPr>
        <w:ind w:firstLine="480"/>
        <w:rPr>
          <w:rFonts w:ascii="Times New Roman" w:hAnsi="Times New Roman" w:eastAsia="宋体" w:cs="Times New Roman"/>
          <w:color w:val="auto"/>
          <w:highlight w:val="none"/>
        </w:rPr>
      </w:pPr>
    </w:p>
    <w:p>
      <w:pPr>
        <w:ind w:firstLine="480"/>
        <w:rPr>
          <w:rFonts w:ascii="Times New Roman" w:hAnsi="Times New Roman" w:eastAsia="宋体" w:cs="Times New Roman"/>
          <w:color w:val="auto"/>
          <w:highlight w:val="none"/>
        </w:rPr>
      </w:pPr>
    </w:p>
    <w:p>
      <w:pPr>
        <w:ind w:firstLine="480"/>
        <w:rPr>
          <w:rFonts w:ascii="Times New Roman" w:hAnsi="Times New Roman" w:eastAsia="宋体" w:cs="Times New Roman"/>
          <w:color w:val="auto"/>
          <w:highlight w:val="none"/>
        </w:rPr>
      </w:pPr>
    </w:p>
    <w:p>
      <w:pPr>
        <w:ind w:firstLine="480"/>
        <w:rPr>
          <w:rFonts w:ascii="Times New Roman" w:hAnsi="Times New Roman" w:eastAsia="宋体" w:cs="Times New Roman"/>
          <w:color w:val="auto"/>
          <w:highlight w:val="none"/>
        </w:rPr>
      </w:pPr>
    </w:p>
    <w:p>
      <w:pPr>
        <w:ind w:firstLine="480"/>
        <w:jc w:val="center"/>
        <w:rPr>
          <w:rFonts w:ascii="Times New Roman" w:hAnsi="Times New Roman" w:eastAsia="宋体" w:cs="Times New Roman"/>
          <w:b/>
          <w:bCs/>
          <w:color w:val="auto"/>
          <w:highlight w:val="none"/>
        </w:rPr>
      </w:pPr>
      <w:r>
        <w:rPr>
          <w:rFonts w:ascii="Times New Roman" w:hAnsi="Times New Roman" w:eastAsia="宋体"/>
          <w:color w:val="auto"/>
          <w:kern w:val="0"/>
          <w:szCs w:val="24"/>
          <w:highlight w:val="none"/>
          <w:lang w:bidi="ar"/>
        </w:rPr>
        <w:drawing>
          <wp:anchor distT="0" distB="0" distL="114300" distR="114300" simplePos="0" relativeHeight="251680768" behindDoc="0" locked="0" layoutInCell="1" allowOverlap="1">
            <wp:simplePos x="0" y="0"/>
            <wp:positionH relativeFrom="column">
              <wp:posOffset>-219075</wp:posOffset>
            </wp:positionH>
            <wp:positionV relativeFrom="paragraph">
              <wp:posOffset>257175</wp:posOffset>
            </wp:positionV>
            <wp:extent cx="6416040" cy="4697095"/>
            <wp:effectExtent l="0" t="0" r="3810" b="8255"/>
            <wp:wrapTopAndBottom/>
            <wp:docPr id="20"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6" descr="IMG_256"/>
                    <pic:cNvPicPr>
                      <a:picLocks noChangeAspect="1"/>
                    </pic:cNvPicPr>
                  </pic:nvPicPr>
                  <pic:blipFill>
                    <a:blip r:embed="rId74"/>
                    <a:srcRect l="13829" r="5171"/>
                    <a:stretch>
                      <a:fillRect/>
                    </a:stretch>
                  </pic:blipFill>
                  <pic:spPr>
                    <a:xfrm>
                      <a:off x="0" y="0"/>
                      <a:ext cx="6416040" cy="4697095"/>
                    </a:xfrm>
                    <a:prstGeom prst="rect">
                      <a:avLst/>
                    </a:prstGeom>
                    <a:noFill/>
                    <a:ln>
                      <a:noFill/>
                    </a:ln>
                  </pic:spPr>
                </pic:pic>
              </a:graphicData>
            </a:graphic>
          </wp:anchor>
        </w:drawing>
      </w:r>
      <w:r>
        <w:rPr>
          <w:rFonts w:ascii="Times New Roman" w:hAnsi="Times New Roman" w:eastAsia="宋体" w:cs="Times New Roman"/>
          <w:b/>
          <w:bCs/>
          <w:color w:val="auto"/>
          <w:highlight w:val="none"/>
        </w:rPr>
        <w:t>图3.2-2  《</w:t>
      </w:r>
      <w:r>
        <w:rPr>
          <w:rFonts w:hint="eastAsia" w:ascii="Times New Roman" w:hAnsi="Times New Roman" w:eastAsia="宋体" w:cs="Times New Roman"/>
          <w:b/>
          <w:bCs/>
          <w:color w:val="auto"/>
          <w:highlight w:val="none"/>
        </w:rPr>
        <w:t>三江侗族自治县</w:t>
      </w:r>
      <w:r>
        <w:rPr>
          <w:rFonts w:ascii="Times New Roman" w:hAnsi="Times New Roman" w:eastAsia="宋体" w:cs="Times New Roman"/>
          <w:b/>
          <w:bCs/>
          <w:color w:val="auto"/>
          <w:highlight w:val="none"/>
        </w:rPr>
        <w:t>201</w:t>
      </w:r>
      <w:r>
        <w:rPr>
          <w:rFonts w:hint="eastAsia" w:ascii="Times New Roman" w:hAnsi="Times New Roman" w:eastAsia="宋体" w:cs="Times New Roman"/>
          <w:b/>
          <w:bCs/>
          <w:color w:val="auto"/>
          <w:highlight w:val="none"/>
        </w:rPr>
        <w:t>8</w:t>
      </w:r>
      <w:r>
        <w:rPr>
          <w:rFonts w:ascii="Times New Roman" w:hAnsi="Times New Roman" w:eastAsia="宋体" w:cs="Times New Roman"/>
          <w:b/>
          <w:bCs/>
          <w:color w:val="auto"/>
          <w:highlight w:val="none"/>
        </w:rPr>
        <w:t>年环境</w:t>
      </w:r>
      <w:r>
        <w:rPr>
          <w:rFonts w:hint="eastAsia" w:ascii="Times New Roman" w:hAnsi="Times New Roman" w:eastAsia="宋体" w:cs="Times New Roman"/>
          <w:b/>
          <w:bCs/>
          <w:color w:val="auto"/>
          <w:highlight w:val="none"/>
        </w:rPr>
        <w:t>质量</w:t>
      </w:r>
      <w:r>
        <w:rPr>
          <w:rFonts w:ascii="Times New Roman" w:hAnsi="Times New Roman" w:eastAsia="宋体" w:cs="Times New Roman"/>
          <w:b/>
          <w:bCs/>
          <w:color w:val="auto"/>
          <w:highlight w:val="none"/>
        </w:rPr>
        <w:t>状况公报》网络截图</w:t>
      </w:r>
    </w:p>
    <w:p>
      <w:pPr>
        <w:pStyle w:val="6"/>
        <w:rPr>
          <w:rFonts w:ascii="Times New Roman" w:hAnsi="Times New Roman" w:eastAsia="宋体"/>
          <w:color w:val="auto"/>
          <w:highlight w:val="none"/>
        </w:rPr>
      </w:pPr>
      <w:r>
        <w:rPr>
          <w:rFonts w:ascii="Times New Roman" w:hAnsi="Times New Roman" w:eastAsia="宋体"/>
          <w:color w:val="auto"/>
          <w:highlight w:val="none"/>
        </w:rPr>
        <w:t>3.2.2.4 补充监测</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本次评价委托柳州市柳职院检验检测有限责任公司对项目所在区域</w:t>
      </w:r>
      <w:r>
        <w:rPr>
          <w:rFonts w:hint="eastAsia" w:ascii="Times New Roman" w:hAnsi="Times New Roman" w:eastAsia="宋体" w:cs="Times New Roman"/>
          <w:color w:val="auto"/>
          <w:highlight w:val="none"/>
        </w:rPr>
        <w:t>地表水</w:t>
      </w:r>
      <w:r>
        <w:rPr>
          <w:rFonts w:ascii="Times New Roman" w:hAnsi="Times New Roman" w:eastAsia="宋体" w:cs="Times New Roman"/>
          <w:color w:val="auto"/>
          <w:highlight w:val="none"/>
        </w:rPr>
        <w:t>环境质量进行监测</w:t>
      </w:r>
      <w:r>
        <w:rPr>
          <w:rFonts w:hint="eastAsia" w:ascii="Times New Roman" w:hAnsi="Times New Roman" w:eastAsia="宋体" w:cs="Times New Roman"/>
          <w:color w:val="auto"/>
          <w:highlight w:val="none"/>
        </w:rPr>
        <w:t>，</w:t>
      </w:r>
      <w:r>
        <w:rPr>
          <w:rFonts w:ascii="Times New Roman" w:hAnsi="Times New Roman" w:eastAsia="宋体" w:cs="Times New Roman"/>
          <w:color w:val="auto"/>
          <w:kern w:val="0"/>
          <w:highlight w:val="none"/>
          <w:lang w:bidi="ar"/>
        </w:rPr>
        <w:t>对项目区域</w:t>
      </w:r>
      <w:r>
        <w:rPr>
          <w:rFonts w:hint="eastAsia" w:ascii="Times New Roman" w:hAnsi="Times New Roman" w:eastAsia="宋体" w:cs="Times New Roman"/>
          <w:color w:val="auto"/>
          <w:kern w:val="0"/>
          <w:highlight w:val="none"/>
          <w:lang w:bidi="ar"/>
        </w:rPr>
        <w:t>南侧</w:t>
      </w:r>
      <w:r>
        <w:rPr>
          <w:rFonts w:hint="eastAsia" w:ascii="Times New Roman" w:hAnsi="Times New Roman" w:eastAsia="宋体"/>
          <w:color w:val="auto"/>
          <w:highlight w:val="none"/>
        </w:rPr>
        <w:t>无名小沟</w:t>
      </w:r>
      <w:r>
        <w:rPr>
          <w:rFonts w:hint="eastAsia" w:ascii="Times New Roman" w:hAnsi="Times New Roman" w:eastAsia="宋体" w:cs="Times New Roman"/>
          <w:color w:val="auto"/>
          <w:kern w:val="0"/>
          <w:highlight w:val="none"/>
          <w:lang w:bidi="ar"/>
        </w:rPr>
        <w:t>进行监测</w:t>
      </w:r>
      <w:r>
        <w:rPr>
          <w:rFonts w:ascii="Times New Roman" w:hAnsi="Times New Roman" w:eastAsia="宋体" w:cs="Times New Roman"/>
          <w:color w:val="auto"/>
          <w:kern w:val="0"/>
          <w:highlight w:val="none"/>
          <w:lang w:bidi="ar"/>
        </w:rPr>
        <w:t>，监测时间为201</w:t>
      </w:r>
      <w:r>
        <w:rPr>
          <w:rFonts w:hint="eastAsia" w:ascii="Times New Roman" w:hAnsi="Times New Roman" w:eastAsia="宋体" w:cs="Times New Roman"/>
          <w:color w:val="auto"/>
          <w:kern w:val="0"/>
          <w:highlight w:val="none"/>
          <w:lang w:bidi="ar"/>
        </w:rPr>
        <w:t>9</w:t>
      </w:r>
      <w:r>
        <w:rPr>
          <w:rFonts w:ascii="Times New Roman" w:hAnsi="Times New Roman" w:eastAsia="宋体" w:cs="Times New Roman"/>
          <w:color w:val="auto"/>
          <w:kern w:val="0"/>
          <w:highlight w:val="none"/>
          <w:lang w:bidi="ar"/>
        </w:rPr>
        <w:t>年</w:t>
      </w:r>
      <w:r>
        <w:rPr>
          <w:rFonts w:hint="eastAsia" w:ascii="Times New Roman" w:hAnsi="Times New Roman" w:eastAsia="宋体" w:cs="Times New Roman"/>
          <w:color w:val="auto"/>
          <w:kern w:val="0"/>
          <w:highlight w:val="none"/>
          <w:lang w:bidi="ar"/>
        </w:rPr>
        <w:t>7</w:t>
      </w:r>
      <w:r>
        <w:rPr>
          <w:rFonts w:ascii="Times New Roman" w:hAnsi="Times New Roman" w:eastAsia="宋体" w:cs="Times New Roman"/>
          <w:color w:val="auto"/>
          <w:kern w:val="0"/>
          <w:highlight w:val="none"/>
          <w:lang w:bidi="ar"/>
        </w:rPr>
        <w:t>月</w:t>
      </w:r>
      <w:r>
        <w:rPr>
          <w:rFonts w:hint="eastAsia" w:ascii="Times New Roman" w:hAnsi="Times New Roman" w:eastAsia="宋体" w:cs="Times New Roman"/>
          <w:color w:val="auto"/>
          <w:kern w:val="0"/>
          <w:highlight w:val="none"/>
          <w:lang w:bidi="ar"/>
        </w:rPr>
        <w:t>18</w:t>
      </w:r>
      <w:r>
        <w:rPr>
          <w:rFonts w:ascii="Times New Roman" w:hAnsi="Times New Roman" w:eastAsia="宋体" w:cs="Times New Roman"/>
          <w:color w:val="auto"/>
          <w:kern w:val="0"/>
          <w:highlight w:val="none"/>
          <w:lang w:bidi="ar"/>
        </w:rPr>
        <w:t>日~</w:t>
      </w:r>
      <w:r>
        <w:rPr>
          <w:rFonts w:hint="eastAsia" w:ascii="Times New Roman" w:hAnsi="Times New Roman" w:eastAsia="宋体" w:cs="Times New Roman"/>
          <w:color w:val="auto"/>
          <w:kern w:val="0"/>
          <w:highlight w:val="none"/>
          <w:lang w:bidi="ar"/>
        </w:rPr>
        <w:t>20</w:t>
      </w:r>
      <w:r>
        <w:rPr>
          <w:rFonts w:ascii="Times New Roman" w:hAnsi="Times New Roman" w:eastAsia="宋体" w:cs="Times New Roman"/>
          <w:color w:val="auto"/>
          <w:kern w:val="0"/>
          <w:highlight w:val="none"/>
          <w:lang w:bidi="ar"/>
        </w:rPr>
        <w:t>日。</w:t>
      </w:r>
      <w:r>
        <w:rPr>
          <w:rFonts w:ascii="Times New Roman" w:hAnsi="Times New Roman" w:eastAsia="宋体" w:cs="Times New Roman"/>
          <w:color w:val="auto"/>
          <w:highlight w:val="none"/>
        </w:rPr>
        <w:t>具体监测信息如下：</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1、监测因子：</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pH、COD</w:t>
      </w:r>
      <w:r>
        <w:rPr>
          <w:rFonts w:hint="eastAsia" w:ascii="Times New Roman" w:hAnsi="Times New Roman" w:eastAsia="宋体" w:cs="Times New Roman"/>
          <w:color w:val="auto"/>
          <w:highlight w:val="none"/>
          <w:vertAlign w:val="subscript"/>
        </w:rPr>
        <w:t>Cr</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BOD</w:t>
      </w:r>
      <w:r>
        <w:rPr>
          <w:rFonts w:ascii="Times New Roman" w:hAnsi="Times New Roman" w:eastAsia="宋体" w:cs="Times New Roman"/>
          <w:color w:val="auto"/>
          <w:highlight w:val="none"/>
          <w:vertAlign w:val="subscript"/>
        </w:rPr>
        <w:t>5</w:t>
      </w:r>
      <w:r>
        <w:rPr>
          <w:rFonts w:ascii="Times New Roman" w:hAnsi="Times New Roman" w:eastAsia="宋体" w:cs="Times New Roman"/>
          <w:color w:val="auto"/>
          <w:highlight w:val="none"/>
        </w:rPr>
        <w:t>、氨氮、悬浮物、石油类、高锰酸盐指数共</w:t>
      </w:r>
      <w:r>
        <w:rPr>
          <w:rFonts w:hint="eastAsia" w:ascii="Times New Roman" w:hAnsi="Times New Roman" w:eastAsia="宋体" w:cs="Times New Roman"/>
          <w:color w:val="auto"/>
          <w:highlight w:val="none"/>
        </w:rPr>
        <w:t>7</w:t>
      </w:r>
      <w:r>
        <w:rPr>
          <w:rFonts w:ascii="Times New Roman" w:hAnsi="Times New Roman" w:eastAsia="宋体" w:cs="Times New Roman"/>
          <w:color w:val="auto"/>
          <w:highlight w:val="none"/>
        </w:rPr>
        <w:t>项。</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2、监测频率</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连续监测3天，每天采样一次。同时记录水温、气温。</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3、分析方法</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地表水监测依据《地表水和污水监测技术规范》（HJ/T 91-2002）执行，分析方法及分析仪器见表3.2-7。</w:t>
      </w:r>
    </w:p>
    <w:p>
      <w:pPr>
        <w:spacing w:line="240" w:lineRule="auto"/>
        <w:ind w:firstLine="0" w:firstLineChars="0"/>
        <w:jc w:val="center"/>
        <w:rPr>
          <w:rFonts w:ascii="Times New Roman" w:hAnsi="Times New Roman" w:eastAsia="宋体" w:cs="Times New Roman"/>
          <w:b/>
          <w:color w:val="auto"/>
          <w:highlight w:val="none"/>
        </w:rPr>
      </w:pPr>
    </w:p>
    <w:p>
      <w:pPr>
        <w:spacing w:line="240" w:lineRule="auto"/>
        <w:ind w:firstLine="0" w:firstLineChars="0"/>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表3.2-7  地表水分析方法一览表</w:t>
      </w:r>
    </w:p>
    <w:tbl>
      <w:tblPr>
        <w:tblStyle w:val="48"/>
        <w:tblW w:w="907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6330"/>
        <w:gridCol w:w="12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65"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监测项目</w:t>
            </w:r>
          </w:p>
        </w:tc>
        <w:tc>
          <w:tcPr>
            <w:tcW w:w="6330"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监测方法</w:t>
            </w:r>
          </w:p>
        </w:tc>
        <w:tc>
          <w:tcPr>
            <w:tcW w:w="1276" w:type="dxa"/>
            <w:noWrap w:val="0"/>
            <w:vAlign w:val="center"/>
          </w:tcPr>
          <w:p>
            <w:pPr>
              <w:spacing w:line="240" w:lineRule="auto"/>
              <w:ind w:firstLine="0" w:firstLineChars="0"/>
              <w:jc w:val="center"/>
              <w:rPr>
                <w:rFonts w:ascii="Times New Roman" w:hAnsi="Times New Roman" w:eastAsia="宋体" w:cs="Times New Roman"/>
                <w:color w:val="auto"/>
                <w:spacing w:val="-18"/>
                <w:sz w:val="21"/>
                <w:highlight w:val="none"/>
              </w:rPr>
            </w:pPr>
            <w:r>
              <w:rPr>
                <w:rFonts w:ascii="Times New Roman" w:hAnsi="Times New Roman" w:eastAsia="宋体" w:cs="Times New Roman"/>
                <w:b/>
                <w:bCs/>
                <w:color w:val="auto"/>
                <w:spacing w:val="-18"/>
                <w:sz w:val="21"/>
                <w:highlight w:val="none"/>
              </w:rPr>
              <w:t>检出限/范围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46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pH值</w:t>
            </w:r>
          </w:p>
        </w:tc>
        <w:tc>
          <w:tcPr>
            <w:tcW w:w="6330" w:type="dxa"/>
            <w:noWrap w:val="0"/>
            <w:vAlign w:val="center"/>
          </w:tcPr>
          <w:p>
            <w:pPr>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便携式pH计法 《水和废水监测分析方法》（第四版增补版）国家环境保护总局（2002）</w:t>
            </w:r>
          </w:p>
        </w:tc>
        <w:tc>
          <w:tcPr>
            <w:tcW w:w="127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1~14pH值单位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46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悬浮物</w:t>
            </w:r>
          </w:p>
        </w:tc>
        <w:tc>
          <w:tcPr>
            <w:tcW w:w="633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GB/T 11901-1989《水质 悬浮物的测定 重量法》</w:t>
            </w:r>
          </w:p>
        </w:tc>
        <w:tc>
          <w:tcPr>
            <w:tcW w:w="127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46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氨氮</w:t>
            </w:r>
          </w:p>
        </w:tc>
        <w:tc>
          <w:tcPr>
            <w:tcW w:w="633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HJ 535-2009《水质 氨氮的测定 纳氏试剂分光光度法》</w:t>
            </w:r>
          </w:p>
        </w:tc>
        <w:tc>
          <w:tcPr>
            <w:tcW w:w="127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0.025mg/L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46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五日生化</w:t>
            </w:r>
          </w:p>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需氧量</w:t>
            </w:r>
          </w:p>
        </w:tc>
        <w:tc>
          <w:tcPr>
            <w:tcW w:w="633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HJ 505-2009《水质 五日生化需氧量(BOD</w:t>
            </w:r>
            <w:r>
              <w:rPr>
                <w:rFonts w:ascii="Times New Roman" w:hAnsi="Times New Roman" w:eastAsia="宋体" w:cs="Times New Roman"/>
                <w:color w:val="auto"/>
                <w:kern w:val="0"/>
                <w:sz w:val="21"/>
                <w:highlight w:val="none"/>
                <w:vertAlign w:val="subscript"/>
              </w:rPr>
              <w:t>5</w:t>
            </w:r>
            <w:r>
              <w:rPr>
                <w:rFonts w:ascii="Times New Roman" w:hAnsi="Times New Roman" w:eastAsia="宋体" w:cs="Times New Roman"/>
                <w:color w:val="auto"/>
                <w:kern w:val="0"/>
                <w:sz w:val="21"/>
                <w:highlight w:val="none"/>
              </w:rPr>
              <w:t>)的测定 稀释与接种法》</w:t>
            </w:r>
          </w:p>
        </w:tc>
        <w:tc>
          <w:tcPr>
            <w:tcW w:w="127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46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化学需氧量</w:t>
            </w:r>
          </w:p>
        </w:tc>
        <w:tc>
          <w:tcPr>
            <w:tcW w:w="633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GB/T 11914-1989《水质 化学需氧量的测定 重铬酸盐法》</w:t>
            </w:r>
          </w:p>
        </w:tc>
        <w:tc>
          <w:tcPr>
            <w:tcW w:w="127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46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石油类</w:t>
            </w:r>
          </w:p>
        </w:tc>
        <w:tc>
          <w:tcPr>
            <w:tcW w:w="633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HJ 637-2012《水质 石油类和动植物油的测定 红外分光光度法》</w:t>
            </w:r>
          </w:p>
        </w:tc>
        <w:tc>
          <w:tcPr>
            <w:tcW w:w="1276" w:type="dxa"/>
            <w:noWrap w:val="0"/>
            <w:vAlign w:val="center"/>
          </w:tcPr>
          <w:p>
            <w:pPr>
              <w:spacing w:line="240" w:lineRule="auto"/>
              <w:ind w:firstLine="0" w:firstLineChars="0"/>
              <w:jc w:val="center"/>
              <w:rPr>
                <w:rFonts w:ascii="Times New Roman" w:hAnsi="Times New Roman" w:eastAsia="宋体" w:cs="Times New Roman"/>
                <w:color w:val="auto"/>
                <w:spacing w:val="-18"/>
                <w:sz w:val="21"/>
                <w:highlight w:val="none"/>
              </w:rPr>
            </w:pPr>
            <w:r>
              <w:rPr>
                <w:rFonts w:ascii="Times New Roman" w:hAnsi="Times New Roman" w:eastAsia="宋体" w:cs="Times New Roman"/>
                <w:color w:val="auto"/>
                <w:sz w:val="21"/>
                <w:highlight w:val="none"/>
              </w:rPr>
              <w:t>0.01mg/L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46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高锰酸</w:t>
            </w:r>
          </w:p>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盐指数</w:t>
            </w:r>
          </w:p>
        </w:tc>
        <w:tc>
          <w:tcPr>
            <w:tcW w:w="633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GB/T 11892-1989《水质 高锰酸盐指数的测定》</w:t>
            </w:r>
          </w:p>
        </w:tc>
        <w:tc>
          <w:tcPr>
            <w:tcW w:w="127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0.5mg/L</w:t>
            </w:r>
          </w:p>
        </w:tc>
      </w:tr>
    </w:tbl>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4、评价标准</w:t>
      </w:r>
    </w:p>
    <w:p>
      <w:pPr>
        <w:widowControl/>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评价标准具体可见1.4.1节相关内容。</w:t>
      </w:r>
    </w:p>
    <w:p>
      <w:pPr>
        <w:widowControl/>
        <w:spacing w:line="500" w:lineRule="exact"/>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highlight w:val="none"/>
        </w:rPr>
        <w:t>5、</w:t>
      </w:r>
      <w:r>
        <w:rPr>
          <w:rFonts w:ascii="Times New Roman" w:hAnsi="Times New Roman" w:eastAsia="宋体" w:cs="Times New Roman"/>
          <w:color w:val="auto"/>
          <w:szCs w:val="24"/>
          <w:highlight w:val="none"/>
        </w:rPr>
        <w:t>评价方法</w:t>
      </w:r>
    </w:p>
    <w:p>
      <w:pPr>
        <w:widowControl/>
        <w:spacing w:line="500" w:lineRule="exact"/>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采用水质指数法对水质因子进行判定。</w:t>
      </w:r>
    </w:p>
    <w:p>
      <w:pPr>
        <w:widowControl/>
        <w:spacing w:line="500" w:lineRule="exact"/>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一般性水质因子（随着浓度增加而水质变差的水质因子）是指数计算公式：</w:t>
      </w:r>
    </w:p>
    <w:p>
      <w:pPr>
        <w:widowControl/>
        <w:spacing w:line="500" w:lineRule="exact"/>
        <w:ind w:firstLine="480"/>
        <w:jc w:val="center"/>
        <w:rPr>
          <w:rFonts w:ascii="Times New Roman" w:hAnsi="Times New Roman" w:eastAsia="宋体" w:cs="Times New Roman"/>
          <w:color w:val="auto"/>
          <w:szCs w:val="24"/>
          <w:highlight w:val="none"/>
          <w:vertAlign w:val="subscript"/>
        </w:rPr>
      </w:pPr>
      <w:r>
        <w:rPr>
          <w:rFonts w:ascii="Times New Roman" w:hAnsi="Times New Roman" w:eastAsia="宋体" w:cs="Times New Roman"/>
          <w:color w:val="auto"/>
          <w:szCs w:val="24"/>
          <w:highlight w:val="none"/>
        </w:rPr>
        <w:t>S</w:t>
      </w:r>
      <w:r>
        <w:rPr>
          <w:rFonts w:ascii="Times New Roman" w:hAnsi="Times New Roman" w:eastAsia="宋体" w:cs="Times New Roman"/>
          <w:color w:val="auto"/>
          <w:szCs w:val="24"/>
          <w:highlight w:val="none"/>
          <w:vertAlign w:val="subscript"/>
        </w:rPr>
        <w:t>i,j</w:t>
      </w:r>
      <w:r>
        <w:rPr>
          <w:rFonts w:ascii="Times New Roman" w:hAnsi="Times New Roman" w:eastAsia="宋体" w:cs="Times New Roman"/>
          <w:color w:val="auto"/>
          <w:szCs w:val="24"/>
          <w:highlight w:val="none"/>
        </w:rPr>
        <w:t>＝C</w:t>
      </w:r>
      <w:r>
        <w:rPr>
          <w:rFonts w:ascii="Times New Roman" w:hAnsi="Times New Roman" w:eastAsia="宋体" w:cs="Times New Roman"/>
          <w:color w:val="auto"/>
          <w:szCs w:val="24"/>
          <w:highlight w:val="none"/>
          <w:vertAlign w:val="subscript"/>
        </w:rPr>
        <w:t>i,j</w:t>
      </w:r>
      <w:r>
        <w:rPr>
          <w:rFonts w:ascii="Times New Roman" w:hAnsi="Times New Roman" w:eastAsia="宋体" w:cs="Times New Roman"/>
          <w:color w:val="auto"/>
          <w:szCs w:val="24"/>
          <w:highlight w:val="none"/>
        </w:rPr>
        <w:t>/C</w:t>
      </w:r>
      <w:r>
        <w:rPr>
          <w:rFonts w:ascii="Times New Roman" w:hAnsi="Times New Roman" w:eastAsia="宋体" w:cs="Times New Roman"/>
          <w:color w:val="auto"/>
          <w:szCs w:val="24"/>
          <w:highlight w:val="none"/>
          <w:vertAlign w:val="subscript"/>
        </w:rPr>
        <w:t>si</w:t>
      </w:r>
    </w:p>
    <w:p>
      <w:pPr>
        <w:widowControl/>
        <w:spacing w:line="500" w:lineRule="exact"/>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式中：S</w:t>
      </w:r>
      <w:r>
        <w:rPr>
          <w:rFonts w:ascii="Times New Roman" w:hAnsi="Times New Roman" w:eastAsia="宋体" w:cs="Times New Roman"/>
          <w:color w:val="auto"/>
          <w:szCs w:val="24"/>
          <w:highlight w:val="none"/>
          <w:vertAlign w:val="subscript"/>
        </w:rPr>
        <w:t>i，j</w:t>
      </w:r>
      <w:r>
        <w:rPr>
          <w:rFonts w:ascii="Times New Roman" w:hAnsi="Times New Roman" w:eastAsia="宋体" w:cs="Times New Roman"/>
          <w:color w:val="auto"/>
          <w:szCs w:val="24"/>
          <w:highlight w:val="none"/>
        </w:rPr>
        <w:t>——评价因子i的水质指数，大于1表明该水质因子超标；</w:t>
      </w:r>
    </w:p>
    <w:p>
      <w:pPr>
        <w:widowControl/>
        <w:spacing w:line="500" w:lineRule="exact"/>
        <w:ind w:firstLine="1200" w:firstLineChars="5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C</w:t>
      </w:r>
      <w:r>
        <w:rPr>
          <w:rFonts w:ascii="Times New Roman" w:hAnsi="Times New Roman" w:eastAsia="宋体" w:cs="Times New Roman"/>
          <w:color w:val="auto"/>
          <w:szCs w:val="24"/>
          <w:highlight w:val="none"/>
          <w:vertAlign w:val="subscript"/>
        </w:rPr>
        <w:t>i</w:t>
      </w:r>
      <w:r>
        <w:rPr>
          <w:rFonts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vertAlign w:val="subscript"/>
        </w:rPr>
        <w:t xml:space="preserve">j </w:t>
      </w:r>
      <w:r>
        <w:rPr>
          <w:rFonts w:ascii="Times New Roman" w:hAnsi="Times New Roman" w:eastAsia="宋体" w:cs="Times New Roman"/>
          <w:color w:val="auto"/>
          <w:szCs w:val="24"/>
          <w:highlight w:val="none"/>
        </w:rPr>
        <w:t>——评价因子i在j点的实测统计代表值，mg/L；</w:t>
      </w:r>
    </w:p>
    <w:p>
      <w:pPr>
        <w:widowControl/>
        <w:spacing w:line="500" w:lineRule="exact"/>
        <w:ind w:firstLine="1200" w:firstLineChars="5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C</w:t>
      </w:r>
      <w:r>
        <w:rPr>
          <w:rFonts w:ascii="Times New Roman" w:hAnsi="Times New Roman" w:eastAsia="宋体" w:cs="Times New Roman"/>
          <w:color w:val="auto"/>
          <w:szCs w:val="24"/>
          <w:highlight w:val="none"/>
          <w:vertAlign w:val="subscript"/>
        </w:rPr>
        <w:t xml:space="preserve">si </w:t>
      </w:r>
      <w:r>
        <w:rPr>
          <w:rFonts w:ascii="Times New Roman" w:hAnsi="Times New Roman" w:eastAsia="宋体" w:cs="Times New Roman"/>
          <w:color w:val="auto"/>
          <w:szCs w:val="24"/>
          <w:highlight w:val="none"/>
        </w:rPr>
        <w:t>——评价因子i的水质评价标准限值，mg/L。</w:t>
      </w:r>
    </w:p>
    <w:p>
      <w:pPr>
        <w:widowControl/>
        <w:spacing w:line="500" w:lineRule="exact"/>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溶解氧DO的标准指数计算公式：</w:t>
      </w:r>
    </w:p>
    <w:p>
      <w:pPr>
        <w:widowControl/>
        <w:spacing w:line="240" w:lineRule="auto"/>
        <w:ind w:firstLine="0" w:firstLineChars="0"/>
        <w:jc w:val="center"/>
        <w:rPr>
          <w:rFonts w:ascii="Times New Roman" w:hAnsi="Times New Roman" w:eastAsia="宋体" w:cs="Times New Roman"/>
          <w:color w:val="auto"/>
          <w:szCs w:val="24"/>
          <w:highlight w:val="none"/>
        </w:rPr>
      </w:pPr>
      <w:r>
        <w:rPr>
          <w:rFonts w:ascii="Times New Roman" w:hAnsi="Times New Roman" w:eastAsia="宋体" w:cs="Times New Roman"/>
          <w:color w:val="auto"/>
          <w:highlight w:val="none"/>
        </w:rPr>
        <w:drawing>
          <wp:inline distT="0" distB="0" distL="114300" distR="114300">
            <wp:extent cx="2791460" cy="875665"/>
            <wp:effectExtent l="0" t="0" r="8890" b="635"/>
            <wp:docPr id="55"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38"/>
                    <pic:cNvPicPr>
                      <a:picLocks noChangeAspect="1"/>
                    </pic:cNvPicPr>
                  </pic:nvPicPr>
                  <pic:blipFill>
                    <a:blip r:embed="rId75"/>
                    <a:stretch>
                      <a:fillRect/>
                    </a:stretch>
                  </pic:blipFill>
                  <pic:spPr>
                    <a:xfrm>
                      <a:off x="0" y="0"/>
                      <a:ext cx="2791460" cy="875665"/>
                    </a:xfrm>
                    <a:prstGeom prst="rect">
                      <a:avLst/>
                    </a:prstGeom>
                    <a:noFill/>
                    <a:ln>
                      <a:noFill/>
                    </a:ln>
                  </pic:spPr>
                </pic:pic>
              </a:graphicData>
            </a:graphic>
          </wp:inline>
        </w:drawing>
      </w:r>
    </w:p>
    <w:p>
      <w:pPr>
        <w:widowControl/>
        <w:spacing w:line="500" w:lineRule="exact"/>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式中：S</w:t>
      </w:r>
      <w:r>
        <w:rPr>
          <w:rFonts w:ascii="Times New Roman" w:hAnsi="Times New Roman" w:eastAsia="宋体" w:cs="Times New Roman"/>
          <w:color w:val="auto"/>
          <w:szCs w:val="24"/>
          <w:highlight w:val="none"/>
          <w:vertAlign w:val="subscript"/>
        </w:rPr>
        <w:t>DO，j</w:t>
      </w:r>
      <w:r>
        <w:rPr>
          <w:rFonts w:ascii="Times New Roman" w:hAnsi="Times New Roman" w:eastAsia="宋体" w:cs="Times New Roman"/>
          <w:color w:val="auto"/>
          <w:szCs w:val="24"/>
          <w:highlight w:val="none"/>
        </w:rPr>
        <w:t>——溶解氧的标准指数，大于1表明该水质因子超标</w:t>
      </w:r>
    </w:p>
    <w:p>
      <w:pPr>
        <w:widowControl/>
        <w:spacing w:line="500" w:lineRule="exact"/>
        <w:ind w:firstLine="1200" w:firstLineChars="5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DO</w:t>
      </w:r>
      <w:r>
        <w:rPr>
          <w:rFonts w:ascii="Times New Roman" w:hAnsi="Times New Roman" w:eastAsia="宋体" w:cs="Times New Roman"/>
          <w:color w:val="auto"/>
          <w:szCs w:val="24"/>
          <w:highlight w:val="none"/>
          <w:vertAlign w:val="subscript"/>
        </w:rPr>
        <w:t>j</w:t>
      </w:r>
      <w:r>
        <w:rPr>
          <w:rFonts w:ascii="Times New Roman" w:hAnsi="Times New Roman" w:eastAsia="宋体" w:cs="Times New Roman"/>
          <w:color w:val="auto"/>
          <w:szCs w:val="24"/>
          <w:highlight w:val="none"/>
        </w:rPr>
        <w:t>——溶解氧在j点的实测统计代表值，mg/L；</w:t>
      </w:r>
    </w:p>
    <w:p>
      <w:pPr>
        <w:widowControl/>
        <w:spacing w:line="500" w:lineRule="exact"/>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 xml:space="preserve">      DO</w:t>
      </w:r>
      <w:r>
        <w:rPr>
          <w:rFonts w:ascii="Times New Roman" w:hAnsi="Times New Roman" w:eastAsia="宋体" w:cs="Times New Roman"/>
          <w:color w:val="auto"/>
          <w:szCs w:val="24"/>
          <w:highlight w:val="none"/>
          <w:vertAlign w:val="subscript"/>
        </w:rPr>
        <w:t>s</w:t>
      </w:r>
      <w:r>
        <w:rPr>
          <w:rFonts w:ascii="Times New Roman" w:hAnsi="Times New Roman" w:eastAsia="宋体" w:cs="Times New Roman"/>
          <w:color w:val="auto"/>
          <w:szCs w:val="24"/>
          <w:highlight w:val="none"/>
        </w:rPr>
        <w:t>——溶解氧的水质评价标准限值，mg/L；</w:t>
      </w:r>
    </w:p>
    <w:p>
      <w:pPr>
        <w:widowControl/>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szCs w:val="24"/>
          <w:highlight w:val="none"/>
        </w:rPr>
        <w:t xml:space="preserve">      DO</w:t>
      </w:r>
      <w:r>
        <w:rPr>
          <w:rFonts w:ascii="Times New Roman" w:hAnsi="Times New Roman" w:eastAsia="宋体" w:cs="Times New Roman"/>
          <w:color w:val="auto"/>
          <w:szCs w:val="24"/>
          <w:highlight w:val="none"/>
          <w:vertAlign w:val="subscript"/>
        </w:rPr>
        <w:t>f</w:t>
      </w:r>
      <w:r>
        <w:rPr>
          <w:rFonts w:ascii="Times New Roman" w:hAnsi="Times New Roman" w:eastAsia="宋体" w:cs="Times New Roman"/>
          <w:color w:val="auto"/>
          <w:szCs w:val="24"/>
          <w:highlight w:val="none"/>
        </w:rPr>
        <w:t>——饱和溶解氧浓度，mg/L，对于河流，</w:t>
      </w:r>
      <w:r>
        <w:rPr>
          <w:rFonts w:ascii="Times New Roman" w:hAnsi="Times New Roman" w:eastAsia="宋体" w:cs="Times New Roman"/>
          <w:color w:val="auto"/>
          <w:highlight w:val="none"/>
        </w:rPr>
        <w:t>DO</w:t>
      </w:r>
      <w:r>
        <w:rPr>
          <w:rFonts w:ascii="Times New Roman" w:hAnsi="Times New Roman" w:eastAsia="宋体" w:cs="Times New Roman"/>
          <w:color w:val="auto"/>
          <w:highlight w:val="none"/>
          <w:vertAlign w:val="subscript"/>
        </w:rPr>
        <w:t>f</w:t>
      </w:r>
      <w:r>
        <w:rPr>
          <w:rFonts w:ascii="Times New Roman" w:hAnsi="Times New Roman" w:eastAsia="宋体" w:cs="Times New Roman"/>
          <w:color w:val="auto"/>
          <w:highlight w:val="none"/>
        </w:rPr>
        <w:t>=468/(31.6+T)；</w:t>
      </w:r>
    </w:p>
    <w:p>
      <w:pPr>
        <w:widowControl/>
        <w:spacing w:line="500" w:lineRule="exact"/>
        <w:ind w:firstLine="1200" w:firstLineChars="500"/>
        <w:rPr>
          <w:rFonts w:ascii="Times New Roman" w:hAnsi="Times New Roman" w:eastAsia="宋体" w:cs="Times New Roman"/>
          <w:color w:val="auto"/>
          <w:szCs w:val="24"/>
          <w:highlight w:val="none"/>
        </w:rPr>
      </w:pPr>
      <w:r>
        <w:rPr>
          <w:rFonts w:ascii="Times New Roman" w:hAnsi="Times New Roman" w:eastAsia="宋体" w:cs="Times New Roman"/>
          <w:color w:val="auto"/>
          <w:highlight w:val="none"/>
        </w:rPr>
        <w:t>T</w:t>
      </w:r>
      <w:r>
        <w:rPr>
          <w:rFonts w:ascii="Times New Roman" w:hAnsi="Times New Roman" w:eastAsia="宋体" w:cs="Times New Roman"/>
          <w:color w:val="auto"/>
          <w:szCs w:val="24"/>
          <w:highlight w:val="none"/>
        </w:rPr>
        <w:t>——</w:t>
      </w:r>
      <w:r>
        <w:rPr>
          <w:rFonts w:ascii="Times New Roman" w:hAnsi="Times New Roman" w:eastAsia="宋体" w:cs="Times New Roman"/>
          <w:color w:val="auto"/>
          <w:highlight w:val="none"/>
        </w:rPr>
        <w:t>水温，℃</w:t>
      </w:r>
      <w:r>
        <w:rPr>
          <w:rFonts w:ascii="Times New Roman" w:hAnsi="Times New Roman" w:eastAsia="宋体" w:cs="Times New Roman"/>
          <w:color w:val="auto"/>
          <w:szCs w:val="24"/>
          <w:highlight w:val="none"/>
        </w:rPr>
        <w:t>。</w:t>
      </w:r>
    </w:p>
    <w:p>
      <w:pPr>
        <w:widowControl/>
        <w:spacing w:line="500" w:lineRule="exact"/>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highlight w:val="none"/>
        </w:rPr>
        <w:drawing>
          <wp:anchor distT="0" distB="0" distL="114300" distR="114300" simplePos="0" relativeHeight="251677696" behindDoc="0" locked="0" layoutInCell="1" allowOverlap="1">
            <wp:simplePos x="0" y="0"/>
            <wp:positionH relativeFrom="column">
              <wp:posOffset>1560195</wp:posOffset>
            </wp:positionH>
            <wp:positionV relativeFrom="paragraph">
              <wp:posOffset>313690</wp:posOffset>
            </wp:positionV>
            <wp:extent cx="2898140" cy="534035"/>
            <wp:effectExtent l="0" t="0" r="16510" b="18415"/>
            <wp:wrapNone/>
            <wp:docPr id="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6"/>
                    <pic:cNvPicPr>
                      <a:picLocks noChangeAspect="1"/>
                    </pic:cNvPicPr>
                  </pic:nvPicPr>
                  <pic:blipFill>
                    <a:blip r:embed="rId76"/>
                    <a:stretch>
                      <a:fillRect/>
                    </a:stretch>
                  </pic:blipFill>
                  <pic:spPr>
                    <a:xfrm>
                      <a:off x="0" y="0"/>
                      <a:ext cx="2898140" cy="534035"/>
                    </a:xfrm>
                    <a:prstGeom prst="rect">
                      <a:avLst/>
                    </a:prstGeom>
                    <a:noFill/>
                    <a:ln>
                      <a:noFill/>
                    </a:ln>
                  </pic:spPr>
                </pic:pic>
              </a:graphicData>
            </a:graphic>
          </wp:anchor>
        </w:drawing>
      </w:r>
      <w:r>
        <w:rPr>
          <w:rFonts w:ascii="Times New Roman" w:hAnsi="Times New Roman" w:eastAsia="宋体" w:cs="Times New Roman"/>
          <w:color w:val="auto"/>
          <w:szCs w:val="24"/>
          <w:highlight w:val="none"/>
        </w:rPr>
        <w:t>pH值的指数计算公式为：</w:t>
      </w:r>
    </w:p>
    <w:p>
      <w:pPr>
        <w:ind w:firstLine="480"/>
        <w:rPr>
          <w:rFonts w:ascii="Times New Roman" w:hAnsi="Times New Roman" w:eastAsia="宋体" w:cs="Times New Roman"/>
          <w:color w:val="auto"/>
          <w:highlight w:val="none"/>
        </w:rPr>
      </w:pP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anchor distT="0" distB="0" distL="114300" distR="114300" simplePos="0" relativeHeight="251676672" behindDoc="0" locked="0" layoutInCell="1" allowOverlap="1">
            <wp:simplePos x="0" y="0"/>
            <wp:positionH relativeFrom="column">
              <wp:posOffset>1565910</wp:posOffset>
            </wp:positionH>
            <wp:positionV relativeFrom="paragraph">
              <wp:posOffset>274955</wp:posOffset>
            </wp:positionV>
            <wp:extent cx="2892425" cy="594360"/>
            <wp:effectExtent l="0" t="0" r="3175" b="15240"/>
            <wp:wrapNone/>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
                    <pic:cNvPicPr>
                      <a:picLocks noChangeAspect="1"/>
                    </pic:cNvPicPr>
                  </pic:nvPicPr>
                  <pic:blipFill>
                    <a:blip r:embed="rId77"/>
                    <a:stretch>
                      <a:fillRect/>
                    </a:stretch>
                  </pic:blipFill>
                  <pic:spPr>
                    <a:xfrm>
                      <a:off x="0" y="0"/>
                      <a:ext cx="2892425" cy="594360"/>
                    </a:xfrm>
                    <a:prstGeom prst="rect">
                      <a:avLst/>
                    </a:prstGeom>
                    <a:noFill/>
                    <a:ln>
                      <a:noFill/>
                    </a:ln>
                  </pic:spPr>
                </pic:pic>
              </a:graphicData>
            </a:graphic>
          </wp:anchor>
        </w:drawing>
      </w:r>
    </w:p>
    <w:p>
      <w:pPr>
        <w:ind w:firstLine="480"/>
        <w:rPr>
          <w:rFonts w:ascii="Times New Roman" w:hAnsi="Times New Roman" w:eastAsia="宋体" w:cs="Times New Roman"/>
          <w:color w:val="auto"/>
          <w:highlight w:val="none"/>
        </w:rPr>
      </w:pPr>
    </w:p>
    <w:p>
      <w:pPr>
        <w:ind w:firstLine="480"/>
        <w:rPr>
          <w:rFonts w:ascii="Times New Roman" w:hAnsi="Times New Roman" w:eastAsia="宋体" w:cs="Times New Roman"/>
          <w:color w:val="auto"/>
          <w:highlight w:val="none"/>
        </w:rPr>
      </w:pPr>
    </w:p>
    <w:p>
      <w:pPr>
        <w:widowControl/>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式中：S</w:t>
      </w:r>
      <w:r>
        <w:rPr>
          <w:rFonts w:ascii="Times New Roman" w:hAnsi="Times New Roman" w:eastAsia="宋体" w:cs="Times New Roman"/>
          <w:color w:val="auto"/>
          <w:szCs w:val="24"/>
          <w:highlight w:val="none"/>
          <w:vertAlign w:val="subscript"/>
        </w:rPr>
        <w:t>pH，j</w:t>
      </w:r>
      <w:r>
        <w:rPr>
          <w:rFonts w:ascii="Times New Roman" w:hAnsi="Times New Roman" w:eastAsia="宋体" w:cs="Times New Roman"/>
          <w:color w:val="auto"/>
          <w:szCs w:val="24"/>
          <w:highlight w:val="none"/>
        </w:rPr>
        <w:t>——pH值的指数，大于1 表明该水质因子超标；</w:t>
      </w:r>
    </w:p>
    <w:p>
      <w:pPr>
        <w:widowControl/>
        <w:ind w:firstLine="1200" w:firstLineChars="5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pHj——pH值实测统计代表值；</w:t>
      </w:r>
    </w:p>
    <w:p>
      <w:pPr>
        <w:widowControl/>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 xml:space="preserve">      pH</w:t>
      </w:r>
      <w:r>
        <w:rPr>
          <w:rFonts w:ascii="Times New Roman" w:hAnsi="Times New Roman" w:eastAsia="宋体" w:cs="Times New Roman"/>
          <w:color w:val="auto"/>
          <w:szCs w:val="24"/>
          <w:highlight w:val="none"/>
          <w:vertAlign w:val="subscript"/>
        </w:rPr>
        <w:t>sd</w:t>
      </w:r>
      <w:r>
        <w:rPr>
          <w:rFonts w:ascii="Times New Roman" w:hAnsi="Times New Roman" w:eastAsia="宋体" w:cs="Times New Roman"/>
          <w:color w:val="auto"/>
          <w:szCs w:val="24"/>
          <w:highlight w:val="none"/>
        </w:rPr>
        <w:t>——评价标准中pH值的下限值；</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szCs w:val="24"/>
          <w:highlight w:val="none"/>
        </w:rPr>
        <w:t xml:space="preserve">      pH</w:t>
      </w:r>
      <w:r>
        <w:rPr>
          <w:rFonts w:ascii="Times New Roman" w:hAnsi="Times New Roman" w:eastAsia="宋体" w:cs="Times New Roman"/>
          <w:color w:val="auto"/>
          <w:szCs w:val="24"/>
          <w:highlight w:val="none"/>
          <w:vertAlign w:val="subscript"/>
        </w:rPr>
        <w:t>su</w:t>
      </w:r>
      <w:r>
        <w:rPr>
          <w:rFonts w:ascii="Times New Roman" w:hAnsi="Times New Roman" w:eastAsia="宋体" w:cs="Times New Roman"/>
          <w:color w:val="auto"/>
          <w:szCs w:val="24"/>
          <w:highlight w:val="none"/>
        </w:rPr>
        <w:t>——评价标准中pH值的上限值。</w:t>
      </w:r>
    </w:p>
    <w:p>
      <w:pPr>
        <w:ind w:firstLine="480"/>
        <w:rPr>
          <w:rFonts w:ascii="Times New Roman" w:hAnsi="Times New Roman" w:eastAsia="宋体" w:cs="Times New Roman"/>
          <w:color w:val="auto"/>
          <w:highlight w:val="none"/>
        </w:rPr>
      </w:pPr>
      <w:bookmarkStart w:id="226" w:name="_Toc12564"/>
      <w:bookmarkStart w:id="227" w:name="_Toc30098"/>
      <w:r>
        <w:rPr>
          <w:rFonts w:ascii="Times New Roman" w:hAnsi="Times New Roman" w:eastAsia="宋体" w:cs="Times New Roman"/>
          <w:color w:val="auto"/>
          <w:highlight w:val="none"/>
        </w:rPr>
        <w:t>6、监测结果与评价</w:t>
      </w:r>
      <w:bookmarkEnd w:id="226"/>
      <w:bookmarkEnd w:id="227"/>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现状监测统计及评价结果见表3.2-8。</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由表3.2-8可知，</w:t>
      </w:r>
      <w:r>
        <w:rPr>
          <w:rFonts w:hint="eastAsia" w:ascii="Times New Roman" w:hAnsi="Times New Roman" w:eastAsia="宋体" w:cs="Times New Roman"/>
          <w:color w:val="auto"/>
          <w:highlight w:val="none"/>
        </w:rPr>
        <w:t>项目南侧</w:t>
      </w:r>
      <w:r>
        <w:rPr>
          <w:rFonts w:hint="eastAsia" w:ascii="Times New Roman" w:hAnsi="Times New Roman" w:eastAsia="宋体"/>
          <w:color w:val="auto"/>
          <w:highlight w:val="none"/>
        </w:rPr>
        <w:t>无名小沟</w:t>
      </w:r>
      <w:r>
        <w:rPr>
          <w:rFonts w:ascii="Times New Roman" w:hAnsi="Times New Roman" w:eastAsia="宋体" w:cs="Times New Roman"/>
          <w:color w:val="auto"/>
          <w:highlight w:val="none"/>
        </w:rPr>
        <w:t>监测因子均符合《地表水环境质量标准》（GB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3838-2002）Ⅲ类标准要求。</w:t>
      </w:r>
    </w:p>
    <w:p>
      <w:pPr>
        <w:ind w:firstLine="480"/>
        <w:rPr>
          <w:rFonts w:ascii="Times New Roman" w:hAnsi="Times New Roman" w:eastAsia="宋体" w:cs="Times New Roman"/>
          <w:color w:val="auto"/>
          <w:highlight w:val="none"/>
        </w:rPr>
        <w:sectPr>
          <w:headerReference r:id="rId15" w:type="default"/>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 xml:space="preserve">表3.2-8 </w:t>
      </w:r>
      <w:r>
        <w:rPr>
          <w:rFonts w:hint="eastAsia" w:ascii="Times New Roman" w:hAnsi="Times New Roman" w:eastAsia="宋体" w:cs="Times New Roman"/>
          <w:b/>
          <w:bCs/>
          <w:color w:val="auto"/>
          <w:highlight w:val="none"/>
        </w:rPr>
        <w:t>项目南侧无名小沟</w:t>
      </w:r>
      <w:r>
        <w:rPr>
          <w:rFonts w:ascii="Times New Roman" w:hAnsi="Times New Roman" w:eastAsia="宋体" w:cs="Times New Roman"/>
          <w:b/>
          <w:bCs/>
          <w:color w:val="auto"/>
          <w:highlight w:val="none"/>
        </w:rPr>
        <w:t>水环境质量现状监测结果及评价表</w:t>
      </w:r>
    </w:p>
    <w:tbl>
      <w:tblPr>
        <w:tblStyle w:val="48"/>
        <w:tblW w:w="134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635"/>
        <w:gridCol w:w="1590"/>
        <w:gridCol w:w="1392"/>
        <w:gridCol w:w="1468"/>
        <w:gridCol w:w="1512"/>
        <w:gridCol w:w="1688"/>
        <w:gridCol w:w="1532"/>
        <w:gridCol w:w="15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073"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监测</w:t>
            </w:r>
          </w:p>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断面</w:t>
            </w:r>
          </w:p>
        </w:tc>
        <w:tc>
          <w:tcPr>
            <w:tcW w:w="1635"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项目</w:t>
            </w:r>
          </w:p>
        </w:tc>
        <w:tc>
          <w:tcPr>
            <w:tcW w:w="1590" w:type="dxa"/>
            <w:noWrap w:val="0"/>
            <w:vAlign w:val="center"/>
          </w:tcPr>
          <w:p>
            <w:pPr>
              <w:pStyle w:val="47"/>
              <w:tabs>
                <w:tab w:val="left" w:pos="0"/>
              </w:tabs>
              <w:spacing w:line="240" w:lineRule="auto"/>
              <w:ind w:firstLine="0" w:firstLineChars="0"/>
              <w:jc w:val="center"/>
              <w:rPr>
                <w:rFonts w:ascii="Times New Roman" w:hAnsi="Times New Roman" w:eastAsia="宋体"/>
                <w:b/>
                <w:bCs/>
                <w:color w:val="auto"/>
                <w:kern w:val="2"/>
                <w:sz w:val="21"/>
                <w:szCs w:val="21"/>
                <w:highlight w:val="none"/>
                <w:lang w:val="en-US" w:eastAsia="zh-CN"/>
              </w:rPr>
            </w:pPr>
            <w:r>
              <w:rPr>
                <w:rFonts w:ascii="Times New Roman" w:hAnsi="Times New Roman" w:eastAsia="宋体"/>
                <w:b/>
                <w:bCs/>
                <w:color w:val="auto"/>
                <w:kern w:val="2"/>
                <w:sz w:val="21"/>
                <w:szCs w:val="21"/>
                <w:highlight w:val="none"/>
                <w:lang w:val="en-US" w:eastAsia="zh-CN"/>
              </w:rPr>
              <w:t>pH值</w:t>
            </w:r>
          </w:p>
          <w:p>
            <w:pPr>
              <w:pStyle w:val="47"/>
              <w:tabs>
                <w:tab w:val="left" w:pos="0"/>
              </w:tabs>
              <w:spacing w:line="240" w:lineRule="auto"/>
              <w:ind w:firstLine="0" w:firstLineChars="0"/>
              <w:jc w:val="center"/>
              <w:rPr>
                <w:rFonts w:ascii="Times New Roman" w:hAnsi="Times New Roman" w:eastAsia="宋体"/>
                <w:b/>
                <w:bCs/>
                <w:color w:val="auto"/>
                <w:kern w:val="2"/>
                <w:sz w:val="21"/>
                <w:szCs w:val="21"/>
                <w:highlight w:val="none"/>
                <w:lang w:val="en-US" w:eastAsia="zh-CN"/>
              </w:rPr>
            </w:pPr>
            <w:r>
              <w:rPr>
                <w:rFonts w:ascii="Times New Roman" w:hAnsi="Times New Roman" w:eastAsia="宋体"/>
                <w:b/>
                <w:bCs/>
                <w:color w:val="auto"/>
                <w:kern w:val="2"/>
                <w:sz w:val="21"/>
                <w:szCs w:val="21"/>
                <w:highlight w:val="none"/>
                <w:lang w:val="en-US" w:eastAsia="zh-CN"/>
              </w:rPr>
              <w:t>（无量纲）</w:t>
            </w:r>
          </w:p>
        </w:tc>
        <w:tc>
          <w:tcPr>
            <w:tcW w:w="1392" w:type="dxa"/>
            <w:noWrap w:val="0"/>
            <w:vAlign w:val="center"/>
          </w:tcPr>
          <w:p>
            <w:pPr>
              <w:pStyle w:val="47"/>
              <w:tabs>
                <w:tab w:val="left" w:pos="0"/>
              </w:tabs>
              <w:spacing w:line="240" w:lineRule="auto"/>
              <w:ind w:firstLine="0" w:firstLineChars="0"/>
              <w:jc w:val="center"/>
              <w:rPr>
                <w:rFonts w:ascii="Times New Roman" w:hAnsi="Times New Roman" w:eastAsia="宋体"/>
                <w:b/>
                <w:bCs/>
                <w:color w:val="auto"/>
                <w:kern w:val="2"/>
                <w:sz w:val="21"/>
                <w:szCs w:val="21"/>
                <w:highlight w:val="none"/>
                <w:lang w:val="en-US" w:eastAsia="zh-CN"/>
              </w:rPr>
            </w:pPr>
            <w:r>
              <w:rPr>
                <w:rFonts w:hint="eastAsia" w:ascii="Times New Roman" w:hAnsi="Times New Roman" w:eastAsia="宋体"/>
                <w:b/>
                <w:bCs/>
                <w:color w:val="auto"/>
                <w:kern w:val="2"/>
                <w:sz w:val="21"/>
                <w:szCs w:val="21"/>
                <w:highlight w:val="none"/>
                <w:lang w:val="en-US" w:eastAsia="zh-CN"/>
              </w:rPr>
              <w:t>化学需氧量</w:t>
            </w:r>
            <w:r>
              <w:rPr>
                <w:rFonts w:ascii="Times New Roman" w:hAnsi="Times New Roman" w:eastAsia="宋体"/>
                <w:b/>
                <w:bCs/>
                <w:color w:val="auto"/>
                <w:kern w:val="2"/>
                <w:sz w:val="21"/>
                <w:szCs w:val="21"/>
                <w:highlight w:val="none"/>
                <w:lang w:val="en-US" w:eastAsia="zh-CN"/>
              </w:rPr>
              <w:t>（mg/L）</w:t>
            </w:r>
          </w:p>
        </w:tc>
        <w:tc>
          <w:tcPr>
            <w:tcW w:w="1468" w:type="dxa"/>
            <w:noWrap w:val="0"/>
            <w:vAlign w:val="center"/>
          </w:tcPr>
          <w:p>
            <w:pPr>
              <w:pStyle w:val="47"/>
              <w:tabs>
                <w:tab w:val="left" w:pos="0"/>
              </w:tabs>
              <w:spacing w:line="240" w:lineRule="auto"/>
              <w:ind w:firstLine="0" w:firstLineChars="0"/>
              <w:jc w:val="center"/>
              <w:rPr>
                <w:rFonts w:ascii="Times New Roman" w:hAnsi="Times New Roman" w:eastAsia="宋体"/>
                <w:b/>
                <w:bCs/>
                <w:color w:val="auto"/>
                <w:kern w:val="2"/>
                <w:sz w:val="21"/>
                <w:szCs w:val="21"/>
                <w:highlight w:val="none"/>
                <w:lang w:val="en-US" w:eastAsia="zh-CN"/>
              </w:rPr>
            </w:pPr>
            <w:r>
              <w:rPr>
                <w:rFonts w:hint="eastAsia" w:ascii="Times New Roman" w:hAnsi="Times New Roman" w:eastAsia="宋体"/>
                <w:b/>
                <w:bCs/>
                <w:color w:val="auto"/>
                <w:kern w:val="2"/>
                <w:sz w:val="21"/>
                <w:szCs w:val="21"/>
                <w:highlight w:val="none"/>
                <w:lang w:val="en-US" w:eastAsia="zh-CN"/>
              </w:rPr>
              <w:t>五日生化需氧量</w:t>
            </w:r>
            <w:r>
              <w:rPr>
                <w:rFonts w:ascii="Times New Roman" w:hAnsi="Times New Roman" w:eastAsia="宋体"/>
                <w:b/>
                <w:bCs/>
                <w:color w:val="auto"/>
                <w:kern w:val="2"/>
                <w:sz w:val="21"/>
                <w:szCs w:val="21"/>
                <w:highlight w:val="none"/>
                <w:lang w:val="en-US" w:eastAsia="zh-CN"/>
              </w:rPr>
              <w:t>（mg/L）</w:t>
            </w:r>
          </w:p>
        </w:tc>
        <w:tc>
          <w:tcPr>
            <w:tcW w:w="1512" w:type="dxa"/>
            <w:noWrap w:val="0"/>
            <w:vAlign w:val="center"/>
          </w:tcPr>
          <w:p>
            <w:pPr>
              <w:pStyle w:val="47"/>
              <w:tabs>
                <w:tab w:val="left" w:pos="0"/>
              </w:tabs>
              <w:spacing w:line="240" w:lineRule="auto"/>
              <w:ind w:firstLine="0" w:firstLineChars="0"/>
              <w:jc w:val="center"/>
              <w:rPr>
                <w:rFonts w:ascii="Times New Roman" w:hAnsi="Times New Roman" w:eastAsia="宋体"/>
                <w:b/>
                <w:bCs/>
                <w:color w:val="auto"/>
                <w:kern w:val="2"/>
                <w:sz w:val="21"/>
                <w:szCs w:val="21"/>
                <w:highlight w:val="none"/>
                <w:lang w:val="en-US" w:eastAsia="zh-CN"/>
              </w:rPr>
            </w:pPr>
            <w:r>
              <w:rPr>
                <w:rFonts w:ascii="Times New Roman" w:hAnsi="Times New Roman" w:eastAsia="宋体"/>
                <w:b/>
                <w:bCs/>
                <w:color w:val="auto"/>
                <w:kern w:val="2"/>
                <w:sz w:val="21"/>
                <w:szCs w:val="21"/>
                <w:highlight w:val="none"/>
                <w:lang w:val="en-US" w:eastAsia="zh-CN"/>
              </w:rPr>
              <w:t>石油类</w:t>
            </w:r>
          </w:p>
          <w:p>
            <w:pPr>
              <w:pStyle w:val="47"/>
              <w:tabs>
                <w:tab w:val="left" w:pos="0"/>
              </w:tabs>
              <w:spacing w:line="240" w:lineRule="auto"/>
              <w:ind w:firstLine="0" w:firstLineChars="0"/>
              <w:jc w:val="center"/>
              <w:rPr>
                <w:rFonts w:ascii="Times New Roman" w:hAnsi="Times New Roman" w:eastAsia="宋体"/>
                <w:b/>
                <w:bCs/>
                <w:color w:val="auto"/>
                <w:kern w:val="2"/>
                <w:sz w:val="21"/>
                <w:szCs w:val="21"/>
                <w:highlight w:val="none"/>
                <w:lang w:val="en-US" w:eastAsia="zh-CN"/>
              </w:rPr>
            </w:pPr>
            <w:r>
              <w:rPr>
                <w:rFonts w:ascii="Times New Roman" w:hAnsi="Times New Roman" w:eastAsia="宋体"/>
                <w:b/>
                <w:bCs/>
                <w:color w:val="auto"/>
                <w:kern w:val="2"/>
                <w:sz w:val="21"/>
                <w:szCs w:val="21"/>
                <w:highlight w:val="none"/>
                <w:lang w:val="en-US" w:eastAsia="zh-CN"/>
              </w:rPr>
              <w:t>（mg/L）</w:t>
            </w:r>
          </w:p>
        </w:tc>
        <w:tc>
          <w:tcPr>
            <w:tcW w:w="1688" w:type="dxa"/>
            <w:noWrap w:val="0"/>
            <w:vAlign w:val="center"/>
          </w:tcPr>
          <w:p>
            <w:pPr>
              <w:pStyle w:val="47"/>
              <w:tabs>
                <w:tab w:val="left" w:pos="0"/>
              </w:tabs>
              <w:spacing w:line="240" w:lineRule="auto"/>
              <w:ind w:firstLine="0" w:firstLineChars="0"/>
              <w:jc w:val="center"/>
              <w:rPr>
                <w:rFonts w:ascii="Times New Roman" w:hAnsi="Times New Roman" w:eastAsia="宋体"/>
                <w:b/>
                <w:bCs/>
                <w:color w:val="auto"/>
                <w:kern w:val="2"/>
                <w:sz w:val="21"/>
                <w:szCs w:val="21"/>
                <w:highlight w:val="none"/>
                <w:lang w:val="en-US" w:eastAsia="zh-CN"/>
              </w:rPr>
            </w:pPr>
            <w:r>
              <w:rPr>
                <w:rFonts w:ascii="Times New Roman" w:hAnsi="Times New Roman" w:eastAsia="宋体"/>
                <w:b/>
                <w:bCs/>
                <w:color w:val="auto"/>
                <w:kern w:val="2"/>
                <w:sz w:val="21"/>
                <w:szCs w:val="21"/>
                <w:highlight w:val="none"/>
                <w:lang w:val="en-US" w:eastAsia="zh-CN"/>
              </w:rPr>
              <w:t>氨氮</w:t>
            </w:r>
          </w:p>
          <w:p>
            <w:pPr>
              <w:pStyle w:val="47"/>
              <w:tabs>
                <w:tab w:val="left" w:pos="0"/>
              </w:tabs>
              <w:spacing w:line="240" w:lineRule="auto"/>
              <w:ind w:firstLine="0" w:firstLineChars="0"/>
              <w:jc w:val="center"/>
              <w:rPr>
                <w:rFonts w:ascii="Times New Roman" w:hAnsi="Times New Roman" w:eastAsia="宋体"/>
                <w:b/>
                <w:bCs/>
                <w:color w:val="auto"/>
                <w:kern w:val="2"/>
                <w:sz w:val="21"/>
                <w:szCs w:val="21"/>
                <w:highlight w:val="none"/>
                <w:lang w:val="en-US" w:eastAsia="zh-CN"/>
              </w:rPr>
            </w:pPr>
            <w:r>
              <w:rPr>
                <w:rFonts w:ascii="Times New Roman" w:hAnsi="Times New Roman" w:eastAsia="宋体"/>
                <w:b/>
                <w:bCs/>
                <w:color w:val="auto"/>
                <w:kern w:val="2"/>
                <w:sz w:val="21"/>
                <w:szCs w:val="21"/>
                <w:highlight w:val="none"/>
                <w:lang w:val="en-US" w:eastAsia="zh-CN"/>
              </w:rPr>
              <w:t>（mg/L）</w:t>
            </w:r>
          </w:p>
        </w:tc>
        <w:tc>
          <w:tcPr>
            <w:tcW w:w="1532" w:type="dxa"/>
            <w:noWrap w:val="0"/>
            <w:vAlign w:val="center"/>
          </w:tcPr>
          <w:p>
            <w:pPr>
              <w:pStyle w:val="47"/>
              <w:tabs>
                <w:tab w:val="left" w:pos="0"/>
              </w:tabs>
              <w:spacing w:line="240" w:lineRule="auto"/>
              <w:ind w:firstLine="0" w:firstLineChars="0"/>
              <w:jc w:val="center"/>
              <w:rPr>
                <w:rFonts w:ascii="Times New Roman" w:hAnsi="Times New Roman" w:eastAsia="宋体"/>
                <w:b/>
                <w:bCs/>
                <w:color w:val="auto"/>
                <w:kern w:val="2"/>
                <w:sz w:val="21"/>
                <w:szCs w:val="21"/>
                <w:highlight w:val="none"/>
                <w:lang w:val="en-US" w:eastAsia="zh-CN"/>
              </w:rPr>
            </w:pPr>
            <w:r>
              <w:rPr>
                <w:rFonts w:ascii="Times New Roman" w:hAnsi="Times New Roman" w:eastAsia="宋体"/>
                <w:b/>
                <w:bCs/>
                <w:color w:val="auto"/>
                <w:kern w:val="2"/>
                <w:sz w:val="21"/>
                <w:szCs w:val="21"/>
                <w:highlight w:val="none"/>
                <w:lang w:val="en-US" w:eastAsia="zh-CN"/>
              </w:rPr>
              <w:t>悬浮物</w:t>
            </w:r>
          </w:p>
          <w:p>
            <w:pPr>
              <w:pStyle w:val="47"/>
              <w:tabs>
                <w:tab w:val="left" w:pos="0"/>
              </w:tabs>
              <w:spacing w:line="240" w:lineRule="auto"/>
              <w:ind w:firstLine="0" w:firstLineChars="0"/>
              <w:jc w:val="center"/>
              <w:rPr>
                <w:rFonts w:ascii="Times New Roman" w:hAnsi="Times New Roman" w:eastAsia="宋体"/>
                <w:b/>
                <w:bCs/>
                <w:color w:val="auto"/>
                <w:kern w:val="2"/>
                <w:sz w:val="21"/>
                <w:szCs w:val="21"/>
                <w:highlight w:val="none"/>
                <w:lang w:val="en-US" w:eastAsia="zh-CN"/>
              </w:rPr>
            </w:pPr>
            <w:r>
              <w:rPr>
                <w:rFonts w:ascii="Times New Roman" w:hAnsi="Times New Roman" w:eastAsia="宋体"/>
                <w:b/>
                <w:bCs/>
                <w:color w:val="auto"/>
                <w:kern w:val="2"/>
                <w:sz w:val="21"/>
                <w:szCs w:val="21"/>
                <w:highlight w:val="none"/>
                <w:lang w:val="en-US" w:eastAsia="zh-CN"/>
              </w:rPr>
              <w:t>（mg/L）</w:t>
            </w:r>
          </w:p>
        </w:tc>
        <w:tc>
          <w:tcPr>
            <w:tcW w:w="1570" w:type="dxa"/>
            <w:noWrap w:val="0"/>
            <w:vAlign w:val="center"/>
          </w:tcPr>
          <w:p>
            <w:pPr>
              <w:pStyle w:val="47"/>
              <w:tabs>
                <w:tab w:val="left" w:pos="0"/>
              </w:tabs>
              <w:spacing w:line="240" w:lineRule="auto"/>
              <w:ind w:firstLine="0" w:firstLineChars="0"/>
              <w:jc w:val="center"/>
              <w:rPr>
                <w:rFonts w:ascii="Times New Roman" w:hAnsi="Times New Roman" w:eastAsia="宋体"/>
                <w:b/>
                <w:bCs/>
                <w:color w:val="auto"/>
                <w:kern w:val="2"/>
                <w:sz w:val="21"/>
                <w:szCs w:val="21"/>
                <w:highlight w:val="none"/>
                <w:lang w:val="en-US" w:eastAsia="zh-CN"/>
              </w:rPr>
            </w:pPr>
            <w:r>
              <w:rPr>
                <w:rFonts w:ascii="Times New Roman" w:hAnsi="Times New Roman" w:eastAsia="宋体"/>
                <w:b/>
                <w:bCs/>
                <w:color w:val="auto"/>
                <w:kern w:val="2"/>
                <w:sz w:val="21"/>
                <w:szCs w:val="21"/>
                <w:highlight w:val="none"/>
                <w:lang w:val="en-US" w:eastAsia="zh-CN"/>
              </w:rPr>
              <w:t>高锰酸盐指数（mg/L）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73"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无名小沟</w:t>
            </w:r>
            <w:r>
              <w:rPr>
                <w:rFonts w:hint="eastAsia" w:ascii="Times New Roman" w:hAnsi="Times New Roman" w:eastAsia="宋体" w:cs="Times New Roman"/>
                <w:bCs/>
                <w:color w:val="auto"/>
                <w:sz w:val="21"/>
                <w:highlight w:val="none"/>
              </w:rPr>
              <w:t>上游500m</w:t>
            </w:r>
          </w:p>
        </w:tc>
        <w:tc>
          <w:tcPr>
            <w:tcW w:w="16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201</w:t>
            </w:r>
            <w:r>
              <w:rPr>
                <w:rFonts w:hint="eastAsia" w:ascii="Times New Roman" w:hAnsi="Times New Roman" w:eastAsia="宋体" w:cs="Times New Roman"/>
                <w:color w:val="auto"/>
                <w:sz w:val="21"/>
                <w:highlight w:val="none"/>
              </w:rPr>
              <w:t>9.7.18</w:t>
            </w:r>
          </w:p>
        </w:tc>
        <w:tc>
          <w:tcPr>
            <w:tcW w:w="159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6.74</w:t>
            </w:r>
          </w:p>
        </w:tc>
        <w:tc>
          <w:tcPr>
            <w:tcW w:w="139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12</w:t>
            </w:r>
          </w:p>
        </w:tc>
        <w:tc>
          <w:tcPr>
            <w:tcW w:w="146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w:t>
            </w:r>
          </w:p>
        </w:tc>
        <w:tc>
          <w:tcPr>
            <w:tcW w:w="151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0.030</w:t>
            </w:r>
          </w:p>
        </w:tc>
        <w:tc>
          <w:tcPr>
            <w:tcW w:w="168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0.261</w:t>
            </w:r>
          </w:p>
        </w:tc>
        <w:tc>
          <w:tcPr>
            <w:tcW w:w="15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16</w:t>
            </w:r>
          </w:p>
        </w:tc>
        <w:tc>
          <w:tcPr>
            <w:tcW w:w="157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1073"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63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201</w:t>
            </w:r>
            <w:r>
              <w:rPr>
                <w:rFonts w:hint="eastAsia" w:ascii="Times New Roman" w:hAnsi="Times New Roman" w:eastAsia="宋体" w:cs="Times New Roman"/>
                <w:color w:val="auto"/>
                <w:sz w:val="21"/>
                <w:highlight w:val="none"/>
              </w:rPr>
              <w:t>9.7.</w:t>
            </w: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9</w:t>
            </w:r>
          </w:p>
        </w:tc>
        <w:tc>
          <w:tcPr>
            <w:tcW w:w="159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6.673</w:t>
            </w:r>
          </w:p>
        </w:tc>
        <w:tc>
          <w:tcPr>
            <w:tcW w:w="139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13</w:t>
            </w:r>
          </w:p>
        </w:tc>
        <w:tc>
          <w:tcPr>
            <w:tcW w:w="146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2.9</w:t>
            </w:r>
          </w:p>
        </w:tc>
        <w:tc>
          <w:tcPr>
            <w:tcW w:w="151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0.031</w:t>
            </w:r>
          </w:p>
        </w:tc>
        <w:tc>
          <w:tcPr>
            <w:tcW w:w="168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0.262</w:t>
            </w:r>
          </w:p>
        </w:tc>
        <w:tc>
          <w:tcPr>
            <w:tcW w:w="15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15</w:t>
            </w:r>
          </w:p>
        </w:tc>
        <w:tc>
          <w:tcPr>
            <w:tcW w:w="157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1073"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6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201</w:t>
            </w:r>
            <w:r>
              <w:rPr>
                <w:rFonts w:hint="eastAsia" w:ascii="Times New Roman" w:hAnsi="Times New Roman" w:eastAsia="宋体" w:cs="Times New Roman"/>
                <w:color w:val="auto"/>
                <w:sz w:val="21"/>
                <w:highlight w:val="none"/>
              </w:rPr>
              <w:t>9.7.20</w:t>
            </w:r>
          </w:p>
        </w:tc>
        <w:tc>
          <w:tcPr>
            <w:tcW w:w="159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6.684</w:t>
            </w:r>
          </w:p>
        </w:tc>
        <w:tc>
          <w:tcPr>
            <w:tcW w:w="139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12</w:t>
            </w:r>
          </w:p>
        </w:tc>
        <w:tc>
          <w:tcPr>
            <w:tcW w:w="146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2.9</w:t>
            </w:r>
          </w:p>
        </w:tc>
        <w:tc>
          <w:tcPr>
            <w:tcW w:w="151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0.029</w:t>
            </w:r>
          </w:p>
        </w:tc>
        <w:tc>
          <w:tcPr>
            <w:tcW w:w="168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0.236</w:t>
            </w:r>
          </w:p>
        </w:tc>
        <w:tc>
          <w:tcPr>
            <w:tcW w:w="15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16</w:t>
            </w:r>
          </w:p>
        </w:tc>
        <w:tc>
          <w:tcPr>
            <w:tcW w:w="157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1073"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635" w:type="dxa"/>
            <w:noWrap w:val="0"/>
            <w:vAlign w:val="center"/>
          </w:tcPr>
          <w:p>
            <w:pPr>
              <w:spacing w:line="240" w:lineRule="auto"/>
              <w:ind w:firstLine="0" w:firstLineChars="0"/>
              <w:jc w:val="center"/>
              <w:rPr>
                <w:rFonts w:ascii="Times New Roman" w:hAnsi="Times New Roman" w:eastAsia="宋体" w:cs="Times New Roman"/>
                <w:color w:val="auto"/>
                <w:w w:val="90"/>
                <w:sz w:val="21"/>
                <w:highlight w:val="none"/>
              </w:rPr>
            </w:pPr>
            <w:r>
              <w:rPr>
                <w:rFonts w:ascii="Times New Roman" w:hAnsi="Times New Roman" w:eastAsia="宋体" w:cs="Times New Roman"/>
                <w:color w:val="auto"/>
                <w:sz w:val="21"/>
                <w:highlight w:val="none"/>
              </w:rPr>
              <w:t>监测值范围</w:t>
            </w:r>
          </w:p>
        </w:tc>
        <w:tc>
          <w:tcPr>
            <w:tcW w:w="159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6.673~6.74</w:t>
            </w:r>
          </w:p>
        </w:tc>
        <w:tc>
          <w:tcPr>
            <w:tcW w:w="139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12~13</w:t>
            </w:r>
          </w:p>
        </w:tc>
        <w:tc>
          <w:tcPr>
            <w:tcW w:w="146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2.5~2.9</w:t>
            </w:r>
          </w:p>
        </w:tc>
        <w:tc>
          <w:tcPr>
            <w:tcW w:w="151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0.029~0.031</w:t>
            </w:r>
          </w:p>
        </w:tc>
        <w:tc>
          <w:tcPr>
            <w:tcW w:w="168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0.236~0.262</w:t>
            </w:r>
          </w:p>
        </w:tc>
        <w:tc>
          <w:tcPr>
            <w:tcW w:w="153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15~16</w:t>
            </w:r>
          </w:p>
        </w:tc>
        <w:tc>
          <w:tcPr>
            <w:tcW w:w="15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0.6~0.7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jc w:val="center"/>
        </w:trPr>
        <w:tc>
          <w:tcPr>
            <w:tcW w:w="1073"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6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标准限值</w:t>
            </w:r>
          </w:p>
        </w:tc>
        <w:tc>
          <w:tcPr>
            <w:tcW w:w="159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6~9</w:t>
            </w:r>
          </w:p>
        </w:tc>
        <w:tc>
          <w:tcPr>
            <w:tcW w:w="139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≤20</w:t>
            </w:r>
          </w:p>
        </w:tc>
        <w:tc>
          <w:tcPr>
            <w:tcW w:w="146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w:t>
            </w:r>
          </w:p>
        </w:tc>
        <w:tc>
          <w:tcPr>
            <w:tcW w:w="151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≤0.05</w:t>
            </w:r>
          </w:p>
        </w:tc>
        <w:tc>
          <w:tcPr>
            <w:tcW w:w="168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53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≤30</w:t>
            </w:r>
          </w:p>
        </w:tc>
        <w:tc>
          <w:tcPr>
            <w:tcW w:w="157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73"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6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标准指数范围</w:t>
            </w:r>
          </w:p>
        </w:tc>
        <w:tc>
          <w:tcPr>
            <w:tcW w:w="159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0.26~0.324</w:t>
            </w:r>
          </w:p>
        </w:tc>
        <w:tc>
          <w:tcPr>
            <w:tcW w:w="139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0.6~0.65</w:t>
            </w:r>
          </w:p>
        </w:tc>
        <w:tc>
          <w:tcPr>
            <w:tcW w:w="146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0.625~0.725</w:t>
            </w:r>
          </w:p>
        </w:tc>
        <w:tc>
          <w:tcPr>
            <w:tcW w:w="151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0.58~0.62</w:t>
            </w:r>
          </w:p>
        </w:tc>
        <w:tc>
          <w:tcPr>
            <w:tcW w:w="168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0.236~0.262</w:t>
            </w:r>
          </w:p>
        </w:tc>
        <w:tc>
          <w:tcPr>
            <w:tcW w:w="153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0.5~0.53</w:t>
            </w:r>
          </w:p>
        </w:tc>
        <w:tc>
          <w:tcPr>
            <w:tcW w:w="15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73"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6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超标率</w:t>
            </w:r>
          </w:p>
        </w:tc>
        <w:tc>
          <w:tcPr>
            <w:tcW w:w="159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9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46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51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68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5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57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73"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6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最大超标倍数</w:t>
            </w:r>
          </w:p>
        </w:tc>
        <w:tc>
          <w:tcPr>
            <w:tcW w:w="159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9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46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51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68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5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57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73"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2#</w:t>
            </w:r>
            <w:r>
              <w:rPr>
                <w:rFonts w:hint="eastAsia" w:ascii="Times New Roman" w:hAnsi="Times New Roman" w:eastAsia="宋体" w:cs="Times New Roman"/>
                <w:bCs/>
                <w:color w:val="auto"/>
                <w:sz w:val="21"/>
                <w:highlight w:val="none"/>
              </w:rPr>
              <w:t>无名小沟</w:t>
            </w:r>
            <w:r>
              <w:rPr>
                <w:rFonts w:ascii="Times New Roman" w:hAnsi="Times New Roman" w:eastAsia="宋体" w:cs="Times New Roman"/>
                <w:bCs/>
                <w:color w:val="auto"/>
                <w:sz w:val="21"/>
                <w:highlight w:val="none"/>
              </w:rPr>
              <w:t>中游1000m</w:t>
            </w:r>
          </w:p>
        </w:tc>
        <w:tc>
          <w:tcPr>
            <w:tcW w:w="16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201</w:t>
            </w:r>
            <w:r>
              <w:rPr>
                <w:rFonts w:hint="eastAsia" w:ascii="Times New Roman" w:hAnsi="Times New Roman" w:eastAsia="宋体" w:cs="Times New Roman"/>
                <w:color w:val="auto"/>
                <w:sz w:val="21"/>
                <w:highlight w:val="none"/>
              </w:rPr>
              <w:t>9.7.18</w:t>
            </w:r>
          </w:p>
        </w:tc>
        <w:tc>
          <w:tcPr>
            <w:tcW w:w="159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6.793</w:t>
            </w:r>
          </w:p>
        </w:tc>
        <w:tc>
          <w:tcPr>
            <w:tcW w:w="139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w:t>
            </w:r>
          </w:p>
        </w:tc>
        <w:tc>
          <w:tcPr>
            <w:tcW w:w="146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w:t>
            </w:r>
          </w:p>
        </w:tc>
        <w:tc>
          <w:tcPr>
            <w:tcW w:w="151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0.030</w:t>
            </w:r>
          </w:p>
        </w:tc>
        <w:tc>
          <w:tcPr>
            <w:tcW w:w="168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0.194</w:t>
            </w:r>
          </w:p>
        </w:tc>
        <w:tc>
          <w:tcPr>
            <w:tcW w:w="15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w:t>
            </w:r>
          </w:p>
        </w:tc>
        <w:tc>
          <w:tcPr>
            <w:tcW w:w="157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9" w:hRule="atLeast"/>
          <w:jc w:val="center"/>
        </w:trPr>
        <w:tc>
          <w:tcPr>
            <w:tcW w:w="1073"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6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201</w:t>
            </w:r>
            <w:r>
              <w:rPr>
                <w:rFonts w:hint="eastAsia" w:ascii="Times New Roman" w:hAnsi="Times New Roman" w:eastAsia="宋体" w:cs="Times New Roman"/>
                <w:color w:val="auto"/>
                <w:sz w:val="21"/>
                <w:highlight w:val="none"/>
              </w:rPr>
              <w:t>9.7.</w:t>
            </w: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9</w:t>
            </w:r>
          </w:p>
        </w:tc>
        <w:tc>
          <w:tcPr>
            <w:tcW w:w="159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6.777</w:t>
            </w:r>
          </w:p>
        </w:tc>
        <w:tc>
          <w:tcPr>
            <w:tcW w:w="139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w:t>
            </w:r>
          </w:p>
        </w:tc>
        <w:tc>
          <w:tcPr>
            <w:tcW w:w="146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2.2</w:t>
            </w:r>
          </w:p>
        </w:tc>
        <w:tc>
          <w:tcPr>
            <w:tcW w:w="151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0.029</w:t>
            </w:r>
          </w:p>
        </w:tc>
        <w:tc>
          <w:tcPr>
            <w:tcW w:w="168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0.197</w:t>
            </w:r>
          </w:p>
        </w:tc>
        <w:tc>
          <w:tcPr>
            <w:tcW w:w="15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12</w:t>
            </w:r>
          </w:p>
        </w:tc>
        <w:tc>
          <w:tcPr>
            <w:tcW w:w="157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9" w:hRule="atLeast"/>
          <w:jc w:val="center"/>
        </w:trPr>
        <w:tc>
          <w:tcPr>
            <w:tcW w:w="1073"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6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201</w:t>
            </w:r>
            <w:r>
              <w:rPr>
                <w:rFonts w:hint="eastAsia" w:ascii="Times New Roman" w:hAnsi="Times New Roman" w:eastAsia="宋体" w:cs="Times New Roman"/>
                <w:color w:val="auto"/>
                <w:sz w:val="21"/>
                <w:highlight w:val="none"/>
              </w:rPr>
              <w:t>9.7.20</w:t>
            </w:r>
          </w:p>
        </w:tc>
        <w:tc>
          <w:tcPr>
            <w:tcW w:w="159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6.727</w:t>
            </w:r>
          </w:p>
        </w:tc>
        <w:tc>
          <w:tcPr>
            <w:tcW w:w="139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w:t>
            </w:r>
          </w:p>
        </w:tc>
        <w:tc>
          <w:tcPr>
            <w:tcW w:w="146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w:t>
            </w:r>
          </w:p>
        </w:tc>
        <w:tc>
          <w:tcPr>
            <w:tcW w:w="151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0.028</w:t>
            </w:r>
          </w:p>
        </w:tc>
        <w:tc>
          <w:tcPr>
            <w:tcW w:w="168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0.197</w:t>
            </w:r>
          </w:p>
        </w:tc>
        <w:tc>
          <w:tcPr>
            <w:tcW w:w="15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13</w:t>
            </w:r>
          </w:p>
        </w:tc>
        <w:tc>
          <w:tcPr>
            <w:tcW w:w="157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73" w:type="dxa"/>
            <w:vMerge w:val="continue"/>
            <w:noWrap w:val="0"/>
            <w:vAlign w:val="top"/>
          </w:tcPr>
          <w:p>
            <w:pPr>
              <w:spacing w:line="240" w:lineRule="auto"/>
              <w:ind w:firstLine="0" w:firstLineChars="0"/>
              <w:jc w:val="center"/>
              <w:rPr>
                <w:rFonts w:ascii="Times New Roman" w:hAnsi="Times New Roman" w:eastAsia="宋体" w:cs="Times New Roman"/>
                <w:color w:val="auto"/>
                <w:sz w:val="21"/>
                <w:highlight w:val="none"/>
              </w:rPr>
            </w:pPr>
          </w:p>
        </w:tc>
        <w:tc>
          <w:tcPr>
            <w:tcW w:w="16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监测值范围</w:t>
            </w:r>
          </w:p>
        </w:tc>
        <w:tc>
          <w:tcPr>
            <w:tcW w:w="1590"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6.727~6.793</w:t>
            </w:r>
          </w:p>
        </w:tc>
        <w:tc>
          <w:tcPr>
            <w:tcW w:w="1392"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w:t>
            </w:r>
          </w:p>
        </w:tc>
        <w:tc>
          <w:tcPr>
            <w:tcW w:w="1468"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2.1~2.2</w:t>
            </w:r>
          </w:p>
        </w:tc>
        <w:tc>
          <w:tcPr>
            <w:tcW w:w="1512" w:type="dxa"/>
            <w:noWrap w:val="0"/>
            <w:vAlign w:val="top"/>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0.028~0.030</w:t>
            </w:r>
          </w:p>
        </w:tc>
        <w:tc>
          <w:tcPr>
            <w:tcW w:w="1688"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0.194~0.197</w:t>
            </w:r>
          </w:p>
        </w:tc>
        <w:tc>
          <w:tcPr>
            <w:tcW w:w="1532"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12~17</w:t>
            </w:r>
          </w:p>
        </w:tc>
        <w:tc>
          <w:tcPr>
            <w:tcW w:w="1570"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0.8~0.9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73" w:type="dxa"/>
            <w:vMerge w:val="continue"/>
            <w:noWrap w:val="0"/>
            <w:vAlign w:val="top"/>
          </w:tcPr>
          <w:p>
            <w:pPr>
              <w:spacing w:line="240" w:lineRule="auto"/>
              <w:ind w:firstLine="0" w:firstLineChars="0"/>
              <w:jc w:val="center"/>
              <w:rPr>
                <w:rFonts w:ascii="Times New Roman" w:hAnsi="Times New Roman" w:eastAsia="宋体" w:cs="Times New Roman"/>
                <w:color w:val="auto"/>
                <w:sz w:val="21"/>
                <w:highlight w:val="none"/>
              </w:rPr>
            </w:pPr>
          </w:p>
        </w:tc>
        <w:tc>
          <w:tcPr>
            <w:tcW w:w="16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标准限值</w:t>
            </w:r>
          </w:p>
        </w:tc>
        <w:tc>
          <w:tcPr>
            <w:tcW w:w="159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6~9</w:t>
            </w:r>
          </w:p>
        </w:tc>
        <w:tc>
          <w:tcPr>
            <w:tcW w:w="139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≤20</w:t>
            </w:r>
          </w:p>
        </w:tc>
        <w:tc>
          <w:tcPr>
            <w:tcW w:w="146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w:t>
            </w:r>
          </w:p>
        </w:tc>
        <w:tc>
          <w:tcPr>
            <w:tcW w:w="151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≤0.05</w:t>
            </w:r>
          </w:p>
        </w:tc>
        <w:tc>
          <w:tcPr>
            <w:tcW w:w="168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5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≤30</w:t>
            </w:r>
          </w:p>
        </w:tc>
        <w:tc>
          <w:tcPr>
            <w:tcW w:w="157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9" w:hRule="atLeast"/>
          <w:jc w:val="center"/>
        </w:trPr>
        <w:tc>
          <w:tcPr>
            <w:tcW w:w="1073" w:type="dxa"/>
            <w:vMerge w:val="continue"/>
            <w:noWrap w:val="0"/>
            <w:vAlign w:val="top"/>
          </w:tcPr>
          <w:p>
            <w:pPr>
              <w:spacing w:line="240" w:lineRule="auto"/>
              <w:ind w:firstLine="0" w:firstLineChars="0"/>
              <w:jc w:val="center"/>
              <w:rPr>
                <w:rFonts w:ascii="Times New Roman" w:hAnsi="Times New Roman" w:eastAsia="宋体" w:cs="Times New Roman"/>
                <w:color w:val="auto"/>
                <w:sz w:val="21"/>
                <w:highlight w:val="none"/>
              </w:rPr>
            </w:pPr>
          </w:p>
        </w:tc>
        <w:tc>
          <w:tcPr>
            <w:tcW w:w="16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标准指数范围</w:t>
            </w:r>
          </w:p>
        </w:tc>
        <w:tc>
          <w:tcPr>
            <w:tcW w:w="159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0.207~0.263</w:t>
            </w:r>
          </w:p>
        </w:tc>
        <w:tc>
          <w:tcPr>
            <w:tcW w:w="1392"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0.4</w:t>
            </w:r>
          </w:p>
        </w:tc>
        <w:tc>
          <w:tcPr>
            <w:tcW w:w="1468"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0.525~0.55</w:t>
            </w:r>
          </w:p>
        </w:tc>
        <w:tc>
          <w:tcPr>
            <w:tcW w:w="1512"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0.56~0.6</w:t>
            </w:r>
          </w:p>
        </w:tc>
        <w:tc>
          <w:tcPr>
            <w:tcW w:w="1688" w:type="dxa"/>
            <w:noWrap w:val="0"/>
            <w:vAlign w:val="top"/>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0.194~0.197</w:t>
            </w:r>
          </w:p>
        </w:tc>
        <w:tc>
          <w:tcPr>
            <w:tcW w:w="1532"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0.4~0.57</w:t>
            </w:r>
          </w:p>
        </w:tc>
        <w:tc>
          <w:tcPr>
            <w:tcW w:w="1570"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0.13~0.15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9" w:hRule="atLeast"/>
          <w:jc w:val="center"/>
        </w:trPr>
        <w:tc>
          <w:tcPr>
            <w:tcW w:w="1073" w:type="dxa"/>
            <w:vMerge w:val="continue"/>
            <w:noWrap w:val="0"/>
            <w:vAlign w:val="top"/>
          </w:tcPr>
          <w:p>
            <w:pPr>
              <w:spacing w:line="240" w:lineRule="auto"/>
              <w:ind w:firstLine="0" w:firstLineChars="0"/>
              <w:jc w:val="center"/>
              <w:rPr>
                <w:rFonts w:ascii="Times New Roman" w:hAnsi="Times New Roman" w:eastAsia="宋体" w:cs="Times New Roman"/>
                <w:color w:val="auto"/>
                <w:sz w:val="21"/>
                <w:highlight w:val="none"/>
              </w:rPr>
            </w:pPr>
          </w:p>
        </w:tc>
        <w:tc>
          <w:tcPr>
            <w:tcW w:w="16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超标率</w:t>
            </w:r>
          </w:p>
        </w:tc>
        <w:tc>
          <w:tcPr>
            <w:tcW w:w="159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9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46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51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68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5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57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73" w:type="dxa"/>
            <w:vMerge w:val="continue"/>
            <w:noWrap w:val="0"/>
            <w:vAlign w:val="top"/>
          </w:tcPr>
          <w:p>
            <w:pPr>
              <w:spacing w:line="240" w:lineRule="auto"/>
              <w:ind w:firstLine="0" w:firstLineChars="0"/>
              <w:jc w:val="center"/>
              <w:rPr>
                <w:rFonts w:ascii="Times New Roman" w:hAnsi="Times New Roman" w:eastAsia="宋体" w:cs="Times New Roman"/>
                <w:color w:val="auto"/>
                <w:sz w:val="21"/>
                <w:highlight w:val="none"/>
              </w:rPr>
            </w:pPr>
          </w:p>
        </w:tc>
        <w:tc>
          <w:tcPr>
            <w:tcW w:w="16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最大超标倍数</w:t>
            </w:r>
          </w:p>
        </w:tc>
        <w:tc>
          <w:tcPr>
            <w:tcW w:w="159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9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46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51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68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5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57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6" w:hRule="atLeast"/>
          <w:jc w:val="center"/>
        </w:trPr>
        <w:tc>
          <w:tcPr>
            <w:tcW w:w="1073"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3#</w:t>
            </w:r>
            <w:r>
              <w:rPr>
                <w:rFonts w:hint="eastAsia" w:ascii="Times New Roman" w:hAnsi="Times New Roman" w:eastAsia="宋体" w:cs="Times New Roman"/>
                <w:bCs/>
                <w:color w:val="auto"/>
                <w:sz w:val="21"/>
                <w:highlight w:val="none"/>
              </w:rPr>
              <w:t>无名小沟</w:t>
            </w:r>
            <w:r>
              <w:rPr>
                <w:rFonts w:ascii="Times New Roman" w:hAnsi="Times New Roman" w:eastAsia="宋体" w:cs="Times New Roman"/>
                <w:bCs/>
                <w:color w:val="auto"/>
                <w:sz w:val="21"/>
                <w:highlight w:val="none"/>
              </w:rPr>
              <w:t>下游3000m</w:t>
            </w:r>
          </w:p>
        </w:tc>
        <w:tc>
          <w:tcPr>
            <w:tcW w:w="16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201</w:t>
            </w:r>
            <w:r>
              <w:rPr>
                <w:rFonts w:hint="eastAsia" w:ascii="Times New Roman" w:hAnsi="Times New Roman" w:eastAsia="宋体" w:cs="Times New Roman"/>
                <w:color w:val="auto"/>
                <w:sz w:val="21"/>
                <w:highlight w:val="none"/>
              </w:rPr>
              <w:t>9.7.18</w:t>
            </w:r>
          </w:p>
        </w:tc>
        <w:tc>
          <w:tcPr>
            <w:tcW w:w="159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6.682</w:t>
            </w:r>
          </w:p>
        </w:tc>
        <w:tc>
          <w:tcPr>
            <w:tcW w:w="139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11</w:t>
            </w:r>
          </w:p>
        </w:tc>
        <w:tc>
          <w:tcPr>
            <w:tcW w:w="146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1.9</w:t>
            </w:r>
          </w:p>
        </w:tc>
        <w:tc>
          <w:tcPr>
            <w:tcW w:w="151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0.031</w:t>
            </w:r>
          </w:p>
        </w:tc>
        <w:tc>
          <w:tcPr>
            <w:tcW w:w="168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0.281</w:t>
            </w:r>
          </w:p>
        </w:tc>
        <w:tc>
          <w:tcPr>
            <w:tcW w:w="15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19</w:t>
            </w:r>
          </w:p>
        </w:tc>
        <w:tc>
          <w:tcPr>
            <w:tcW w:w="157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9" w:hRule="atLeast"/>
          <w:jc w:val="center"/>
        </w:trPr>
        <w:tc>
          <w:tcPr>
            <w:tcW w:w="1073" w:type="dxa"/>
            <w:vMerge w:val="continue"/>
            <w:noWrap w:val="0"/>
            <w:vAlign w:val="top"/>
          </w:tcPr>
          <w:p>
            <w:pPr>
              <w:spacing w:line="240" w:lineRule="auto"/>
              <w:ind w:firstLine="0" w:firstLineChars="0"/>
              <w:jc w:val="center"/>
              <w:rPr>
                <w:rFonts w:ascii="Times New Roman" w:hAnsi="Times New Roman" w:eastAsia="宋体" w:cs="Times New Roman"/>
                <w:color w:val="auto"/>
                <w:sz w:val="21"/>
                <w:highlight w:val="none"/>
              </w:rPr>
            </w:pPr>
          </w:p>
        </w:tc>
        <w:tc>
          <w:tcPr>
            <w:tcW w:w="16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201</w:t>
            </w:r>
            <w:r>
              <w:rPr>
                <w:rFonts w:hint="eastAsia" w:ascii="Times New Roman" w:hAnsi="Times New Roman" w:eastAsia="宋体" w:cs="Times New Roman"/>
                <w:color w:val="auto"/>
                <w:sz w:val="21"/>
                <w:highlight w:val="none"/>
              </w:rPr>
              <w:t>9.7.</w:t>
            </w: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9</w:t>
            </w:r>
          </w:p>
        </w:tc>
        <w:tc>
          <w:tcPr>
            <w:tcW w:w="159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6.658</w:t>
            </w:r>
          </w:p>
        </w:tc>
        <w:tc>
          <w:tcPr>
            <w:tcW w:w="139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46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p>
        </w:tc>
        <w:tc>
          <w:tcPr>
            <w:tcW w:w="151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0.031</w:t>
            </w:r>
          </w:p>
        </w:tc>
        <w:tc>
          <w:tcPr>
            <w:tcW w:w="168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0.276</w:t>
            </w:r>
          </w:p>
        </w:tc>
        <w:tc>
          <w:tcPr>
            <w:tcW w:w="15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w:t>
            </w:r>
          </w:p>
        </w:tc>
        <w:tc>
          <w:tcPr>
            <w:tcW w:w="157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9" w:hRule="atLeast"/>
          <w:jc w:val="center"/>
        </w:trPr>
        <w:tc>
          <w:tcPr>
            <w:tcW w:w="1073" w:type="dxa"/>
            <w:vMerge w:val="continue"/>
            <w:noWrap w:val="0"/>
            <w:vAlign w:val="top"/>
          </w:tcPr>
          <w:p>
            <w:pPr>
              <w:spacing w:line="240" w:lineRule="auto"/>
              <w:ind w:firstLine="0" w:firstLineChars="0"/>
              <w:jc w:val="center"/>
              <w:rPr>
                <w:rFonts w:ascii="Times New Roman" w:hAnsi="Times New Roman" w:eastAsia="宋体" w:cs="Times New Roman"/>
                <w:color w:val="auto"/>
                <w:sz w:val="21"/>
                <w:highlight w:val="none"/>
              </w:rPr>
            </w:pPr>
          </w:p>
        </w:tc>
        <w:tc>
          <w:tcPr>
            <w:tcW w:w="16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201</w:t>
            </w:r>
            <w:r>
              <w:rPr>
                <w:rFonts w:hint="eastAsia" w:ascii="Times New Roman" w:hAnsi="Times New Roman" w:eastAsia="宋体" w:cs="Times New Roman"/>
                <w:color w:val="auto"/>
                <w:sz w:val="21"/>
                <w:highlight w:val="none"/>
              </w:rPr>
              <w:t>9.7.20</w:t>
            </w:r>
          </w:p>
        </w:tc>
        <w:tc>
          <w:tcPr>
            <w:tcW w:w="159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6.647</w:t>
            </w:r>
          </w:p>
        </w:tc>
        <w:tc>
          <w:tcPr>
            <w:tcW w:w="139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46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2.2</w:t>
            </w:r>
          </w:p>
        </w:tc>
        <w:tc>
          <w:tcPr>
            <w:tcW w:w="151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0.030</w:t>
            </w:r>
          </w:p>
        </w:tc>
        <w:tc>
          <w:tcPr>
            <w:tcW w:w="168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0.282</w:t>
            </w:r>
          </w:p>
        </w:tc>
        <w:tc>
          <w:tcPr>
            <w:tcW w:w="15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w:t>
            </w:r>
          </w:p>
        </w:tc>
        <w:tc>
          <w:tcPr>
            <w:tcW w:w="157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1073" w:type="dxa"/>
            <w:vMerge w:val="continue"/>
            <w:noWrap w:val="0"/>
            <w:vAlign w:val="top"/>
          </w:tcPr>
          <w:p>
            <w:pPr>
              <w:spacing w:line="240" w:lineRule="auto"/>
              <w:ind w:firstLine="0" w:firstLineChars="0"/>
              <w:jc w:val="center"/>
              <w:rPr>
                <w:rFonts w:ascii="Times New Roman" w:hAnsi="Times New Roman" w:eastAsia="宋体" w:cs="Times New Roman"/>
                <w:color w:val="auto"/>
                <w:sz w:val="21"/>
                <w:highlight w:val="none"/>
              </w:rPr>
            </w:pPr>
          </w:p>
        </w:tc>
        <w:tc>
          <w:tcPr>
            <w:tcW w:w="16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监测值范围</w:t>
            </w:r>
          </w:p>
        </w:tc>
        <w:tc>
          <w:tcPr>
            <w:tcW w:w="1590"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6.647~6.682</w:t>
            </w:r>
          </w:p>
        </w:tc>
        <w:tc>
          <w:tcPr>
            <w:tcW w:w="1392"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10~11</w:t>
            </w:r>
          </w:p>
        </w:tc>
        <w:tc>
          <w:tcPr>
            <w:tcW w:w="1468"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1.9~2.2</w:t>
            </w:r>
          </w:p>
        </w:tc>
        <w:tc>
          <w:tcPr>
            <w:tcW w:w="1512"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0.030~0.031</w:t>
            </w:r>
          </w:p>
        </w:tc>
        <w:tc>
          <w:tcPr>
            <w:tcW w:w="1688"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0.276~0.282</w:t>
            </w:r>
          </w:p>
        </w:tc>
        <w:tc>
          <w:tcPr>
            <w:tcW w:w="1532"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17~19</w:t>
            </w:r>
          </w:p>
        </w:tc>
        <w:tc>
          <w:tcPr>
            <w:tcW w:w="1570"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0.6~0.8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73" w:type="dxa"/>
            <w:vMerge w:val="continue"/>
            <w:noWrap w:val="0"/>
            <w:vAlign w:val="top"/>
          </w:tcPr>
          <w:p>
            <w:pPr>
              <w:spacing w:line="240" w:lineRule="auto"/>
              <w:ind w:firstLine="0" w:firstLineChars="0"/>
              <w:jc w:val="center"/>
              <w:rPr>
                <w:rFonts w:ascii="Times New Roman" w:hAnsi="Times New Roman" w:eastAsia="宋体" w:cs="Times New Roman"/>
                <w:color w:val="auto"/>
                <w:sz w:val="21"/>
                <w:highlight w:val="none"/>
              </w:rPr>
            </w:pPr>
          </w:p>
        </w:tc>
        <w:tc>
          <w:tcPr>
            <w:tcW w:w="16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标准限值</w:t>
            </w:r>
          </w:p>
        </w:tc>
        <w:tc>
          <w:tcPr>
            <w:tcW w:w="159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6~9</w:t>
            </w:r>
          </w:p>
        </w:tc>
        <w:tc>
          <w:tcPr>
            <w:tcW w:w="139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≤20</w:t>
            </w:r>
          </w:p>
        </w:tc>
        <w:tc>
          <w:tcPr>
            <w:tcW w:w="146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w:t>
            </w:r>
          </w:p>
        </w:tc>
        <w:tc>
          <w:tcPr>
            <w:tcW w:w="151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≤0.05</w:t>
            </w:r>
          </w:p>
        </w:tc>
        <w:tc>
          <w:tcPr>
            <w:tcW w:w="168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53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≤30</w:t>
            </w:r>
          </w:p>
        </w:tc>
        <w:tc>
          <w:tcPr>
            <w:tcW w:w="15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9" w:hRule="atLeast"/>
          <w:jc w:val="center"/>
        </w:trPr>
        <w:tc>
          <w:tcPr>
            <w:tcW w:w="1073" w:type="dxa"/>
            <w:vMerge w:val="continue"/>
            <w:noWrap w:val="0"/>
            <w:vAlign w:val="top"/>
          </w:tcPr>
          <w:p>
            <w:pPr>
              <w:spacing w:line="240" w:lineRule="auto"/>
              <w:ind w:firstLine="0" w:firstLineChars="0"/>
              <w:jc w:val="center"/>
              <w:rPr>
                <w:rFonts w:ascii="Times New Roman" w:hAnsi="Times New Roman" w:eastAsia="宋体" w:cs="Times New Roman"/>
                <w:color w:val="auto"/>
                <w:sz w:val="21"/>
                <w:highlight w:val="none"/>
              </w:rPr>
            </w:pPr>
          </w:p>
        </w:tc>
        <w:tc>
          <w:tcPr>
            <w:tcW w:w="16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标准指数范围</w:t>
            </w:r>
          </w:p>
        </w:tc>
        <w:tc>
          <w:tcPr>
            <w:tcW w:w="1590"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0.318~0.353</w:t>
            </w:r>
          </w:p>
        </w:tc>
        <w:tc>
          <w:tcPr>
            <w:tcW w:w="1392"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0.5~0.55</w:t>
            </w:r>
          </w:p>
        </w:tc>
        <w:tc>
          <w:tcPr>
            <w:tcW w:w="1468"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0.475~0.55</w:t>
            </w:r>
          </w:p>
        </w:tc>
        <w:tc>
          <w:tcPr>
            <w:tcW w:w="1512"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0.6~0.62</w:t>
            </w:r>
          </w:p>
        </w:tc>
        <w:tc>
          <w:tcPr>
            <w:tcW w:w="1688"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0.276~0.282</w:t>
            </w:r>
          </w:p>
        </w:tc>
        <w:tc>
          <w:tcPr>
            <w:tcW w:w="1532"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0.57~0.63</w:t>
            </w:r>
          </w:p>
        </w:tc>
        <w:tc>
          <w:tcPr>
            <w:tcW w:w="1570"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73" w:type="dxa"/>
            <w:vMerge w:val="continue"/>
            <w:noWrap w:val="0"/>
            <w:vAlign w:val="top"/>
          </w:tcPr>
          <w:p>
            <w:pPr>
              <w:spacing w:line="240" w:lineRule="auto"/>
              <w:ind w:firstLine="0" w:firstLineChars="0"/>
              <w:jc w:val="center"/>
              <w:rPr>
                <w:rFonts w:ascii="Times New Roman" w:hAnsi="Times New Roman" w:eastAsia="宋体" w:cs="Times New Roman"/>
                <w:color w:val="auto"/>
                <w:sz w:val="21"/>
                <w:highlight w:val="none"/>
              </w:rPr>
            </w:pPr>
          </w:p>
        </w:tc>
        <w:tc>
          <w:tcPr>
            <w:tcW w:w="16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超标率</w:t>
            </w:r>
          </w:p>
        </w:tc>
        <w:tc>
          <w:tcPr>
            <w:tcW w:w="159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9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46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51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68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53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5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9" w:hRule="atLeast"/>
          <w:jc w:val="center"/>
        </w:trPr>
        <w:tc>
          <w:tcPr>
            <w:tcW w:w="1073" w:type="dxa"/>
            <w:vMerge w:val="continue"/>
            <w:noWrap w:val="0"/>
            <w:vAlign w:val="top"/>
          </w:tcPr>
          <w:p>
            <w:pPr>
              <w:spacing w:line="240" w:lineRule="auto"/>
              <w:ind w:firstLine="0" w:firstLineChars="0"/>
              <w:jc w:val="center"/>
              <w:rPr>
                <w:rFonts w:ascii="Times New Roman" w:hAnsi="Times New Roman" w:eastAsia="宋体" w:cs="Times New Roman"/>
                <w:color w:val="auto"/>
                <w:sz w:val="21"/>
                <w:highlight w:val="none"/>
              </w:rPr>
            </w:pPr>
          </w:p>
        </w:tc>
        <w:tc>
          <w:tcPr>
            <w:tcW w:w="163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最大超标倍数</w:t>
            </w:r>
          </w:p>
        </w:tc>
        <w:tc>
          <w:tcPr>
            <w:tcW w:w="159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9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46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51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68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53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5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r>
    </w:tbl>
    <w:p>
      <w:pPr>
        <w:ind w:firstLine="480"/>
        <w:rPr>
          <w:rFonts w:ascii="Times New Roman" w:hAnsi="Times New Roman" w:eastAsia="宋体" w:cs="Times New Roman"/>
          <w:color w:val="auto"/>
          <w:highlight w:val="none"/>
        </w:rPr>
        <w:sectPr>
          <w:pgSz w:w="16838" w:h="11906" w:orient="landscape"/>
          <w:pgMar w:top="1440" w:right="1797" w:bottom="1440" w:left="1797" w:header="851" w:footer="992" w:gutter="0"/>
          <w:pgBorders>
            <w:top w:val="none" w:sz="0" w:space="0"/>
            <w:left w:val="none" w:sz="0" w:space="0"/>
            <w:bottom w:val="none" w:sz="0" w:space="0"/>
            <w:right w:val="none" w:sz="0" w:space="0"/>
          </w:pgBorders>
          <w:cols w:space="720" w:num="1"/>
          <w:docGrid w:type="lines" w:linePitch="312" w:charSpace="0"/>
        </w:sectPr>
      </w:pPr>
    </w:p>
    <w:p>
      <w:pPr>
        <w:pStyle w:val="5"/>
        <w:rPr>
          <w:rFonts w:ascii="Times New Roman" w:hAnsi="Times New Roman" w:eastAsia="宋体"/>
          <w:color w:val="auto"/>
          <w:highlight w:val="none"/>
        </w:rPr>
      </w:pPr>
      <w:bookmarkStart w:id="228" w:name="_Toc15234"/>
      <w:bookmarkStart w:id="229" w:name="_Toc29716"/>
      <w:bookmarkStart w:id="230" w:name="_Toc12316"/>
      <w:bookmarkStart w:id="231" w:name="_Toc25843"/>
      <w:bookmarkStart w:id="232" w:name="_Toc30515"/>
      <w:bookmarkStart w:id="233" w:name="_Toc20238"/>
      <w:bookmarkStart w:id="234" w:name="_Toc10603"/>
      <w:bookmarkStart w:id="235" w:name="_Toc22209"/>
      <w:bookmarkStart w:id="236" w:name="_Toc23113"/>
      <w:r>
        <w:rPr>
          <w:rFonts w:ascii="Times New Roman" w:hAnsi="Times New Roman" w:eastAsia="宋体"/>
          <w:color w:val="auto"/>
          <w:highlight w:val="none"/>
        </w:rPr>
        <w:t>3.2.3 地下水环境质量现状调查与评价</w:t>
      </w:r>
      <w:bookmarkEnd w:id="228"/>
      <w:bookmarkEnd w:id="229"/>
      <w:bookmarkEnd w:id="230"/>
      <w:bookmarkEnd w:id="231"/>
    </w:p>
    <w:bookmarkEnd w:id="232"/>
    <w:bookmarkEnd w:id="233"/>
    <w:bookmarkEnd w:id="234"/>
    <w:bookmarkEnd w:id="235"/>
    <w:bookmarkEnd w:id="236"/>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根据《环境影响评价技术导则 地下水环境》（HJ</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610-2016）</w:t>
      </w:r>
      <w:r>
        <w:rPr>
          <w:rFonts w:hint="eastAsia" w:ascii="Times New Roman" w:hAnsi="Times New Roman" w:eastAsia="宋体" w:cs="Times New Roman"/>
          <w:color w:val="auto"/>
          <w:highlight w:val="none"/>
        </w:rPr>
        <w:t>及评价等级判定</w:t>
      </w:r>
      <w:r>
        <w:rPr>
          <w:rFonts w:ascii="Times New Roman" w:hAnsi="Times New Roman" w:eastAsia="宋体" w:cs="Times New Roman"/>
          <w:color w:val="auto"/>
          <w:highlight w:val="none"/>
        </w:rPr>
        <w:t>，本项目地下水环境影响评价类别为Ⅳ类</w:t>
      </w:r>
      <w:r>
        <w:rPr>
          <w:rFonts w:hint="eastAsia" w:ascii="Times New Roman" w:hAnsi="Times New Roman" w:eastAsia="宋体" w:cs="Times New Roman"/>
          <w:color w:val="auto"/>
          <w:highlight w:val="none"/>
        </w:rPr>
        <w:t>，故本次不开展</w:t>
      </w:r>
      <w:r>
        <w:rPr>
          <w:rFonts w:ascii="Times New Roman" w:hAnsi="Times New Roman" w:eastAsia="宋体" w:cs="Times New Roman"/>
          <w:color w:val="auto"/>
          <w:highlight w:val="none"/>
        </w:rPr>
        <w:t>区域地下水环境质量现状</w:t>
      </w:r>
      <w:r>
        <w:rPr>
          <w:rFonts w:hint="eastAsia" w:ascii="Times New Roman" w:hAnsi="Times New Roman" w:eastAsia="宋体" w:cs="Times New Roman"/>
          <w:color w:val="auto"/>
          <w:highlight w:val="none"/>
        </w:rPr>
        <w:t>调查。</w:t>
      </w:r>
    </w:p>
    <w:p>
      <w:pPr>
        <w:pStyle w:val="5"/>
        <w:rPr>
          <w:rFonts w:ascii="Times New Roman" w:hAnsi="Times New Roman" w:eastAsia="宋体"/>
          <w:color w:val="auto"/>
          <w:highlight w:val="none"/>
        </w:rPr>
      </w:pPr>
      <w:bookmarkStart w:id="237" w:name="_Toc21156"/>
      <w:bookmarkStart w:id="238" w:name="_Toc1864"/>
      <w:bookmarkStart w:id="239" w:name="_Toc20132"/>
      <w:bookmarkStart w:id="240" w:name="_Toc27216"/>
      <w:r>
        <w:rPr>
          <w:rFonts w:ascii="Times New Roman" w:hAnsi="Times New Roman" w:eastAsia="宋体"/>
          <w:color w:val="auto"/>
          <w:highlight w:val="none"/>
        </w:rPr>
        <w:t>3.2.4 声环境质量现状调查与评价</w:t>
      </w:r>
      <w:bookmarkEnd w:id="237"/>
      <w:bookmarkEnd w:id="238"/>
      <w:bookmarkEnd w:id="239"/>
      <w:bookmarkEnd w:id="240"/>
    </w:p>
    <w:p>
      <w:pPr>
        <w:pStyle w:val="6"/>
        <w:rPr>
          <w:rStyle w:val="228"/>
          <w:rFonts w:ascii="Times New Roman" w:hAnsi="Times New Roman" w:eastAsia="宋体"/>
          <w:b/>
          <w:bCs w:val="0"/>
          <w:color w:val="auto"/>
          <w:highlight w:val="none"/>
        </w:rPr>
      </w:pPr>
      <w:r>
        <w:rPr>
          <w:rStyle w:val="228"/>
          <w:rFonts w:ascii="Times New Roman" w:hAnsi="Times New Roman" w:eastAsia="宋体"/>
          <w:b/>
          <w:bCs w:val="0"/>
          <w:color w:val="auto"/>
          <w:highlight w:val="none"/>
        </w:rPr>
        <w:t>3.2.4.1 监测点布设</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为了解评价区声环境现状，本次评价委托柳州市柳职院检验检测有限责任公司对评价区域进行声环境现状监测，共设4个监测点。监测点位见表3.2-</w:t>
      </w:r>
      <w:r>
        <w:rPr>
          <w:rFonts w:hint="eastAsia" w:ascii="Times New Roman" w:hAnsi="Times New Roman" w:eastAsia="宋体" w:cs="Times New Roman"/>
          <w:color w:val="auto"/>
          <w:highlight w:val="none"/>
        </w:rPr>
        <w:t>9</w:t>
      </w:r>
      <w:r>
        <w:rPr>
          <w:rFonts w:ascii="Times New Roman" w:hAnsi="Times New Roman" w:eastAsia="宋体" w:cs="Times New Roman"/>
          <w:color w:val="auto"/>
          <w:highlight w:val="none"/>
        </w:rPr>
        <w:t>及附图6。</w:t>
      </w:r>
    </w:p>
    <w:p>
      <w:pPr>
        <w:pStyle w:val="13"/>
        <w:rPr>
          <w:rFonts w:ascii="Times New Roman" w:hAnsi="Times New Roman" w:eastAsia="宋体"/>
          <w:color w:val="auto"/>
          <w:highlight w:val="none"/>
        </w:rPr>
      </w:pPr>
      <w:r>
        <w:rPr>
          <w:rFonts w:ascii="Times New Roman" w:hAnsi="Times New Roman" w:eastAsia="宋体"/>
          <w:color w:val="auto"/>
          <w:highlight w:val="none"/>
        </w:rPr>
        <w:t>表3.2-</w:t>
      </w:r>
      <w:r>
        <w:rPr>
          <w:rFonts w:hint="eastAsia" w:ascii="Times New Roman" w:hAnsi="Times New Roman" w:eastAsia="宋体"/>
          <w:color w:val="auto"/>
          <w:highlight w:val="none"/>
        </w:rPr>
        <w:t>9</w:t>
      </w:r>
      <w:r>
        <w:rPr>
          <w:rFonts w:ascii="Times New Roman" w:hAnsi="Times New Roman" w:eastAsia="宋体"/>
          <w:color w:val="auto"/>
          <w:highlight w:val="none"/>
        </w:rPr>
        <w:t xml:space="preserve">  噪声监测点位</w:t>
      </w:r>
    </w:p>
    <w:tbl>
      <w:tblPr>
        <w:tblStyle w:val="48"/>
        <w:tblW w:w="909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1"/>
        <w:gridCol w:w="3726"/>
        <w:gridCol w:w="2950"/>
        <w:gridCol w:w="16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771"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序号</w:t>
            </w:r>
          </w:p>
        </w:tc>
        <w:tc>
          <w:tcPr>
            <w:tcW w:w="3726"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监测点名称</w:t>
            </w:r>
          </w:p>
        </w:tc>
        <w:tc>
          <w:tcPr>
            <w:tcW w:w="2950"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方位</w:t>
            </w:r>
          </w:p>
        </w:tc>
        <w:tc>
          <w:tcPr>
            <w:tcW w:w="1646"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环境特征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77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372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东面厂界</w:t>
            </w:r>
          </w:p>
        </w:tc>
        <w:tc>
          <w:tcPr>
            <w:tcW w:w="2950" w:type="dxa"/>
            <w:noWrap w:val="0"/>
            <w:vAlign w:val="center"/>
          </w:tcPr>
          <w:p>
            <w:pPr>
              <w:tabs>
                <w:tab w:val="left" w:pos="3120"/>
              </w:tabs>
              <w:spacing w:line="240" w:lineRule="auto"/>
              <w:ind w:firstLine="0" w:firstLineChars="0"/>
              <w:jc w:val="center"/>
              <w:rPr>
                <w:rFonts w:ascii="Times New Roman" w:hAnsi="Times New Roman" w:eastAsia="宋体" w:cs="Times New Roman"/>
                <w:color w:val="auto"/>
                <w:sz w:val="21"/>
                <w:highlight w:val="none"/>
                <w:lang w:bidi="th-TH"/>
              </w:rPr>
            </w:pPr>
            <w:r>
              <w:rPr>
                <w:rFonts w:ascii="Times New Roman" w:hAnsi="Times New Roman" w:eastAsia="宋体" w:cs="Times New Roman"/>
                <w:color w:val="auto"/>
                <w:sz w:val="21"/>
                <w:highlight w:val="none"/>
              </w:rPr>
              <w:t>厂界</w:t>
            </w:r>
            <w:r>
              <w:rPr>
                <w:rFonts w:ascii="Times New Roman" w:hAnsi="Times New Roman" w:eastAsia="宋体" w:cs="Times New Roman"/>
                <w:color w:val="auto"/>
                <w:sz w:val="21"/>
                <w:highlight w:val="none"/>
                <w:lang w:bidi="th-TH"/>
              </w:rPr>
              <w:t>外1m</w:t>
            </w:r>
          </w:p>
        </w:tc>
        <w:tc>
          <w:tcPr>
            <w:tcW w:w="1646" w:type="dxa"/>
            <w:noWrap w:val="0"/>
            <w:vAlign w:val="center"/>
          </w:tcPr>
          <w:p>
            <w:pPr>
              <w:tabs>
                <w:tab w:val="left" w:pos="3120"/>
              </w:tabs>
              <w:spacing w:line="240" w:lineRule="auto"/>
              <w:ind w:firstLine="0" w:firstLineChars="0"/>
              <w:jc w:val="center"/>
              <w:rPr>
                <w:rFonts w:ascii="Times New Roman" w:hAnsi="Times New Roman" w:eastAsia="宋体" w:cs="Times New Roman"/>
                <w:color w:val="auto"/>
                <w:sz w:val="21"/>
                <w:highlight w:val="none"/>
                <w:lang w:bidi="th-TH"/>
              </w:rPr>
            </w:pPr>
            <w:r>
              <w:rPr>
                <w:rFonts w:ascii="Times New Roman" w:hAnsi="Times New Roman" w:eastAsia="宋体" w:cs="Times New Roman"/>
                <w:color w:val="auto"/>
                <w:sz w:val="21"/>
                <w:highlight w:val="none"/>
                <w:lang w:bidi="th-TH"/>
              </w:rPr>
              <w:t>厂界噪声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77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372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南面厂界</w:t>
            </w:r>
          </w:p>
        </w:tc>
        <w:tc>
          <w:tcPr>
            <w:tcW w:w="2950" w:type="dxa"/>
            <w:noWrap w:val="0"/>
            <w:vAlign w:val="center"/>
          </w:tcPr>
          <w:p>
            <w:pPr>
              <w:tabs>
                <w:tab w:val="left" w:pos="3120"/>
              </w:tabs>
              <w:spacing w:line="240" w:lineRule="auto"/>
              <w:ind w:firstLine="0" w:firstLineChars="0"/>
              <w:jc w:val="center"/>
              <w:rPr>
                <w:rFonts w:ascii="Times New Roman" w:hAnsi="Times New Roman" w:eastAsia="宋体" w:cs="Times New Roman"/>
                <w:color w:val="auto"/>
                <w:sz w:val="21"/>
                <w:highlight w:val="none"/>
                <w:lang w:bidi="th-TH"/>
              </w:rPr>
            </w:pPr>
            <w:r>
              <w:rPr>
                <w:rFonts w:ascii="Times New Roman" w:hAnsi="Times New Roman" w:eastAsia="宋体" w:cs="Times New Roman"/>
                <w:color w:val="auto"/>
                <w:sz w:val="21"/>
                <w:highlight w:val="none"/>
              </w:rPr>
              <w:t>厂界</w:t>
            </w:r>
            <w:r>
              <w:rPr>
                <w:rFonts w:ascii="Times New Roman" w:hAnsi="Times New Roman" w:eastAsia="宋体" w:cs="Times New Roman"/>
                <w:color w:val="auto"/>
                <w:sz w:val="21"/>
                <w:highlight w:val="none"/>
                <w:lang w:bidi="th-TH"/>
              </w:rPr>
              <w:t>外1m</w:t>
            </w:r>
          </w:p>
        </w:tc>
        <w:tc>
          <w:tcPr>
            <w:tcW w:w="1646" w:type="dxa"/>
            <w:noWrap w:val="0"/>
            <w:vAlign w:val="center"/>
          </w:tcPr>
          <w:p>
            <w:pPr>
              <w:tabs>
                <w:tab w:val="left" w:pos="3120"/>
              </w:tabs>
              <w:spacing w:line="240" w:lineRule="auto"/>
              <w:ind w:firstLine="0" w:firstLineChars="0"/>
              <w:jc w:val="center"/>
              <w:rPr>
                <w:rFonts w:ascii="Times New Roman" w:hAnsi="Times New Roman" w:eastAsia="宋体" w:cs="Times New Roman"/>
                <w:color w:val="auto"/>
                <w:sz w:val="21"/>
                <w:highlight w:val="none"/>
                <w:lang w:bidi="th-TH"/>
              </w:rPr>
            </w:pPr>
            <w:r>
              <w:rPr>
                <w:rFonts w:ascii="Times New Roman" w:hAnsi="Times New Roman" w:eastAsia="宋体" w:cs="Times New Roman"/>
                <w:color w:val="auto"/>
                <w:sz w:val="21"/>
                <w:highlight w:val="none"/>
                <w:lang w:bidi="th-TH"/>
              </w:rPr>
              <w:t>厂界噪声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77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372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西面厂界</w:t>
            </w:r>
          </w:p>
        </w:tc>
        <w:tc>
          <w:tcPr>
            <w:tcW w:w="2950" w:type="dxa"/>
            <w:noWrap w:val="0"/>
            <w:vAlign w:val="center"/>
          </w:tcPr>
          <w:p>
            <w:pPr>
              <w:tabs>
                <w:tab w:val="left" w:pos="3120"/>
              </w:tabs>
              <w:spacing w:line="240" w:lineRule="auto"/>
              <w:ind w:firstLine="0" w:firstLineChars="0"/>
              <w:jc w:val="center"/>
              <w:rPr>
                <w:rFonts w:ascii="Times New Roman" w:hAnsi="Times New Roman" w:eastAsia="宋体" w:cs="Times New Roman"/>
                <w:color w:val="auto"/>
                <w:sz w:val="21"/>
                <w:highlight w:val="none"/>
                <w:lang w:bidi="th-TH"/>
              </w:rPr>
            </w:pPr>
            <w:r>
              <w:rPr>
                <w:rFonts w:ascii="Times New Roman" w:hAnsi="Times New Roman" w:eastAsia="宋体" w:cs="Times New Roman"/>
                <w:color w:val="auto"/>
                <w:sz w:val="21"/>
                <w:highlight w:val="none"/>
              </w:rPr>
              <w:t>厂界</w:t>
            </w:r>
            <w:r>
              <w:rPr>
                <w:rFonts w:ascii="Times New Roman" w:hAnsi="Times New Roman" w:eastAsia="宋体" w:cs="Times New Roman"/>
                <w:color w:val="auto"/>
                <w:sz w:val="21"/>
                <w:highlight w:val="none"/>
                <w:lang w:bidi="th-TH"/>
              </w:rPr>
              <w:t>外1m</w:t>
            </w:r>
          </w:p>
        </w:tc>
        <w:tc>
          <w:tcPr>
            <w:tcW w:w="1646" w:type="dxa"/>
            <w:noWrap w:val="0"/>
            <w:vAlign w:val="center"/>
          </w:tcPr>
          <w:p>
            <w:pPr>
              <w:tabs>
                <w:tab w:val="left" w:pos="3120"/>
              </w:tabs>
              <w:spacing w:line="240" w:lineRule="auto"/>
              <w:ind w:firstLine="0" w:firstLineChars="0"/>
              <w:jc w:val="center"/>
              <w:rPr>
                <w:rFonts w:ascii="Times New Roman" w:hAnsi="Times New Roman" w:eastAsia="宋体" w:cs="Times New Roman"/>
                <w:color w:val="auto"/>
                <w:sz w:val="21"/>
                <w:highlight w:val="none"/>
                <w:lang w:bidi="th-TH"/>
              </w:rPr>
            </w:pPr>
            <w:r>
              <w:rPr>
                <w:rFonts w:ascii="Times New Roman" w:hAnsi="Times New Roman" w:eastAsia="宋体" w:cs="Times New Roman"/>
                <w:color w:val="auto"/>
                <w:sz w:val="21"/>
                <w:highlight w:val="none"/>
                <w:lang w:bidi="th-TH"/>
              </w:rPr>
              <w:t>厂界噪声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trPr>
        <w:tc>
          <w:tcPr>
            <w:tcW w:w="77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372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北面厂界</w:t>
            </w:r>
          </w:p>
        </w:tc>
        <w:tc>
          <w:tcPr>
            <w:tcW w:w="2950" w:type="dxa"/>
            <w:noWrap w:val="0"/>
            <w:vAlign w:val="center"/>
          </w:tcPr>
          <w:p>
            <w:pPr>
              <w:tabs>
                <w:tab w:val="left" w:pos="3120"/>
              </w:tabs>
              <w:spacing w:line="240" w:lineRule="auto"/>
              <w:ind w:firstLine="0" w:firstLineChars="0"/>
              <w:jc w:val="center"/>
              <w:rPr>
                <w:rFonts w:ascii="Times New Roman" w:hAnsi="Times New Roman" w:eastAsia="宋体" w:cs="Times New Roman"/>
                <w:color w:val="auto"/>
                <w:sz w:val="21"/>
                <w:highlight w:val="none"/>
                <w:lang w:bidi="th-TH"/>
              </w:rPr>
            </w:pPr>
            <w:r>
              <w:rPr>
                <w:rFonts w:ascii="Times New Roman" w:hAnsi="Times New Roman" w:eastAsia="宋体" w:cs="Times New Roman"/>
                <w:color w:val="auto"/>
                <w:sz w:val="21"/>
                <w:highlight w:val="none"/>
              </w:rPr>
              <w:t>厂界</w:t>
            </w:r>
            <w:r>
              <w:rPr>
                <w:rFonts w:ascii="Times New Roman" w:hAnsi="Times New Roman" w:eastAsia="宋体" w:cs="Times New Roman"/>
                <w:color w:val="auto"/>
                <w:sz w:val="21"/>
                <w:highlight w:val="none"/>
                <w:lang w:bidi="th-TH"/>
              </w:rPr>
              <w:t>外1m</w:t>
            </w:r>
          </w:p>
        </w:tc>
        <w:tc>
          <w:tcPr>
            <w:tcW w:w="1646" w:type="dxa"/>
            <w:noWrap w:val="0"/>
            <w:vAlign w:val="center"/>
          </w:tcPr>
          <w:p>
            <w:pPr>
              <w:tabs>
                <w:tab w:val="left" w:pos="3120"/>
              </w:tabs>
              <w:spacing w:line="240" w:lineRule="auto"/>
              <w:ind w:firstLine="0" w:firstLineChars="0"/>
              <w:jc w:val="center"/>
              <w:rPr>
                <w:rFonts w:ascii="Times New Roman" w:hAnsi="Times New Roman" w:eastAsia="宋体" w:cs="Times New Roman"/>
                <w:color w:val="auto"/>
                <w:sz w:val="21"/>
                <w:highlight w:val="none"/>
                <w:lang w:bidi="th-TH"/>
              </w:rPr>
            </w:pPr>
            <w:r>
              <w:rPr>
                <w:rFonts w:ascii="Times New Roman" w:hAnsi="Times New Roman" w:eastAsia="宋体" w:cs="Times New Roman"/>
                <w:color w:val="auto"/>
                <w:sz w:val="21"/>
                <w:highlight w:val="none"/>
                <w:lang w:bidi="th-TH"/>
              </w:rPr>
              <w:t>厂界噪声</w:t>
            </w:r>
          </w:p>
        </w:tc>
      </w:tr>
    </w:tbl>
    <w:p>
      <w:pPr>
        <w:pStyle w:val="6"/>
        <w:spacing w:line="500" w:lineRule="exact"/>
        <w:rPr>
          <w:rStyle w:val="228"/>
          <w:rFonts w:ascii="Times New Roman" w:hAnsi="Times New Roman" w:eastAsia="宋体"/>
          <w:b/>
          <w:bCs w:val="0"/>
          <w:color w:val="auto"/>
          <w:highlight w:val="none"/>
        </w:rPr>
      </w:pPr>
      <w:r>
        <w:rPr>
          <w:rStyle w:val="228"/>
          <w:rFonts w:ascii="Times New Roman" w:hAnsi="Times New Roman" w:eastAsia="宋体"/>
          <w:b/>
          <w:bCs w:val="0"/>
          <w:color w:val="auto"/>
          <w:highlight w:val="none"/>
        </w:rPr>
        <w:t>3.2.4.2 监测时间和频率</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2019年</w:t>
      </w:r>
      <w:r>
        <w:rPr>
          <w:rFonts w:hint="eastAsia" w:ascii="Times New Roman" w:hAnsi="Times New Roman" w:eastAsia="宋体" w:cs="Times New Roman"/>
          <w:color w:val="auto"/>
          <w:highlight w:val="none"/>
        </w:rPr>
        <w:t>7</w:t>
      </w:r>
      <w:r>
        <w:rPr>
          <w:rFonts w:ascii="Times New Roman" w:hAnsi="Times New Roman" w:eastAsia="宋体" w:cs="Times New Roman"/>
          <w:color w:val="auto"/>
          <w:highlight w:val="none"/>
        </w:rPr>
        <w:t>月</w:t>
      </w:r>
      <w:r>
        <w:rPr>
          <w:rFonts w:hint="eastAsia" w:ascii="Times New Roman" w:hAnsi="Times New Roman" w:eastAsia="宋体" w:cs="Times New Roman"/>
          <w:color w:val="auto"/>
          <w:highlight w:val="none"/>
        </w:rPr>
        <w:t>18</w:t>
      </w:r>
      <w:r>
        <w:rPr>
          <w:rFonts w:ascii="Times New Roman" w:hAnsi="Times New Roman" w:eastAsia="宋体" w:cs="Times New Roman"/>
          <w:color w:val="auto"/>
          <w:highlight w:val="none"/>
        </w:rPr>
        <w:t>日～</w:t>
      </w:r>
      <w:r>
        <w:rPr>
          <w:rFonts w:hint="eastAsia" w:ascii="Times New Roman" w:hAnsi="Times New Roman" w:eastAsia="宋体" w:cs="Times New Roman"/>
          <w:color w:val="auto"/>
          <w:highlight w:val="none"/>
        </w:rPr>
        <w:t>7</w:t>
      </w:r>
      <w:r>
        <w:rPr>
          <w:rFonts w:ascii="Times New Roman" w:hAnsi="Times New Roman" w:eastAsia="宋体" w:cs="Times New Roman"/>
          <w:color w:val="auto"/>
          <w:highlight w:val="none"/>
        </w:rPr>
        <w:t>月</w:t>
      </w:r>
      <w:r>
        <w:rPr>
          <w:rFonts w:hint="eastAsia" w:ascii="Times New Roman" w:hAnsi="Times New Roman" w:eastAsia="宋体" w:cs="Times New Roman"/>
          <w:color w:val="auto"/>
          <w:highlight w:val="none"/>
        </w:rPr>
        <w:t>19</w:t>
      </w:r>
      <w:r>
        <w:rPr>
          <w:rFonts w:ascii="Times New Roman" w:hAnsi="Times New Roman" w:eastAsia="宋体" w:cs="Times New Roman"/>
          <w:color w:val="auto"/>
          <w:highlight w:val="none"/>
        </w:rPr>
        <w:t>日，连续监测2天，每天昼间（6﹕00～22﹕00）和夜间（22﹕00～6﹕00）各监测1次，分别代表昼间和夜间的噪声值。</w:t>
      </w:r>
    </w:p>
    <w:p>
      <w:pPr>
        <w:pStyle w:val="6"/>
        <w:rPr>
          <w:rFonts w:ascii="Times New Roman" w:hAnsi="Times New Roman" w:eastAsia="宋体"/>
          <w:color w:val="auto"/>
          <w:highlight w:val="none"/>
        </w:rPr>
      </w:pPr>
      <w:r>
        <w:rPr>
          <w:rFonts w:ascii="Times New Roman" w:hAnsi="Times New Roman" w:eastAsia="宋体"/>
          <w:color w:val="auto"/>
          <w:highlight w:val="none"/>
        </w:rPr>
        <w:t>3.2.4.3 分析方法</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按《声环境质量标准》（GB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3096-2008）中有关规定进行监测，所用的监测仪器为AWA6228型多功能声级计，原则上选无雨雪、无雷电天气，风速小于5m/s时进行监测。</w:t>
      </w:r>
    </w:p>
    <w:p>
      <w:pPr>
        <w:pStyle w:val="6"/>
        <w:spacing w:line="500" w:lineRule="exact"/>
        <w:rPr>
          <w:rStyle w:val="228"/>
          <w:rFonts w:ascii="Times New Roman" w:hAnsi="Times New Roman" w:eastAsia="宋体"/>
          <w:b/>
          <w:bCs w:val="0"/>
          <w:color w:val="auto"/>
          <w:highlight w:val="none"/>
        </w:rPr>
      </w:pPr>
      <w:r>
        <w:rPr>
          <w:rStyle w:val="228"/>
          <w:rFonts w:ascii="Times New Roman" w:hAnsi="Times New Roman" w:eastAsia="宋体"/>
          <w:b/>
          <w:bCs w:val="0"/>
          <w:color w:val="auto"/>
          <w:highlight w:val="none"/>
        </w:rPr>
        <w:t>3.2.4.4 监测因子</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按《环境影响评价技术导则 声环境》（HJ</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2.4-2009）的要求，选取等效连续A声级作为监测因子。</w:t>
      </w:r>
    </w:p>
    <w:p>
      <w:pPr>
        <w:pStyle w:val="6"/>
        <w:spacing w:line="500" w:lineRule="exact"/>
        <w:rPr>
          <w:rStyle w:val="228"/>
          <w:rFonts w:ascii="Times New Roman" w:hAnsi="Times New Roman" w:eastAsia="宋体"/>
          <w:b/>
          <w:bCs w:val="0"/>
          <w:color w:val="auto"/>
          <w:highlight w:val="none"/>
        </w:rPr>
      </w:pPr>
      <w:r>
        <w:rPr>
          <w:rStyle w:val="228"/>
          <w:rFonts w:ascii="Times New Roman" w:hAnsi="Times New Roman" w:eastAsia="宋体"/>
          <w:b/>
          <w:bCs w:val="0"/>
          <w:color w:val="auto"/>
          <w:highlight w:val="none"/>
        </w:rPr>
        <w:t>3.2.4.5 评价标准和评价方法</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（1）评价标准</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声环境质量执行《声环境质量标准》（GB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3096-2008）2类功能区环境噪声限值，评价标准具体可见1.4.1节相关内容。</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（2）评价方法</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以等效声级Leq为评价量与环境标准值对比法进行评价。</w:t>
      </w:r>
    </w:p>
    <w:p>
      <w:pPr>
        <w:pStyle w:val="6"/>
        <w:spacing w:line="500" w:lineRule="exact"/>
        <w:rPr>
          <w:rStyle w:val="228"/>
          <w:rFonts w:ascii="Times New Roman" w:hAnsi="Times New Roman" w:eastAsia="宋体"/>
          <w:b/>
          <w:bCs w:val="0"/>
          <w:color w:val="auto"/>
          <w:highlight w:val="none"/>
        </w:rPr>
      </w:pPr>
      <w:r>
        <w:rPr>
          <w:rStyle w:val="228"/>
          <w:rFonts w:ascii="Times New Roman" w:hAnsi="Times New Roman" w:eastAsia="宋体"/>
          <w:b/>
          <w:bCs w:val="0"/>
          <w:color w:val="auto"/>
          <w:highlight w:val="none"/>
        </w:rPr>
        <w:t>3.2.4.6 监测结果与评价</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w:t>
      </w:r>
      <w:r>
        <w:rPr>
          <w:rFonts w:hint="eastAsia" w:ascii="Times New Roman" w:hAnsi="Times New Roman" w:eastAsia="宋体" w:cs="Times New Roman"/>
          <w:color w:val="auto"/>
          <w:highlight w:val="none"/>
        </w:rPr>
        <w:t>厂界</w:t>
      </w:r>
      <w:r>
        <w:rPr>
          <w:rFonts w:ascii="Times New Roman" w:hAnsi="Times New Roman" w:eastAsia="宋体" w:cs="Times New Roman"/>
          <w:color w:val="auto"/>
          <w:highlight w:val="none"/>
        </w:rPr>
        <w:t>环境噪声监测结果及评价见表3.2-1</w:t>
      </w: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w:t>
      </w:r>
    </w:p>
    <w:p>
      <w:pPr>
        <w:pStyle w:val="13"/>
        <w:rPr>
          <w:rFonts w:ascii="Times New Roman" w:hAnsi="Times New Roman" w:eastAsia="宋体"/>
          <w:color w:val="auto"/>
          <w:highlight w:val="none"/>
        </w:rPr>
      </w:pPr>
      <w:r>
        <w:rPr>
          <w:rFonts w:ascii="Times New Roman" w:hAnsi="Times New Roman" w:eastAsia="宋体"/>
          <w:color w:val="auto"/>
          <w:highlight w:val="none"/>
        </w:rPr>
        <w:t>表3.2-1</w:t>
      </w:r>
      <w:r>
        <w:rPr>
          <w:rFonts w:hint="eastAsia" w:ascii="Times New Roman" w:hAnsi="Times New Roman" w:eastAsia="宋体"/>
          <w:color w:val="auto"/>
          <w:highlight w:val="none"/>
        </w:rPr>
        <w:t>0</w:t>
      </w:r>
      <w:r>
        <w:rPr>
          <w:rFonts w:ascii="Times New Roman" w:hAnsi="Times New Roman" w:eastAsia="宋体"/>
          <w:color w:val="auto"/>
          <w:highlight w:val="none"/>
        </w:rPr>
        <w:t xml:space="preserve"> 环境噪声监测结果及评价表（单位：dB(A)）</w:t>
      </w:r>
    </w:p>
    <w:tbl>
      <w:tblPr>
        <w:tblStyle w:val="48"/>
        <w:tblW w:w="909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203"/>
        <w:gridCol w:w="798"/>
        <w:gridCol w:w="798"/>
        <w:gridCol w:w="798"/>
        <w:gridCol w:w="799"/>
        <w:gridCol w:w="799"/>
        <w:gridCol w:w="798"/>
        <w:gridCol w:w="798"/>
        <w:gridCol w:w="7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15" w:type="dxa"/>
            <w:gridSpan w:val="2"/>
            <w:vMerge w:val="restart"/>
            <w:noWrap w:val="0"/>
            <w:vAlign w:val="center"/>
          </w:tcPr>
          <w:p>
            <w:pPr>
              <w:pStyle w:val="81"/>
              <w:jc w:val="right"/>
              <w:rPr>
                <w:rFonts w:ascii="Times New Roman" w:hAnsi="Times New Roman" w:eastAsia="宋体"/>
                <w:b/>
                <w:bCs/>
                <w:color w:val="auto"/>
                <w:szCs w:val="21"/>
                <w:highlight w:val="none"/>
                <w:lang w:val="en-US" w:eastAsia="zh-CN"/>
              </w:rPr>
            </w:pPr>
            <w:r>
              <w:rPr>
                <w:rFonts w:ascii="Times New Roman" w:hAnsi="Times New Roman" w:eastAsia="宋体"/>
                <w:color w:val="auto"/>
                <w:highlight w:val="none"/>
                <w:lang w:val="en-US" w:eastAsia="zh-CN"/>
              </w:rPr>
              <mc:AlternateContent>
                <mc:Choice Requires="wps">
                  <w:drawing>
                    <wp:anchor distT="0" distB="0" distL="114300" distR="114300" simplePos="0" relativeHeight="251678720" behindDoc="0" locked="0" layoutInCell="1" allowOverlap="1">
                      <wp:simplePos x="0" y="0"/>
                      <wp:positionH relativeFrom="column">
                        <wp:posOffset>-62230</wp:posOffset>
                      </wp:positionH>
                      <wp:positionV relativeFrom="paragraph">
                        <wp:posOffset>3810</wp:posOffset>
                      </wp:positionV>
                      <wp:extent cx="1714500" cy="419100"/>
                      <wp:effectExtent l="1270" t="4445" r="17780" b="14605"/>
                      <wp:wrapNone/>
                      <wp:docPr id="18" name="直线 28"/>
                      <wp:cNvGraphicFramePr/>
                      <a:graphic xmlns:a="http://schemas.openxmlformats.org/drawingml/2006/main">
                        <a:graphicData uri="http://schemas.microsoft.com/office/word/2010/wordprocessingShape">
                          <wps:wsp>
                            <wps:cNvCnPr/>
                            <wps:spPr>
                              <a:xfrm>
                                <a:off x="0" y="0"/>
                                <a:ext cx="1714500" cy="4191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8" o:spid="_x0000_s1026" o:spt="20" style="position:absolute;left:0pt;margin-left:-4.9pt;margin-top:0.3pt;height:33pt;width:135pt;z-index:251678720;mso-width-relative:page;mso-height-relative:page;" filled="f" stroked="t" coordsize="21600,21600" o:gfxdata="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mNZWJ1AAAAAYBAAAPAAAAAAAAAAEAIAAAACIAAABk&#10;cnMvZG93bnJldi54bWxQSwECFAAUAAAACACHTuJAoL5cFdEBAACUAwAADgAAAAAAAAABACAAAAAj&#10;AQAAZHJzL2Uyb0RvYy54bWxQSwUGAAAAAAYABgBZAQAAZgUAAAAA&#10;">
                      <v:fill on="f" focussize="0,0"/>
                      <v:stroke color="#000000" joinstyle="round"/>
                      <v:imagedata o:title=""/>
                      <o:lock v:ext="edit" aspectratio="f"/>
                    </v:line>
                  </w:pict>
                </mc:Fallback>
              </mc:AlternateContent>
            </w:r>
            <w:r>
              <w:rPr>
                <w:rFonts w:ascii="Times New Roman" w:hAnsi="Times New Roman" w:eastAsia="宋体"/>
                <w:b/>
                <w:bCs/>
                <w:color w:val="auto"/>
                <w:szCs w:val="21"/>
                <w:highlight w:val="none"/>
                <w:lang w:val="en-US" w:eastAsia="zh-CN"/>
              </w:rPr>
              <w:t>监测点位</w:t>
            </w:r>
          </w:p>
          <w:p>
            <w:pPr>
              <w:pStyle w:val="81"/>
              <w:jc w:val="left"/>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日期</w:t>
            </w:r>
          </w:p>
        </w:tc>
        <w:tc>
          <w:tcPr>
            <w:tcW w:w="1596" w:type="dxa"/>
            <w:gridSpan w:val="2"/>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1#东面厂界</w:t>
            </w:r>
          </w:p>
        </w:tc>
        <w:tc>
          <w:tcPr>
            <w:tcW w:w="1597" w:type="dxa"/>
            <w:gridSpan w:val="2"/>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2#南面厂界</w:t>
            </w:r>
          </w:p>
        </w:tc>
        <w:tc>
          <w:tcPr>
            <w:tcW w:w="1597" w:type="dxa"/>
            <w:gridSpan w:val="2"/>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3#西面厂界</w:t>
            </w:r>
          </w:p>
        </w:tc>
        <w:tc>
          <w:tcPr>
            <w:tcW w:w="1588" w:type="dxa"/>
            <w:gridSpan w:val="2"/>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4#北面厂界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15" w:type="dxa"/>
            <w:gridSpan w:val="2"/>
            <w:vMerge w:val="continue"/>
            <w:noWrap w:val="0"/>
            <w:vAlign w:val="center"/>
          </w:tcPr>
          <w:p>
            <w:pPr>
              <w:spacing w:line="240" w:lineRule="auto"/>
              <w:ind w:firstLine="0" w:firstLineChars="0"/>
              <w:jc w:val="left"/>
              <w:rPr>
                <w:rFonts w:ascii="Times New Roman" w:hAnsi="Times New Roman" w:eastAsia="宋体" w:cs="Times New Roman"/>
                <w:b/>
                <w:bCs/>
                <w:color w:val="auto"/>
                <w:sz w:val="21"/>
                <w:highlight w:val="none"/>
              </w:rPr>
            </w:pPr>
          </w:p>
        </w:tc>
        <w:tc>
          <w:tcPr>
            <w:tcW w:w="798" w:type="dxa"/>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昼间</w:t>
            </w:r>
          </w:p>
        </w:tc>
        <w:tc>
          <w:tcPr>
            <w:tcW w:w="798" w:type="dxa"/>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夜间</w:t>
            </w:r>
          </w:p>
        </w:tc>
        <w:tc>
          <w:tcPr>
            <w:tcW w:w="798" w:type="dxa"/>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昼间</w:t>
            </w:r>
          </w:p>
        </w:tc>
        <w:tc>
          <w:tcPr>
            <w:tcW w:w="799" w:type="dxa"/>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夜间</w:t>
            </w:r>
          </w:p>
        </w:tc>
        <w:tc>
          <w:tcPr>
            <w:tcW w:w="799" w:type="dxa"/>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昼间</w:t>
            </w:r>
          </w:p>
        </w:tc>
        <w:tc>
          <w:tcPr>
            <w:tcW w:w="798" w:type="dxa"/>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夜间</w:t>
            </w:r>
          </w:p>
        </w:tc>
        <w:tc>
          <w:tcPr>
            <w:tcW w:w="798" w:type="dxa"/>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昼间</w:t>
            </w:r>
          </w:p>
        </w:tc>
        <w:tc>
          <w:tcPr>
            <w:tcW w:w="790" w:type="dxa"/>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15" w:type="dxa"/>
            <w:gridSpan w:val="2"/>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2019年</w:t>
            </w:r>
            <w:r>
              <w:rPr>
                <w:rFonts w:hint="eastAsia" w:ascii="Times New Roman" w:hAnsi="Times New Roman" w:eastAsia="宋体"/>
                <w:color w:val="auto"/>
                <w:szCs w:val="21"/>
                <w:highlight w:val="none"/>
                <w:lang w:val="en-US" w:eastAsia="zh-CN"/>
              </w:rPr>
              <w:t>7</w:t>
            </w:r>
            <w:r>
              <w:rPr>
                <w:rFonts w:ascii="Times New Roman" w:hAnsi="Times New Roman" w:eastAsia="宋体"/>
                <w:color w:val="auto"/>
                <w:szCs w:val="21"/>
                <w:highlight w:val="none"/>
                <w:lang w:val="en-US" w:eastAsia="zh-CN"/>
              </w:rPr>
              <w:t>月</w:t>
            </w:r>
            <w:r>
              <w:rPr>
                <w:rFonts w:hint="eastAsia" w:ascii="Times New Roman" w:hAnsi="Times New Roman" w:eastAsia="宋体"/>
                <w:color w:val="auto"/>
                <w:szCs w:val="21"/>
                <w:highlight w:val="none"/>
                <w:lang w:val="en-US" w:eastAsia="zh-CN"/>
              </w:rPr>
              <w:t>18</w:t>
            </w:r>
            <w:r>
              <w:rPr>
                <w:rFonts w:ascii="Times New Roman" w:hAnsi="Times New Roman" w:eastAsia="宋体"/>
                <w:color w:val="auto"/>
                <w:szCs w:val="21"/>
                <w:highlight w:val="none"/>
                <w:lang w:val="en-US" w:eastAsia="zh-CN"/>
              </w:rPr>
              <w:t>日</w:t>
            </w:r>
          </w:p>
        </w:tc>
        <w:tc>
          <w:tcPr>
            <w:tcW w:w="798" w:type="dxa"/>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52.7</w:t>
            </w:r>
          </w:p>
        </w:tc>
        <w:tc>
          <w:tcPr>
            <w:tcW w:w="798" w:type="dxa"/>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46.9</w:t>
            </w:r>
          </w:p>
        </w:tc>
        <w:tc>
          <w:tcPr>
            <w:tcW w:w="798" w:type="dxa"/>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56.9</w:t>
            </w:r>
          </w:p>
        </w:tc>
        <w:tc>
          <w:tcPr>
            <w:tcW w:w="799" w:type="dxa"/>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46.7</w:t>
            </w:r>
          </w:p>
        </w:tc>
        <w:tc>
          <w:tcPr>
            <w:tcW w:w="799" w:type="dxa"/>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53.5</w:t>
            </w:r>
          </w:p>
        </w:tc>
        <w:tc>
          <w:tcPr>
            <w:tcW w:w="798" w:type="dxa"/>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46.3</w:t>
            </w:r>
          </w:p>
        </w:tc>
        <w:tc>
          <w:tcPr>
            <w:tcW w:w="798" w:type="dxa"/>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56.2</w:t>
            </w:r>
          </w:p>
        </w:tc>
        <w:tc>
          <w:tcPr>
            <w:tcW w:w="790" w:type="dxa"/>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15" w:type="dxa"/>
            <w:gridSpan w:val="2"/>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2019年</w:t>
            </w:r>
            <w:r>
              <w:rPr>
                <w:rFonts w:hint="eastAsia" w:ascii="Times New Roman" w:hAnsi="Times New Roman" w:eastAsia="宋体"/>
                <w:color w:val="auto"/>
                <w:szCs w:val="21"/>
                <w:highlight w:val="none"/>
                <w:lang w:val="en-US" w:eastAsia="zh-CN"/>
              </w:rPr>
              <w:t>7</w:t>
            </w:r>
            <w:r>
              <w:rPr>
                <w:rFonts w:ascii="Times New Roman" w:hAnsi="Times New Roman" w:eastAsia="宋体"/>
                <w:color w:val="auto"/>
                <w:szCs w:val="21"/>
                <w:highlight w:val="none"/>
                <w:lang w:val="en-US" w:eastAsia="zh-CN"/>
              </w:rPr>
              <w:t>月</w:t>
            </w:r>
            <w:r>
              <w:rPr>
                <w:rFonts w:hint="eastAsia" w:ascii="Times New Roman" w:hAnsi="Times New Roman" w:eastAsia="宋体"/>
                <w:color w:val="auto"/>
                <w:szCs w:val="21"/>
                <w:highlight w:val="none"/>
                <w:lang w:val="en-US" w:eastAsia="zh-CN"/>
              </w:rPr>
              <w:t>19</w:t>
            </w:r>
            <w:r>
              <w:rPr>
                <w:rFonts w:ascii="Times New Roman" w:hAnsi="Times New Roman" w:eastAsia="宋体"/>
                <w:color w:val="auto"/>
                <w:szCs w:val="21"/>
                <w:highlight w:val="none"/>
                <w:lang w:val="en-US" w:eastAsia="zh-CN"/>
              </w:rPr>
              <w:t>日</w:t>
            </w:r>
          </w:p>
        </w:tc>
        <w:tc>
          <w:tcPr>
            <w:tcW w:w="798" w:type="dxa"/>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53.0</w:t>
            </w:r>
          </w:p>
        </w:tc>
        <w:tc>
          <w:tcPr>
            <w:tcW w:w="798" w:type="dxa"/>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47.7</w:t>
            </w:r>
          </w:p>
        </w:tc>
        <w:tc>
          <w:tcPr>
            <w:tcW w:w="798" w:type="dxa"/>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56.4</w:t>
            </w:r>
          </w:p>
        </w:tc>
        <w:tc>
          <w:tcPr>
            <w:tcW w:w="799" w:type="dxa"/>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46.9</w:t>
            </w:r>
          </w:p>
        </w:tc>
        <w:tc>
          <w:tcPr>
            <w:tcW w:w="799" w:type="dxa"/>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53.8</w:t>
            </w:r>
          </w:p>
        </w:tc>
        <w:tc>
          <w:tcPr>
            <w:tcW w:w="798" w:type="dxa"/>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46.5</w:t>
            </w:r>
          </w:p>
        </w:tc>
        <w:tc>
          <w:tcPr>
            <w:tcW w:w="798" w:type="dxa"/>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55.6</w:t>
            </w:r>
          </w:p>
        </w:tc>
        <w:tc>
          <w:tcPr>
            <w:tcW w:w="790" w:type="dxa"/>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12" w:type="dxa"/>
            <w:vMerge w:val="restart"/>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GB</w:t>
            </w:r>
            <w:r>
              <w:rPr>
                <w:rFonts w:hint="eastAsia" w:ascii="Times New Roman" w:hAnsi="Times New Roman" w:eastAsia="宋体"/>
                <w:color w:val="auto"/>
                <w:szCs w:val="21"/>
                <w:highlight w:val="none"/>
                <w:lang w:val="en-US" w:eastAsia="zh-CN"/>
              </w:rPr>
              <w:t xml:space="preserve"> </w:t>
            </w:r>
            <w:r>
              <w:rPr>
                <w:rFonts w:ascii="Times New Roman" w:hAnsi="Times New Roman" w:eastAsia="宋体"/>
                <w:color w:val="auto"/>
                <w:szCs w:val="21"/>
                <w:highlight w:val="none"/>
                <w:lang w:val="en-US" w:eastAsia="zh-CN"/>
              </w:rPr>
              <w:t>3096-2008</w:t>
            </w:r>
          </w:p>
        </w:tc>
        <w:tc>
          <w:tcPr>
            <w:tcW w:w="1203"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标准值</w:t>
            </w:r>
          </w:p>
        </w:tc>
        <w:tc>
          <w:tcPr>
            <w:tcW w:w="798"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60</w:t>
            </w:r>
          </w:p>
        </w:tc>
        <w:tc>
          <w:tcPr>
            <w:tcW w:w="798"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50</w:t>
            </w:r>
          </w:p>
        </w:tc>
        <w:tc>
          <w:tcPr>
            <w:tcW w:w="798"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60</w:t>
            </w:r>
          </w:p>
        </w:tc>
        <w:tc>
          <w:tcPr>
            <w:tcW w:w="799"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50</w:t>
            </w:r>
          </w:p>
        </w:tc>
        <w:tc>
          <w:tcPr>
            <w:tcW w:w="799"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60</w:t>
            </w:r>
          </w:p>
        </w:tc>
        <w:tc>
          <w:tcPr>
            <w:tcW w:w="798"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50</w:t>
            </w:r>
          </w:p>
        </w:tc>
        <w:tc>
          <w:tcPr>
            <w:tcW w:w="798"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60</w:t>
            </w:r>
          </w:p>
        </w:tc>
        <w:tc>
          <w:tcPr>
            <w:tcW w:w="790"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12" w:type="dxa"/>
            <w:vMerge w:val="continue"/>
            <w:noWrap w:val="0"/>
            <w:vAlign w:val="center"/>
          </w:tcPr>
          <w:p>
            <w:pPr>
              <w:spacing w:line="240" w:lineRule="auto"/>
              <w:ind w:firstLine="0" w:firstLineChars="0"/>
              <w:jc w:val="left"/>
              <w:rPr>
                <w:rFonts w:ascii="Times New Roman" w:hAnsi="Times New Roman" w:eastAsia="宋体" w:cs="Times New Roman"/>
                <w:color w:val="auto"/>
                <w:sz w:val="21"/>
                <w:highlight w:val="none"/>
              </w:rPr>
            </w:pPr>
          </w:p>
        </w:tc>
        <w:tc>
          <w:tcPr>
            <w:tcW w:w="1203"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类别</w:t>
            </w:r>
          </w:p>
        </w:tc>
        <w:tc>
          <w:tcPr>
            <w:tcW w:w="1596" w:type="dxa"/>
            <w:gridSpan w:val="2"/>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2类</w:t>
            </w:r>
          </w:p>
        </w:tc>
        <w:tc>
          <w:tcPr>
            <w:tcW w:w="1597" w:type="dxa"/>
            <w:gridSpan w:val="2"/>
            <w:noWrap w:val="0"/>
            <w:vAlign w:val="top"/>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2类</w:t>
            </w:r>
          </w:p>
        </w:tc>
        <w:tc>
          <w:tcPr>
            <w:tcW w:w="1597" w:type="dxa"/>
            <w:gridSpan w:val="2"/>
            <w:noWrap w:val="0"/>
            <w:vAlign w:val="top"/>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2类</w:t>
            </w:r>
          </w:p>
        </w:tc>
        <w:tc>
          <w:tcPr>
            <w:tcW w:w="1588" w:type="dxa"/>
            <w:gridSpan w:val="2"/>
            <w:noWrap w:val="0"/>
            <w:vAlign w:val="top"/>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2类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15" w:type="dxa"/>
            <w:gridSpan w:val="2"/>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达标情况</w:t>
            </w:r>
          </w:p>
        </w:tc>
        <w:tc>
          <w:tcPr>
            <w:tcW w:w="798"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达标</w:t>
            </w:r>
          </w:p>
        </w:tc>
        <w:tc>
          <w:tcPr>
            <w:tcW w:w="798"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达标</w:t>
            </w:r>
          </w:p>
        </w:tc>
        <w:tc>
          <w:tcPr>
            <w:tcW w:w="798"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达标</w:t>
            </w:r>
          </w:p>
        </w:tc>
        <w:tc>
          <w:tcPr>
            <w:tcW w:w="799"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达标</w:t>
            </w:r>
          </w:p>
        </w:tc>
        <w:tc>
          <w:tcPr>
            <w:tcW w:w="799"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达标</w:t>
            </w:r>
          </w:p>
        </w:tc>
        <w:tc>
          <w:tcPr>
            <w:tcW w:w="798"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达标</w:t>
            </w:r>
          </w:p>
        </w:tc>
        <w:tc>
          <w:tcPr>
            <w:tcW w:w="798"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达标</w:t>
            </w:r>
          </w:p>
        </w:tc>
        <w:tc>
          <w:tcPr>
            <w:tcW w:w="790"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达标</w:t>
            </w:r>
          </w:p>
        </w:tc>
      </w:tr>
    </w:tbl>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由表3.2-1</w:t>
      </w: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可知，项目厂界昼间、夜间噪声监测值符合《声环境质量标准》（GB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3096-2008）2类标准。</w:t>
      </w:r>
    </w:p>
    <w:p>
      <w:pPr>
        <w:pStyle w:val="5"/>
        <w:rPr>
          <w:rFonts w:ascii="Times New Roman" w:hAnsi="Times New Roman" w:eastAsia="宋体"/>
          <w:color w:val="auto"/>
          <w:highlight w:val="none"/>
        </w:rPr>
      </w:pPr>
      <w:bookmarkStart w:id="241" w:name="_Toc5267"/>
      <w:bookmarkStart w:id="242" w:name="_Toc16366"/>
      <w:bookmarkStart w:id="243" w:name="_Toc16029"/>
      <w:bookmarkStart w:id="244" w:name="_Toc6137"/>
      <w:bookmarkStart w:id="245" w:name="_Toc3499"/>
      <w:bookmarkStart w:id="246" w:name="_Toc8358"/>
      <w:bookmarkStart w:id="247" w:name="_Toc13126"/>
      <w:bookmarkStart w:id="248" w:name="_Toc23984"/>
      <w:bookmarkStart w:id="249" w:name="_Toc31138"/>
      <w:bookmarkStart w:id="250" w:name="_Toc15715"/>
      <w:bookmarkStart w:id="251" w:name="_Toc23430"/>
      <w:r>
        <w:rPr>
          <w:rFonts w:ascii="Times New Roman" w:hAnsi="Times New Roman" w:eastAsia="宋体"/>
          <w:color w:val="auto"/>
          <w:highlight w:val="none"/>
        </w:rPr>
        <w:t>3.2.5 土壤环境现状监测调查与评价</w:t>
      </w:r>
      <w:bookmarkEnd w:id="241"/>
      <w:bookmarkEnd w:id="242"/>
      <w:bookmarkEnd w:id="243"/>
      <w:bookmarkEnd w:id="244"/>
    </w:p>
    <w:p>
      <w:pPr>
        <w:ind w:firstLine="480"/>
        <w:rPr>
          <w:rFonts w:ascii="Times New Roman" w:hAnsi="Times New Roman" w:eastAsia="宋体"/>
          <w:color w:val="auto"/>
          <w:highlight w:val="none"/>
        </w:rPr>
      </w:pPr>
      <w:r>
        <w:rPr>
          <w:rFonts w:hint="eastAsia" w:ascii="Times New Roman" w:hAnsi="Times New Roman" w:eastAsia="宋体" w:cs="Times New Roman"/>
          <w:color w:val="auto"/>
          <w:highlight w:val="none"/>
        </w:rPr>
        <w:t>根据</w:t>
      </w:r>
      <w:r>
        <w:rPr>
          <w:rFonts w:ascii="Times New Roman" w:hAnsi="Times New Roman" w:eastAsia="宋体" w:cs="Times New Roman"/>
          <w:color w:val="auto"/>
          <w:highlight w:val="none"/>
        </w:rPr>
        <w:t>《环境影响评价技术导则 土壤环境（试行）》（HJ</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964-2018）</w:t>
      </w:r>
      <w:r>
        <w:rPr>
          <w:rFonts w:hint="eastAsia" w:ascii="Times New Roman" w:hAnsi="Times New Roman" w:eastAsia="宋体" w:cs="Times New Roman"/>
          <w:color w:val="auto"/>
          <w:highlight w:val="none"/>
        </w:rPr>
        <w:t>评价等级判定，</w:t>
      </w:r>
      <w:r>
        <w:rPr>
          <w:rFonts w:ascii="Times New Roman" w:hAnsi="Times New Roman" w:eastAsia="宋体" w:cs="Times New Roman"/>
          <w:color w:val="auto"/>
          <w:highlight w:val="none"/>
        </w:rPr>
        <w:t>本项目</w:t>
      </w:r>
      <w:r>
        <w:rPr>
          <w:rFonts w:hint="eastAsia" w:ascii="Times New Roman" w:hAnsi="Times New Roman" w:eastAsia="宋体"/>
          <w:color w:val="auto"/>
          <w:highlight w:val="none"/>
        </w:rPr>
        <w:t>可不开展土壤环境影响评价工作，故</w:t>
      </w:r>
      <w:r>
        <w:rPr>
          <w:rFonts w:ascii="Times New Roman" w:hAnsi="Times New Roman" w:eastAsia="宋体" w:cs="Times New Roman"/>
          <w:color w:val="auto"/>
          <w:highlight w:val="none"/>
        </w:rPr>
        <w:t>不开展土壤环境质量现状监测与评价。</w:t>
      </w:r>
    </w:p>
    <w:bookmarkEnd w:id="245"/>
    <w:bookmarkEnd w:id="246"/>
    <w:bookmarkEnd w:id="247"/>
    <w:p>
      <w:pPr>
        <w:pStyle w:val="5"/>
        <w:rPr>
          <w:rFonts w:ascii="Times New Roman" w:hAnsi="Times New Roman" w:eastAsia="宋体"/>
          <w:color w:val="auto"/>
          <w:highlight w:val="none"/>
        </w:rPr>
      </w:pPr>
      <w:r>
        <w:rPr>
          <w:rFonts w:ascii="Times New Roman" w:hAnsi="Times New Roman" w:eastAsia="宋体"/>
          <w:color w:val="auto"/>
          <w:highlight w:val="none"/>
        </w:rPr>
        <w:t>3.2.6 生态环境质量现状调查与评价</w:t>
      </w:r>
      <w:bookmarkEnd w:id="248"/>
      <w:bookmarkEnd w:id="249"/>
      <w:bookmarkEnd w:id="250"/>
      <w:bookmarkEnd w:id="251"/>
    </w:p>
    <w:p>
      <w:pPr>
        <w:ind w:firstLine="480"/>
        <w:rPr>
          <w:rFonts w:ascii="Times New Roman" w:hAnsi="Times New Roman" w:eastAsia="宋体" w:cs="Times New Roman"/>
          <w:color w:val="auto"/>
          <w:highlight w:val="none"/>
        </w:rPr>
      </w:pPr>
      <w:bookmarkStart w:id="252" w:name="_Toc28606"/>
      <w:r>
        <w:rPr>
          <w:rFonts w:ascii="Times New Roman" w:hAnsi="Times New Roman" w:eastAsia="宋体" w:cs="Times New Roman"/>
          <w:color w:val="auto"/>
          <w:highlight w:val="none"/>
          <w:u w:val="single"/>
        </w:rPr>
        <w:t>生态环境现状调查的主要内容包括区域自然环境、生态系统、区域资源、土地利用现状等，调查方法主要为资料收集、现场调查、专家咨询等。</w:t>
      </w:r>
      <w:r>
        <w:rPr>
          <w:rFonts w:ascii="Times New Roman" w:hAnsi="Times New Roman" w:eastAsia="宋体" w:cs="Times New Roman"/>
          <w:color w:val="auto"/>
          <w:highlight w:val="none"/>
        </w:rPr>
        <w:t>本次评价主要根据现状调查和资料收集整理所得的数据对项目区域土地利用、农作物、动植物资源现状进行评价。</w:t>
      </w:r>
    </w:p>
    <w:p>
      <w:pPr>
        <w:pStyle w:val="6"/>
        <w:tabs>
          <w:tab w:val="left" w:pos="360"/>
          <w:tab w:val="left" w:pos="1390"/>
        </w:tabs>
        <w:rPr>
          <w:rFonts w:ascii="Times New Roman" w:hAnsi="Times New Roman" w:eastAsia="宋体"/>
          <w:color w:val="auto"/>
          <w:highlight w:val="none"/>
        </w:rPr>
      </w:pPr>
      <w:r>
        <w:rPr>
          <w:rFonts w:ascii="Times New Roman" w:hAnsi="Times New Roman" w:eastAsia="宋体"/>
          <w:color w:val="auto"/>
          <w:highlight w:val="none"/>
        </w:rPr>
        <w:t>3.2.6.1 生态功能定位</w:t>
      </w:r>
    </w:p>
    <w:p>
      <w:pPr>
        <w:ind w:firstLine="480"/>
        <w:rPr>
          <w:rFonts w:ascii="Times New Roman" w:hAnsi="Times New Roman" w:eastAsia="宋体"/>
          <w:color w:val="auto"/>
          <w:highlight w:val="none"/>
        </w:rPr>
      </w:pPr>
      <w:r>
        <w:rPr>
          <w:rFonts w:ascii="Times New Roman" w:hAnsi="Times New Roman" w:eastAsia="宋体"/>
          <w:color w:val="auto"/>
          <w:highlight w:val="none"/>
        </w:rPr>
        <w:t>根据《广西壮族自治区生态功能区划》（桂政办发〔2008〕8号），项目所属区域为</w:t>
      </w:r>
      <w:r>
        <w:rPr>
          <w:rFonts w:hint="eastAsia" w:ascii="Times New Roman" w:hAnsi="Times New Roman" w:eastAsia="宋体"/>
          <w:color w:val="auto"/>
          <w:highlight w:val="none"/>
        </w:rPr>
        <w:t>桂北山地水源涵养与生物多样性保护</w:t>
      </w:r>
      <w:r>
        <w:rPr>
          <w:rFonts w:ascii="Times New Roman" w:hAnsi="Times New Roman" w:eastAsia="宋体"/>
          <w:color w:val="auto"/>
          <w:highlight w:val="none"/>
        </w:rPr>
        <w:t>功能区（附图8）。该区域的生态服务功能主要是生态调节功能保护。</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kern w:val="0"/>
          <w:highlight w:val="none"/>
        </w:rPr>
        <w:t>根据</w:t>
      </w:r>
      <w:r>
        <w:rPr>
          <w:rFonts w:ascii="Times New Roman" w:hAnsi="Times New Roman" w:eastAsia="宋体" w:cs="Times New Roman"/>
          <w:color w:val="auto"/>
          <w:kern w:val="0"/>
          <w:highlight w:val="none"/>
        </w:rPr>
        <w:t>《广西壮族自治区人民政府关于划分我区水土流失重点预防区和重点治理区的通告》（桂政发〔2017〕5号），项目所在地涉及水土流失重点</w:t>
      </w:r>
      <w:r>
        <w:rPr>
          <w:rFonts w:hint="eastAsia" w:ascii="Times New Roman" w:hAnsi="Times New Roman" w:eastAsia="宋体" w:cs="Times New Roman"/>
          <w:color w:val="auto"/>
          <w:kern w:val="0"/>
          <w:highlight w:val="none"/>
        </w:rPr>
        <w:t>预防</w:t>
      </w:r>
      <w:r>
        <w:rPr>
          <w:rFonts w:ascii="Times New Roman" w:hAnsi="Times New Roman" w:eastAsia="宋体" w:cs="Times New Roman"/>
          <w:color w:val="auto"/>
          <w:kern w:val="0"/>
          <w:highlight w:val="none"/>
        </w:rPr>
        <w:t>区</w:t>
      </w:r>
      <w:r>
        <w:rPr>
          <w:rFonts w:hint="eastAsia" w:ascii="Times New Roman" w:hAnsi="Times New Roman" w:eastAsia="宋体" w:cs="Times New Roman"/>
          <w:color w:val="auto"/>
          <w:kern w:val="0"/>
          <w:highlight w:val="none"/>
        </w:rPr>
        <w:t>，</w:t>
      </w:r>
      <w:r>
        <w:rPr>
          <w:rFonts w:ascii="Times New Roman" w:hAnsi="Times New Roman" w:eastAsia="宋体" w:cs="Times New Roman"/>
          <w:color w:val="auto"/>
          <w:highlight w:val="none"/>
        </w:rPr>
        <w:t>矿山开采时要尽量减轻水土流失影响，并大力开展生态恢复和土地复垦等工作。</w:t>
      </w:r>
    </w:p>
    <w:p>
      <w:pPr>
        <w:pStyle w:val="6"/>
        <w:tabs>
          <w:tab w:val="left" w:pos="360"/>
          <w:tab w:val="left" w:pos="1390"/>
        </w:tabs>
        <w:rPr>
          <w:rFonts w:ascii="Times New Roman" w:hAnsi="Times New Roman" w:eastAsia="宋体"/>
          <w:color w:val="auto"/>
          <w:highlight w:val="none"/>
        </w:rPr>
      </w:pPr>
      <w:r>
        <w:rPr>
          <w:rFonts w:ascii="Times New Roman" w:hAnsi="Times New Roman" w:eastAsia="宋体"/>
          <w:color w:val="auto"/>
          <w:highlight w:val="none"/>
        </w:rPr>
        <w:t>3.2.6.2 土地利用现状调查</w:t>
      </w:r>
    </w:p>
    <w:p>
      <w:pPr>
        <w:ind w:firstLine="480"/>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u w:val="single"/>
        </w:rPr>
        <w:t>矿山用地土地权属为</w:t>
      </w:r>
      <w:r>
        <w:rPr>
          <w:rFonts w:hint="eastAsia" w:ascii="Times New Roman" w:hAnsi="Times New Roman" w:eastAsia="宋体" w:cs="Times New Roman"/>
          <w:color w:val="auto"/>
          <w:highlight w:val="none"/>
          <w:u w:val="single"/>
        </w:rPr>
        <w:t>斗江镇社区居民委员会</w:t>
      </w:r>
      <w:r>
        <w:rPr>
          <w:rFonts w:ascii="Times New Roman" w:hAnsi="Times New Roman" w:eastAsia="宋体" w:cs="Times New Roman"/>
          <w:color w:val="auto"/>
          <w:highlight w:val="none"/>
          <w:u w:val="single"/>
        </w:rPr>
        <w:t>，项目采矿许可</w:t>
      </w:r>
      <w:r>
        <w:rPr>
          <w:rFonts w:hint="eastAsia" w:ascii="Times New Roman" w:hAnsi="Times New Roman" w:eastAsia="宋体" w:cs="Times New Roman"/>
          <w:color w:val="auto"/>
          <w:highlight w:val="none"/>
          <w:u w:val="single"/>
        </w:rPr>
        <w:t>划定矿区</w:t>
      </w:r>
      <w:r>
        <w:rPr>
          <w:rFonts w:ascii="Times New Roman" w:hAnsi="Times New Roman" w:eastAsia="宋体" w:cs="Times New Roman"/>
          <w:color w:val="auto"/>
          <w:highlight w:val="none"/>
          <w:u w:val="single"/>
        </w:rPr>
        <w:t>面积0.</w:t>
      </w:r>
      <w:r>
        <w:rPr>
          <w:rFonts w:hint="eastAsia" w:ascii="Times New Roman" w:hAnsi="Times New Roman" w:eastAsia="宋体" w:cs="Times New Roman"/>
          <w:color w:val="auto"/>
          <w:highlight w:val="none"/>
          <w:u w:val="single"/>
        </w:rPr>
        <w:t>1598</w:t>
      </w:r>
      <w:r>
        <w:rPr>
          <w:rFonts w:ascii="Times New Roman" w:hAnsi="Times New Roman" w:eastAsia="宋体" w:cs="Times New Roman"/>
          <w:color w:val="auto"/>
          <w:highlight w:val="none"/>
          <w:u w:val="single"/>
        </w:rPr>
        <w:t>km</w:t>
      </w:r>
      <w:r>
        <w:rPr>
          <w:rFonts w:ascii="Times New Roman" w:hAnsi="Times New Roman" w:eastAsia="宋体" w:cs="Times New Roman"/>
          <w:color w:val="auto"/>
          <w:highlight w:val="none"/>
          <w:u w:val="single"/>
          <w:vertAlign w:val="superscript"/>
        </w:rPr>
        <w:t>2</w:t>
      </w:r>
      <w:r>
        <w:rPr>
          <w:rFonts w:hint="eastAsia" w:ascii="Times New Roman" w:hAnsi="Times New Roman" w:eastAsia="宋体" w:cs="Times New Roman"/>
          <w:color w:val="auto"/>
          <w:highlight w:val="none"/>
          <w:u w:val="single"/>
        </w:rPr>
        <w:t>（15.98hm</w:t>
      </w:r>
      <w:r>
        <w:rPr>
          <w:rFonts w:hint="eastAsia" w:ascii="Times New Roman" w:hAnsi="Times New Roman" w:eastAsia="宋体" w:cs="Times New Roman"/>
          <w:color w:val="auto"/>
          <w:highlight w:val="none"/>
          <w:u w:val="single"/>
          <w:vertAlign w:val="superscript"/>
        </w:rPr>
        <w:t>2</w:t>
      </w:r>
      <w:r>
        <w:rPr>
          <w:rFonts w:hint="eastAsia" w:ascii="Times New Roman" w:hAnsi="Times New Roman" w:eastAsia="宋体" w:cs="Times New Roman"/>
          <w:color w:val="auto"/>
          <w:highlight w:val="none"/>
          <w:u w:val="single"/>
        </w:rPr>
        <w:t>）</w:t>
      </w:r>
      <w:r>
        <w:rPr>
          <w:rFonts w:hint="eastAsia" w:ascii="Times New Roman" w:hAnsi="Times New Roman" w:eastAsia="宋体"/>
          <w:color w:val="auto"/>
          <w:highlight w:val="none"/>
          <w:u w:val="single"/>
        </w:rPr>
        <w:t>，除采矿许可划定矿区面积外，</w:t>
      </w:r>
      <w:r>
        <w:rPr>
          <w:rFonts w:ascii="Times New Roman" w:hAnsi="Times New Roman" w:eastAsia="宋体" w:cs="Times New Roman"/>
          <w:color w:val="auto"/>
          <w:highlight w:val="none"/>
          <w:u w:val="single"/>
        </w:rPr>
        <w:t>本项目日常生产需占用矿区红线范围外少量荒地，根据</w:t>
      </w:r>
      <w:r>
        <w:rPr>
          <w:rFonts w:hint="eastAsia" w:ascii="Times New Roman" w:hAnsi="Times New Roman" w:eastAsia="宋体" w:cs="Times New Roman"/>
          <w:color w:val="auto"/>
          <w:highlight w:val="none"/>
          <w:u w:val="single"/>
        </w:rPr>
        <w:t>《三江县宏源采石场硅质岩矿</w:t>
      </w:r>
      <w:r>
        <w:rPr>
          <w:rFonts w:ascii="Times New Roman" w:hAnsi="Times New Roman" w:eastAsia="宋体" w:cs="Times New Roman"/>
          <w:color w:val="auto"/>
          <w:highlight w:val="none"/>
          <w:u w:val="single"/>
        </w:rPr>
        <w:t>矿山地质环境保护与土地复垦方案</w:t>
      </w:r>
      <w:r>
        <w:rPr>
          <w:rFonts w:hint="eastAsia" w:ascii="Times New Roman" w:hAnsi="Times New Roman" w:eastAsia="宋体" w:cs="Times New Roman"/>
          <w:color w:val="auto"/>
          <w:highlight w:val="none"/>
          <w:u w:val="single"/>
        </w:rPr>
        <w:t>》</w:t>
      </w:r>
      <w:r>
        <w:rPr>
          <w:rFonts w:ascii="Times New Roman" w:hAnsi="Times New Roman" w:eastAsia="宋体" w:cs="Times New Roman"/>
          <w:color w:val="auto"/>
          <w:highlight w:val="none"/>
          <w:u w:val="single"/>
        </w:rPr>
        <w:t>，</w:t>
      </w:r>
      <w:r>
        <w:rPr>
          <w:rFonts w:hint="eastAsia" w:ascii="Times New Roman" w:hAnsi="Times New Roman" w:eastAsia="宋体" w:cs="Times New Roman"/>
          <w:color w:val="auto"/>
          <w:highlight w:val="none"/>
          <w:u w:val="single"/>
        </w:rPr>
        <w:t>项目矿区及周边临时用地</w:t>
      </w:r>
      <w:r>
        <w:rPr>
          <w:rFonts w:ascii="Times New Roman" w:hAnsi="Times New Roman" w:eastAsia="宋体" w:cs="Times New Roman"/>
          <w:color w:val="auto"/>
          <w:highlight w:val="none"/>
          <w:u w:val="single"/>
        </w:rPr>
        <w:t>主要为</w:t>
      </w:r>
      <w:r>
        <w:rPr>
          <w:rFonts w:hint="eastAsia" w:ascii="Times New Roman" w:hAnsi="Times New Roman" w:eastAsia="宋体" w:cs="Times New Roman"/>
          <w:color w:val="auto"/>
          <w:highlight w:val="none"/>
          <w:u w:val="single"/>
        </w:rPr>
        <w:t>耕地、林地、园地、草地、其它土地等</w:t>
      </w:r>
      <w:r>
        <w:rPr>
          <w:rFonts w:ascii="Times New Roman" w:hAnsi="Times New Roman" w:eastAsia="宋体" w:cs="Times New Roman"/>
          <w:color w:val="auto"/>
          <w:highlight w:val="none"/>
          <w:u w:val="single"/>
        </w:rPr>
        <w:t>，项目</w:t>
      </w:r>
      <w:r>
        <w:rPr>
          <w:rFonts w:hint="eastAsia" w:ascii="Times New Roman" w:hAnsi="Times New Roman" w:eastAsia="宋体" w:cs="Times New Roman"/>
          <w:color w:val="auto"/>
          <w:highlight w:val="none"/>
          <w:u w:val="single"/>
        </w:rPr>
        <w:t>总用地</w:t>
      </w:r>
      <w:r>
        <w:rPr>
          <w:rFonts w:ascii="Times New Roman" w:hAnsi="Times New Roman" w:eastAsia="宋体" w:cs="Times New Roman"/>
          <w:color w:val="auto"/>
          <w:highlight w:val="none"/>
          <w:u w:val="single"/>
        </w:rPr>
        <w:t>面积</w:t>
      </w:r>
      <w:r>
        <w:rPr>
          <w:rFonts w:hint="eastAsia" w:ascii="Times New Roman" w:hAnsi="Times New Roman" w:eastAsia="宋体" w:cs="Times New Roman"/>
          <w:color w:val="auto"/>
          <w:highlight w:val="none"/>
          <w:u w:val="single"/>
        </w:rPr>
        <w:t>为19.6085</w:t>
      </w:r>
      <w:r>
        <w:rPr>
          <w:rFonts w:ascii="Times New Roman" w:hAnsi="Times New Roman" w:eastAsia="宋体" w:cs="Times New Roman"/>
          <w:color w:val="auto"/>
          <w:highlight w:val="none"/>
          <w:u w:val="single"/>
        </w:rPr>
        <w:t>hm</w:t>
      </w:r>
      <w:r>
        <w:rPr>
          <w:rFonts w:ascii="Times New Roman" w:hAnsi="Times New Roman" w:eastAsia="宋体" w:cs="Times New Roman"/>
          <w:color w:val="auto"/>
          <w:highlight w:val="none"/>
          <w:u w:val="single"/>
          <w:vertAlign w:val="superscript"/>
        </w:rPr>
        <w:t>2</w:t>
      </w:r>
      <w:r>
        <w:rPr>
          <w:rFonts w:hint="eastAsia" w:ascii="Times New Roman" w:hAnsi="Times New Roman" w:eastAsia="宋体" w:cs="Times New Roman"/>
          <w:color w:val="auto"/>
          <w:highlight w:val="none"/>
          <w:u w:val="single"/>
        </w:rPr>
        <w:t>，其中划定矿区占地15.98hm</w:t>
      </w:r>
      <w:r>
        <w:rPr>
          <w:rFonts w:hint="eastAsia" w:ascii="Times New Roman" w:hAnsi="Times New Roman" w:eastAsia="宋体" w:cs="Times New Roman"/>
          <w:color w:val="auto"/>
          <w:highlight w:val="none"/>
          <w:u w:val="single"/>
          <w:vertAlign w:val="superscript"/>
        </w:rPr>
        <w:t>2</w:t>
      </w:r>
      <w:r>
        <w:rPr>
          <w:rFonts w:hint="eastAsia" w:ascii="Times New Roman" w:hAnsi="Times New Roman" w:eastAsia="宋体" w:cs="Times New Roman"/>
          <w:color w:val="auto"/>
          <w:highlight w:val="none"/>
          <w:u w:val="single"/>
        </w:rPr>
        <w:t>，临时占地3.6285hm</w:t>
      </w:r>
      <w:r>
        <w:rPr>
          <w:rFonts w:hint="eastAsia" w:ascii="Times New Roman" w:hAnsi="Times New Roman" w:eastAsia="宋体" w:cs="Times New Roman"/>
          <w:color w:val="auto"/>
          <w:highlight w:val="none"/>
          <w:u w:val="single"/>
          <w:vertAlign w:val="superscript"/>
        </w:rPr>
        <w:t>2</w:t>
      </w:r>
      <w:r>
        <w:rPr>
          <w:rFonts w:hint="eastAsia" w:ascii="Times New Roman" w:hAnsi="Times New Roman" w:eastAsia="宋体" w:cs="Times New Roman"/>
          <w:color w:val="auto"/>
          <w:highlight w:val="none"/>
          <w:u w:val="single"/>
        </w:rPr>
        <w:t>。项目</w:t>
      </w:r>
      <w:r>
        <w:rPr>
          <w:rFonts w:ascii="Times New Roman" w:hAnsi="Times New Roman" w:eastAsia="宋体" w:cs="Times New Roman"/>
          <w:color w:val="auto"/>
          <w:highlight w:val="none"/>
          <w:u w:val="single"/>
        </w:rPr>
        <w:t>占地情况具体见表3.2-1</w:t>
      </w:r>
      <w:r>
        <w:rPr>
          <w:rFonts w:hint="eastAsia" w:ascii="Times New Roman" w:hAnsi="Times New Roman" w:eastAsia="宋体" w:cs="Times New Roman"/>
          <w:color w:val="auto"/>
          <w:highlight w:val="none"/>
          <w:u w:val="single"/>
        </w:rPr>
        <w:t>1</w:t>
      </w:r>
      <w:r>
        <w:rPr>
          <w:rFonts w:ascii="Times New Roman" w:hAnsi="Times New Roman" w:eastAsia="宋体" w:cs="Times New Roman"/>
          <w:color w:val="auto"/>
          <w:highlight w:val="none"/>
          <w:u w:val="single"/>
        </w:rPr>
        <w:t>。</w:t>
      </w:r>
    </w:p>
    <w:p>
      <w:pPr>
        <w:pStyle w:val="13"/>
        <w:rPr>
          <w:rFonts w:ascii="Times New Roman" w:hAnsi="Times New Roman" w:eastAsia="宋体"/>
          <w:color w:val="auto"/>
          <w:highlight w:val="none"/>
        </w:rPr>
      </w:pPr>
      <w:r>
        <w:rPr>
          <w:rFonts w:ascii="Times New Roman" w:hAnsi="Times New Roman" w:eastAsia="宋体"/>
          <w:color w:val="auto"/>
          <w:highlight w:val="none"/>
        </w:rPr>
        <w:t>表3.2-1</w:t>
      </w:r>
      <w:r>
        <w:rPr>
          <w:rFonts w:hint="eastAsia" w:ascii="Times New Roman" w:hAnsi="Times New Roman" w:eastAsia="宋体"/>
          <w:color w:val="auto"/>
          <w:highlight w:val="none"/>
        </w:rPr>
        <w:t>1</w:t>
      </w:r>
      <w:r>
        <w:rPr>
          <w:rFonts w:ascii="Times New Roman" w:hAnsi="Times New Roman" w:eastAsia="宋体"/>
          <w:color w:val="auto"/>
          <w:highlight w:val="none"/>
        </w:rPr>
        <w:t xml:space="preserve"> 项目占地类型及面积表</w:t>
      </w:r>
    </w:p>
    <w:tbl>
      <w:tblPr>
        <w:tblStyle w:val="48"/>
        <w:tblW w:w="9093"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720"/>
        <w:gridCol w:w="744"/>
        <w:gridCol w:w="726"/>
        <w:gridCol w:w="990"/>
        <w:gridCol w:w="724"/>
        <w:gridCol w:w="821"/>
        <w:gridCol w:w="1245"/>
        <w:gridCol w:w="1200"/>
        <w:gridCol w:w="923"/>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72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一级地类</w:t>
            </w:r>
          </w:p>
        </w:tc>
        <w:tc>
          <w:tcPr>
            <w:tcW w:w="1470" w:type="dxa"/>
            <w:gridSpan w:val="2"/>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olor w:val="auto"/>
                <w:highlight w:val="none"/>
              </w:rPr>
            </w:pPr>
            <w:r>
              <w:rPr>
                <w:rFonts w:hint="eastAsia" w:ascii="Times New Roman" w:hAnsi="Times New Roman" w:eastAsia="宋体" w:cs="Times New Roman"/>
                <w:b/>
                <w:bCs/>
                <w:color w:val="auto"/>
                <w:sz w:val="21"/>
                <w:highlight w:val="none"/>
              </w:rPr>
              <w:t>耕地01</w:t>
            </w:r>
          </w:p>
        </w:tc>
        <w:tc>
          <w:tcPr>
            <w:tcW w:w="99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园</w:t>
            </w:r>
            <w:r>
              <w:rPr>
                <w:rFonts w:hint="eastAsia" w:ascii="Times New Roman" w:hAnsi="Times New Roman" w:eastAsia="宋体" w:cs="Times New Roman"/>
                <w:b/>
                <w:bCs/>
                <w:color w:val="auto"/>
                <w:sz w:val="21"/>
                <w:highlight w:val="none"/>
              </w:rPr>
              <w:t>地02</w:t>
            </w:r>
          </w:p>
        </w:tc>
        <w:tc>
          <w:tcPr>
            <w:tcW w:w="1545" w:type="dxa"/>
            <w:gridSpan w:val="2"/>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林地</w:t>
            </w:r>
            <w:r>
              <w:rPr>
                <w:rFonts w:hint="eastAsia" w:ascii="Times New Roman" w:hAnsi="Times New Roman" w:eastAsia="宋体" w:cs="Times New Roman"/>
                <w:b/>
                <w:bCs/>
                <w:color w:val="auto"/>
                <w:sz w:val="21"/>
                <w:highlight w:val="none"/>
              </w:rPr>
              <w:t>03</w:t>
            </w:r>
          </w:p>
        </w:tc>
        <w:tc>
          <w:tcPr>
            <w:tcW w:w="1245"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草地</w:t>
            </w:r>
            <w:r>
              <w:rPr>
                <w:rFonts w:hint="eastAsia" w:ascii="Times New Roman" w:hAnsi="Times New Roman" w:eastAsia="宋体" w:cs="Times New Roman"/>
                <w:b/>
                <w:bCs/>
                <w:color w:val="auto"/>
                <w:sz w:val="21"/>
                <w:highlight w:val="none"/>
              </w:rPr>
              <w:t>04</w:t>
            </w:r>
          </w:p>
        </w:tc>
        <w:tc>
          <w:tcPr>
            <w:tcW w:w="120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其它土地12</w:t>
            </w:r>
          </w:p>
        </w:tc>
        <w:tc>
          <w:tcPr>
            <w:tcW w:w="923" w:type="dxa"/>
            <w:vMerge w:val="restart"/>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合计</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72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二级地类</w:t>
            </w:r>
          </w:p>
        </w:tc>
        <w:tc>
          <w:tcPr>
            <w:tcW w:w="744"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olor w:val="auto"/>
                <w:highlight w:val="none"/>
              </w:rPr>
            </w:pPr>
            <w:r>
              <w:rPr>
                <w:rFonts w:hint="eastAsia" w:ascii="Times New Roman" w:hAnsi="Times New Roman" w:eastAsia="宋体" w:cs="Times New Roman"/>
                <w:b/>
                <w:bCs/>
                <w:color w:val="auto"/>
                <w:sz w:val="21"/>
                <w:highlight w:val="none"/>
              </w:rPr>
              <w:t>水田011</w:t>
            </w:r>
          </w:p>
        </w:tc>
        <w:tc>
          <w:tcPr>
            <w:tcW w:w="726"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olor w:val="auto"/>
                <w:highlight w:val="none"/>
              </w:rPr>
            </w:pPr>
            <w:r>
              <w:rPr>
                <w:rFonts w:hint="eastAsia" w:ascii="Times New Roman" w:hAnsi="Times New Roman" w:eastAsia="宋体" w:cs="Times New Roman"/>
                <w:b/>
                <w:bCs/>
                <w:color w:val="auto"/>
                <w:sz w:val="21"/>
                <w:highlight w:val="none"/>
              </w:rPr>
              <w:t>旱地013</w:t>
            </w:r>
          </w:p>
        </w:tc>
        <w:tc>
          <w:tcPr>
            <w:tcW w:w="99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果园021</w:t>
            </w:r>
          </w:p>
        </w:tc>
        <w:tc>
          <w:tcPr>
            <w:tcW w:w="724"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有林地031</w:t>
            </w:r>
          </w:p>
        </w:tc>
        <w:tc>
          <w:tcPr>
            <w:tcW w:w="821"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灌木林地032</w:t>
            </w:r>
          </w:p>
        </w:tc>
        <w:tc>
          <w:tcPr>
            <w:tcW w:w="1245"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其他草地043</w:t>
            </w:r>
          </w:p>
        </w:tc>
        <w:tc>
          <w:tcPr>
            <w:tcW w:w="120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裸地127</w:t>
            </w:r>
          </w:p>
        </w:tc>
        <w:tc>
          <w:tcPr>
            <w:tcW w:w="923" w:type="dxa"/>
            <w:vMerge w:val="continue"/>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720" w:type="dxa"/>
            <w:noWrap w:val="0"/>
            <w:tcMar>
              <w:top w:w="0" w:type="dxa"/>
              <w:left w:w="57" w:type="dxa"/>
              <w:bottom w:w="0" w:type="dxa"/>
              <w:right w:w="57" w:type="dxa"/>
            </w:tcMar>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红线范围</w:t>
            </w:r>
            <w:r>
              <w:rPr>
                <w:rFonts w:ascii="Times New Roman" w:hAnsi="Times New Roman" w:eastAsia="宋体" w:cs="Times New Roman"/>
                <w:color w:val="auto"/>
                <w:sz w:val="21"/>
                <w:highlight w:val="none"/>
              </w:rPr>
              <w:t>（hm</w:t>
            </w:r>
            <w:r>
              <w:rPr>
                <w:rFonts w:ascii="Times New Roman" w:hAnsi="Times New Roman" w:eastAsia="宋体" w:cs="Times New Roman"/>
                <w:color w:val="auto"/>
                <w:sz w:val="21"/>
                <w:highlight w:val="none"/>
                <w:vertAlign w:val="superscript"/>
              </w:rPr>
              <w:t>2</w:t>
            </w:r>
            <w:r>
              <w:rPr>
                <w:rFonts w:ascii="Times New Roman" w:hAnsi="Times New Roman" w:eastAsia="宋体" w:cs="Times New Roman"/>
                <w:color w:val="auto"/>
                <w:sz w:val="21"/>
                <w:highlight w:val="none"/>
              </w:rPr>
              <w:t>）</w:t>
            </w:r>
          </w:p>
        </w:tc>
        <w:tc>
          <w:tcPr>
            <w:tcW w:w="744"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olor w:val="auto"/>
                <w:highlight w:val="none"/>
              </w:rPr>
            </w:pPr>
            <w:r>
              <w:rPr>
                <w:rFonts w:hint="eastAsia" w:ascii="Times New Roman" w:hAnsi="Times New Roman" w:eastAsia="宋体" w:cs="Times New Roman"/>
                <w:color w:val="auto"/>
                <w:sz w:val="21"/>
                <w:highlight w:val="none"/>
              </w:rPr>
              <w:t>0</w:t>
            </w:r>
          </w:p>
        </w:tc>
        <w:tc>
          <w:tcPr>
            <w:tcW w:w="726"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olor w:val="auto"/>
                <w:highlight w:val="none"/>
              </w:rPr>
            </w:pPr>
            <w:r>
              <w:rPr>
                <w:rFonts w:hint="eastAsia" w:ascii="Times New Roman" w:hAnsi="Times New Roman" w:eastAsia="宋体" w:cs="Times New Roman"/>
                <w:color w:val="auto"/>
                <w:sz w:val="21"/>
                <w:highlight w:val="none"/>
              </w:rPr>
              <w:t>0</w:t>
            </w:r>
          </w:p>
        </w:tc>
        <w:tc>
          <w:tcPr>
            <w:tcW w:w="99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724"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9.5678</w:t>
            </w:r>
          </w:p>
        </w:tc>
        <w:tc>
          <w:tcPr>
            <w:tcW w:w="821"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5.7791</w:t>
            </w:r>
          </w:p>
        </w:tc>
        <w:tc>
          <w:tcPr>
            <w:tcW w:w="1245"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0.5162</w:t>
            </w:r>
          </w:p>
        </w:tc>
        <w:tc>
          <w:tcPr>
            <w:tcW w:w="120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0.1169</w:t>
            </w:r>
          </w:p>
        </w:tc>
        <w:tc>
          <w:tcPr>
            <w:tcW w:w="923"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15.98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72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临时占地</w:t>
            </w:r>
            <w:r>
              <w:rPr>
                <w:rFonts w:ascii="Times New Roman" w:hAnsi="Times New Roman" w:eastAsia="宋体" w:cs="Times New Roman"/>
                <w:color w:val="auto"/>
                <w:sz w:val="21"/>
                <w:highlight w:val="none"/>
              </w:rPr>
              <w:t>（hm</w:t>
            </w:r>
            <w:r>
              <w:rPr>
                <w:rFonts w:ascii="Times New Roman" w:hAnsi="Times New Roman" w:eastAsia="宋体" w:cs="Times New Roman"/>
                <w:color w:val="auto"/>
                <w:sz w:val="21"/>
                <w:highlight w:val="none"/>
                <w:vertAlign w:val="superscript"/>
              </w:rPr>
              <w:t>2</w:t>
            </w:r>
            <w:r>
              <w:rPr>
                <w:rFonts w:ascii="Times New Roman" w:hAnsi="Times New Roman" w:eastAsia="宋体" w:cs="Times New Roman"/>
                <w:color w:val="auto"/>
                <w:sz w:val="21"/>
                <w:highlight w:val="none"/>
              </w:rPr>
              <w:t>）</w:t>
            </w:r>
          </w:p>
        </w:tc>
        <w:tc>
          <w:tcPr>
            <w:tcW w:w="744"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olor w:val="auto"/>
                <w:highlight w:val="none"/>
              </w:rPr>
            </w:pPr>
            <w:r>
              <w:rPr>
                <w:rFonts w:hint="eastAsia" w:ascii="Times New Roman" w:hAnsi="Times New Roman" w:eastAsia="宋体" w:cs="Times New Roman"/>
                <w:color w:val="auto"/>
                <w:sz w:val="21"/>
                <w:highlight w:val="none"/>
              </w:rPr>
              <w:t>3.2654</w:t>
            </w:r>
          </w:p>
        </w:tc>
        <w:tc>
          <w:tcPr>
            <w:tcW w:w="726"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olor w:val="auto"/>
                <w:highlight w:val="none"/>
              </w:rPr>
            </w:pPr>
            <w:r>
              <w:rPr>
                <w:rFonts w:hint="eastAsia" w:ascii="Times New Roman" w:hAnsi="Times New Roman" w:eastAsia="宋体" w:cs="Times New Roman"/>
                <w:color w:val="auto"/>
                <w:sz w:val="21"/>
                <w:highlight w:val="none"/>
              </w:rPr>
              <w:t>0.1817</w:t>
            </w:r>
          </w:p>
        </w:tc>
        <w:tc>
          <w:tcPr>
            <w:tcW w:w="990" w:type="dxa"/>
            <w:noWrap w:val="0"/>
            <w:tcMar>
              <w:top w:w="0" w:type="dxa"/>
              <w:left w:w="57" w:type="dxa"/>
              <w:bottom w:w="0" w:type="dxa"/>
              <w:right w:w="57" w:type="dxa"/>
            </w:tcMar>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0.1814</w:t>
            </w:r>
          </w:p>
        </w:tc>
        <w:tc>
          <w:tcPr>
            <w:tcW w:w="724"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821"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245"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20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923"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3.6285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720" w:type="dxa"/>
            <w:noWrap w:val="0"/>
            <w:tcMar>
              <w:top w:w="0" w:type="dxa"/>
              <w:left w:w="57" w:type="dxa"/>
              <w:bottom w:w="0" w:type="dxa"/>
              <w:right w:w="57" w:type="dxa"/>
            </w:tcMar>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合计</w:t>
            </w:r>
            <w:r>
              <w:rPr>
                <w:rFonts w:ascii="Times New Roman" w:hAnsi="Times New Roman" w:eastAsia="宋体" w:cs="Times New Roman"/>
                <w:color w:val="auto"/>
                <w:sz w:val="21"/>
                <w:highlight w:val="none"/>
              </w:rPr>
              <w:t>（hm</w:t>
            </w:r>
            <w:r>
              <w:rPr>
                <w:rFonts w:ascii="Times New Roman" w:hAnsi="Times New Roman" w:eastAsia="宋体" w:cs="Times New Roman"/>
                <w:color w:val="auto"/>
                <w:sz w:val="21"/>
                <w:highlight w:val="none"/>
                <w:vertAlign w:val="superscript"/>
              </w:rPr>
              <w:t>2</w:t>
            </w:r>
            <w:r>
              <w:rPr>
                <w:rFonts w:ascii="Times New Roman" w:hAnsi="Times New Roman" w:eastAsia="宋体" w:cs="Times New Roman"/>
                <w:color w:val="auto"/>
                <w:sz w:val="21"/>
                <w:highlight w:val="none"/>
              </w:rPr>
              <w:t>）</w:t>
            </w:r>
          </w:p>
        </w:tc>
        <w:tc>
          <w:tcPr>
            <w:tcW w:w="1470" w:type="dxa"/>
            <w:gridSpan w:val="2"/>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olor w:val="auto"/>
                <w:highlight w:val="none"/>
              </w:rPr>
            </w:pPr>
            <w:r>
              <w:rPr>
                <w:rFonts w:hint="eastAsia" w:ascii="Times New Roman" w:hAnsi="Times New Roman" w:eastAsia="宋体" w:cs="Times New Roman"/>
                <w:color w:val="auto"/>
                <w:sz w:val="21"/>
                <w:highlight w:val="none"/>
              </w:rPr>
              <w:t>3.4471</w:t>
            </w:r>
          </w:p>
        </w:tc>
        <w:tc>
          <w:tcPr>
            <w:tcW w:w="990" w:type="dxa"/>
            <w:noWrap w:val="0"/>
            <w:tcMar>
              <w:top w:w="0" w:type="dxa"/>
              <w:left w:w="57" w:type="dxa"/>
              <w:bottom w:w="0" w:type="dxa"/>
              <w:right w:w="57" w:type="dxa"/>
            </w:tcMar>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0.1814</w:t>
            </w:r>
          </w:p>
        </w:tc>
        <w:tc>
          <w:tcPr>
            <w:tcW w:w="1545" w:type="dxa"/>
            <w:gridSpan w:val="2"/>
            <w:noWrap w:val="0"/>
            <w:tcMar>
              <w:top w:w="0" w:type="dxa"/>
              <w:left w:w="57" w:type="dxa"/>
              <w:bottom w:w="0" w:type="dxa"/>
              <w:right w:w="57" w:type="dxa"/>
            </w:tcMar>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15.3469</w:t>
            </w:r>
          </w:p>
        </w:tc>
        <w:tc>
          <w:tcPr>
            <w:tcW w:w="1245" w:type="dxa"/>
            <w:noWrap w:val="0"/>
            <w:tcMar>
              <w:top w:w="0" w:type="dxa"/>
              <w:left w:w="57" w:type="dxa"/>
              <w:bottom w:w="0" w:type="dxa"/>
              <w:right w:w="57" w:type="dxa"/>
            </w:tcMar>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0.5162</w:t>
            </w:r>
          </w:p>
        </w:tc>
        <w:tc>
          <w:tcPr>
            <w:tcW w:w="1200" w:type="dxa"/>
            <w:noWrap w:val="0"/>
            <w:tcMar>
              <w:top w:w="0" w:type="dxa"/>
              <w:left w:w="57" w:type="dxa"/>
              <w:bottom w:w="0" w:type="dxa"/>
              <w:right w:w="57" w:type="dxa"/>
            </w:tcMar>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0.1169</w:t>
            </w:r>
          </w:p>
        </w:tc>
        <w:tc>
          <w:tcPr>
            <w:tcW w:w="923" w:type="dxa"/>
            <w:noWrap w:val="0"/>
            <w:tcMar>
              <w:top w:w="0" w:type="dxa"/>
              <w:left w:w="57" w:type="dxa"/>
              <w:bottom w:w="0" w:type="dxa"/>
              <w:right w:w="57" w:type="dxa"/>
            </w:tcMar>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19.6085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72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比例（%）</w:t>
            </w:r>
          </w:p>
        </w:tc>
        <w:tc>
          <w:tcPr>
            <w:tcW w:w="1470" w:type="dxa"/>
            <w:gridSpan w:val="2"/>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olor w:val="auto"/>
                <w:highlight w:val="none"/>
              </w:rPr>
            </w:pPr>
            <w:r>
              <w:rPr>
                <w:rFonts w:hint="eastAsia" w:ascii="Times New Roman" w:hAnsi="Times New Roman" w:eastAsia="宋体" w:cs="Times New Roman"/>
                <w:color w:val="auto"/>
                <w:sz w:val="21"/>
                <w:highlight w:val="none"/>
              </w:rPr>
              <w:t>17.58</w:t>
            </w:r>
          </w:p>
        </w:tc>
        <w:tc>
          <w:tcPr>
            <w:tcW w:w="99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0.93</w:t>
            </w:r>
          </w:p>
        </w:tc>
        <w:tc>
          <w:tcPr>
            <w:tcW w:w="1545" w:type="dxa"/>
            <w:gridSpan w:val="2"/>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78.26</w:t>
            </w:r>
          </w:p>
        </w:tc>
        <w:tc>
          <w:tcPr>
            <w:tcW w:w="1245"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2.63</w:t>
            </w:r>
          </w:p>
        </w:tc>
        <w:tc>
          <w:tcPr>
            <w:tcW w:w="120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0.6</w:t>
            </w:r>
          </w:p>
        </w:tc>
        <w:tc>
          <w:tcPr>
            <w:tcW w:w="923"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100</w:t>
            </w:r>
          </w:p>
        </w:tc>
      </w:tr>
    </w:tbl>
    <w:p>
      <w:pPr>
        <w:rPr>
          <w:rFonts w:ascii="Times New Roman" w:hAnsi="Times New Roman" w:eastAsia="宋体"/>
          <w:color w:val="auto"/>
          <w:highlight w:val="none"/>
          <w:u w:val="none"/>
        </w:rPr>
      </w:pPr>
      <w:r>
        <w:rPr>
          <w:rFonts w:hint="default" w:ascii="Times New Roman" w:hAnsi="Times New Roman" w:cs="Times New Roman"/>
          <w:color w:val="auto"/>
          <w:highlight w:val="none"/>
          <w:u w:val="single"/>
          <w:lang w:val="en-US" w:eastAsia="zh-CN"/>
        </w:rPr>
        <w:t>本项目整合前原宏保兴采石场</w:t>
      </w:r>
      <w:r>
        <w:rPr>
          <w:rFonts w:hint="eastAsia" w:cs="Times New Roman"/>
          <w:color w:val="auto"/>
          <w:highlight w:val="none"/>
          <w:u w:val="single"/>
          <w:lang w:val="en-US" w:eastAsia="zh-CN"/>
        </w:rPr>
        <w:t>矿石开采过程</w:t>
      </w:r>
      <w:r>
        <w:rPr>
          <w:rFonts w:hint="default" w:ascii="Times New Roman" w:hAnsi="Times New Roman" w:cs="Times New Roman"/>
          <w:color w:val="auto"/>
          <w:highlight w:val="none"/>
          <w:u w:val="single"/>
          <w:lang w:val="en-US" w:eastAsia="zh-CN"/>
        </w:rPr>
        <w:t>占用国家</w:t>
      </w:r>
      <w:r>
        <w:rPr>
          <w:rFonts w:hint="default" w:ascii="Times New Roman" w:hAnsi="Times New Roman" w:eastAsia="宋体" w:cs="Times New Roman"/>
          <w:color w:val="auto"/>
          <w:highlight w:val="none"/>
          <w:u w:val="single"/>
          <w:lang w:val="en-US" w:eastAsia="zh-CN"/>
        </w:rPr>
        <w:t>Ⅱ</w:t>
      </w:r>
      <w:r>
        <w:rPr>
          <w:rFonts w:hint="default" w:ascii="Times New Roman" w:hAnsi="Times New Roman" w:cs="Times New Roman"/>
          <w:color w:val="auto"/>
          <w:highlight w:val="none"/>
          <w:u w:val="single"/>
          <w:lang w:val="en-US" w:eastAsia="zh-CN"/>
        </w:rPr>
        <w:t>级重点公益林</w:t>
      </w:r>
      <w:r>
        <w:rPr>
          <w:rFonts w:hint="eastAsia" w:ascii="Times New Roman" w:hAnsi="Times New Roman" w:cs="Times New Roman"/>
          <w:color w:val="auto"/>
          <w:highlight w:val="none"/>
          <w:u w:val="single"/>
          <w:lang w:val="en-US" w:eastAsia="zh-CN"/>
        </w:rPr>
        <w:t>2.7584hm</w:t>
      </w:r>
      <w:r>
        <w:rPr>
          <w:rFonts w:hint="eastAsia" w:ascii="Times New Roman" w:hAnsi="Times New Roman" w:cs="Times New Roman"/>
          <w:color w:val="auto"/>
          <w:highlight w:val="none"/>
          <w:u w:val="single"/>
          <w:vertAlign w:val="superscript"/>
          <w:lang w:val="en-US" w:eastAsia="zh-CN"/>
        </w:rPr>
        <w:t>2</w:t>
      </w:r>
      <w:r>
        <w:rPr>
          <w:rFonts w:hint="eastAsia" w:ascii="Times New Roman" w:hAnsi="Times New Roman" w:cs="Times New Roman"/>
          <w:color w:val="auto"/>
          <w:highlight w:val="none"/>
          <w:u w:val="single"/>
          <w:lang w:val="en-US" w:eastAsia="zh-CN"/>
        </w:rPr>
        <w:t>，该案</w:t>
      </w:r>
      <w:r>
        <w:rPr>
          <w:rFonts w:hint="default" w:ascii="Times New Roman" w:hAnsi="Times New Roman" w:cs="Times New Roman"/>
          <w:color w:val="auto"/>
          <w:highlight w:val="none"/>
          <w:u w:val="single"/>
          <w:lang w:val="en-US" w:eastAsia="zh-CN"/>
        </w:rPr>
        <w:t>已</w:t>
      </w:r>
      <w:r>
        <w:rPr>
          <w:rFonts w:hint="eastAsia" w:ascii="Times New Roman" w:hAnsi="Times New Roman" w:cs="Times New Roman"/>
          <w:color w:val="auto"/>
          <w:highlight w:val="none"/>
          <w:u w:val="single"/>
          <w:lang w:val="en-US" w:eastAsia="zh-CN"/>
        </w:rPr>
        <w:t>由三江侗族自治县人民法院判决，被告人已缴纳罚款，案件已</w:t>
      </w:r>
      <w:r>
        <w:rPr>
          <w:rFonts w:hint="default" w:ascii="Times New Roman" w:hAnsi="Times New Roman" w:cs="Times New Roman"/>
          <w:color w:val="auto"/>
          <w:highlight w:val="none"/>
          <w:u w:val="single"/>
          <w:lang w:val="en-US" w:eastAsia="zh-CN"/>
        </w:rPr>
        <w:t>处理</w:t>
      </w:r>
      <w:r>
        <w:rPr>
          <w:rFonts w:hint="eastAsia" w:ascii="Times New Roman" w:hAnsi="Times New Roman" w:cs="Times New Roman"/>
          <w:color w:val="auto"/>
          <w:highlight w:val="none"/>
          <w:u w:val="single"/>
          <w:lang w:val="en-US" w:eastAsia="zh-CN"/>
        </w:rPr>
        <w:t>完结</w:t>
      </w:r>
      <w:r>
        <w:rPr>
          <w:rFonts w:hint="default" w:ascii="Times New Roman" w:hAnsi="Times New Roman" w:cs="Times New Roman"/>
          <w:color w:val="auto"/>
          <w:highlight w:val="none"/>
          <w:u w:val="single"/>
          <w:lang w:val="en-US" w:eastAsia="zh-CN"/>
        </w:rPr>
        <w:t>（附件1</w:t>
      </w:r>
      <w:r>
        <w:rPr>
          <w:rFonts w:hint="eastAsia" w:cs="Times New Roman"/>
          <w:color w:val="auto"/>
          <w:highlight w:val="none"/>
          <w:u w:val="single"/>
          <w:lang w:val="en-US" w:eastAsia="zh-CN"/>
        </w:rPr>
        <w:t>3</w:t>
      </w:r>
      <w:r>
        <w:rPr>
          <w:rFonts w:hint="default" w:ascii="Times New Roman" w:hAnsi="Times New Roman" w:cs="Times New Roman"/>
          <w:color w:val="auto"/>
          <w:highlight w:val="none"/>
          <w:u w:val="single"/>
          <w:lang w:val="en-US" w:eastAsia="zh-CN"/>
        </w:rPr>
        <w:t>）。</w:t>
      </w:r>
      <w:r>
        <w:rPr>
          <w:rFonts w:hint="eastAsia" w:cs="Times New Roman"/>
          <w:color w:val="auto"/>
          <w:highlight w:val="none"/>
          <w:u w:val="single"/>
          <w:lang w:val="en-US" w:eastAsia="zh-CN"/>
        </w:rPr>
        <w:t>本项目采矿权为三江县鑫贝矿业有限公司通过竞标获得，三江侗族自治县林业局关于调整三江侗族自治县林业规划的相关材料已报送至广西壮族自治区林业厅，目前该调整林业规划处于审核报批阶段。</w:t>
      </w:r>
      <w:r>
        <w:rPr>
          <w:rFonts w:hint="default" w:ascii="Times New Roman" w:hAnsi="Times New Roman" w:cs="Times New Roman"/>
          <w:color w:val="auto"/>
          <w:highlight w:val="none"/>
          <w:u w:val="single"/>
          <w:lang w:val="en-US" w:eastAsia="zh-CN"/>
        </w:rPr>
        <w:t>项目整合后矿区红线及临时用地范围</w:t>
      </w:r>
      <w:r>
        <w:rPr>
          <w:rFonts w:hint="eastAsia" w:ascii="Times New Roman" w:hAnsi="Times New Roman" w:cs="Times New Roman"/>
          <w:color w:val="auto"/>
          <w:highlight w:val="none"/>
          <w:u w:val="single"/>
          <w:lang w:val="en-US" w:eastAsia="zh-CN"/>
        </w:rPr>
        <w:t>均</w:t>
      </w:r>
      <w:r>
        <w:rPr>
          <w:rFonts w:hint="default" w:ascii="Times New Roman" w:hAnsi="Times New Roman" w:cs="Times New Roman"/>
          <w:color w:val="auto"/>
          <w:highlight w:val="none"/>
          <w:u w:val="single"/>
          <w:lang w:val="en-US" w:eastAsia="zh-CN"/>
        </w:rPr>
        <w:t>未占用</w:t>
      </w:r>
      <w:r>
        <w:rPr>
          <w:rFonts w:hint="eastAsia" w:ascii="Times New Roman" w:hAnsi="Times New Roman" w:cs="Times New Roman"/>
          <w:color w:val="auto"/>
          <w:highlight w:val="none"/>
          <w:u w:val="single"/>
          <w:lang w:val="en-US" w:eastAsia="zh-CN"/>
        </w:rPr>
        <w:t>公益林</w:t>
      </w:r>
      <w:r>
        <w:rPr>
          <w:rFonts w:hint="default" w:ascii="Times New Roman" w:hAnsi="Times New Roman" w:cs="Times New Roman"/>
          <w:color w:val="auto"/>
          <w:highlight w:val="none"/>
          <w:u w:val="single"/>
          <w:lang w:val="en-US" w:eastAsia="zh-CN"/>
        </w:rPr>
        <w:t>，项目矿区红线范围已依法取得</w:t>
      </w:r>
      <w:r>
        <w:rPr>
          <w:rFonts w:hint="default" w:ascii="Times New Roman" w:hAnsi="Times New Roman" w:eastAsia="宋体" w:cs="Times New Roman"/>
          <w:color w:val="auto"/>
          <w:kern w:val="0"/>
          <w:highlight w:val="none"/>
          <w:u w:val="single"/>
        </w:rPr>
        <w:t>三江侗族自治县自然资源和规划局下发采矿许可证</w:t>
      </w:r>
      <w:r>
        <w:rPr>
          <w:rFonts w:hint="default" w:ascii="Times New Roman" w:hAnsi="Times New Roman" w:eastAsia="宋体" w:cs="Times New Roman"/>
          <w:color w:val="auto"/>
          <w:kern w:val="0"/>
          <w:highlight w:val="none"/>
          <w:u w:val="single"/>
          <w:lang w:eastAsia="zh-CN"/>
        </w:rPr>
        <w:t>，</w:t>
      </w:r>
      <w:r>
        <w:rPr>
          <w:rFonts w:hint="default" w:ascii="Times New Roman" w:hAnsi="Times New Roman" w:eastAsia="宋体" w:cs="Times New Roman"/>
          <w:color w:val="auto"/>
          <w:kern w:val="0"/>
          <w:highlight w:val="none"/>
          <w:u w:val="single"/>
          <w:lang w:val="en-US" w:eastAsia="zh-CN"/>
        </w:rPr>
        <w:t>临时用地正在办理临时用地许可相关手续。</w:t>
      </w:r>
      <w:r>
        <w:rPr>
          <w:rFonts w:hint="eastAsia" w:ascii="Times New Roman" w:hAnsi="Times New Roman" w:eastAsia="宋体"/>
          <w:color w:val="auto"/>
          <w:highlight w:val="none"/>
          <w:u w:val="single"/>
        </w:rPr>
        <w:t>项目矿区红线范围内占用林地</w:t>
      </w:r>
      <w:r>
        <w:rPr>
          <w:rFonts w:hint="eastAsia" w:ascii="Times New Roman" w:hAnsi="Times New Roman" w:eastAsia="宋体"/>
          <w:color w:val="auto"/>
          <w:highlight w:val="none"/>
          <w:u w:val="single"/>
          <w:lang w:val="en-US" w:eastAsia="zh-CN"/>
        </w:rPr>
        <w:t>15.3469</w:t>
      </w:r>
      <w:r>
        <w:rPr>
          <w:rFonts w:hint="eastAsia" w:ascii="Times New Roman" w:hAnsi="Times New Roman" w:cs="Times New Roman"/>
          <w:color w:val="auto"/>
          <w:highlight w:val="none"/>
          <w:u w:val="single"/>
          <w:lang w:val="en-US" w:eastAsia="zh-CN"/>
        </w:rPr>
        <w:t>hm</w:t>
      </w:r>
      <w:r>
        <w:rPr>
          <w:rFonts w:hint="eastAsia" w:ascii="Times New Roman" w:hAnsi="Times New Roman" w:cs="Times New Roman"/>
          <w:color w:val="auto"/>
          <w:highlight w:val="none"/>
          <w:u w:val="single"/>
          <w:vertAlign w:val="superscript"/>
          <w:lang w:val="en-US" w:eastAsia="zh-CN"/>
        </w:rPr>
        <w:t>2</w:t>
      </w:r>
      <w:r>
        <w:rPr>
          <w:rFonts w:hint="eastAsia" w:ascii="Times New Roman" w:hAnsi="Times New Roman" w:eastAsia="宋体"/>
          <w:color w:val="auto"/>
          <w:highlight w:val="none"/>
          <w:u w:val="single"/>
        </w:rPr>
        <w:t>，建设单位需办理林业</w:t>
      </w:r>
      <w:r>
        <w:rPr>
          <w:rFonts w:hint="eastAsia" w:ascii="Times New Roman" w:hAnsi="Times New Roman" w:eastAsia="宋体"/>
          <w:color w:val="auto"/>
          <w:highlight w:val="none"/>
          <w:u w:val="single"/>
          <w:lang w:val="en-US" w:eastAsia="zh-CN"/>
        </w:rPr>
        <w:t>占地行政许可并获得批复后</w:t>
      </w:r>
      <w:r>
        <w:rPr>
          <w:rFonts w:hint="eastAsia" w:ascii="Times New Roman" w:hAnsi="Times New Roman" w:eastAsia="宋体"/>
          <w:color w:val="auto"/>
          <w:highlight w:val="none"/>
          <w:u w:val="single"/>
        </w:rPr>
        <w:t>方可开工建设。本项目环评阶段建设单位正在办理林业</w:t>
      </w:r>
      <w:r>
        <w:rPr>
          <w:rFonts w:hint="eastAsia" w:ascii="Times New Roman" w:hAnsi="Times New Roman" w:eastAsia="宋体"/>
          <w:color w:val="auto"/>
          <w:highlight w:val="none"/>
          <w:u w:val="single"/>
          <w:lang w:val="en-US" w:eastAsia="zh-CN"/>
        </w:rPr>
        <w:t>占</w:t>
      </w:r>
      <w:r>
        <w:rPr>
          <w:rFonts w:hint="eastAsia" w:ascii="Times New Roman" w:hAnsi="Times New Roman" w:eastAsia="宋体"/>
          <w:color w:val="auto"/>
          <w:highlight w:val="none"/>
          <w:u w:val="single"/>
        </w:rPr>
        <w:t>地</w:t>
      </w:r>
      <w:r>
        <w:rPr>
          <w:rFonts w:hint="eastAsia" w:ascii="Times New Roman" w:hAnsi="Times New Roman" w:eastAsia="宋体"/>
          <w:color w:val="auto"/>
          <w:highlight w:val="none"/>
          <w:u w:val="single"/>
          <w:lang w:val="en-US" w:eastAsia="zh-CN"/>
        </w:rPr>
        <w:t>行政</w:t>
      </w:r>
      <w:r>
        <w:rPr>
          <w:rFonts w:hint="eastAsia" w:ascii="Times New Roman" w:hAnsi="Times New Roman" w:eastAsia="宋体"/>
          <w:color w:val="auto"/>
          <w:highlight w:val="none"/>
          <w:u w:val="single"/>
        </w:rPr>
        <w:t>许可。</w:t>
      </w:r>
    </w:p>
    <w:p>
      <w:pPr>
        <w:pStyle w:val="6"/>
        <w:rPr>
          <w:rFonts w:ascii="Times New Roman" w:hAnsi="Times New Roman" w:eastAsia="宋体"/>
          <w:color w:val="auto"/>
          <w:highlight w:val="none"/>
        </w:rPr>
      </w:pPr>
      <w:r>
        <w:rPr>
          <w:rFonts w:ascii="Times New Roman" w:hAnsi="Times New Roman" w:eastAsia="宋体"/>
          <w:color w:val="auto"/>
          <w:highlight w:val="none"/>
        </w:rPr>
        <w:t>3.2.6.3 水土流失现状调查与评价</w:t>
      </w:r>
    </w:p>
    <w:p>
      <w:pPr>
        <w:ind w:firstLine="480"/>
        <w:rPr>
          <w:rFonts w:ascii="Times New Roman" w:hAnsi="Times New Roman" w:eastAsia="宋体"/>
          <w:color w:val="auto"/>
          <w:highlight w:val="none"/>
        </w:rPr>
      </w:pPr>
      <w:r>
        <w:rPr>
          <w:rFonts w:ascii="Times New Roman" w:hAnsi="Times New Roman" w:eastAsia="宋体"/>
          <w:color w:val="auto"/>
          <w:highlight w:val="none"/>
        </w:rPr>
        <w:t>1、区域水土流失现状</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根据《广西壮族自治区人民政府&lt;关于划分我区水土流失重点预防区和重点治理区的通告&gt;》（桂政发〔2017〕5号）</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kern w:val="0"/>
          <w:highlight w:val="none"/>
        </w:rPr>
        <w:t>三江县</w:t>
      </w:r>
      <w:r>
        <w:rPr>
          <w:rFonts w:ascii="Times New Roman" w:hAnsi="Times New Roman" w:eastAsia="宋体" w:cs="Times New Roman"/>
          <w:color w:val="auto"/>
          <w:kern w:val="0"/>
          <w:highlight w:val="none"/>
        </w:rPr>
        <w:t>划分为自治区级水土流失重点</w:t>
      </w:r>
      <w:r>
        <w:rPr>
          <w:rFonts w:hint="eastAsia" w:ascii="Times New Roman" w:hAnsi="Times New Roman" w:eastAsia="宋体" w:cs="Times New Roman"/>
          <w:color w:val="auto"/>
          <w:kern w:val="0"/>
          <w:highlight w:val="none"/>
        </w:rPr>
        <w:t>预防</w:t>
      </w:r>
      <w:r>
        <w:rPr>
          <w:rFonts w:ascii="Times New Roman" w:hAnsi="Times New Roman" w:eastAsia="宋体" w:cs="Times New Roman"/>
          <w:color w:val="auto"/>
          <w:kern w:val="0"/>
          <w:highlight w:val="none"/>
        </w:rPr>
        <w:t>区</w:t>
      </w:r>
      <w:r>
        <w:rPr>
          <w:rFonts w:ascii="Times New Roman" w:hAnsi="Times New Roman" w:eastAsia="宋体" w:cs="Times New Roman"/>
          <w:color w:val="auto"/>
          <w:highlight w:val="none"/>
        </w:rPr>
        <w:t>，项目水土流失防治执行建设生产类项目</w:t>
      </w:r>
      <w:r>
        <w:rPr>
          <w:rFonts w:hint="eastAsia" w:ascii="Times New Roman" w:hAnsi="Times New Roman" w:eastAsia="宋体" w:cs="Times New Roman"/>
          <w:color w:val="auto"/>
          <w:highlight w:val="none"/>
        </w:rPr>
        <w:t>一</w:t>
      </w:r>
      <w:r>
        <w:rPr>
          <w:rFonts w:ascii="Times New Roman" w:hAnsi="Times New Roman" w:eastAsia="宋体" w:cs="Times New Roman"/>
          <w:color w:val="auto"/>
          <w:highlight w:val="none"/>
        </w:rPr>
        <w:t>级标准。项目所在区域属于全国土壤侵蚀类型Ⅱ级区划的南方</w:t>
      </w:r>
      <w:r>
        <w:rPr>
          <w:rFonts w:hint="eastAsia" w:ascii="Times New Roman" w:hAnsi="Times New Roman" w:eastAsia="宋体" w:cs="Times New Roman"/>
          <w:color w:val="auto"/>
          <w:highlight w:val="none"/>
        </w:rPr>
        <w:t>土石山区</w:t>
      </w:r>
      <w:r>
        <w:rPr>
          <w:rFonts w:ascii="Times New Roman" w:hAnsi="Times New Roman" w:eastAsia="宋体" w:cs="Times New Roman"/>
          <w:color w:val="auto"/>
          <w:highlight w:val="none"/>
        </w:rPr>
        <w:t>，土壤侵蚀以轻度水力侵蚀为主，土壤容许流失量为500（t/km</w:t>
      </w:r>
      <w:r>
        <w:rPr>
          <w:rFonts w:ascii="Times New Roman" w:hAnsi="Times New Roman" w:eastAsia="宋体" w:cs="Times New Roman"/>
          <w:color w:val="auto"/>
          <w:highlight w:val="none"/>
          <w:vertAlign w:val="superscript"/>
        </w:rPr>
        <w:t>2</w:t>
      </w:r>
      <w:r>
        <w:rPr>
          <w:rFonts w:ascii="Times New Roman" w:hAnsi="Times New Roman" w:eastAsia="宋体" w:cs="Times New Roman"/>
          <w:color w:val="auto"/>
          <w:highlight w:val="none"/>
        </w:rPr>
        <w:t>·a）。</w:t>
      </w:r>
      <w:r>
        <w:rPr>
          <w:rFonts w:hint="eastAsia" w:ascii="Times New Roman" w:hAnsi="Times New Roman" w:eastAsia="宋体" w:cs="Times New Roman"/>
          <w:color w:val="auto"/>
          <w:highlight w:val="none"/>
        </w:rPr>
        <w:t>根据《全国第一次水利普查》</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三江县</w:t>
      </w:r>
      <w:r>
        <w:rPr>
          <w:rFonts w:ascii="Times New Roman" w:hAnsi="Times New Roman" w:eastAsia="宋体" w:cs="Times New Roman"/>
          <w:color w:val="auto"/>
          <w:highlight w:val="none"/>
        </w:rPr>
        <w:t>水土流失面积见表3.2-1</w:t>
      </w:r>
      <w:r>
        <w:rPr>
          <w:rFonts w:hint="eastAsia" w:ascii="Times New Roman" w:hAnsi="Times New Roman" w:eastAsia="宋体" w:cs="Times New Roman"/>
          <w:color w:val="auto"/>
          <w:highlight w:val="none"/>
        </w:rPr>
        <w:t>2</w:t>
      </w:r>
      <w:r>
        <w:rPr>
          <w:rFonts w:ascii="Times New Roman" w:hAnsi="Times New Roman" w:eastAsia="宋体" w:cs="Times New Roman"/>
          <w:color w:val="auto"/>
          <w:highlight w:val="none"/>
        </w:rPr>
        <w:t>。</w:t>
      </w:r>
    </w:p>
    <w:p>
      <w:pPr>
        <w:pStyle w:val="13"/>
        <w:rPr>
          <w:rFonts w:ascii="Times New Roman" w:hAnsi="Times New Roman" w:eastAsia="宋体"/>
          <w:bCs/>
          <w:color w:val="auto"/>
          <w:highlight w:val="none"/>
          <w:vertAlign w:val="superscript"/>
        </w:rPr>
      </w:pPr>
      <w:r>
        <w:rPr>
          <w:rFonts w:ascii="Times New Roman" w:hAnsi="Times New Roman" w:eastAsia="宋体"/>
          <w:bCs/>
          <w:color w:val="auto"/>
          <w:highlight w:val="none"/>
        </w:rPr>
        <w:t>表3.2-1</w:t>
      </w:r>
      <w:r>
        <w:rPr>
          <w:rFonts w:hint="eastAsia" w:ascii="Times New Roman" w:hAnsi="Times New Roman" w:eastAsia="宋体"/>
          <w:bCs/>
          <w:color w:val="auto"/>
          <w:highlight w:val="none"/>
        </w:rPr>
        <w:t>2</w:t>
      </w:r>
      <w:r>
        <w:rPr>
          <w:rFonts w:ascii="Times New Roman" w:hAnsi="Times New Roman" w:eastAsia="宋体"/>
          <w:bCs/>
          <w:color w:val="auto"/>
          <w:highlight w:val="none"/>
        </w:rPr>
        <w:t xml:space="preserve"> </w:t>
      </w:r>
      <w:r>
        <w:rPr>
          <w:rFonts w:hint="eastAsia" w:ascii="Times New Roman" w:hAnsi="Times New Roman" w:eastAsia="宋体"/>
          <w:bCs/>
          <w:color w:val="auto"/>
          <w:highlight w:val="none"/>
        </w:rPr>
        <w:t>三江县</w:t>
      </w:r>
      <w:r>
        <w:rPr>
          <w:rFonts w:ascii="Times New Roman" w:hAnsi="Times New Roman" w:eastAsia="宋体"/>
          <w:bCs/>
          <w:color w:val="auto"/>
          <w:highlight w:val="none"/>
        </w:rPr>
        <w:t>水土流失面积统计表   面积单位：km</w:t>
      </w:r>
      <w:r>
        <w:rPr>
          <w:rFonts w:ascii="Times New Roman" w:hAnsi="Times New Roman" w:eastAsia="宋体"/>
          <w:bCs/>
          <w:color w:val="auto"/>
          <w:highlight w:val="none"/>
          <w:vertAlign w:val="superscript"/>
        </w:rPr>
        <w:t>2</w:t>
      </w:r>
    </w:p>
    <w:tbl>
      <w:tblPr>
        <w:tblStyle w:val="48"/>
        <w:tblW w:w="924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1306"/>
        <w:gridCol w:w="1004"/>
        <w:gridCol w:w="1155"/>
        <w:gridCol w:w="1155"/>
        <w:gridCol w:w="1155"/>
        <w:gridCol w:w="1366"/>
        <w:gridCol w:w="9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55" w:type="dxa"/>
            <w:vMerge w:val="restart"/>
            <w:noWrap w:val="0"/>
            <w:vAlign w:val="center"/>
          </w:tcPr>
          <w:p>
            <w:pPr>
              <w:adjustRightInd w:val="0"/>
              <w:snapToGrid w:val="0"/>
              <w:spacing w:line="240" w:lineRule="auto"/>
              <w:ind w:firstLine="0" w:firstLineChars="0"/>
              <w:jc w:val="center"/>
              <w:rPr>
                <w:rFonts w:hint="eastAsia"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行政区划</w:t>
            </w:r>
          </w:p>
        </w:tc>
        <w:tc>
          <w:tcPr>
            <w:tcW w:w="1306" w:type="dxa"/>
            <w:vMerge w:val="restart"/>
            <w:noWrap w:val="0"/>
            <w:vAlign w:val="center"/>
          </w:tcPr>
          <w:p>
            <w:pPr>
              <w:adjustRightInd w:val="0"/>
              <w:snapToGrid w:val="0"/>
              <w:spacing w:line="240" w:lineRule="auto"/>
              <w:ind w:firstLine="0" w:firstLineChars="0"/>
              <w:jc w:val="center"/>
              <w:rPr>
                <w:rFonts w:hint="eastAsia"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项目</w:t>
            </w:r>
          </w:p>
        </w:tc>
        <w:tc>
          <w:tcPr>
            <w:tcW w:w="5835" w:type="dxa"/>
            <w:gridSpan w:val="5"/>
            <w:noWrap w:val="0"/>
            <w:vAlign w:val="center"/>
          </w:tcPr>
          <w:p>
            <w:pPr>
              <w:adjustRightInd w:val="0"/>
              <w:snapToGrid w:val="0"/>
              <w:spacing w:line="240" w:lineRule="auto"/>
              <w:ind w:firstLine="0" w:firstLineChars="0"/>
              <w:jc w:val="center"/>
              <w:rPr>
                <w:rFonts w:hint="eastAsia"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水力侵蚀</w:t>
            </w:r>
          </w:p>
        </w:tc>
        <w:tc>
          <w:tcPr>
            <w:tcW w:w="946" w:type="dxa"/>
            <w:vMerge w:val="restart"/>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b/>
                <w:bCs/>
                <w:color w:val="auto"/>
                <w:sz w:val="21"/>
                <w:highlight w:val="none"/>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55" w:type="dxa"/>
            <w:vMerge w:val="continue"/>
            <w:noWrap w:val="0"/>
            <w:vAlign w:val="center"/>
          </w:tcPr>
          <w:p>
            <w:pPr>
              <w:adjustRightInd w:val="0"/>
              <w:snapToGrid w:val="0"/>
              <w:spacing w:line="240" w:lineRule="auto"/>
              <w:ind w:firstLine="0" w:firstLineChars="0"/>
              <w:rPr>
                <w:rFonts w:hint="eastAsia" w:ascii="Times New Roman" w:hAnsi="Times New Roman" w:eastAsia="宋体" w:cs="Times New Roman"/>
                <w:b/>
                <w:bCs/>
                <w:color w:val="auto"/>
                <w:sz w:val="21"/>
                <w:highlight w:val="none"/>
              </w:rPr>
            </w:pPr>
          </w:p>
        </w:tc>
        <w:tc>
          <w:tcPr>
            <w:tcW w:w="1306" w:type="dxa"/>
            <w:vMerge w:val="continue"/>
            <w:noWrap w:val="0"/>
            <w:vAlign w:val="center"/>
          </w:tcPr>
          <w:p>
            <w:pPr>
              <w:adjustRightInd w:val="0"/>
              <w:snapToGrid w:val="0"/>
              <w:spacing w:line="240" w:lineRule="auto"/>
              <w:ind w:firstLine="0" w:firstLineChars="0"/>
              <w:rPr>
                <w:rFonts w:hint="eastAsia" w:ascii="Times New Roman" w:hAnsi="Times New Roman" w:eastAsia="宋体" w:cs="Times New Roman"/>
                <w:b/>
                <w:bCs/>
                <w:color w:val="auto"/>
                <w:sz w:val="21"/>
                <w:highlight w:val="none"/>
              </w:rPr>
            </w:pPr>
          </w:p>
        </w:tc>
        <w:tc>
          <w:tcPr>
            <w:tcW w:w="100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轻度</w:t>
            </w:r>
          </w:p>
        </w:tc>
        <w:tc>
          <w:tcPr>
            <w:tcW w:w="1155"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中度</w:t>
            </w:r>
          </w:p>
        </w:tc>
        <w:tc>
          <w:tcPr>
            <w:tcW w:w="1155"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强烈</w:t>
            </w:r>
          </w:p>
        </w:tc>
        <w:tc>
          <w:tcPr>
            <w:tcW w:w="1155"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极强烈</w:t>
            </w:r>
          </w:p>
        </w:tc>
        <w:tc>
          <w:tcPr>
            <w:tcW w:w="1366"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强烈</w:t>
            </w:r>
          </w:p>
        </w:tc>
        <w:tc>
          <w:tcPr>
            <w:tcW w:w="946" w:type="dxa"/>
            <w:vMerge w:val="continue"/>
            <w:noWrap w:val="0"/>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55" w:type="dxa"/>
            <w:vMerge w:val="restart"/>
            <w:noWrap w:val="0"/>
            <w:vAlign w:val="center"/>
          </w:tcPr>
          <w:p>
            <w:pPr>
              <w:adjustRightInd w:val="0"/>
              <w:snapToGrid w:val="0"/>
              <w:spacing w:line="240" w:lineRule="auto"/>
              <w:ind w:firstLine="0" w:firstLineChars="0"/>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三江侗族自治县</w:t>
            </w:r>
          </w:p>
        </w:tc>
        <w:tc>
          <w:tcPr>
            <w:tcW w:w="1306" w:type="dxa"/>
            <w:noWrap w:val="0"/>
            <w:vAlign w:val="center"/>
          </w:tcPr>
          <w:p>
            <w:pPr>
              <w:adjustRightInd w:val="0"/>
              <w:snapToGrid w:val="0"/>
              <w:spacing w:line="240" w:lineRule="auto"/>
              <w:ind w:firstLine="0" w:firstLineChars="0"/>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面积（km</w:t>
            </w:r>
            <w:r>
              <w:rPr>
                <w:rFonts w:hint="eastAsia" w:ascii="Times New Roman" w:hAnsi="Times New Roman" w:eastAsia="宋体" w:cs="Times New Roman"/>
                <w:color w:val="auto"/>
                <w:sz w:val="21"/>
                <w:highlight w:val="none"/>
                <w:vertAlign w:val="superscript"/>
              </w:rPr>
              <w:t>2</w:t>
            </w:r>
            <w:r>
              <w:rPr>
                <w:rFonts w:hint="eastAsia" w:ascii="Times New Roman" w:hAnsi="Times New Roman" w:eastAsia="宋体" w:cs="Times New Roman"/>
                <w:color w:val="auto"/>
                <w:sz w:val="21"/>
                <w:highlight w:val="none"/>
              </w:rPr>
              <w:t>）</w:t>
            </w:r>
          </w:p>
        </w:tc>
        <w:tc>
          <w:tcPr>
            <w:tcW w:w="100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210.95</w:t>
            </w:r>
          </w:p>
        </w:tc>
        <w:tc>
          <w:tcPr>
            <w:tcW w:w="11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173.96</w:t>
            </w:r>
          </w:p>
        </w:tc>
        <w:tc>
          <w:tcPr>
            <w:tcW w:w="11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103.12</w:t>
            </w:r>
          </w:p>
        </w:tc>
        <w:tc>
          <w:tcPr>
            <w:tcW w:w="11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98.45</w:t>
            </w:r>
          </w:p>
        </w:tc>
        <w:tc>
          <w:tcPr>
            <w:tcW w:w="136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14.85</w:t>
            </w:r>
          </w:p>
        </w:tc>
        <w:tc>
          <w:tcPr>
            <w:tcW w:w="946" w:type="dxa"/>
            <w:noWrap w:val="0"/>
            <w:vAlign w:val="center"/>
          </w:tcPr>
          <w:p>
            <w:pPr>
              <w:adjustRightInd w:val="0"/>
              <w:snapToGrid w:val="0"/>
              <w:spacing w:line="240" w:lineRule="auto"/>
              <w:ind w:firstLine="0" w:firstLineChars="0"/>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601.33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55" w:type="dxa"/>
            <w:vMerge w:val="continue"/>
            <w:noWrap w:val="0"/>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rPr>
            </w:pPr>
          </w:p>
        </w:tc>
        <w:tc>
          <w:tcPr>
            <w:tcW w:w="1306" w:type="dxa"/>
            <w:noWrap w:val="0"/>
            <w:vAlign w:val="center"/>
          </w:tcPr>
          <w:p>
            <w:pPr>
              <w:adjustRightInd w:val="0"/>
              <w:snapToGrid w:val="0"/>
              <w:spacing w:line="240" w:lineRule="auto"/>
              <w:ind w:firstLine="0" w:firstLineChars="0"/>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比例（%）</w:t>
            </w:r>
          </w:p>
        </w:tc>
        <w:tc>
          <w:tcPr>
            <w:tcW w:w="100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35.08</w:t>
            </w:r>
          </w:p>
        </w:tc>
        <w:tc>
          <w:tcPr>
            <w:tcW w:w="11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28.93</w:t>
            </w:r>
          </w:p>
        </w:tc>
        <w:tc>
          <w:tcPr>
            <w:tcW w:w="11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17.15</w:t>
            </w:r>
          </w:p>
        </w:tc>
        <w:tc>
          <w:tcPr>
            <w:tcW w:w="11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16.37</w:t>
            </w:r>
          </w:p>
        </w:tc>
        <w:tc>
          <w:tcPr>
            <w:tcW w:w="136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2.47</w:t>
            </w:r>
          </w:p>
        </w:tc>
        <w:tc>
          <w:tcPr>
            <w:tcW w:w="94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100</w:t>
            </w:r>
          </w:p>
        </w:tc>
      </w:tr>
    </w:tbl>
    <w:p>
      <w:pPr>
        <w:ind w:firstLine="480"/>
        <w:rPr>
          <w:rFonts w:ascii="Times New Roman" w:hAnsi="Times New Roman" w:eastAsia="宋体"/>
          <w:color w:val="auto"/>
          <w:highlight w:val="none"/>
        </w:rPr>
      </w:pPr>
      <w:r>
        <w:rPr>
          <w:rFonts w:ascii="Times New Roman" w:hAnsi="Times New Roman" w:eastAsia="宋体"/>
          <w:color w:val="auto"/>
          <w:highlight w:val="none"/>
        </w:rPr>
        <w:t>2、矿区水土流失现状</w:t>
      </w:r>
    </w:p>
    <w:p>
      <w:pPr>
        <w:ind w:firstLine="480"/>
        <w:rPr>
          <w:rFonts w:ascii="Times New Roman" w:hAnsi="Times New Roman" w:eastAsia="宋体"/>
          <w:color w:val="auto"/>
          <w:highlight w:val="none"/>
        </w:rPr>
      </w:pPr>
      <w:r>
        <w:rPr>
          <w:rFonts w:ascii="Times New Roman" w:hAnsi="Times New Roman" w:eastAsia="宋体"/>
          <w:color w:val="auto"/>
          <w:highlight w:val="none"/>
        </w:rPr>
        <w:t>经调查，项目原生林草覆盖率比较高，项目建设区域原生土壤侵蚀以水力侵蚀为主，侵蚀强度以</w:t>
      </w:r>
      <w:r>
        <w:rPr>
          <w:rFonts w:hint="eastAsia" w:ascii="Times New Roman" w:hAnsi="Times New Roman" w:eastAsia="宋体"/>
          <w:color w:val="auto"/>
          <w:highlight w:val="none"/>
        </w:rPr>
        <w:t>轻度</w:t>
      </w:r>
      <w:r>
        <w:rPr>
          <w:rFonts w:ascii="Times New Roman" w:hAnsi="Times New Roman" w:eastAsia="宋体"/>
          <w:color w:val="auto"/>
          <w:highlight w:val="none"/>
        </w:rPr>
        <w:t>、</w:t>
      </w:r>
      <w:r>
        <w:rPr>
          <w:rFonts w:hint="eastAsia" w:ascii="Times New Roman" w:hAnsi="Times New Roman" w:eastAsia="宋体"/>
          <w:color w:val="auto"/>
          <w:highlight w:val="none"/>
        </w:rPr>
        <w:t>中</w:t>
      </w:r>
      <w:r>
        <w:rPr>
          <w:rFonts w:ascii="Times New Roman" w:hAnsi="Times New Roman" w:eastAsia="宋体"/>
          <w:color w:val="auto"/>
          <w:highlight w:val="none"/>
        </w:rPr>
        <w:t>度侵蚀为主。本采石场经过多年开采，开采过程中未布设相应的水土保持措施，未对可能造成水土流失的区域进行治理，造成一定的水土流失。矿山的进场道路有碎石铺设，周边无明显排水系统，自然排水过程中造成小部分水土流失；矿山的办公生活区域已建设好建筑物并硬化，周边也有排水措施，但地面硬化不完善，有部分裸露地表；矿山的工业场地较平坦，但周边无排水措施，且</w:t>
      </w:r>
      <w:r>
        <w:rPr>
          <w:rFonts w:hint="eastAsia" w:ascii="Times New Roman" w:hAnsi="Times New Roman" w:eastAsia="宋体"/>
          <w:color w:val="auto"/>
          <w:highlight w:val="none"/>
        </w:rPr>
        <w:t>硅质岩</w:t>
      </w:r>
      <w:r>
        <w:rPr>
          <w:rFonts w:ascii="Times New Roman" w:hAnsi="Times New Roman" w:eastAsia="宋体"/>
          <w:color w:val="auto"/>
          <w:highlight w:val="none"/>
        </w:rPr>
        <w:t>矿经过破碎加工，矿体较破碎，堆矿场地没有相应的拦挡措施，在</w:t>
      </w:r>
      <w:r>
        <w:rPr>
          <w:rFonts w:hint="eastAsia" w:ascii="Times New Roman" w:hAnsi="Times New Roman" w:eastAsia="宋体"/>
          <w:color w:val="auto"/>
          <w:highlight w:val="none"/>
        </w:rPr>
        <w:t>矿区</w:t>
      </w:r>
      <w:r>
        <w:rPr>
          <w:rFonts w:ascii="Times New Roman" w:hAnsi="Times New Roman" w:eastAsia="宋体"/>
          <w:color w:val="auto"/>
          <w:highlight w:val="none"/>
        </w:rPr>
        <w:t>范围内有水土流失发生。</w:t>
      </w:r>
    </w:p>
    <w:bookmarkEnd w:id="252"/>
    <w:p>
      <w:pPr>
        <w:pStyle w:val="6"/>
        <w:tabs>
          <w:tab w:val="left" w:pos="360"/>
          <w:tab w:val="left" w:pos="1390"/>
        </w:tabs>
        <w:spacing w:line="500" w:lineRule="exact"/>
        <w:rPr>
          <w:rFonts w:ascii="Times New Roman" w:hAnsi="Times New Roman" w:eastAsia="宋体"/>
          <w:color w:val="auto"/>
          <w:highlight w:val="none"/>
        </w:rPr>
      </w:pPr>
      <w:bookmarkStart w:id="253" w:name="_Toc14138"/>
      <w:r>
        <w:rPr>
          <w:rFonts w:ascii="Times New Roman" w:hAnsi="Times New Roman" w:eastAsia="宋体"/>
          <w:color w:val="auto"/>
          <w:highlight w:val="none"/>
        </w:rPr>
        <w:t>3.2.6.4 生态环境现状</w:t>
      </w:r>
      <w:bookmarkEnd w:id="253"/>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1、调查方法</w:t>
      </w:r>
    </w:p>
    <w:p>
      <w:pPr>
        <w:ind w:firstLine="480"/>
        <w:rPr>
          <w:rFonts w:ascii="Times New Roman" w:hAnsi="Times New Roman" w:eastAsia="宋体"/>
          <w:color w:val="auto"/>
          <w:highlight w:val="none"/>
        </w:rPr>
      </w:pPr>
      <w:r>
        <w:rPr>
          <w:rFonts w:ascii="Times New Roman" w:hAnsi="Times New Roman" w:eastAsia="宋体"/>
          <w:color w:val="auto"/>
          <w:highlight w:val="none"/>
        </w:rPr>
        <w:t>野外调查中，主要采用路线踏查法和典型群落样地记录法，在对工程涉及区域影响区进行现场踏勘，选取区域典型植被类型进行样方调查</w:t>
      </w:r>
      <w:r>
        <w:rPr>
          <w:rFonts w:hint="eastAsia" w:ascii="Times New Roman" w:hAnsi="Times New Roman" w:eastAsia="宋体"/>
          <w:color w:val="auto"/>
          <w:highlight w:val="none"/>
        </w:rPr>
        <w:t>，</w:t>
      </w:r>
      <w:r>
        <w:rPr>
          <w:rFonts w:ascii="Times New Roman" w:hAnsi="Times New Roman" w:eastAsia="宋体"/>
          <w:color w:val="auto"/>
          <w:highlight w:val="none"/>
        </w:rPr>
        <w:t>记录植被群落类型及植物种类。实地调查采取线路调查与重点调查相结合的方法，对于植被覆盖率较低的区域采取线路调查，在重点施工区域及植被覆盖状况良好的区域进行重点调查。根据调查结果</w:t>
      </w:r>
      <w:r>
        <w:rPr>
          <w:rFonts w:hint="eastAsia" w:ascii="Times New Roman" w:hAnsi="Times New Roman" w:eastAsia="宋体"/>
          <w:color w:val="auto"/>
          <w:highlight w:val="none"/>
        </w:rPr>
        <w:t>与</w:t>
      </w:r>
      <w:r>
        <w:rPr>
          <w:rFonts w:ascii="Times New Roman" w:hAnsi="Times New Roman" w:eastAsia="宋体"/>
          <w:color w:val="auto"/>
          <w:highlight w:val="none"/>
        </w:rPr>
        <w:t>收集到的相关植物和植被调查资料并咨询当地林业部门，室内结合3S系统制图，对评价区卫星遥感影像进行判读，分析评价区植被类型与土地利用类型分布情况。</w:t>
      </w:r>
    </w:p>
    <w:p>
      <w:pPr>
        <w:ind w:firstLine="480"/>
        <w:rPr>
          <w:rFonts w:ascii="Times New Roman" w:hAnsi="Times New Roman" w:eastAsia="宋体"/>
          <w:color w:val="auto"/>
          <w:highlight w:val="none"/>
        </w:rPr>
      </w:pPr>
      <w:r>
        <w:rPr>
          <w:rFonts w:ascii="Times New Roman" w:hAnsi="Times New Roman" w:eastAsia="宋体"/>
          <w:color w:val="auto"/>
          <w:highlight w:val="none"/>
        </w:rPr>
        <w:t>群落调查：森林</w:t>
      </w:r>
      <w:r>
        <w:rPr>
          <w:rFonts w:hint="eastAsia" w:ascii="Times New Roman" w:hAnsi="Times New Roman" w:eastAsia="宋体"/>
          <w:color w:val="auto"/>
          <w:highlight w:val="none"/>
        </w:rPr>
        <w:t>和灌丛样方大小为</w:t>
      </w:r>
      <w:r>
        <w:rPr>
          <w:rFonts w:ascii="Times New Roman" w:hAnsi="Times New Roman" w:eastAsia="宋体"/>
          <w:color w:val="auto"/>
          <w:highlight w:val="none"/>
        </w:rPr>
        <w:t>20m×20m，草丛</w:t>
      </w:r>
      <w:r>
        <w:rPr>
          <w:rFonts w:hint="eastAsia" w:ascii="Times New Roman" w:hAnsi="Times New Roman" w:eastAsia="宋体"/>
          <w:color w:val="auto"/>
          <w:highlight w:val="none"/>
        </w:rPr>
        <w:t>为</w:t>
      </w:r>
      <w:r>
        <w:rPr>
          <w:rFonts w:ascii="Times New Roman" w:hAnsi="Times New Roman" w:eastAsia="宋体"/>
          <w:color w:val="auto"/>
          <w:highlight w:val="none"/>
        </w:rPr>
        <w:t>10m×10m。</w:t>
      </w:r>
      <w:r>
        <w:rPr>
          <w:rFonts w:hint="eastAsia" w:ascii="Times New Roman" w:hAnsi="Times New Roman" w:eastAsia="宋体"/>
          <w:color w:val="auto"/>
          <w:highlight w:val="none"/>
        </w:rPr>
        <w:t>把胸径5cm以上的木本植物定为乔木，</w:t>
      </w:r>
      <w:r>
        <w:rPr>
          <w:rFonts w:ascii="Times New Roman" w:hAnsi="Times New Roman" w:eastAsia="宋体"/>
          <w:color w:val="auto"/>
          <w:highlight w:val="none"/>
        </w:rPr>
        <w:t>乔木</w:t>
      </w:r>
      <w:r>
        <w:rPr>
          <w:rFonts w:hint="eastAsia" w:ascii="Times New Roman" w:hAnsi="Times New Roman" w:eastAsia="宋体"/>
          <w:color w:val="auto"/>
          <w:highlight w:val="none"/>
        </w:rPr>
        <w:t>层</w:t>
      </w:r>
      <w:r>
        <w:rPr>
          <w:rFonts w:ascii="Times New Roman" w:hAnsi="Times New Roman" w:eastAsia="宋体"/>
          <w:color w:val="auto"/>
          <w:highlight w:val="none"/>
        </w:rPr>
        <w:t>记录</w:t>
      </w:r>
      <w:r>
        <w:rPr>
          <w:rFonts w:hint="eastAsia" w:ascii="Times New Roman" w:hAnsi="Times New Roman" w:eastAsia="宋体"/>
          <w:color w:val="auto"/>
          <w:highlight w:val="none"/>
        </w:rPr>
        <w:t>树种</w:t>
      </w:r>
      <w:r>
        <w:rPr>
          <w:rFonts w:ascii="Times New Roman" w:hAnsi="Times New Roman" w:eastAsia="宋体"/>
          <w:color w:val="auto"/>
          <w:highlight w:val="none"/>
        </w:rPr>
        <w:t>名</w:t>
      </w:r>
      <w:r>
        <w:rPr>
          <w:rFonts w:hint="eastAsia" w:ascii="Times New Roman" w:hAnsi="Times New Roman" w:eastAsia="宋体"/>
          <w:color w:val="auto"/>
          <w:highlight w:val="none"/>
        </w:rPr>
        <w:t>、个体数、高度</w:t>
      </w:r>
      <w:r>
        <w:rPr>
          <w:rFonts w:ascii="Times New Roman" w:hAnsi="Times New Roman" w:eastAsia="宋体"/>
          <w:color w:val="auto"/>
          <w:highlight w:val="none"/>
        </w:rPr>
        <w:t>、胸径及</w:t>
      </w:r>
      <w:r>
        <w:rPr>
          <w:rFonts w:hint="eastAsia" w:ascii="Times New Roman" w:hAnsi="Times New Roman" w:eastAsia="宋体"/>
          <w:color w:val="auto"/>
          <w:highlight w:val="none"/>
        </w:rPr>
        <w:t>多优度-群集度，灌木层和</w:t>
      </w:r>
      <w:r>
        <w:rPr>
          <w:rFonts w:ascii="Times New Roman" w:hAnsi="Times New Roman" w:eastAsia="宋体"/>
          <w:color w:val="auto"/>
          <w:highlight w:val="none"/>
        </w:rPr>
        <w:t>草本</w:t>
      </w:r>
      <w:r>
        <w:rPr>
          <w:rFonts w:hint="eastAsia" w:ascii="Times New Roman" w:hAnsi="Times New Roman" w:eastAsia="宋体"/>
          <w:color w:val="auto"/>
          <w:highlight w:val="none"/>
        </w:rPr>
        <w:t>层</w:t>
      </w:r>
      <w:r>
        <w:rPr>
          <w:rFonts w:ascii="Times New Roman" w:hAnsi="Times New Roman" w:eastAsia="宋体"/>
          <w:color w:val="auto"/>
          <w:highlight w:val="none"/>
        </w:rPr>
        <w:t>植物记录种名、高度及</w:t>
      </w:r>
      <w:r>
        <w:rPr>
          <w:rFonts w:hint="eastAsia" w:ascii="Times New Roman" w:hAnsi="Times New Roman" w:eastAsia="宋体"/>
          <w:color w:val="auto"/>
          <w:highlight w:val="none"/>
        </w:rPr>
        <w:t>多优度-群集度</w:t>
      </w:r>
      <w:r>
        <w:rPr>
          <w:rFonts w:ascii="Times New Roman" w:hAnsi="Times New Roman" w:eastAsia="宋体"/>
          <w:color w:val="auto"/>
          <w:highlight w:val="none"/>
        </w:rPr>
        <w:t>。采用法瑞学派打分法</w:t>
      </w:r>
      <w:r>
        <w:rPr>
          <w:rFonts w:hint="eastAsia" w:ascii="Times New Roman" w:hAnsi="Times New Roman" w:eastAsia="宋体"/>
          <w:color w:val="auto"/>
          <w:highlight w:val="none"/>
        </w:rPr>
        <w:t>的多优度-群集度指标</w:t>
      </w:r>
      <w:r>
        <w:rPr>
          <w:rFonts w:ascii="Times New Roman" w:hAnsi="Times New Roman" w:eastAsia="宋体"/>
          <w:color w:val="auto"/>
          <w:highlight w:val="none"/>
        </w:rPr>
        <w:t>记录</w:t>
      </w:r>
      <w:r>
        <w:rPr>
          <w:rFonts w:hint="eastAsia" w:ascii="Times New Roman" w:hAnsi="Times New Roman" w:eastAsia="宋体"/>
          <w:color w:val="auto"/>
          <w:highlight w:val="none"/>
        </w:rPr>
        <w:t>植物</w:t>
      </w:r>
      <w:r>
        <w:rPr>
          <w:rFonts w:ascii="Times New Roman" w:hAnsi="Times New Roman" w:eastAsia="宋体"/>
          <w:color w:val="auto"/>
          <w:highlight w:val="none"/>
        </w:rPr>
        <w:t>的多度和盖度。本项目在现场调查时实地调查了沿线的典型植物群落共计</w:t>
      </w:r>
      <w:r>
        <w:rPr>
          <w:rFonts w:hint="eastAsia" w:ascii="Times New Roman" w:hAnsi="Times New Roman" w:eastAsia="宋体"/>
          <w:color w:val="auto"/>
          <w:highlight w:val="none"/>
        </w:rPr>
        <w:t>4</w:t>
      </w:r>
      <w:r>
        <w:rPr>
          <w:rFonts w:ascii="Times New Roman" w:hAnsi="Times New Roman" w:eastAsia="宋体"/>
          <w:color w:val="auto"/>
          <w:highlight w:val="none"/>
        </w:rPr>
        <w:t>个类型。</w:t>
      </w:r>
    </w:p>
    <w:p>
      <w:pPr>
        <w:tabs>
          <w:tab w:val="left" w:pos="2235"/>
          <w:tab w:val="left" w:pos="6660"/>
        </w:tabs>
        <w:ind w:firstLine="480"/>
        <w:jc w:val="left"/>
        <w:rPr>
          <w:rFonts w:ascii="Times New Roman" w:hAnsi="Times New Roman" w:eastAsia="宋体"/>
          <w:color w:val="auto"/>
          <w:szCs w:val="28"/>
          <w:highlight w:val="none"/>
        </w:rPr>
      </w:pPr>
      <w:r>
        <w:rPr>
          <w:rFonts w:ascii="Times New Roman" w:hAnsi="Times New Roman" w:eastAsia="宋体" w:cs="Times New Roman"/>
          <w:color w:val="auto"/>
          <w:highlight w:val="none"/>
        </w:rPr>
        <w:t>2、</w:t>
      </w:r>
      <w:r>
        <w:rPr>
          <w:rFonts w:ascii="Times New Roman" w:hAnsi="Times New Roman" w:eastAsia="宋体"/>
          <w:color w:val="auto"/>
          <w:szCs w:val="28"/>
          <w:highlight w:val="none"/>
        </w:rPr>
        <w:t>植被分类的原则与依据</w:t>
      </w:r>
    </w:p>
    <w:p>
      <w:pPr>
        <w:ind w:firstLine="480"/>
        <w:rPr>
          <w:rFonts w:ascii="Times New Roman" w:hAnsi="Times New Roman" w:eastAsia="宋体"/>
          <w:color w:val="auto"/>
          <w:highlight w:val="none"/>
        </w:rPr>
      </w:pPr>
      <w:r>
        <w:rPr>
          <w:rFonts w:ascii="Times New Roman" w:hAnsi="Times New Roman" w:eastAsia="宋体"/>
          <w:color w:val="auto"/>
          <w:highlight w:val="none"/>
        </w:rPr>
        <w:t>依据《中国植被》、《广西森林》和《广西植被》等重要植被专著中采用的分类系统，遵循群落学－生态学的分类原则，采用3个主级分类单位，即植被型高级分类单位、群系中级分类单位和群丛低级分类单位，各级再设亚级或辅助单位。本项目评价区内的自然植被</w:t>
      </w:r>
      <w:r>
        <w:rPr>
          <w:rFonts w:hint="eastAsia" w:ascii="Times New Roman" w:hAnsi="Times New Roman" w:eastAsia="宋体"/>
          <w:color w:val="auto"/>
          <w:highlight w:val="none"/>
        </w:rPr>
        <w:t>仅有1</w:t>
      </w:r>
      <w:r>
        <w:rPr>
          <w:rFonts w:ascii="Times New Roman" w:hAnsi="Times New Roman" w:eastAsia="宋体"/>
          <w:color w:val="auto"/>
          <w:highlight w:val="none"/>
        </w:rPr>
        <w:t>个植被型</w:t>
      </w:r>
      <w:r>
        <w:rPr>
          <w:rFonts w:hint="eastAsia" w:ascii="Times New Roman" w:hAnsi="Times New Roman" w:eastAsia="宋体"/>
          <w:color w:val="auto"/>
          <w:highlight w:val="none"/>
        </w:rPr>
        <w:t>组</w:t>
      </w:r>
      <w:r>
        <w:rPr>
          <w:rFonts w:ascii="Times New Roman" w:hAnsi="Times New Roman" w:eastAsia="宋体"/>
          <w:color w:val="auto"/>
          <w:highlight w:val="none"/>
        </w:rPr>
        <w:t>、</w:t>
      </w:r>
      <w:r>
        <w:rPr>
          <w:rFonts w:hint="eastAsia" w:ascii="Times New Roman" w:hAnsi="Times New Roman" w:eastAsia="宋体"/>
          <w:color w:val="auto"/>
          <w:highlight w:val="none"/>
        </w:rPr>
        <w:t>1</w:t>
      </w:r>
      <w:r>
        <w:rPr>
          <w:rFonts w:ascii="Times New Roman" w:hAnsi="Times New Roman" w:eastAsia="宋体"/>
          <w:color w:val="auto"/>
          <w:highlight w:val="none"/>
        </w:rPr>
        <w:t>个植被型</w:t>
      </w:r>
      <w:r>
        <w:rPr>
          <w:rFonts w:hint="eastAsia" w:ascii="Times New Roman" w:hAnsi="Times New Roman" w:eastAsia="宋体"/>
          <w:color w:val="auto"/>
          <w:highlight w:val="none"/>
        </w:rPr>
        <w:t>、1个植被亚型</w:t>
      </w:r>
      <w:r>
        <w:rPr>
          <w:rFonts w:ascii="Times New Roman" w:hAnsi="Times New Roman" w:eastAsia="宋体"/>
          <w:color w:val="auto"/>
          <w:highlight w:val="none"/>
        </w:rPr>
        <w:t>和</w:t>
      </w:r>
      <w:r>
        <w:rPr>
          <w:rFonts w:hint="eastAsia" w:ascii="Times New Roman" w:hAnsi="Times New Roman" w:eastAsia="宋体"/>
          <w:color w:val="auto"/>
          <w:highlight w:val="none"/>
        </w:rPr>
        <w:t>1</w:t>
      </w:r>
      <w:r>
        <w:rPr>
          <w:rFonts w:ascii="Times New Roman" w:hAnsi="Times New Roman" w:eastAsia="宋体"/>
          <w:color w:val="auto"/>
          <w:highlight w:val="none"/>
        </w:rPr>
        <w:t>个群系</w:t>
      </w:r>
      <w:r>
        <w:rPr>
          <w:rFonts w:hint="eastAsia" w:ascii="Times New Roman" w:hAnsi="Times New Roman" w:eastAsia="宋体"/>
          <w:color w:val="auto"/>
          <w:highlight w:val="none"/>
        </w:rPr>
        <w:t>，即马尾松林。人工植被有用材林的杉木人工林、经济林的油茶林和稻田</w:t>
      </w:r>
      <w:r>
        <w:rPr>
          <w:rFonts w:ascii="Times New Roman" w:hAnsi="Times New Roman" w:eastAsia="宋体"/>
          <w:color w:val="auto"/>
          <w:highlight w:val="none"/>
        </w:rPr>
        <w:t>。评价区的植被类型见表</w:t>
      </w:r>
      <w:r>
        <w:rPr>
          <w:rFonts w:hint="eastAsia" w:ascii="Times New Roman" w:hAnsi="Times New Roman" w:eastAsia="宋体"/>
          <w:color w:val="auto"/>
          <w:highlight w:val="none"/>
        </w:rPr>
        <w:t>3.2-13</w:t>
      </w:r>
      <w:r>
        <w:rPr>
          <w:rFonts w:ascii="Times New Roman" w:hAnsi="Times New Roman" w:eastAsia="宋体"/>
          <w:color w:val="auto"/>
          <w:highlight w:val="none"/>
        </w:rPr>
        <w:t>。</w:t>
      </w:r>
    </w:p>
    <w:p>
      <w:pPr>
        <w:pStyle w:val="13"/>
        <w:rPr>
          <w:rFonts w:ascii="Times New Roman" w:hAnsi="Times New Roman" w:eastAsia="宋体"/>
          <w:color w:val="auto"/>
          <w:highlight w:val="none"/>
        </w:rPr>
      </w:pPr>
      <w:r>
        <w:rPr>
          <w:rFonts w:ascii="Times New Roman" w:hAnsi="Times New Roman" w:eastAsia="宋体"/>
          <w:color w:val="auto"/>
          <w:highlight w:val="none"/>
        </w:rPr>
        <w:t>表</w:t>
      </w:r>
      <w:r>
        <w:rPr>
          <w:rFonts w:hint="eastAsia" w:ascii="Times New Roman" w:hAnsi="Times New Roman" w:eastAsia="宋体"/>
          <w:color w:val="auto"/>
          <w:highlight w:val="none"/>
        </w:rPr>
        <w:t xml:space="preserve">3.2-13 </w:t>
      </w:r>
      <w:r>
        <w:rPr>
          <w:rFonts w:ascii="Times New Roman" w:hAnsi="Times New Roman" w:eastAsia="宋体"/>
          <w:color w:val="auto"/>
          <w:highlight w:val="none"/>
        </w:rPr>
        <w:t>评价区植被类型分类系统表</w:t>
      </w:r>
    </w:p>
    <w:tbl>
      <w:tblPr>
        <w:tblStyle w:val="48"/>
        <w:tblW w:w="924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9242" w:type="dxa"/>
            <w:noWrap w:val="0"/>
            <w:vAlign w:val="top"/>
          </w:tcPr>
          <w:p>
            <w:pPr>
              <w:pStyle w:val="85"/>
              <w:spacing w:line="240" w:lineRule="auto"/>
              <w:ind w:firstLine="422"/>
              <w:rPr>
                <w:rFonts w:ascii="Times New Roman" w:hAnsi="Times New Roman" w:eastAsia="宋体"/>
                <w:b/>
                <w:color w:val="auto"/>
                <w:sz w:val="21"/>
                <w:highlight w:val="none"/>
              </w:rPr>
            </w:pPr>
            <w:r>
              <w:rPr>
                <w:rFonts w:ascii="Times New Roman" w:hAnsi="Times New Roman" w:eastAsia="宋体"/>
                <w:b/>
                <w:color w:val="auto"/>
                <w:sz w:val="21"/>
                <w:highlight w:val="none"/>
              </w:rPr>
              <w:t>A.自然植被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9242" w:type="dxa"/>
            <w:noWrap w:val="0"/>
            <w:vAlign w:val="center"/>
          </w:tcPr>
          <w:p>
            <w:pPr>
              <w:pStyle w:val="85"/>
              <w:spacing w:line="240" w:lineRule="auto"/>
              <w:ind w:firstLine="422"/>
              <w:rPr>
                <w:rFonts w:ascii="Times New Roman" w:hAnsi="Times New Roman" w:eastAsia="宋体"/>
                <w:b/>
                <w:color w:val="auto"/>
                <w:sz w:val="21"/>
                <w:highlight w:val="none"/>
              </w:rPr>
            </w:pPr>
            <w:r>
              <w:rPr>
                <w:rFonts w:hint="eastAsia" w:ascii="Times New Roman" w:hAnsi="Times New Roman" w:eastAsia="宋体"/>
                <w:b/>
                <w:color w:val="auto"/>
                <w:sz w:val="21"/>
                <w:highlight w:val="none"/>
                <w:lang w:val="zh-CN"/>
              </w:rPr>
              <w:t>一、针叶林（植被型组）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9242" w:type="dxa"/>
            <w:noWrap w:val="0"/>
            <w:vAlign w:val="center"/>
          </w:tcPr>
          <w:p>
            <w:pPr>
              <w:pStyle w:val="85"/>
              <w:spacing w:line="240" w:lineRule="auto"/>
              <w:ind w:firstLine="211" w:firstLineChars="100"/>
              <w:rPr>
                <w:rFonts w:ascii="Times New Roman" w:hAnsi="Times New Roman" w:eastAsia="宋体"/>
                <w:b/>
                <w:color w:val="auto"/>
                <w:sz w:val="21"/>
                <w:highlight w:val="none"/>
              </w:rPr>
            </w:pPr>
            <w:r>
              <w:rPr>
                <w:rFonts w:ascii="Times New Roman" w:hAnsi="Times New Roman" w:eastAsia="宋体"/>
                <w:b/>
                <w:color w:val="auto"/>
                <w:sz w:val="21"/>
                <w:highlight w:val="none"/>
              </w:rPr>
              <w:t>（</w:t>
            </w:r>
            <w:r>
              <w:rPr>
                <w:rFonts w:hint="eastAsia" w:ascii="Times New Roman" w:hAnsi="Times New Roman" w:eastAsia="宋体"/>
                <w:b/>
                <w:color w:val="auto"/>
                <w:sz w:val="21"/>
                <w:highlight w:val="none"/>
              </w:rPr>
              <w:t>一</w:t>
            </w:r>
            <w:r>
              <w:rPr>
                <w:rFonts w:ascii="Times New Roman" w:hAnsi="Times New Roman" w:eastAsia="宋体"/>
                <w:b/>
                <w:color w:val="auto"/>
                <w:sz w:val="21"/>
                <w:highlight w:val="none"/>
              </w:rPr>
              <w:t>）</w:t>
            </w:r>
            <w:r>
              <w:rPr>
                <w:rFonts w:hint="eastAsia" w:ascii="Times New Roman" w:hAnsi="Times New Roman" w:eastAsia="宋体"/>
                <w:b/>
                <w:color w:val="auto"/>
                <w:sz w:val="21"/>
                <w:highlight w:val="none"/>
              </w:rPr>
              <w:t>暖性针叶林（植被型）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9242" w:type="dxa"/>
            <w:noWrap w:val="0"/>
            <w:vAlign w:val="top"/>
          </w:tcPr>
          <w:p>
            <w:pPr>
              <w:pStyle w:val="85"/>
              <w:spacing w:line="240" w:lineRule="auto"/>
              <w:ind w:firstLine="424" w:firstLineChars="201"/>
              <w:rPr>
                <w:rFonts w:ascii="Times New Roman" w:hAnsi="Times New Roman" w:eastAsia="宋体"/>
                <w:b/>
                <w:color w:val="auto"/>
                <w:sz w:val="21"/>
                <w:highlight w:val="none"/>
              </w:rPr>
            </w:pPr>
            <w:r>
              <w:rPr>
                <w:rFonts w:hint="eastAsia" w:ascii="Times New Roman" w:hAnsi="Times New Roman" w:eastAsia="宋体"/>
                <w:b/>
                <w:color w:val="auto"/>
                <w:sz w:val="21"/>
                <w:highlight w:val="none"/>
              </w:rPr>
              <w:t>Ⅰ.低山丘陵暖性针叶林（植被亚型）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9242" w:type="dxa"/>
            <w:noWrap w:val="0"/>
            <w:vAlign w:val="top"/>
          </w:tcPr>
          <w:p>
            <w:pPr>
              <w:pStyle w:val="85"/>
              <w:spacing w:line="240" w:lineRule="auto"/>
              <w:ind w:firstLine="708" w:firstLineChars="336"/>
              <w:rPr>
                <w:rFonts w:ascii="Times New Roman" w:hAnsi="Times New Roman" w:eastAsia="宋体"/>
                <w:color w:val="auto"/>
                <w:sz w:val="21"/>
                <w:highlight w:val="none"/>
              </w:rPr>
            </w:pPr>
            <w:r>
              <w:rPr>
                <w:rFonts w:hint="eastAsia" w:ascii="Times New Roman" w:hAnsi="Times New Roman" w:eastAsia="宋体"/>
                <w:b/>
                <w:color w:val="auto"/>
                <w:sz w:val="21"/>
                <w:highlight w:val="none"/>
              </w:rPr>
              <w:t>(Ⅰ).低山丘陵暖性针叶林（群系组）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9242" w:type="dxa"/>
            <w:noWrap w:val="0"/>
            <w:vAlign w:val="top"/>
          </w:tcPr>
          <w:p>
            <w:pPr>
              <w:pStyle w:val="85"/>
              <w:spacing w:line="240" w:lineRule="auto"/>
              <w:ind w:firstLine="1155" w:firstLineChars="550"/>
              <w:rPr>
                <w:rFonts w:ascii="Times New Roman" w:hAnsi="Times New Roman" w:eastAsia="宋体"/>
                <w:color w:val="auto"/>
                <w:sz w:val="21"/>
                <w:highlight w:val="none"/>
              </w:rPr>
            </w:pPr>
            <w:r>
              <w:rPr>
                <w:rFonts w:ascii="Times New Roman" w:hAnsi="Times New Roman" w:eastAsia="宋体"/>
                <w:color w:val="auto"/>
                <w:sz w:val="21"/>
                <w:highlight w:val="none"/>
              </w:rPr>
              <w:t>1.</w:t>
            </w:r>
            <w:r>
              <w:rPr>
                <w:rFonts w:hint="eastAsia" w:ascii="Times New Roman" w:hAnsi="Times New Roman" w:eastAsia="宋体"/>
                <w:color w:val="auto"/>
                <w:sz w:val="21"/>
                <w:highlight w:val="none"/>
              </w:rPr>
              <w:t>马尾松林（群系）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9242" w:type="dxa"/>
            <w:noWrap w:val="0"/>
            <w:vAlign w:val="top"/>
          </w:tcPr>
          <w:p>
            <w:pPr>
              <w:pStyle w:val="85"/>
              <w:spacing w:line="240" w:lineRule="auto"/>
              <w:ind w:firstLine="422"/>
              <w:rPr>
                <w:rFonts w:ascii="Times New Roman" w:hAnsi="Times New Roman" w:eastAsia="宋体"/>
                <w:b/>
                <w:color w:val="auto"/>
                <w:sz w:val="21"/>
                <w:highlight w:val="none"/>
              </w:rPr>
            </w:pPr>
            <w:r>
              <w:rPr>
                <w:rFonts w:ascii="Times New Roman" w:hAnsi="Times New Roman" w:eastAsia="宋体"/>
                <w:b/>
                <w:color w:val="auto"/>
                <w:sz w:val="21"/>
                <w:highlight w:val="none"/>
              </w:rPr>
              <w:t>B</w:t>
            </w:r>
            <w:r>
              <w:rPr>
                <w:rFonts w:hint="eastAsia" w:ascii="Times New Roman" w:hAnsi="Times New Roman" w:eastAsia="宋体"/>
                <w:b/>
                <w:color w:val="auto"/>
                <w:sz w:val="21"/>
                <w:highlight w:val="none"/>
              </w:rPr>
              <w:t>.</w:t>
            </w:r>
            <w:r>
              <w:rPr>
                <w:rFonts w:ascii="Times New Roman" w:hAnsi="Times New Roman" w:eastAsia="宋体"/>
                <w:b/>
                <w:color w:val="auto"/>
                <w:sz w:val="21"/>
                <w:highlight w:val="none"/>
              </w:rPr>
              <w:t>人工植被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9242" w:type="dxa"/>
            <w:noWrap w:val="0"/>
            <w:vAlign w:val="top"/>
          </w:tcPr>
          <w:p>
            <w:pPr>
              <w:pStyle w:val="85"/>
              <w:spacing w:line="240" w:lineRule="auto"/>
              <w:ind w:firstLine="422"/>
              <w:rPr>
                <w:rFonts w:ascii="Times New Roman" w:hAnsi="Times New Roman" w:eastAsia="宋体"/>
                <w:color w:val="auto"/>
                <w:sz w:val="21"/>
                <w:highlight w:val="none"/>
              </w:rPr>
            </w:pPr>
            <w:r>
              <w:rPr>
                <w:rFonts w:hint="eastAsia" w:ascii="Times New Roman" w:hAnsi="Times New Roman" w:eastAsia="宋体"/>
                <w:b/>
                <w:color w:val="auto"/>
                <w:sz w:val="21"/>
                <w:highlight w:val="none"/>
                <w:lang w:val="zh-CN"/>
              </w:rPr>
              <w:t>二、</w:t>
            </w:r>
            <w:r>
              <w:rPr>
                <w:rFonts w:ascii="Times New Roman" w:hAnsi="Times New Roman" w:eastAsia="宋体"/>
                <w:b/>
                <w:color w:val="auto"/>
                <w:sz w:val="21"/>
                <w:highlight w:val="none"/>
                <w:lang w:val="zh-CN"/>
              </w:rPr>
              <w:t>用材林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9242" w:type="dxa"/>
            <w:noWrap w:val="0"/>
            <w:vAlign w:val="top"/>
          </w:tcPr>
          <w:p>
            <w:pPr>
              <w:pStyle w:val="85"/>
              <w:spacing w:line="240" w:lineRule="auto"/>
              <w:ind w:firstLine="1155" w:firstLineChars="550"/>
              <w:rPr>
                <w:rFonts w:ascii="Times New Roman" w:hAnsi="Times New Roman" w:eastAsia="宋体"/>
                <w:b/>
                <w:color w:val="auto"/>
                <w:sz w:val="21"/>
                <w:highlight w:val="none"/>
              </w:rPr>
            </w:pPr>
            <w:r>
              <w:rPr>
                <w:rFonts w:hint="eastAsia" w:ascii="Times New Roman" w:hAnsi="Times New Roman" w:eastAsia="宋体"/>
                <w:color w:val="auto"/>
                <w:sz w:val="21"/>
                <w:highlight w:val="none"/>
              </w:rPr>
              <w:t>2.杉木人工林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9242" w:type="dxa"/>
            <w:noWrap w:val="0"/>
            <w:vAlign w:val="top"/>
          </w:tcPr>
          <w:p>
            <w:pPr>
              <w:pStyle w:val="85"/>
              <w:spacing w:line="240" w:lineRule="auto"/>
              <w:ind w:firstLine="422"/>
              <w:rPr>
                <w:rFonts w:ascii="Times New Roman" w:hAnsi="Times New Roman" w:eastAsia="宋体"/>
                <w:b/>
                <w:color w:val="auto"/>
                <w:sz w:val="21"/>
                <w:highlight w:val="none"/>
              </w:rPr>
            </w:pPr>
            <w:r>
              <w:rPr>
                <w:rFonts w:hint="eastAsia" w:ascii="Times New Roman" w:hAnsi="Times New Roman" w:eastAsia="宋体"/>
                <w:b/>
                <w:color w:val="auto"/>
                <w:sz w:val="21"/>
                <w:highlight w:val="none"/>
              </w:rPr>
              <w:t>三、经济林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9242" w:type="dxa"/>
            <w:noWrap w:val="0"/>
            <w:vAlign w:val="top"/>
          </w:tcPr>
          <w:p>
            <w:pPr>
              <w:pStyle w:val="85"/>
              <w:spacing w:line="240" w:lineRule="auto"/>
              <w:ind w:firstLine="1155" w:firstLineChars="550"/>
              <w:rPr>
                <w:rFonts w:ascii="Times New Roman" w:hAnsi="Times New Roman" w:eastAsia="宋体"/>
                <w:color w:val="auto"/>
                <w:sz w:val="21"/>
                <w:highlight w:val="none"/>
              </w:rPr>
            </w:pPr>
            <w:r>
              <w:rPr>
                <w:rFonts w:hint="eastAsia" w:ascii="Times New Roman" w:hAnsi="Times New Roman" w:eastAsia="宋体"/>
                <w:color w:val="auto"/>
                <w:sz w:val="21"/>
                <w:highlight w:val="none"/>
              </w:rPr>
              <w:t>3.油茶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9242" w:type="dxa"/>
            <w:noWrap w:val="0"/>
            <w:vAlign w:val="top"/>
          </w:tcPr>
          <w:p>
            <w:pPr>
              <w:pStyle w:val="85"/>
              <w:spacing w:line="240" w:lineRule="auto"/>
              <w:ind w:firstLine="422"/>
              <w:rPr>
                <w:rFonts w:ascii="Times New Roman" w:hAnsi="Times New Roman" w:eastAsia="宋体"/>
                <w:b/>
                <w:color w:val="auto"/>
                <w:sz w:val="21"/>
                <w:highlight w:val="none"/>
              </w:rPr>
            </w:pPr>
            <w:r>
              <w:rPr>
                <w:rFonts w:hint="eastAsia" w:ascii="Times New Roman" w:hAnsi="Times New Roman" w:eastAsia="宋体"/>
                <w:b/>
                <w:color w:val="auto"/>
                <w:sz w:val="21"/>
                <w:highlight w:val="none"/>
              </w:rPr>
              <w:t>四、</w:t>
            </w:r>
            <w:r>
              <w:rPr>
                <w:rFonts w:ascii="Times New Roman" w:hAnsi="Times New Roman" w:eastAsia="宋体"/>
                <w:b/>
                <w:color w:val="auto"/>
                <w:sz w:val="21"/>
                <w:highlight w:val="none"/>
              </w:rPr>
              <w:t>农田植被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9242" w:type="dxa"/>
            <w:noWrap w:val="0"/>
            <w:vAlign w:val="top"/>
          </w:tcPr>
          <w:p>
            <w:pPr>
              <w:pStyle w:val="85"/>
              <w:spacing w:line="240" w:lineRule="auto"/>
              <w:ind w:firstLine="1155" w:firstLineChars="550"/>
              <w:rPr>
                <w:rFonts w:ascii="Times New Roman" w:hAnsi="Times New Roman" w:eastAsia="宋体"/>
                <w:color w:val="auto"/>
                <w:sz w:val="21"/>
                <w:highlight w:val="none"/>
              </w:rPr>
            </w:pPr>
            <w:r>
              <w:rPr>
                <w:rFonts w:hint="eastAsia" w:ascii="Times New Roman" w:hAnsi="Times New Roman" w:eastAsia="宋体"/>
                <w:color w:val="auto"/>
                <w:sz w:val="21"/>
                <w:highlight w:val="none"/>
              </w:rPr>
              <w:t>4.稻田</w:t>
            </w:r>
          </w:p>
        </w:tc>
      </w:tr>
    </w:tbl>
    <w:p>
      <w:pPr>
        <w:spacing w:line="240" w:lineRule="auto"/>
        <w:ind w:firstLine="0" w:firstLineChars="0"/>
        <w:jc w:val="center"/>
        <w:rPr>
          <w:rFonts w:hint="eastAsia" w:ascii="Times New Roman" w:hAnsi="Times New Roman" w:eastAsia="宋体" w:cs="Times New Roman"/>
          <w:b/>
          <w:color w:val="auto"/>
          <w:highlight w:val="none"/>
        </w:rPr>
      </w:pPr>
      <w:r>
        <w:rPr>
          <w:rFonts w:hint="eastAsia" w:ascii="Times New Roman" w:hAnsi="Times New Roman" w:eastAsia="宋体" w:cs="Times New Roman"/>
          <w:b/>
          <w:color w:val="auto"/>
          <w:highlight w:val="none"/>
        </w:rPr>
        <w:drawing>
          <wp:inline distT="0" distB="0" distL="114300" distR="114300">
            <wp:extent cx="5721350" cy="3966845"/>
            <wp:effectExtent l="0" t="0" r="12700" b="14605"/>
            <wp:docPr id="56" name="图片 339" descr="三江生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39" descr="三江生态"/>
                    <pic:cNvPicPr>
                      <a:picLocks noChangeAspect="1"/>
                    </pic:cNvPicPr>
                  </pic:nvPicPr>
                  <pic:blipFill>
                    <a:blip r:embed="rId78"/>
                    <a:stretch>
                      <a:fillRect/>
                    </a:stretch>
                  </pic:blipFill>
                  <pic:spPr>
                    <a:xfrm>
                      <a:off x="0" y="0"/>
                      <a:ext cx="5721350" cy="3966845"/>
                    </a:xfrm>
                    <a:prstGeom prst="rect">
                      <a:avLst/>
                    </a:prstGeom>
                    <a:noFill/>
                    <a:ln>
                      <a:noFill/>
                    </a:ln>
                  </pic:spPr>
                </pic:pic>
              </a:graphicData>
            </a:graphic>
          </wp:inline>
        </w:drawing>
      </w:r>
    </w:p>
    <w:p>
      <w:pPr>
        <w:pStyle w:val="13"/>
        <w:rPr>
          <w:rFonts w:ascii="Times New Roman" w:hAnsi="Times New Roman" w:eastAsia="宋体"/>
          <w:color w:val="auto"/>
          <w:highlight w:val="none"/>
        </w:rPr>
      </w:pPr>
      <w:r>
        <w:rPr>
          <w:rFonts w:ascii="Times New Roman" w:hAnsi="Times New Roman" w:eastAsia="宋体"/>
          <w:color w:val="auto"/>
          <w:highlight w:val="none"/>
        </w:rPr>
        <w:t>图3.2-3 植被分布图</w:t>
      </w:r>
    </w:p>
    <w:p>
      <w:pPr>
        <w:ind w:firstLine="480"/>
        <w:rPr>
          <w:rFonts w:ascii="Times New Roman" w:hAnsi="Times New Roman" w:eastAsia="宋体"/>
          <w:color w:val="auto"/>
          <w:szCs w:val="28"/>
          <w:highlight w:val="none"/>
        </w:rPr>
      </w:pPr>
      <w:r>
        <w:rPr>
          <w:rFonts w:ascii="Times New Roman" w:hAnsi="Times New Roman" w:eastAsia="宋体"/>
          <w:color w:val="auto"/>
          <w:szCs w:val="28"/>
          <w:highlight w:val="none"/>
        </w:rPr>
        <w:t>3、评价区沿线植被分布概况</w:t>
      </w:r>
    </w:p>
    <w:p>
      <w:pPr>
        <w:ind w:firstLine="48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根据《广西森林》，项目评价区属Ⅰ亚热带常绿阔叶林带，ⅠA东部湿润常绿阔叶林亚带，ⅠA</w:t>
      </w:r>
      <w:r>
        <w:rPr>
          <w:rFonts w:ascii="Times New Roman" w:hAnsi="Times New Roman" w:eastAsia="宋体" w:cs="Times New Roman"/>
          <w:color w:val="auto"/>
          <w:szCs w:val="28"/>
          <w:highlight w:val="none"/>
          <w:vertAlign w:val="subscript"/>
        </w:rPr>
        <w:t>1</w:t>
      </w:r>
      <w:r>
        <w:rPr>
          <w:rFonts w:ascii="Times New Roman" w:hAnsi="Times New Roman" w:eastAsia="宋体" w:cs="Times New Roman"/>
          <w:color w:val="auto"/>
          <w:szCs w:val="28"/>
          <w:highlight w:val="none"/>
        </w:rPr>
        <w:t>中亚热带常绿阔叶林地带，ⅠA</w:t>
      </w:r>
      <w:r>
        <w:rPr>
          <w:rFonts w:ascii="Times New Roman" w:hAnsi="Times New Roman" w:eastAsia="宋体" w:cs="Times New Roman"/>
          <w:color w:val="auto"/>
          <w:szCs w:val="28"/>
          <w:highlight w:val="none"/>
          <w:vertAlign w:val="subscript"/>
        </w:rPr>
        <w:t>1a</w:t>
      </w:r>
      <w:r>
        <w:rPr>
          <w:rFonts w:ascii="Times New Roman" w:hAnsi="Times New Roman" w:eastAsia="宋体" w:cs="Times New Roman"/>
          <w:color w:val="auto"/>
          <w:szCs w:val="28"/>
          <w:highlight w:val="none"/>
        </w:rPr>
        <w:t>桂东北山地栲树林杉木林毛竹林区和ⅠA1b桂北石山山地青冈鹅耳枥林栲类林杉木林区的交界处。评价区的自然植被面积大，主要分布在山体的中、上坡位，自然植被仅有马尾松次生林，现状植被保存较差，次生性明显，但植被覆盖率高。山体的下坡位分布着杉木人工林、油茶林等人工植被，谷地则是以稻田和丢荒的农田。</w:t>
      </w:r>
    </w:p>
    <w:p>
      <w:pPr>
        <w:ind w:firstLine="480"/>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4、主要植被类型特征</w:t>
      </w:r>
    </w:p>
    <w:p>
      <w:pPr>
        <w:pStyle w:val="91"/>
        <w:ind w:firstLine="480"/>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（1）自然植被</w:t>
      </w:r>
    </w:p>
    <w:p>
      <w:pPr>
        <w:pStyle w:val="91"/>
        <w:ind w:firstLine="480"/>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①</w:t>
      </w:r>
      <w:r>
        <w:rPr>
          <w:rFonts w:hint="eastAsia" w:ascii="Times New Roman" w:hAnsi="Times New Roman" w:eastAsia="宋体"/>
          <w:bCs/>
          <w:color w:val="auto"/>
          <w:highlight w:val="none"/>
        </w:rPr>
        <w:t>针叶林</w:t>
      </w:r>
    </w:p>
    <w:p>
      <w:pPr>
        <w:spacing w:line="440" w:lineRule="exact"/>
        <w:ind w:firstLine="480"/>
        <w:rPr>
          <w:rFonts w:ascii="Times New Roman" w:hAnsi="Times New Roman" w:eastAsia="宋体"/>
          <w:color w:val="auto"/>
          <w:szCs w:val="28"/>
          <w:highlight w:val="none"/>
        </w:rPr>
      </w:pPr>
      <w:r>
        <w:rPr>
          <w:rFonts w:ascii="Times New Roman" w:hAnsi="Times New Roman" w:eastAsia="宋体"/>
          <w:color w:val="auto"/>
          <w:szCs w:val="28"/>
          <w:highlight w:val="none"/>
        </w:rPr>
        <w:t>评价区的</w:t>
      </w:r>
      <w:r>
        <w:rPr>
          <w:rFonts w:hint="eastAsia" w:ascii="Times New Roman" w:hAnsi="Times New Roman" w:eastAsia="宋体"/>
          <w:color w:val="auto"/>
          <w:szCs w:val="28"/>
          <w:highlight w:val="none"/>
        </w:rPr>
        <w:t>自然植被</w:t>
      </w:r>
      <w:r>
        <w:rPr>
          <w:rFonts w:ascii="Times New Roman" w:hAnsi="Times New Roman" w:eastAsia="宋体"/>
          <w:color w:val="auto"/>
          <w:szCs w:val="28"/>
          <w:highlight w:val="none"/>
        </w:rPr>
        <w:t>分布</w:t>
      </w:r>
      <w:r>
        <w:rPr>
          <w:rFonts w:hint="eastAsia" w:ascii="Times New Roman" w:hAnsi="Times New Roman" w:eastAsia="宋体"/>
          <w:color w:val="auto"/>
          <w:szCs w:val="28"/>
          <w:highlight w:val="none"/>
        </w:rPr>
        <w:t>面积大，分布在山体的山顶和中、上坡位，是评价区内</w:t>
      </w:r>
      <w:r>
        <w:rPr>
          <w:rFonts w:ascii="Times New Roman" w:hAnsi="Times New Roman" w:eastAsia="宋体"/>
          <w:color w:val="auto"/>
          <w:szCs w:val="28"/>
          <w:highlight w:val="none"/>
        </w:rPr>
        <w:t>分布面积</w:t>
      </w:r>
      <w:r>
        <w:rPr>
          <w:rFonts w:hint="eastAsia" w:ascii="Times New Roman" w:hAnsi="Times New Roman" w:eastAsia="宋体"/>
          <w:color w:val="auto"/>
          <w:szCs w:val="28"/>
          <w:highlight w:val="none"/>
        </w:rPr>
        <w:t>最大的植被类型，仅调查到马尾松林一种类型，是一种次生植被。</w:t>
      </w:r>
      <w:r>
        <w:rPr>
          <w:rFonts w:ascii="Times New Roman" w:hAnsi="Times New Roman" w:eastAsia="宋体"/>
          <w:color w:val="auto"/>
          <w:szCs w:val="28"/>
          <w:highlight w:val="none"/>
        </w:rPr>
        <w:t>因历史上曾遭大量采伐</w:t>
      </w:r>
      <w:r>
        <w:rPr>
          <w:rFonts w:hint="eastAsia" w:ascii="Times New Roman" w:hAnsi="Times New Roman" w:eastAsia="宋体"/>
          <w:color w:val="auto"/>
          <w:szCs w:val="28"/>
          <w:highlight w:val="none"/>
        </w:rPr>
        <w:t>，马尾松个体较小，木荷、枫香树、山乌桕等先锋树种数量较多</w:t>
      </w:r>
      <w:r>
        <w:rPr>
          <w:rFonts w:ascii="Times New Roman" w:hAnsi="Times New Roman" w:eastAsia="宋体"/>
          <w:color w:val="auto"/>
          <w:szCs w:val="28"/>
          <w:highlight w:val="none"/>
        </w:rPr>
        <w:t>。</w:t>
      </w:r>
    </w:p>
    <w:p>
      <w:pPr>
        <w:spacing w:line="440" w:lineRule="exact"/>
        <w:ind w:firstLine="480"/>
        <w:rPr>
          <w:rFonts w:ascii="Times New Roman" w:hAnsi="Times New Roman" w:eastAsia="宋体"/>
          <w:color w:val="auto"/>
          <w:szCs w:val="24"/>
          <w:highlight w:val="none"/>
        </w:rPr>
      </w:pPr>
      <w:r>
        <w:rPr>
          <w:rFonts w:hint="eastAsia" w:ascii="Times New Roman" w:hAnsi="Times New Roman" w:eastAsia="宋体"/>
          <w:color w:val="auto"/>
          <w:szCs w:val="28"/>
          <w:highlight w:val="none"/>
        </w:rPr>
        <w:t>马尾松林</w:t>
      </w:r>
      <w:r>
        <w:rPr>
          <w:rFonts w:ascii="Times New Roman" w:hAnsi="Times New Roman" w:eastAsia="宋体"/>
          <w:color w:val="auto"/>
          <w:szCs w:val="28"/>
          <w:highlight w:val="none"/>
        </w:rPr>
        <w:t>在本项目评价区内</w:t>
      </w:r>
      <w:r>
        <w:rPr>
          <w:rFonts w:hint="eastAsia" w:ascii="Times New Roman" w:hAnsi="Times New Roman" w:eastAsia="宋体"/>
          <w:color w:val="auto"/>
          <w:szCs w:val="28"/>
          <w:highlight w:val="none"/>
        </w:rPr>
        <w:t>的面积较大，分布在山体的山顶和中、上坡位，历史起源为飞播造林后发育的次生林，受人为干扰大，马尾松虽是群落优势种，但木荷、枫香树、山乌桕、木油桐等先锋树种个体数量大，群落总覆盖度约95%</w:t>
      </w:r>
      <w:r>
        <w:rPr>
          <w:rFonts w:ascii="Times New Roman" w:hAnsi="Times New Roman" w:eastAsia="宋体"/>
          <w:color w:val="auto"/>
          <w:szCs w:val="28"/>
          <w:highlight w:val="none"/>
        </w:rPr>
        <w:t>。群落结构层次</w:t>
      </w:r>
      <w:r>
        <w:rPr>
          <w:rFonts w:hint="eastAsia" w:ascii="Times New Roman" w:hAnsi="Times New Roman" w:eastAsia="宋体"/>
          <w:color w:val="auto"/>
          <w:szCs w:val="28"/>
          <w:highlight w:val="none"/>
        </w:rPr>
        <w:t>复杂</w:t>
      </w:r>
      <w:r>
        <w:rPr>
          <w:rFonts w:ascii="Times New Roman" w:hAnsi="Times New Roman" w:eastAsia="宋体"/>
          <w:color w:val="auto"/>
          <w:szCs w:val="28"/>
          <w:highlight w:val="none"/>
        </w:rPr>
        <w:t>，乔木层盖度</w:t>
      </w:r>
      <w:r>
        <w:rPr>
          <w:rFonts w:hint="eastAsia" w:ascii="Times New Roman" w:hAnsi="Times New Roman" w:eastAsia="宋体"/>
          <w:color w:val="auto"/>
          <w:szCs w:val="28"/>
          <w:highlight w:val="none"/>
        </w:rPr>
        <w:t>50</w:t>
      </w:r>
      <w:r>
        <w:rPr>
          <w:rFonts w:ascii="Times New Roman" w:hAnsi="Times New Roman" w:eastAsia="宋体"/>
          <w:color w:val="auto"/>
          <w:szCs w:val="28"/>
          <w:highlight w:val="none"/>
        </w:rPr>
        <w:t>%</w:t>
      </w:r>
      <w:r>
        <w:rPr>
          <w:rFonts w:hint="eastAsia" w:ascii="Times New Roman" w:hAnsi="Times New Roman" w:eastAsia="宋体"/>
          <w:color w:val="auto"/>
          <w:szCs w:val="28"/>
          <w:highlight w:val="none"/>
        </w:rPr>
        <w:t>~80</w:t>
      </w:r>
      <w:r>
        <w:rPr>
          <w:rFonts w:ascii="Times New Roman" w:hAnsi="Times New Roman" w:eastAsia="宋体"/>
          <w:color w:val="auto"/>
          <w:szCs w:val="28"/>
          <w:highlight w:val="none"/>
        </w:rPr>
        <w:t>%</w:t>
      </w:r>
      <w:r>
        <w:rPr>
          <w:rFonts w:hint="eastAsia" w:ascii="Times New Roman" w:hAnsi="Times New Roman" w:eastAsia="宋体"/>
          <w:color w:val="auto"/>
          <w:szCs w:val="28"/>
          <w:highlight w:val="none"/>
        </w:rPr>
        <w:t>，高度10~18m，常见树种有木荷、枫香树、山乌桕、木油桐、赤杨叶、南酸枣</w:t>
      </w:r>
      <w:r>
        <w:rPr>
          <w:rFonts w:ascii="Times New Roman" w:hAnsi="Times New Roman" w:eastAsia="宋体"/>
          <w:color w:val="auto"/>
          <w:szCs w:val="28"/>
          <w:highlight w:val="none"/>
        </w:rPr>
        <w:t>。灌木层</w:t>
      </w:r>
      <w:r>
        <w:rPr>
          <w:rFonts w:hint="eastAsia" w:ascii="Times New Roman" w:hAnsi="Times New Roman" w:eastAsia="宋体"/>
          <w:color w:val="auto"/>
          <w:szCs w:val="28"/>
          <w:highlight w:val="none"/>
        </w:rPr>
        <w:t>较发达，</w:t>
      </w:r>
      <w:r>
        <w:rPr>
          <w:rFonts w:ascii="Times New Roman" w:hAnsi="Times New Roman" w:eastAsia="宋体"/>
          <w:color w:val="auto"/>
          <w:szCs w:val="28"/>
          <w:highlight w:val="none"/>
        </w:rPr>
        <w:t>盖度</w:t>
      </w:r>
      <w:r>
        <w:rPr>
          <w:rFonts w:hint="eastAsia" w:ascii="Times New Roman" w:hAnsi="Times New Roman" w:eastAsia="宋体"/>
          <w:color w:val="auto"/>
          <w:szCs w:val="28"/>
          <w:highlight w:val="none"/>
        </w:rPr>
        <w:t>30~60</w:t>
      </w:r>
      <w:r>
        <w:rPr>
          <w:rFonts w:ascii="Times New Roman" w:hAnsi="Times New Roman" w:eastAsia="宋体"/>
          <w:color w:val="auto"/>
          <w:szCs w:val="28"/>
          <w:highlight w:val="none"/>
        </w:rPr>
        <w:t>%，</w:t>
      </w:r>
      <w:r>
        <w:rPr>
          <w:rFonts w:hint="eastAsia" w:ascii="Times New Roman" w:hAnsi="Times New Roman" w:eastAsia="宋体"/>
          <w:color w:val="auto"/>
          <w:szCs w:val="28"/>
          <w:highlight w:val="none"/>
        </w:rPr>
        <w:t>高度1.5~3.0</w:t>
      </w:r>
      <w:r>
        <w:rPr>
          <w:rFonts w:ascii="Times New Roman" w:hAnsi="Times New Roman" w:eastAsia="宋体"/>
          <w:color w:val="auto"/>
          <w:szCs w:val="28"/>
          <w:highlight w:val="none"/>
        </w:rPr>
        <w:t>m</w:t>
      </w:r>
      <w:r>
        <w:rPr>
          <w:rFonts w:hint="eastAsia" w:ascii="Times New Roman" w:hAnsi="Times New Roman" w:eastAsia="宋体"/>
          <w:color w:val="auto"/>
          <w:szCs w:val="28"/>
          <w:highlight w:val="none"/>
        </w:rPr>
        <w:t>，</w:t>
      </w:r>
      <w:r>
        <w:rPr>
          <w:rFonts w:ascii="Times New Roman" w:hAnsi="Times New Roman" w:eastAsia="宋体"/>
          <w:color w:val="auto"/>
          <w:szCs w:val="28"/>
          <w:highlight w:val="none"/>
        </w:rPr>
        <w:t>种类</w:t>
      </w:r>
      <w:r>
        <w:rPr>
          <w:rFonts w:hint="eastAsia" w:ascii="Times New Roman" w:hAnsi="Times New Roman" w:eastAsia="宋体"/>
          <w:color w:val="auto"/>
          <w:szCs w:val="28"/>
          <w:highlight w:val="none"/>
        </w:rPr>
        <w:t>多</w:t>
      </w:r>
      <w:r>
        <w:rPr>
          <w:rFonts w:ascii="Times New Roman" w:hAnsi="Times New Roman" w:eastAsia="宋体"/>
          <w:color w:val="auto"/>
          <w:szCs w:val="28"/>
          <w:highlight w:val="none"/>
        </w:rPr>
        <w:t>，</w:t>
      </w:r>
      <w:r>
        <w:rPr>
          <w:rFonts w:hint="eastAsia" w:ascii="Times New Roman" w:hAnsi="Times New Roman" w:eastAsia="宋体"/>
          <w:color w:val="auto"/>
          <w:szCs w:val="28"/>
          <w:highlight w:val="none"/>
        </w:rPr>
        <w:t>以山苍子、毛桐、白背叶、大青，以及马尾松、木荷、枫香树等乔木树种的幼苗为主</w:t>
      </w:r>
      <w:r>
        <w:rPr>
          <w:rFonts w:ascii="Times New Roman" w:hAnsi="Times New Roman" w:eastAsia="宋体"/>
          <w:color w:val="auto"/>
          <w:szCs w:val="28"/>
          <w:highlight w:val="none"/>
        </w:rPr>
        <w:t>。草本层高约1.0m，盖度</w:t>
      </w:r>
      <w:r>
        <w:rPr>
          <w:rFonts w:hint="eastAsia" w:ascii="Times New Roman" w:hAnsi="Times New Roman" w:eastAsia="宋体"/>
          <w:color w:val="auto"/>
          <w:szCs w:val="28"/>
          <w:highlight w:val="none"/>
        </w:rPr>
        <w:t>20</w:t>
      </w:r>
      <w:r>
        <w:rPr>
          <w:rFonts w:ascii="Times New Roman" w:hAnsi="Times New Roman" w:eastAsia="宋体"/>
          <w:color w:val="auto"/>
          <w:szCs w:val="28"/>
          <w:highlight w:val="none"/>
        </w:rPr>
        <w:t>%</w:t>
      </w:r>
      <w:r>
        <w:rPr>
          <w:rFonts w:hint="eastAsia" w:ascii="Times New Roman" w:hAnsi="Times New Roman" w:eastAsia="宋体"/>
          <w:color w:val="auto"/>
          <w:szCs w:val="28"/>
          <w:highlight w:val="none"/>
        </w:rPr>
        <w:t>~50</w:t>
      </w:r>
      <w:r>
        <w:rPr>
          <w:rFonts w:ascii="Times New Roman" w:hAnsi="Times New Roman" w:eastAsia="宋体"/>
          <w:color w:val="auto"/>
          <w:szCs w:val="28"/>
          <w:highlight w:val="none"/>
        </w:rPr>
        <w:t>%，</w:t>
      </w:r>
      <w:r>
        <w:rPr>
          <w:rFonts w:hint="eastAsia" w:ascii="Times New Roman" w:hAnsi="Times New Roman" w:eastAsia="宋体"/>
          <w:color w:val="auto"/>
          <w:szCs w:val="28"/>
          <w:highlight w:val="none"/>
        </w:rPr>
        <w:t>种类多，个体数</w:t>
      </w:r>
      <w:r>
        <w:rPr>
          <w:rFonts w:ascii="Times New Roman" w:hAnsi="Times New Roman" w:eastAsia="宋体"/>
          <w:color w:val="auto"/>
          <w:szCs w:val="28"/>
          <w:highlight w:val="none"/>
        </w:rPr>
        <w:t>较多的有五节芒、芒萁、中华里白、乌毛蕨、蔓生莠竹、弓果黍等</w:t>
      </w:r>
      <w:r>
        <w:rPr>
          <w:rFonts w:ascii="Times New Roman" w:hAnsi="Times New Roman" w:eastAsia="宋体"/>
          <w:color w:val="auto"/>
          <w:szCs w:val="24"/>
          <w:highlight w:val="none"/>
        </w:rPr>
        <w:t>。共设置2个调查样地，</w:t>
      </w:r>
      <w:r>
        <w:rPr>
          <w:rFonts w:ascii="Times New Roman" w:hAnsi="Times New Roman" w:eastAsia="宋体"/>
          <w:color w:val="auto"/>
          <w:szCs w:val="28"/>
          <w:highlight w:val="none"/>
        </w:rPr>
        <w:t>群落调查样方情况详见表</w:t>
      </w:r>
      <w:r>
        <w:rPr>
          <w:rFonts w:hint="eastAsia" w:ascii="Times New Roman" w:hAnsi="Times New Roman" w:eastAsia="宋体"/>
          <w:color w:val="auto"/>
          <w:szCs w:val="28"/>
          <w:highlight w:val="none"/>
        </w:rPr>
        <w:t>3.2-14</w:t>
      </w:r>
      <w:r>
        <w:rPr>
          <w:rFonts w:ascii="Times New Roman" w:hAnsi="Times New Roman" w:eastAsia="宋体"/>
          <w:color w:val="auto"/>
          <w:szCs w:val="28"/>
          <w:highlight w:val="none"/>
        </w:rPr>
        <w:t>和</w:t>
      </w:r>
      <w:r>
        <w:rPr>
          <w:rFonts w:hint="eastAsia" w:ascii="Times New Roman" w:hAnsi="Times New Roman" w:eastAsia="宋体"/>
          <w:color w:val="auto"/>
          <w:szCs w:val="28"/>
          <w:highlight w:val="none"/>
        </w:rPr>
        <w:t>3.1-15</w:t>
      </w:r>
      <w:r>
        <w:rPr>
          <w:rFonts w:ascii="Times New Roman" w:hAnsi="Times New Roman" w:eastAsia="宋体"/>
          <w:color w:val="auto"/>
          <w:szCs w:val="28"/>
          <w:highlight w:val="none"/>
        </w:rPr>
        <w:t>。</w:t>
      </w:r>
    </w:p>
    <w:p>
      <w:pPr>
        <w:pStyle w:val="13"/>
        <w:rPr>
          <w:rFonts w:ascii="Times New Roman" w:hAnsi="Times New Roman" w:eastAsia="宋体"/>
          <w:color w:val="auto"/>
          <w:highlight w:val="none"/>
        </w:rPr>
      </w:pPr>
      <w:r>
        <w:rPr>
          <w:rFonts w:ascii="Times New Roman" w:hAnsi="Times New Roman" w:eastAsia="宋体"/>
          <w:color w:val="auto"/>
          <w:highlight w:val="none"/>
        </w:rPr>
        <w:t>表</w:t>
      </w:r>
      <w:r>
        <w:rPr>
          <w:rFonts w:hint="eastAsia" w:ascii="Times New Roman" w:hAnsi="Times New Roman" w:eastAsia="宋体"/>
          <w:color w:val="auto"/>
          <w:highlight w:val="none"/>
        </w:rPr>
        <w:t>3.2-14</w:t>
      </w:r>
      <w:r>
        <w:rPr>
          <w:rFonts w:ascii="Times New Roman" w:hAnsi="Times New Roman" w:eastAsia="宋体"/>
          <w:color w:val="auto"/>
          <w:highlight w:val="none"/>
        </w:rPr>
        <w:t>马尾松林群落调查记录表</w:t>
      </w:r>
    </w:p>
    <w:tbl>
      <w:tblPr>
        <w:tblStyle w:val="48"/>
        <w:tblW w:w="9242" w:type="dxa"/>
        <w:tblInd w:w="0" w:type="dxa"/>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43"/>
        <w:gridCol w:w="367"/>
        <w:gridCol w:w="773"/>
        <w:gridCol w:w="413"/>
        <w:gridCol w:w="1124"/>
        <w:gridCol w:w="145"/>
        <w:gridCol w:w="820"/>
        <w:gridCol w:w="995"/>
        <w:gridCol w:w="351"/>
        <w:gridCol w:w="624"/>
        <w:gridCol w:w="121"/>
        <w:gridCol w:w="1566"/>
      </w:tblGrid>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620" w:type="dxa"/>
            <w:gridSpan w:val="5"/>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群落类型：马尾松+木荷林</w:t>
            </w:r>
          </w:p>
        </w:tc>
        <w:tc>
          <w:tcPr>
            <w:tcW w:w="4622" w:type="dxa"/>
            <w:gridSpan w:val="7"/>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经纬度：109°42</w:t>
            </w:r>
            <w:r>
              <w:rPr>
                <w:rFonts w:ascii="Times New Roman" w:hAnsi="Times New Roman" w:eastAsia="宋体" w:cs="Times New Roman"/>
                <w:color w:val="auto"/>
                <w:szCs w:val="24"/>
                <w:highlight w:val="none"/>
              </w:rPr>
              <w:t>'</w:t>
            </w:r>
            <w:r>
              <w:rPr>
                <w:rFonts w:ascii="Times New Roman" w:hAnsi="Times New Roman" w:eastAsia="宋体"/>
                <w:color w:val="auto"/>
                <w:kern w:val="0"/>
                <w:sz w:val="21"/>
                <w:highlight w:val="none"/>
              </w:rPr>
              <w:t>4.2"E，25°45</w:t>
            </w:r>
            <w:r>
              <w:rPr>
                <w:rFonts w:ascii="Times New Roman" w:hAnsi="Times New Roman" w:eastAsia="宋体" w:cs="Times New Roman"/>
                <w:color w:val="auto"/>
                <w:szCs w:val="24"/>
                <w:highlight w:val="none"/>
              </w:rPr>
              <w:t>'</w:t>
            </w:r>
            <w:r>
              <w:rPr>
                <w:rFonts w:ascii="Times New Roman" w:hAnsi="Times New Roman" w:eastAsia="宋体"/>
                <w:color w:val="auto"/>
                <w:kern w:val="0"/>
                <w:sz w:val="21"/>
                <w:highlight w:val="none"/>
              </w:rPr>
              <w:t>46.4"N</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4" w:hRule="atLeast"/>
        </w:trPr>
        <w:tc>
          <w:tcPr>
            <w:tcW w:w="2310" w:type="dxa"/>
            <w:gridSpan w:val="2"/>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样方号：02</w:t>
            </w:r>
          </w:p>
        </w:tc>
        <w:tc>
          <w:tcPr>
            <w:tcW w:w="2310"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面积：20m×20m</w:t>
            </w:r>
          </w:p>
        </w:tc>
        <w:tc>
          <w:tcPr>
            <w:tcW w:w="2311" w:type="dxa"/>
            <w:gridSpan w:val="4"/>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海拔(m)：280</w:t>
            </w:r>
          </w:p>
        </w:tc>
        <w:tc>
          <w:tcPr>
            <w:tcW w:w="2311"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调查时间：2019.7.18</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8" w:hRule="atLeast"/>
        </w:trPr>
        <w:tc>
          <w:tcPr>
            <w:tcW w:w="2310" w:type="dxa"/>
            <w:gridSpan w:val="2"/>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坡向：北</w:t>
            </w:r>
          </w:p>
        </w:tc>
        <w:tc>
          <w:tcPr>
            <w:tcW w:w="2310"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坡度：35°</w:t>
            </w:r>
          </w:p>
        </w:tc>
        <w:tc>
          <w:tcPr>
            <w:tcW w:w="2311" w:type="dxa"/>
            <w:gridSpan w:val="4"/>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群落高(m)：18</w:t>
            </w:r>
          </w:p>
        </w:tc>
        <w:tc>
          <w:tcPr>
            <w:tcW w:w="2311"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总盖度(%)：95</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2310" w:type="dxa"/>
            <w:gridSpan w:val="2"/>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乔木层高度(m)：18</w:t>
            </w:r>
          </w:p>
        </w:tc>
        <w:tc>
          <w:tcPr>
            <w:tcW w:w="2310"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乔木层盖度(%)：70</w:t>
            </w:r>
          </w:p>
        </w:tc>
        <w:tc>
          <w:tcPr>
            <w:tcW w:w="2311" w:type="dxa"/>
            <w:gridSpan w:val="4"/>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灌木层高度(m)：3</w:t>
            </w:r>
          </w:p>
        </w:tc>
        <w:tc>
          <w:tcPr>
            <w:tcW w:w="2311"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灌木层盖度(%)：60</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trPr>
        <w:tc>
          <w:tcPr>
            <w:tcW w:w="2310" w:type="dxa"/>
            <w:gridSpan w:val="2"/>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草本层高度(m)：1.2</w:t>
            </w:r>
          </w:p>
        </w:tc>
        <w:tc>
          <w:tcPr>
            <w:tcW w:w="2310"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草本层盖度(%)：35</w:t>
            </w:r>
          </w:p>
        </w:tc>
        <w:tc>
          <w:tcPr>
            <w:tcW w:w="2311" w:type="dxa"/>
            <w:gridSpan w:val="4"/>
            <w:noWrap w:val="0"/>
            <w:vAlign w:val="bottom"/>
          </w:tcPr>
          <w:p>
            <w:pPr>
              <w:spacing w:line="240" w:lineRule="auto"/>
              <w:ind w:firstLine="0" w:firstLineChars="0"/>
              <w:jc w:val="center"/>
              <w:rPr>
                <w:rFonts w:ascii="Times New Roman" w:hAnsi="Times New Roman" w:eastAsia="宋体"/>
                <w:color w:val="auto"/>
                <w:kern w:val="0"/>
                <w:sz w:val="21"/>
                <w:highlight w:val="none"/>
              </w:rPr>
            </w:pPr>
          </w:p>
        </w:tc>
        <w:tc>
          <w:tcPr>
            <w:tcW w:w="2311"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9242" w:type="dxa"/>
            <w:gridSpan w:val="12"/>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乔木层</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trPr>
        <w:tc>
          <w:tcPr>
            <w:tcW w:w="231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植物名称</w:t>
            </w:r>
          </w:p>
        </w:tc>
        <w:tc>
          <w:tcPr>
            <w:tcW w:w="1186"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株数</w:t>
            </w:r>
          </w:p>
        </w:tc>
        <w:tc>
          <w:tcPr>
            <w:tcW w:w="2089"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树高(m)(最高/平均)</w:t>
            </w:r>
          </w:p>
        </w:tc>
        <w:tc>
          <w:tcPr>
            <w:tcW w:w="2091" w:type="dxa"/>
            <w:gridSpan w:val="4"/>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胸径(cm)(最高/平均)</w:t>
            </w:r>
          </w:p>
        </w:tc>
        <w:tc>
          <w:tcPr>
            <w:tcW w:w="1566"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多优度</w:t>
            </w:r>
            <w:r>
              <w:rPr>
                <w:rFonts w:ascii="Times New Roman" w:hAnsi="Times New Roman" w:eastAsia="宋体"/>
                <w:color w:val="auto"/>
                <w:kern w:val="0"/>
                <w:sz w:val="21"/>
                <w:highlight w:val="none"/>
              </w:rPr>
              <w:softHyphen/>
            </w:r>
            <w:r>
              <w:rPr>
                <w:rFonts w:ascii="Times New Roman" w:hAnsi="Times New Roman" w:eastAsia="宋体"/>
                <w:color w:val="auto"/>
                <w:kern w:val="0"/>
                <w:sz w:val="21"/>
                <w:highlight w:val="none"/>
              </w:rPr>
              <w:t>-群集度</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7" w:hRule="atLeast"/>
        </w:trPr>
        <w:tc>
          <w:tcPr>
            <w:tcW w:w="231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马尾松</w:t>
            </w:r>
          </w:p>
        </w:tc>
        <w:tc>
          <w:tcPr>
            <w:tcW w:w="1186"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37</w:t>
            </w:r>
          </w:p>
        </w:tc>
        <w:tc>
          <w:tcPr>
            <w:tcW w:w="2089"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19</w:t>
            </w:r>
            <w:r>
              <w:rPr>
                <w:rFonts w:hint="eastAsia" w:ascii="Times New Roman" w:hAnsi="Times New Roman" w:eastAsia="宋体"/>
                <w:color w:val="auto"/>
                <w:kern w:val="0"/>
                <w:sz w:val="21"/>
                <w:highlight w:val="none"/>
              </w:rPr>
              <w:t>.5</w:t>
            </w:r>
            <w:r>
              <w:rPr>
                <w:rFonts w:ascii="Times New Roman" w:hAnsi="Times New Roman" w:eastAsia="宋体"/>
                <w:color w:val="auto"/>
                <w:kern w:val="0"/>
                <w:sz w:val="21"/>
                <w:highlight w:val="none"/>
              </w:rPr>
              <w:t>/15</w:t>
            </w:r>
            <w:r>
              <w:rPr>
                <w:rFonts w:hint="eastAsia" w:ascii="Times New Roman" w:hAnsi="Times New Roman" w:eastAsia="宋体"/>
                <w:color w:val="auto"/>
                <w:kern w:val="0"/>
                <w:sz w:val="21"/>
                <w:highlight w:val="none"/>
              </w:rPr>
              <w:t>.1</w:t>
            </w:r>
          </w:p>
        </w:tc>
        <w:tc>
          <w:tcPr>
            <w:tcW w:w="2091" w:type="dxa"/>
            <w:gridSpan w:val="4"/>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28.4/9.5</w:t>
            </w:r>
          </w:p>
        </w:tc>
        <w:tc>
          <w:tcPr>
            <w:tcW w:w="1566"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3.4</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trPr>
        <w:tc>
          <w:tcPr>
            <w:tcW w:w="231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木荷</w:t>
            </w:r>
          </w:p>
        </w:tc>
        <w:tc>
          <w:tcPr>
            <w:tcW w:w="1186"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14</w:t>
            </w:r>
          </w:p>
        </w:tc>
        <w:tc>
          <w:tcPr>
            <w:tcW w:w="2089"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18</w:t>
            </w:r>
            <w:r>
              <w:rPr>
                <w:rFonts w:hint="eastAsia" w:ascii="Times New Roman" w:hAnsi="Times New Roman" w:eastAsia="宋体"/>
                <w:color w:val="auto"/>
                <w:kern w:val="0"/>
                <w:sz w:val="21"/>
                <w:highlight w:val="none"/>
              </w:rPr>
              <w:t>.5</w:t>
            </w:r>
            <w:r>
              <w:rPr>
                <w:rFonts w:ascii="Times New Roman" w:hAnsi="Times New Roman" w:eastAsia="宋体"/>
                <w:color w:val="auto"/>
                <w:kern w:val="0"/>
                <w:sz w:val="21"/>
                <w:highlight w:val="none"/>
              </w:rPr>
              <w:t>/14</w:t>
            </w:r>
            <w:r>
              <w:rPr>
                <w:rFonts w:hint="eastAsia" w:ascii="Times New Roman" w:hAnsi="Times New Roman" w:eastAsia="宋体"/>
                <w:color w:val="auto"/>
                <w:kern w:val="0"/>
                <w:sz w:val="21"/>
                <w:highlight w:val="none"/>
              </w:rPr>
              <w:t>.3</w:t>
            </w:r>
          </w:p>
        </w:tc>
        <w:tc>
          <w:tcPr>
            <w:tcW w:w="2091" w:type="dxa"/>
            <w:gridSpan w:val="4"/>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22</w:t>
            </w:r>
            <w:r>
              <w:rPr>
                <w:rFonts w:hint="eastAsia" w:ascii="Times New Roman" w:hAnsi="Times New Roman" w:eastAsia="宋体"/>
                <w:color w:val="auto"/>
                <w:kern w:val="0"/>
                <w:sz w:val="21"/>
                <w:highlight w:val="none"/>
              </w:rPr>
              <w:t>.4</w:t>
            </w:r>
            <w:r>
              <w:rPr>
                <w:rFonts w:ascii="Times New Roman" w:hAnsi="Times New Roman" w:eastAsia="宋体"/>
                <w:color w:val="auto"/>
                <w:kern w:val="0"/>
                <w:sz w:val="21"/>
                <w:highlight w:val="none"/>
              </w:rPr>
              <w:t>/12</w:t>
            </w:r>
            <w:r>
              <w:rPr>
                <w:rFonts w:hint="eastAsia" w:ascii="Times New Roman" w:hAnsi="Times New Roman" w:eastAsia="宋体"/>
                <w:color w:val="auto"/>
                <w:kern w:val="0"/>
                <w:sz w:val="21"/>
                <w:highlight w:val="none"/>
              </w:rPr>
              <w:t>.5</w:t>
            </w:r>
          </w:p>
        </w:tc>
        <w:tc>
          <w:tcPr>
            <w:tcW w:w="1566"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2.3</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1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杉木</w:t>
            </w:r>
          </w:p>
        </w:tc>
        <w:tc>
          <w:tcPr>
            <w:tcW w:w="1186"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w:t>
            </w:r>
          </w:p>
        </w:tc>
        <w:tc>
          <w:tcPr>
            <w:tcW w:w="2089"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19.0/16.5</w:t>
            </w:r>
          </w:p>
        </w:tc>
        <w:tc>
          <w:tcPr>
            <w:tcW w:w="2091" w:type="dxa"/>
            <w:gridSpan w:val="4"/>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26</w:t>
            </w:r>
            <w:r>
              <w:rPr>
                <w:rFonts w:hint="eastAsia" w:ascii="Times New Roman" w:hAnsi="Times New Roman" w:eastAsia="宋体"/>
                <w:color w:val="auto"/>
                <w:kern w:val="0"/>
                <w:sz w:val="21"/>
                <w:highlight w:val="none"/>
              </w:rPr>
              <w:t>.5</w:t>
            </w:r>
            <w:r>
              <w:rPr>
                <w:rFonts w:ascii="Times New Roman" w:hAnsi="Times New Roman" w:eastAsia="宋体"/>
                <w:color w:val="auto"/>
                <w:kern w:val="0"/>
                <w:sz w:val="21"/>
                <w:highlight w:val="none"/>
              </w:rPr>
              <w:t>/21.2</w:t>
            </w:r>
          </w:p>
        </w:tc>
        <w:tc>
          <w:tcPr>
            <w:tcW w:w="1566"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1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枫香树</w:t>
            </w:r>
          </w:p>
        </w:tc>
        <w:tc>
          <w:tcPr>
            <w:tcW w:w="1186"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w:t>
            </w:r>
          </w:p>
        </w:tc>
        <w:tc>
          <w:tcPr>
            <w:tcW w:w="2089"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16.5/14</w:t>
            </w:r>
            <w:r>
              <w:rPr>
                <w:rFonts w:hint="eastAsia" w:ascii="Times New Roman" w:hAnsi="Times New Roman" w:eastAsia="宋体"/>
                <w:color w:val="auto"/>
                <w:kern w:val="0"/>
                <w:sz w:val="21"/>
                <w:highlight w:val="none"/>
              </w:rPr>
              <w:t>.7</w:t>
            </w:r>
          </w:p>
        </w:tc>
        <w:tc>
          <w:tcPr>
            <w:tcW w:w="2091" w:type="dxa"/>
            <w:gridSpan w:val="4"/>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16.2/12.5</w:t>
            </w:r>
          </w:p>
        </w:tc>
        <w:tc>
          <w:tcPr>
            <w:tcW w:w="1566"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trPr>
        <w:tc>
          <w:tcPr>
            <w:tcW w:w="231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山乌桕</w:t>
            </w:r>
          </w:p>
        </w:tc>
        <w:tc>
          <w:tcPr>
            <w:tcW w:w="1186"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c>
          <w:tcPr>
            <w:tcW w:w="2089"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15.5</w:t>
            </w:r>
          </w:p>
        </w:tc>
        <w:tc>
          <w:tcPr>
            <w:tcW w:w="2091" w:type="dxa"/>
            <w:gridSpan w:val="4"/>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19.2</w:t>
            </w:r>
          </w:p>
        </w:tc>
        <w:tc>
          <w:tcPr>
            <w:tcW w:w="1566"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trPr>
        <w:tc>
          <w:tcPr>
            <w:tcW w:w="4765" w:type="dxa"/>
            <w:gridSpan w:val="6"/>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灌木层</w:t>
            </w:r>
          </w:p>
        </w:tc>
        <w:tc>
          <w:tcPr>
            <w:tcW w:w="4477" w:type="dxa"/>
            <w:gridSpan w:val="6"/>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草本层</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3"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植物名称</w:t>
            </w:r>
          </w:p>
        </w:tc>
        <w:tc>
          <w:tcPr>
            <w:tcW w:w="11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高(m)</w:t>
            </w:r>
          </w:p>
        </w:tc>
        <w:tc>
          <w:tcPr>
            <w:tcW w:w="1682"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多优度-群集度</w:t>
            </w:r>
          </w:p>
        </w:tc>
        <w:tc>
          <w:tcPr>
            <w:tcW w:w="181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植物名称</w:t>
            </w:r>
          </w:p>
        </w:tc>
        <w:tc>
          <w:tcPr>
            <w:tcW w:w="97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高(m)</w:t>
            </w:r>
          </w:p>
        </w:tc>
        <w:tc>
          <w:tcPr>
            <w:tcW w:w="1687"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多优度-群集度</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3"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山鸡椒</w:t>
            </w:r>
          </w:p>
        </w:tc>
        <w:tc>
          <w:tcPr>
            <w:tcW w:w="11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1.5</w:t>
            </w:r>
          </w:p>
        </w:tc>
        <w:tc>
          <w:tcPr>
            <w:tcW w:w="1682"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2.3</w:t>
            </w:r>
          </w:p>
        </w:tc>
        <w:tc>
          <w:tcPr>
            <w:tcW w:w="181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芒萁</w:t>
            </w:r>
          </w:p>
        </w:tc>
        <w:tc>
          <w:tcPr>
            <w:tcW w:w="97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0.5</w:t>
            </w:r>
          </w:p>
        </w:tc>
        <w:tc>
          <w:tcPr>
            <w:tcW w:w="1687"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2.3</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trPr>
        <w:tc>
          <w:tcPr>
            <w:tcW w:w="1943"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枫香树</w:t>
            </w:r>
          </w:p>
        </w:tc>
        <w:tc>
          <w:tcPr>
            <w:tcW w:w="11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2.5</w:t>
            </w:r>
          </w:p>
        </w:tc>
        <w:tc>
          <w:tcPr>
            <w:tcW w:w="1682"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2.2</w:t>
            </w:r>
          </w:p>
        </w:tc>
        <w:tc>
          <w:tcPr>
            <w:tcW w:w="181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中华里白</w:t>
            </w:r>
          </w:p>
        </w:tc>
        <w:tc>
          <w:tcPr>
            <w:tcW w:w="97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1.2</w:t>
            </w:r>
          </w:p>
        </w:tc>
        <w:tc>
          <w:tcPr>
            <w:tcW w:w="1687"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2.3</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trPr>
        <w:tc>
          <w:tcPr>
            <w:tcW w:w="1943"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灰毛大青</w:t>
            </w:r>
          </w:p>
        </w:tc>
        <w:tc>
          <w:tcPr>
            <w:tcW w:w="11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1.9</w:t>
            </w:r>
          </w:p>
        </w:tc>
        <w:tc>
          <w:tcPr>
            <w:tcW w:w="1682"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1.2</w:t>
            </w:r>
          </w:p>
        </w:tc>
        <w:tc>
          <w:tcPr>
            <w:tcW w:w="181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扇叶铁线蕨</w:t>
            </w:r>
          </w:p>
        </w:tc>
        <w:tc>
          <w:tcPr>
            <w:tcW w:w="97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0.3</w:t>
            </w:r>
          </w:p>
        </w:tc>
        <w:tc>
          <w:tcPr>
            <w:tcW w:w="1687"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1943"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大青</w:t>
            </w:r>
          </w:p>
        </w:tc>
        <w:tc>
          <w:tcPr>
            <w:tcW w:w="11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1.0</w:t>
            </w:r>
          </w:p>
        </w:tc>
        <w:tc>
          <w:tcPr>
            <w:tcW w:w="1682"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2.2</w:t>
            </w:r>
          </w:p>
        </w:tc>
        <w:tc>
          <w:tcPr>
            <w:tcW w:w="181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乌毛蕨</w:t>
            </w:r>
          </w:p>
        </w:tc>
        <w:tc>
          <w:tcPr>
            <w:tcW w:w="97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1.0</w:t>
            </w:r>
          </w:p>
        </w:tc>
        <w:tc>
          <w:tcPr>
            <w:tcW w:w="1687"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1.2</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1943"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毛桐</w:t>
            </w:r>
          </w:p>
        </w:tc>
        <w:tc>
          <w:tcPr>
            <w:tcW w:w="11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1.5</w:t>
            </w:r>
          </w:p>
        </w:tc>
        <w:tc>
          <w:tcPr>
            <w:tcW w:w="1682"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c>
          <w:tcPr>
            <w:tcW w:w="181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弓果黍</w:t>
            </w:r>
          </w:p>
        </w:tc>
        <w:tc>
          <w:tcPr>
            <w:tcW w:w="97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0.3</w:t>
            </w:r>
          </w:p>
        </w:tc>
        <w:tc>
          <w:tcPr>
            <w:tcW w:w="1687"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1.2</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trPr>
        <w:tc>
          <w:tcPr>
            <w:tcW w:w="1943"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白背叶</w:t>
            </w:r>
          </w:p>
        </w:tc>
        <w:tc>
          <w:tcPr>
            <w:tcW w:w="11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1.5</w:t>
            </w:r>
          </w:p>
        </w:tc>
        <w:tc>
          <w:tcPr>
            <w:tcW w:w="1682"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c>
          <w:tcPr>
            <w:tcW w:w="181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华南毛蕨</w:t>
            </w:r>
          </w:p>
        </w:tc>
        <w:tc>
          <w:tcPr>
            <w:tcW w:w="97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0.5</w:t>
            </w:r>
          </w:p>
        </w:tc>
        <w:tc>
          <w:tcPr>
            <w:tcW w:w="1687"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3"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鲫鱼胆</w:t>
            </w:r>
          </w:p>
        </w:tc>
        <w:tc>
          <w:tcPr>
            <w:tcW w:w="11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0.9</w:t>
            </w:r>
          </w:p>
        </w:tc>
        <w:tc>
          <w:tcPr>
            <w:tcW w:w="1682"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1.2</w:t>
            </w:r>
          </w:p>
        </w:tc>
        <w:tc>
          <w:tcPr>
            <w:tcW w:w="181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白花鬼针草</w:t>
            </w:r>
          </w:p>
        </w:tc>
        <w:tc>
          <w:tcPr>
            <w:tcW w:w="97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0.5</w:t>
            </w:r>
          </w:p>
        </w:tc>
        <w:tc>
          <w:tcPr>
            <w:tcW w:w="1687"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trPr>
        <w:tc>
          <w:tcPr>
            <w:tcW w:w="1943"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山乌桕</w:t>
            </w:r>
          </w:p>
        </w:tc>
        <w:tc>
          <w:tcPr>
            <w:tcW w:w="11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2.0</w:t>
            </w:r>
          </w:p>
        </w:tc>
        <w:tc>
          <w:tcPr>
            <w:tcW w:w="1682"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c>
          <w:tcPr>
            <w:tcW w:w="181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蔓生莠竹</w:t>
            </w:r>
          </w:p>
        </w:tc>
        <w:tc>
          <w:tcPr>
            <w:tcW w:w="97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1.0</w:t>
            </w:r>
          </w:p>
        </w:tc>
        <w:tc>
          <w:tcPr>
            <w:tcW w:w="1687"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1.2</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trPr>
        <w:tc>
          <w:tcPr>
            <w:tcW w:w="1943"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鹅掌柴</w:t>
            </w:r>
          </w:p>
        </w:tc>
        <w:tc>
          <w:tcPr>
            <w:tcW w:w="11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2.0</w:t>
            </w:r>
          </w:p>
        </w:tc>
        <w:tc>
          <w:tcPr>
            <w:tcW w:w="1682"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c>
          <w:tcPr>
            <w:tcW w:w="181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地耳草</w:t>
            </w:r>
          </w:p>
        </w:tc>
        <w:tc>
          <w:tcPr>
            <w:tcW w:w="97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0.2</w:t>
            </w:r>
          </w:p>
        </w:tc>
        <w:tc>
          <w:tcPr>
            <w:tcW w:w="1687"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3"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展毛野牡丹</w:t>
            </w:r>
          </w:p>
        </w:tc>
        <w:tc>
          <w:tcPr>
            <w:tcW w:w="11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0.5</w:t>
            </w:r>
          </w:p>
        </w:tc>
        <w:tc>
          <w:tcPr>
            <w:tcW w:w="1682"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c>
          <w:tcPr>
            <w:tcW w:w="181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石韦</w:t>
            </w:r>
          </w:p>
        </w:tc>
        <w:tc>
          <w:tcPr>
            <w:tcW w:w="97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0.2</w:t>
            </w:r>
          </w:p>
        </w:tc>
        <w:tc>
          <w:tcPr>
            <w:tcW w:w="1687"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3"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毛果算盘子</w:t>
            </w:r>
          </w:p>
        </w:tc>
        <w:tc>
          <w:tcPr>
            <w:tcW w:w="11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0.5</w:t>
            </w:r>
          </w:p>
        </w:tc>
        <w:tc>
          <w:tcPr>
            <w:tcW w:w="1682"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c>
          <w:tcPr>
            <w:tcW w:w="181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乌蕨</w:t>
            </w:r>
          </w:p>
        </w:tc>
        <w:tc>
          <w:tcPr>
            <w:tcW w:w="97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0.2</w:t>
            </w:r>
          </w:p>
        </w:tc>
        <w:tc>
          <w:tcPr>
            <w:tcW w:w="1687"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1943"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山黄麻</w:t>
            </w:r>
          </w:p>
        </w:tc>
        <w:tc>
          <w:tcPr>
            <w:tcW w:w="11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1.5</w:t>
            </w:r>
          </w:p>
        </w:tc>
        <w:tc>
          <w:tcPr>
            <w:tcW w:w="1682"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c>
          <w:tcPr>
            <w:tcW w:w="181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97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1687"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3"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木油桐</w:t>
            </w:r>
          </w:p>
        </w:tc>
        <w:tc>
          <w:tcPr>
            <w:tcW w:w="11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3.0</w:t>
            </w:r>
          </w:p>
        </w:tc>
        <w:tc>
          <w:tcPr>
            <w:tcW w:w="1682"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1.2</w:t>
            </w:r>
          </w:p>
        </w:tc>
        <w:tc>
          <w:tcPr>
            <w:tcW w:w="181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97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1687"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3"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野漆</w:t>
            </w:r>
          </w:p>
        </w:tc>
        <w:tc>
          <w:tcPr>
            <w:tcW w:w="11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1.5</w:t>
            </w:r>
          </w:p>
        </w:tc>
        <w:tc>
          <w:tcPr>
            <w:tcW w:w="1682"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c>
          <w:tcPr>
            <w:tcW w:w="181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97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1687"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3"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野楤头</w:t>
            </w:r>
          </w:p>
        </w:tc>
        <w:tc>
          <w:tcPr>
            <w:tcW w:w="11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3.0</w:t>
            </w:r>
          </w:p>
        </w:tc>
        <w:tc>
          <w:tcPr>
            <w:tcW w:w="1682"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c>
          <w:tcPr>
            <w:tcW w:w="181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97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1687"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3"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八角枫</w:t>
            </w:r>
          </w:p>
        </w:tc>
        <w:tc>
          <w:tcPr>
            <w:tcW w:w="11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2.5</w:t>
            </w:r>
          </w:p>
        </w:tc>
        <w:tc>
          <w:tcPr>
            <w:tcW w:w="1682"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c>
          <w:tcPr>
            <w:tcW w:w="181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97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1687"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r>
    </w:tbl>
    <w:p>
      <w:pPr>
        <w:spacing w:line="240" w:lineRule="auto"/>
        <w:ind w:firstLine="602" w:firstLineChars="250"/>
        <w:jc w:val="center"/>
        <w:rPr>
          <w:rFonts w:ascii="Times New Roman" w:hAnsi="Times New Roman" w:eastAsia="宋体"/>
          <w:b/>
          <w:color w:val="auto"/>
          <w:szCs w:val="28"/>
          <w:highlight w:val="none"/>
        </w:rPr>
        <w:sectPr>
          <w:headerReference r:id="rId16" w:type="default"/>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13"/>
        <w:rPr>
          <w:rFonts w:ascii="Times New Roman" w:hAnsi="Times New Roman" w:eastAsia="宋体"/>
          <w:color w:val="auto"/>
          <w:highlight w:val="none"/>
        </w:rPr>
      </w:pPr>
      <w:r>
        <w:rPr>
          <w:rFonts w:ascii="Times New Roman" w:hAnsi="Times New Roman" w:eastAsia="宋体"/>
          <w:color w:val="auto"/>
          <w:highlight w:val="none"/>
        </w:rPr>
        <w:t>表</w:t>
      </w:r>
      <w:r>
        <w:rPr>
          <w:rFonts w:hint="eastAsia" w:ascii="Times New Roman" w:hAnsi="Times New Roman" w:eastAsia="宋体"/>
          <w:color w:val="auto"/>
          <w:highlight w:val="none"/>
        </w:rPr>
        <w:t>3.2-15</w:t>
      </w:r>
      <w:r>
        <w:rPr>
          <w:rFonts w:ascii="Times New Roman" w:hAnsi="Times New Roman" w:eastAsia="宋体"/>
          <w:color w:val="auto"/>
          <w:highlight w:val="none"/>
        </w:rPr>
        <w:t>马尾松林群落调查记录表</w:t>
      </w:r>
    </w:p>
    <w:tbl>
      <w:tblPr>
        <w:tblStyle w:val="48"/>
        <w:tblW w:w="9242" w:type="dxa"/>
        <w:tblInd w:w="0" w:type="dxa"/>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370"/>
        <w:gridCol w:w="769"/>
        <w:gridCol w:w="417"/>
        <w:gridCol w:w="1124"/>
        <w:gridCol w:w="144"/>
        <w:gridCol w:w="821"/>
        <w:gridCol w:w="1084"/>
        <w:gridCol w:w="262"/>
        <w:gridCol w:w="643"/>
        <w:gridCol w:w="102"/>
        <w:gridCol w:w="1566"/>
      </w:tblGrid>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trPr>
        <w:tc>
          <w:tcPr>
            <w:tcW w:w="4620" w:type="dxa"/>
            <w:gridSpan w:val="5"/>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群落：马尾松林</w:t>
            </w:r>
          </w:p>
        </w:tc>
        <w:tc>
          <w:tcPr>
            <w:tcW w:w="4622" w:type="dxa"/>
            <w:gridSpan w:val="7"/>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经纬度：109°42</w:t>
            </w:r>
            <w:r>
              <w:rPr>
                <w:rFonts w:ascii="Times New Roman" w:hAnsi="Times New Roman" w:eastAsia="宋体" w:cs="Times New Roman"/>
                <w:color w:val="auto"/>
                <w:szCs w:val="24"/>
                <w:highlight w:val="none"/>
              </w:rPr>
              <w:t>'</w:t>
            </w:r>
            <w:r>
              <w:rPr>
                <w:rFonts w:ascii="Times New Roman" w:hAnsi="Times New Roman" w:eastAsia="宋体"/>
                <w:color w:val="auto"/>
                <w:kern w:val="0"/>
                <w:sz w:val="21"/>
                <w:highlight w:val="none"/>
              </w:rPr>
              <w:t>5.5"E，25°45</w:t>
            </w:r>
            <w:r>
              <w:rPr>
                <w:rFonts w:ascii="Times New Roman" w:hAnsi="Times New Roman" w:eastAsia="宋体" w:cs="Times New Roman"/>
                <w:color w:val="auto"/>
                <w:szCs w:val="24"/>
                <w:highlight w:val="none"/>
              </w:rPr>
              <w:t>'</w:t>
            </w:r>
            <w:r>
              <w:rPr>
                <w:rFonts w:ascii="Times New Roman" w:hAnsi="Times New Roman" w:eastAsia="宋体"/>
                <w:color w:val="auto"/>
                <w:kern w:val="0"/>
                <w:sz w:val="21"/>
                <w:highlight w:val="none"/>
              </w:rPr>
              <w:t>43.0"N</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trPr>
        <w:tc>
          <w:tcPr>
            <w:tcW w:w="2310" w:type="dxa"/>
            <w:gridSpan w:val="2"/>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样方号：03</w:t>
            </w:r>
          </w:p>
        </w:tc>
        <w:tc>
          <w:tcPr>
            <w:tcW w:w="2310"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面积：20m×20m</w:t>
            </w:r>
          </w:p>
        </w:tc>
        <w:tc>
          <w:tcPr>
            <w:tcW w:w="2311" w:type="dxa"/>
            <w:gridSpan w:val="4"/>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海拔(m)：280</w:t>
            </w:r>
          </w:p>
        </w:tc>
        <w:tc>
          <w:tcPr>
            <w:tcW w:w="2311"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调查时间：2019.7.18</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10" w:type="dxa"/>
            <w:gridSpan w:val="2"/>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坡向：南</w:t>
            </w:r>
          </w:p>
        </w:tc>
        <w:tc>
          <w:tcPr>
            <w:tcW w:w="2310"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坡度：35°</w:t>
            </w:r>
          </w:p>
        </w:tc>
        <w:tc>
          <w:tcPr>
            <w:tcW w:w="2311" w:type="dxa"/>
            <w:gridSpan w:val="4"/>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群落高(m)：13</w:t>
            </w:r>
          </w:p>
        </w:tc>
        <w:tc>
          <w:tcPr>
            <w:tcW w:w="2311"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总盖度(%)：95</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10" w:type="dxa"/>
            <w:gridSpan w:val="2"/>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乔木层高度(m)：8</w:t>
            </w:r>
          </w:p>
        </w:tc>
        <w:tc>
          <w:tcPr>
            <w:tcW w:w="2310"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乔木层盖度(%)：35</w:t>
            </w:r>
          </w:p>
        </w:tc>
        <w:tc>
          <w:tcPr>
            <w:tcW w:w="2311" w:type="dxa"/>
            <w:gridSpan w:val="4"/>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灌木层高度(m)：2.5</w:t>
            </w:r>
          </w:p>
        </w:tc>
        <w:tc>
          <w:tcPr>
            <w:tcW w:w="2311"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灌木层盖度(%)：45</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10" w:type="dxa"/>
            <w:gridSpan w:val="2"/>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草本层高度(m)：1.5</w:t>
            </w:r>
          </w:p>
        </w:tc>
        <w:tc>
          <w:tcPr>
            <w:tcW w:w="2310"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草本层盖度(%)：30</w:t>
            </w:r>
          </w:p>
        </w:tc>
        <w:tc>
          <w:tcPr>
            <w:tcW w:w="2311" w:type="dxa"/>
            <w:gridSpan w:val="4"/>
            <w:noWrap w:val="0"/>
            <w:vAlign w:val="bottom"/>
          </w:tcPr>
          <w:p>
            <w:pPr>
              <w:spacing w:line="240" w:lineRule="auto"/>
              <w:ind w:firstLine="0" w:firstLineChars="0"/>
              <w:jc w:val="center"/>
              <w:rPr>
                <w:rFonts w:ascii="Times New Roman" w:hAnsi="Times New Roman" w:eastAsia="宋体"/>
                <w:color w:val="auto"/>
                <w:kern w:val="0"/>
                <w:sz w:val="21"/>
                <w:highlight w:val="none"/>
              </w:rPr>
            </w:pPr>
          </w:p>
        </w:tc>
        <w:tc>
          <w:tcPr>
            <w:tcW w:w="2311"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9242" w:type="dxa"/>
            <w:gridSpan w:val="12"/>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乔木层</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2" w:hRule="atLeast"/>
        </w:trPr>
        <w:tc>
          <w:tcPr>
            <w:tcW w:w="231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植物名称</w:t>
            </w:r>
          </w:p>
        </w:tc>
        <w:tc>
          <w:tcPr>
            <w:tcW w:w="1186"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株数</w:t>
            </w:r>
          </w:p>
        </w:tc>
        <w:tc>
          <w:tcPr>
            <w:tcW w:w="2089"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树高(m)(最高/平均)</w:t>
            </w:r>
          </w:p>
        </w:tc>
        <w:tc>
          <w:tcPr>
            <w:tcW w:w="2091" w:type="dxa"/>
            <w:gridSpan w:val="4"/>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胸径(cm)(最高/平均)</w:t>
            </w:r>
          </w:p>
        </w:tc>
        <w:tc>
          <w:tcPr>
            <w:tcW w:w="1566"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多优度</w:t>
            </w:r>
            <w:r>
              <w:rPr>
                <w:rFonts w:ascii="Times New Roman" w:hAnsi="Times New Roman" w:eastAsia="宋体"/>
                <w:color w:val="auto"/>
                <w:kern w:val="0"/>
                <w:sz w:val="21"/>
                <w:highlight w:val="none"/>
              </w:rPr>
              <w:softHyphen/>
            </w:r>
            <w:r>
              <w:rPr>
                <w:rFonts w:ascii="Times New Roman" w:hAnsi="Times New Roman" w:eastAsia="宋体"/>
                <w:color w:val="auto"/>
                <w:kern w:val="0"/>
                <w:sz w:val="21"/>
                <w:highlight w:val="none"/>
              </w:rPr>
              <w:t>-群集度</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1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马尾松</w:t>
            </w:r>
          </w:p>
        </w:tc>
        <w:tc>
          <w:tcPr>
            <w:tcW w:w="1186"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13</w:t>
            </w:r>
          </w:p>
        </w:tc>
        <w:tc>
          <w:tcPr>
            <w:tcW w:w="2089"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9</w:t>
            </w:r>
            <w:r>
              <w:rPr>
                <w:rFonts w:hint="eastAsia" w:ascii="Times New Roman" w:hAnsi="Times New Roman" w:eastAsia="宋体"/>
                <w:color w:val="auto"/>
                <w:kern w:val="0"/>
                <w:sz w:val="21"/>
                <w:highlight w:val="none"/>
              </w:rPr>
              <w:t>.5</w:t>
            </w:r>
            <w:r>
              <w:rPr>
                <w:rFonts w:ascii="Times New Roman" w:hAnsi="Times New Roman" w:eastAsia="宋体"/>
                <w:color w:val="auto"/>
                <w:kern w:val="0"/>
                <w:sz w:val="21"/>
                <w:highlight w:val="none"/>
              </w:rPr>
              <w:t>/8</w:t>
            </w:r>
            <w:r>
              <w:rPr>
                <w:rFonts w:hint="eastAsia" w:ascii="Times New Roman" w:hAnsi="Times New Roman" w:eastAsia="宋体"/>
                <w:color w:val="auto"/>
                <w:kern w:val="0"/>
                <w:sz w:val="21"/>
                <w:highlight w:val="none"/>
              </w:rPr>
              <w:t>.6</w:t>
            </w:r>
          </w:p>
        </w:tc>
        <w:tc>
          <w:tcPr>
            <w:tcW w:w="2091" w:type="dxa"/>
            <w:gridSpan w:val="4"/>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15.8/11</w:t>
            </w:r>
            <w:r>
              <w:rPr>
                <w:rFonts w:hint="eastAsia" w:ascii="Times New Roman" w:hAnsi="Times New Roman" w:eastAsia="宋体"/>
                <w:color w:val="auto"/>
                <w:kern w:val="0"/>
                <w:sz w:val="21"/>
                <w:highlight w:val="none"/>
              </w:rPr>
              <w:t>.5</w:t>
            </w:r>
          </w:p>
        </w:tc>
        <w:tc>
          <w:tcPr>
            <w:tcW w:w="1566"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3.3</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trPr>
        <w:tc>
          <w:tcPr>
            <w:tcW w:w="231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木荷</w:t>
            </w:r>
          </w:p>
        </w:tc>
        <w:tc>
          <w:tcPr>
            <w:tcW w:w="1186"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8</w:t>
            </w:r>
          </w:p>
        </w:tc>
        <w:tc>
          <w:tcPr>
            <w:tcW w:w="2089"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9</w:t>
            </w:r>
            <w:r>
              <w:rPr>
                <w:rFonts w:hint="eastAsia" w:ascii="Times New Roman" w:hAnsi="Times New Roman" w:eastAsia="宋体"/>
                <w:color w:val="auto"/>
                <w:kern w:val="0"/>
                <w:sz w:val="21"/>
                <w:highlight w:val="none"/>
              </w:rPr>
              <w:t>.5</w:t>
            </w:r>
            <w:r>
              <w:rPr>
                <w:rFonts w:ascii="Times New Roman" w:hAnsi="Times New Roman" w:eastAsia="宋体"/>
                <w:color w:val="auto"/>
                <w:kern w:val="0"/>
                <w:sz w:val="21"/>
                <w:highlight w:val="none"/>
              </w:rPr>
              <w:t>/7</w:t>
            </w:r>
            <w:r>
              <w:rPr>
                <w:rFonts w:hint="eastAsia" w:ascii="Times New Roman" w:hAnsi="Times New Roman" w:eastAsia="宋体"/>
                <w:color w:val="auto"/>
                <w:kern w:val="0"/>
                <w:sz w:val="21"/>
                <w:highlight w:val="none"/>
              </w:rPr>
              <w:t>.4</w:t>
            </w:r>
          </w:p>
        </w:tc>
        <w:tc>
          <w:tcPr>
            <w:tcW w:w="2091" w:type="dxa"/>
            <w:gridSpan w:val="4"/>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15.6/14</w:t>
            </w:r>
            <w:r>
              <w:rPr>
                <w:rFonts w:hint="eastAsia" w:ascii="Times New Roman" w:hAnsi="Times New Roman" w:eastAsia="宋体"/>
                <w:color w:val="auto"/>
                <w:kern w:val="0"/>
                <w:sz w:val="21"/>
                <w:highlight w:val="none"/>
              </w:rPr>
              <w:t>.5</w:t>
            </w:r>
          </w:p>
        </w:tc>
        <w:tc>
          <w:tcPr>
            <w:tcW w:w="1566"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2.2</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1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枫香树</w:t>
            </w:r>
          </w:p>
        </w:tc>
        <w:tc>
          <w:tcPr>
            <w:tcW w:w="1186"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4</w:t>
            </w:r>
          </w:p>
        </w:tc>
        <w:tc>
          <w:tcPr>
            <w:tcW w:w="2089"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8.5/7</w:t>
            </w:r>
            <w:r>
              <w:rPr>
                <w:rFonts w:hint="eastAsia" w:ascii="Times New Roman" w:hAnsi="Times New Roman" w:eastAsia="宋体"/>
                <w:color w:val="auto"/>
                <w:kern w:val="0"/>
                <w:sz w:val="21"/>
                <w:highlight w:val="none"/>
              </w:rPr>
              <w:t>.2</w:t>
            </w:r>
          </w:p>
        </w:tc>
        <w:tc>
          <w:tcPr>
            <w:tcW w:w="2091" w:type="dxa"/>
            <w:gridSpan w:val="4"/>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14.6/10.5</w:t>
            </w:r>
          </w:p>
        </w:tc>
        <w:tc>
          <w:tcPr>
            <w:tcW w:w="1566"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2.2</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trPr>
        <w:tc>
          <w:tcPr>
            <w:tcW w:w="231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山乌桕</w:t>
            </w:r>
          </w:p>
        </w:tc>
        <w:tc>
          <w:tcPr>
            <w:tcW w:w="1186"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5</w:t>
            </w:r>
          </w:p>
        </w:tc>
        <w:tc>
          <w:tcPr>
            <w:tcW w:w="2089"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7</w:t>
            </w:r>
            <w:r>
              <w:rPr>
                <w:rFonts w:hint="eastAsia" w:ascii="Times New Roman" w:hAnsi="Times New Roman" w:eastAsia="宋体"/>
                <w:color w:val="auto"/>
                <w:kern w:val="0"/>
                <w:sz w:val="21"/>
                <w:highlight w:val="none"/>
              </w:rPr>
              <w:t>.5</w:t>
            </w:r>
            <w:r>
              <w:rPr>
                <w:rFonts w:ascii="Times New Roman" w:hAnsi="Times New Roman" w:eastAsia="宋体"/>
                <w:color w:val="auto"/>
                <w:kern w:val="0"/>
                <w:sz w:val="21"/>
                <w:highlight w:val="none"/>
              </w:rPr>
              <w:t>/6</w:t>
            </w:r>
            <w:r>
              <w:rPr>
                <w:rFonts w:hint="eastAsia" w:ascii="Times New Roman" w:hAnsi="Times New Roman" w:eastAsia="宋体"/>
                <w:color w:val="auto"/>
                <w:kern w:val="0"/>
                <w:sz w:val="21"/>
                <w:highlight w:val="none"/>
              </w:rPr>
              <w:t>.8</w:t>
            </w:r>
          </w:p>
        </w:tc>
        <w:tc>
          <w:tcPr>
            <w:tcW w:w="2091" w:type="dxa"/>
            <w:gridSpan w:val="4"/>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12.2/8.9</w:t>
            </w:r>
          </w:p>
        </w:tc>
        <w:tc>
          <w:tcPr>
            <w:tcW w:w="1566"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2.2</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trPr>
        <w:tc>
          <w:tcPr>
            <w:tcW w:w="231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栗</w:t>
            </w:r>
          </w:p>
        </w:tc>
        <w:tc>
          <w:tcPr>
            <w:tcW w:w="1186"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1</w:t>
            </w:r>
          </w:p>
        </w:tc>
        <w:tc>
          <w:tcPr>
            <w:tcW w:w="2089"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13.6</w:t>
            </w:r>
          </w:p>
        </w:tc>
        <w:tc>
          <w:tcPr>
            <w:tcW w:w="2091" w:type="dxa"/>
            <w:gridSpan w:val="4"/>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10.5/7.5</w:t>
            </w:r>
          </w:p>
        </w:tc>
        <w:tc>
          <w:tcPr>
            <w:tcW w:w="1566"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w:t>
            </w:r>
            <w:r>
              <w:rPr>
                <w:rFonts w:ascii="Times New Roman" w:hAnsi="Times New Roman" w:eastAsia="宋体"/>
                <w:color w:val="auto"/>
                <w:kern w:val="0"/>
                <w:sz w:val="21"/>
                <w:highlight w:val="none"/>
              </w:rPr>
              <w:t>.1</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4764" w:type="dxa"/>
            <w:gridSpan w:val="6"/>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灌木层</w:t>
            </w:r>
          </w:p>
        </w:tc>
        <w:tc>
          <w:tcPr>
            <w:tcW w:w="4478" w:type="dxa"/>
            <w:gridSpan w:val="6"/>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草本层</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植物名称</w:t>
            </w: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高(m)</w:t>
            </w:r>
          </w:p>
        </w:tc>
        <w:tc>
          <w:tcPr>
            <w:tcW w:w="1685"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多优度-群集度</w:t>
            </w:r>
          </w:p>
        </w:tc>
        <w:tc>
          <w:tcPr>
            <w:tcW w:w="1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植物名称</w:t>
            </w:r>
          </w:p>
        </w:tc>
        <w:tc>
          <w:tcPr>
            <w:tcW w:w="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高(m)</w:t>
            </w:r>
          </w:p>
        </w:tc>
        <w:tc>
          <w:tcPr>
            <w:tcW w:w="1668"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多优度-群集度</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山鸡椒</w:t>
            </w: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2.5</w:t>
            </w:r>
          </w:p>
        </w:tc>
        <w:tc>
          <w:tcPr>
            <w:tcW w:w="1685"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3.3</w:t>
            </w:r>
          </w:p>
        </w:tc>
        <w:tc>
          <w:tcPr>
            <w:tcW w:w="1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五节芒</w:t>
            </w:r>
          </w:p>
        </w:tc>
        <w:tc>
          <w:tcPr>
            <w:tcW w:w="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1.0</w:t>
            </w:r>
          </w:p>
        </w:tc>
        <w:tc>
          <w:tcPr>
            <w:tcW w:w="1668"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2.2</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木荷</w:t>
            </w: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2.0</w:t>
            </w:r>
          </w:p>
        </w:tc>
        <w:tc>
          <w:tcPr>
            <w:tcW w:w="1685"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2.2</w:t>
            </w:r>
          </w:p>
        </w:tc>
        <w:tc>
          <w:tcPr>
            <w:tcW w:w="1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芒萁</w:t>
            </w:r>
          </w:p>
        </w:tc>
        <w:tc>
          <w:tcPr>
            <w:tcW w:w="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0.5</w:t>
            </w:r>
          </w:p>
        </w:tc>
        <w:tc>
          <w:tcPr>
            <w:tcW w:w="1668"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2.3</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灰毛大青</w:t>
            </w: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2.0</w:t>
            </w:r>
          </w:p>
        </w:tc>
        <w:tc>
          <w:tcPr>
            <w:tcW w:w="1685"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c>
          <w:tcPr>
            <w:tcW w:w="1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乌毛蕨</w:t>
            </w:r>
          </w:p>
        </w:tc>
        <w:tc>
          <w:tcPr>
            <w:tcW w:w="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0.5</w:t>
            </w:r>
          </w:p>
        </w:tc>
        <w:tc>
          <w:tcPr>
            <w:tcW w:w="1668"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2.2</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0"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锈毛莓</w:t>
            </w: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0.8</w:t>
            </w:r>
          </w:p>
        </w:tc>
        <w:tc>
          <w:tcPr>
            <w:tcW w:w="1685"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1.2</w:t>
            </w:r>
          </w:p>
        </w:tc>
        <w:tc>
          <w:tcPr>
            <w:tcW w:w="1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浆果苔草</w:t>
            </w:r>
          </w:p>
        </w:tc>
        <w:tc>
          <w:tcPr>
            <w:tcW w:w="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0.3</w:t>
            </w:r>
          </w:p>
        </w:tc>
        <w:tc>
          <w:tcPr>
            <w:tcW w:w="1668"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马尾松</w:t>
            </w: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2.5</w:t>
            </w:r>
          </w:p>
        </w:tc>
        <w:tc>
          <w:tcPr>
            <w:tcW w:w="1685"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2.2</w:t>
            </w:r>
          </w:p>
        </w:tc>
        <w:tc>
          <w:tcPr>
            <w:tcW w:w="1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扇叶铁线蕨</w:t>
            </w:r>
          </w:p>
        </w:tc>
        <w:tc>
          <w:tcPr>
            <w:tcW w:w="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0.2</w:t>
            </w:r>
          </w:p>
        </w:tc>
        <w:tc>
          <w:tcPr>
            <w:tcW w:w="1668"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1.2</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白背叶</w:t>
            </w: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3.0</w:t>
            </w:r>
          </w:p>
        </w:tc>
        <w:tc>
          <w:tcPr>
            <w:tcW w:w="1685"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c>
          <w:tcPr>
            <w:tcW w:w="1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淡竹叶</w:t>
            </w:r>
          </w:p>
        </w:tc>
        <w:tc>
          <w:tcPr>
            <w:tcW w:w="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0.3</w:t>
            </w:r>
          </w:p>
        </w:tc>
        <w:tc>
          <w:tcPr>
            <w:tcW w:w="1668"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毛桐</w:t>
            </w: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1.5</w:t>
            </w:r>
          </w:p>
        </w:tc>
        <w:tc>
          <w:tcPr>
            <w:tcW w:w="1685"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c>
          <w:tcPr>
            <w:tcW w:w="1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地稔</w:t>
            </w:r>
          </w:p>
        </w:tc>
        <w:tc>
          <w:tcPr>
            <w:tcW w:w="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0.1</w:t>
            </w:r>
          </w:p>
        </w:tc>
        <w:tc>
          <w:tcPr>
            <w:tcW w:w="1668"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南方荚蒾</w:t>
            </w: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1.5</w:t>
            </w:r>
          </w:p>
        </w:tc>
        <w:tc>
          <w:tcPr>
            <w:tcW w:w="1685"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c>
          <w:tcPr>
            <w:tcW w:w="1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千里光</w:t>
            </w:r>
          </w:p>
        </w:tc>
        <w:tc>
          <w:tcPr>
            <w:tcW w:w="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0.5</w:t>
            </w:r>
          </w:p>
        </w:tc>
        <w:tc>
          <w:tcPr>
            <w:tcW w:w="1668"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野漆</w:t>
            </w: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2.0</w:t>
            </w:r>
          </w:p>
        </w:tc>
        <w:tc>
          <w:tcPr>
            <w:tcW w:w="1685"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c>
          <w:tcPr>
            <w:tcW w:w="1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野茼蒿</w:t>
            </w:r>
          </w:p>
        </w:tc>
        <w:tc>
          <w:tcPr>
            <w:tcW w:w="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0.4</w:t>
            </w:r>
          </w:p>
        </w:tc>
        <w:tc>
          <w:tcPr>
            <w:tcW w:w="1668"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展毛野牡丹</w:t>
            </w: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0.8</w:t>
            </w:r>
          </w:p>
        </w:tc>
        <w:tc>
          <w:tcPr>
            <w:tcW w:w="1685"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c>
          <w:tcPr>
            <w:tcW w:w="1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苦苣菜</w:t>
            </w:r>
          </w:p>
        </w:tc>
        <w:tc>
          <w:tcPr>
            <w:tcW w:w="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0.3</w:t>
            </w:r>
          </w:p>
        </w:tc>
        <w:tc>
          <w:tcPr>
            <w:tcW w:w="1668"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黄毛榕</w:t>
            </w: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2.5</w:t>
            </w:r>
          </w:p>
        </w:tc>
        <w:tc>
          <w:tcPr>
            <w:tcW w:w="1685" w:type="dxa"/>
            <w:gridSpan w:val="3"/>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c>
          <w:tcPr>
            <w:tcW w:w="1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905"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1668"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r>
    </w:tbl>
    <w:p>
      <w:pPr>
        <w:ind w:firstLine="48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（2）人工植被</w:t>
      </w:r>
    </w:p>
    <w:p>
      <w:pPr>
        <w:ind w:firstLine="48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①用材林</w:t>
      </w:r>
    </w:p>
    <w:p>
      <w:pPr>
        <w:ind w:firstLine="480"/>
        <w:rPr>
          <w:rFonts w:ascii="Times New Roman" w:hAnsi="Times New Roman" w:eastAsia="宋体" w:cs="Times New Roman"/>
          <w:bCs/>
          <w:color w:val="auto"/>
          <w:szCs w:val="28"/>
          <w:highlight w:val="none"/>
        </w:rPr>
      </w:pPr>
      <w:r>
        <w:rPr>
          <w:rFonts w:hint="eastAsia" w:ascii="Times New Roman" w:hAnsi="Times New Roman" w:eastAsia="宋体" w:cs="Times New Roman"/>
          <w:color w:val="auto"/>
          <w:szCs w:val="28"/>
          <w:highlight w:val="none"/>
        </w:rPr>
        <w:t>评价区的杉木人工林主要分布在评价区南侧红线外的山地中、下坡位，为中幼龄林。乔木层种类仅有杉木，无其他乔木树种，群落高度15m，乔木层覆盖度大，高达90%。林内灌木主要以玉叶金花、杜茎山、展毛野牡丹、岗柃、三桠苦、大青、粗叶榕等较常见，灌木层盖度小，仅约5%，层高度0.5~1m。草本层物种少，层盖度约5%；草本植物常见有五节芒、华南毛蕨、半边旗、乌毛蕨、海金沙、芒萁、火炭母等。实地调查记录的群落样方情况详见表3.2-16。</w:t>
      </w:r>
    </w:p>
    <w:p>
      <w:pPr>
        <w:spacing w:line="440" w:lineRule="exact"/>
        <w:ind w:firstLine="602" w:firstLineChars="250"/>
        <w:jc w:val="center"/>
        <w:rPr>
          <w:rFonts w:ascii="Times New Roman" w:hAnsi="Times New Roman" w:eastAsia="宋体"/>
          <w:b/>
          <w:color w:val="auto"/>
          <w:szCs w:val="28"/>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13"/>
        <w:rPr>
          <w:rFonts w:ascii="Times New Roman" w:hAnsi="Times New Roman" w:eastAsia="宋体"/>
          <w:color w:val="auto"/>
          <w:highlight w:val="none"/>
        </w:rPr>
      </w:pPr>
      <w:r>
        <w:rPr>
          <w:rFonts w:ascii="Times New Roman" w:hAnsi="Times New Roman" w:eastAsia="宋体"/>
          <w:color w:val="auto"/>
          <w:highlight w:val="none"/>
        </w:rPr>
        <w:t>表</w:t>
      </w:r>
      <w:r>
        <w:rPr>
          <w:rFonts w:hint="eastAsia" w:ascii="Times New Roman" w:hAnsi="Times New Roman" w:eastAsia="宋体"/>
          <w:color w:val="auto"/>
          <w:highlight w:val="none"/>
        </w:rPr>
        <w:t>3.2-16</w:t>
      </w:r>
      <w:r>
        <w:rPr>
          <w:rFonts w:hint="eastAsia"/>
          <w:color w:val="auto"/>
          <w:highlight w:val="none"/>
          <w:lang w:val="en-US" w:eastAsia="zh-CN"/>
        </w:rPr>
        <w:t xml:space="preserve"> </w:t>
      </w:r>
      <w:r>
        <w:rPr>
          <w:rFonts w:hint="eastAsia" w:ascii="Times New Roman" w:hAnsi="Times New Roman" w:eastAsia="宋体"/>
          <w:color w:val="auto"/>
          <w:highlight w:val="none"/>
        </w:rPr>
        <w:t>杉木</w:t>
      </w:r>
      <w:r>
        <w:rPr>
          <w:rFonts w:ascii="Times New Roman" w:hAnsi="Times New Roman" w:eastAsia="宋体"/>
          <w:color w:val="auto"/>
          <w:highlight w:val="none"/>
        </w:rPr>
        <w:t>人工林群落群落调查记录表</w:t>
      </w:r>
    </w:p>
    <w:tbl>
      <w:tblPr>
        <w:tblStyle w:val="48"/>
        <w:tblW w:w="9242" w:type="dxa"/>
        <w:tblInd w:w="0" w:type="dxa"/>
        <w:tblBorders>
          <w:top w:val="single" w:color="auto" w:sz="12" w:space="0"/>
          <w:left w:val="single" w:color="auto" w:sz="12" w:space="0"/>
          <w:bottom w:val="none" w:color="auto" w:sz="0"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370"/>
        <w:gridCol w:w="769"/>
        <w:gridCol w:w="417"/>
        <w:gridCol w:w="1282"/>
        <w:gridCol w:w="14"/>
        <w:gridCol w:w="793"/>
        <w:gridCol w:w="1084"/>
        <w:gridCol w:w="262"/>
        <w:gridCol w:w="670"/>
        <w:gridCol w:w="75"/>
        <w:gridCol w:w="1566"/>
      </w:tblGrid>
      <w:tr>
        <w:tblPrEx>
          <w:tblBorders>
            <w:top w:val="single" w:color="auto" w:sz="12" w:space="0"/>
            <w:left w:val="single" w:color="auto" w:sz="12" w:space="0"/>
            <w:bottom w:val="none" w:color="auto" w:sz="0"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4792" w:type="dxa"/>
            <w:gridSpan w:val="6"/>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群落：杉木人工林</w:t>
            </w:r>
          </w:p>
        </w:tc>
        <w:tc>
          <w:tcPr>
            <w:tcW w:w="4450" w:type="dxa"/>
            <w:gridSpan w:val="6"/>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经纬度：109°41</w:t>
            </w:r>
            <w:r>
              <w:rPr>
                <w:rFonts w:ascii="Times New Roman" w:hAnsi="Times New Roman" w:eastAsia="宋体" w:cs="Times New Roman"/>
                <w:color w:val="auto"/>
                <w:szCs w:val="24"/>
                <w:highlight w:val="none"/>
              </w:rPr>
              <w:t>'</w:t>
            </w:r>
            <w:r>
              <w:rPr>
                <w:rFonts w:ascii="Times New Roman" w:hAnsi="Times New Roman" w:eastAsia="宋体" w:cs="Times New Roman"/>
                <w:color w:val="auto"/>
                <w:kern w:val="0"/>
                <w:sz w:val="21"/>
                <w:highlight w:val="none"/>
              </w:rPr>
              <w:t>59.7"E，25°45</w:t>
            </w:r>
            <w:r>
              <w:rPr>
                <w:rFonts w:ascii="Times New Roman" w:hAnsi="Times New Roman" w:eastAsia="宋体" w:cs="Times New Roman"/>
                <w:color w:val="auto"/>
                <w:szCs w:val="24"/>
                <w:highlight w:val="none"/>
              </w:rPr>
              <w:t>'</w:t>
            </w:r>
            <w:r>
              <w:rPr>
                <w:rFonts w:ascii="Times New Roman" w:hAnsi="Times New Roman" w:eastAsia="宋体" w:cs="Times New Roman"/>
                <w:color w:val="auto"/>
                <w:kern w:val="0"/>
                <w:sz w:val="21"/>
                <w:highlight w:val="none"/>
              </w:rPr>
              <w:t>32.4"N</w:t>
            </w:r>
          </w:p>
        </w:tc>
      </w:tr>
      <w:tr>
        <w:tblPrEx>
          <w:tblBorders>
            <w:top w:val="single" w:color="auto" w:sz="12" w:space="0"/>
            <w:left w:val="single" w:color="auto" w:sz="12" w:space="0"/>
            <w:bottom w:val="none" w:color="auto" w:sz="0"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2310"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样方号：04</w:t>
            </w:r>
          </w:p>
        </w:tc>
        <w:tc>
          <w:tcPr>
            <w:tcW w:w="2482" w:type="dxa"/>
            <w:gridSpan w:val="4"/>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面积：20m×20m</w:t>
            </w:r>
          </w:p>
        </w:tc>
        <w:tc>
          <w:tcPr>
            <w:tcW w:w="2139"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海拔(m)：206</w:t>
            </w:r>
          </w:p>
        </w:tc>
        <w:tc>
          <w:tcPr>
            <w:tcW w:w="2311"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调查时间：2019.7.18</w:t>
            </w:r>
          </w:p>
        </w:tc>
      </w:tr>
      <w:tr>
        <w:tblPrEx>
          <w:tblBorders>
            <w:top w:val="single" w:color="auto" w:sz="12" w:space="0"/>
            <w:left w:val="single" w:color="auto" w:sz="12" w:space="0"/>
            <w:bottom w:val="none" w:color="auto" w:sz="0"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2310"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坡向：北</w:t>
            </w:r>
          </w:p>
        </w:tc>
        <w:tc>
          <w:tcPr>
            <w:tcW w:w="2482" w:type="dxa"/>
            <w:gridSpan w:val="4"/>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坡度：30°</w:t>
            </w:r>
          </w:p>
        </w:tc>
        <w:tc>
          <w:tcPr>
            <w:tcW w:w="2139"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群落高(m)：15</w:t>
            </w:r>
          </w:p>
        </w:tc>
        <w:tc>
          <w:tcPr>
            <w:tcW w:w="2311"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总盖度(%)：95</w:t>
            </w:r>
          </w:p>
        </w:tc>
      </w:tr>
      <w:tr>
        <w:tblPrEx>
          <w:tblBorders>
            <w:top w:val="single" w:color="auto" w:sz="12" w:space="0"/>
            <w:left w:val="single" w:color="auto" w:sz="12" w:space="0"/>
            <w:bottom w:val="none" w:color="auto" w:sz="0"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2310"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乔木层高度(m)：15</w:t>
            </w:r>
          </w:p>
        </w:tc>
        <w:tc>
          <w:tcPr>
            <w:tcW w:w="2482" w:type="dxa"/>
            <w:gridSpan w:val="4"/>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乔木层盖度(%)：90</w:t>
            </w:r>
          </w:p>
        </w:tc>
        <w:tc>
          <w:tcPr>
            <w:tcW w:w="2139"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灌木层高度(m)：1.5</w:t>
            </w:r>
          </w:p>
        </w:tc>
        <w:tc>
          <w:tcPr>
            <w:tcW w:w="2311"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灌木层盖度(%)：5</w:t>
            </w:r>
          </w:p>
        </w:tc>
      </w:tr>
      <w:tr>
        <w:tblPrEx>
          <w:tblBorders>
            <w:top w:val="single" w:color="auto" w:sz="12" w:space="0"/>
            <w:left w:val="single" w:color="auto" w:sz="12" w:space="0"/>
            <w:bottom w:val="none" w:color="auto" w:sz="0"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2310"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草本层高度(m)：1.0</w:t>
            </w:r>
          </w:p>
        </w:tc>
        <w:tc>
          <w:tcPr>
            <w:tcW w:w="2482" w:type="dxa"/>
            <w:gridSpan w:val="4"/>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草本层盖度(%)：5</w:t>
            </w:r>
          </w:p>
        </w:tc>
        <w:tc>
          <w:tcPr>
            <w:tcW w:w="2139"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p>
        </w:tc>
        <w:tc>
          <w:tcPr>
            <w:tcW w:w="2311"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p>
        </w:tc>
      </w:tr>
      <w:tr>
        <w:tblPrEx>
          <w:tblBorders>
            <w:top w:val="single" w:color="auto" w:sz="12" w:space="0"/>
            <w:left w:val="single" w:color="auto" w:sz="12" w:space="0"/>
            <w:bottom w:val="none" w:color="auto" w:sz="0"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9242" w:type="dxa"/>
            <w:gridSpan w:val="1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乔木层</w:t>
            </w:r>
          </w:p>
        </w:tc>
      </w:tr>
      <w:tr>
        <w:tblPrEx>
          <w:tblBorders>
            <w:top w:val="single" w:color="auto" w:sz="12" w:space="0"/>
            <w:left w:val="single" w:color="auto" w:sz="12" w:space="0"/>
            <w:bottom w:val="none" w:color="auto" w:sz="0"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2310"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植物名称</w:t>
            </w:r>
          </w:p>
        </w:tc>
        <w:tc>
          <w:tcPr>
            <w:tcW w:w="1186"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株数</w:t>
            </w:r>
          </w:p>
        </w:tc>
        <w:tc>
          <w:tcPr>
            <w:tcW w:w="2089"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树高(m)(最高/平均)</w:t>
            </w:r>
          </w:p>
        </w:tc>
        <w:tc>
          <w:tcPr>
            <w:tcW w:w="2091" w:type="dxa"/>
            <w:gridSpan w:val="4"/>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胸径(cm)(最高/平均)</w:t>
            </w:r>
          </w:p>
        </w:tc>
        <w:tc>
          <w:tcPr>
            <w:tcW w:w="1566"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多优度</w:t>
            </w:r>
            <w:r>
              <w:rPr>
                <w:rFonts w:ascii="Times New Roman" w:hAnsi="Times New Roman" w:eastAsia="宋体" w:cs="Times New Roman"/>
                <w:color w:val="auto"/>
                <w:kern w:val="0"/>
                <w:sz w:val="21"/>
                <w:highlight w:val="none"/>
              </w:rPr>
              <w:softHyphen/>
            </w:r>
            <w:r>
              <w:rPr>
                <w:rFonts w:ascii="Times New Roman" w:hAnsi="Times New Roman" w:eastAsia="宋体" w:cs="Times New Roman"/>
                <w:color w:val="auto"/>
                <w:kern w:val="0"/>
                <w:sz w:val="21"/>
                <w:highlight w:val="none"/>
              </w:rPr>
              <w:t>-群集度</w:t>
            </w:r>
          </w:p>
        </w:tc>
      </w:tr>
      <w:tr>
        <w:tblPrEx>
          <w:tblBorders>
            <w:top w:val="single" w:color="auto" w:sz="12" w:space="0"/>
            <w:left w:val="single" w:color="auto" w:sz="12" w:space="0"/>
            <w:bottom w:val="none" w:color="auto" w:sz="0"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2310"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杉木</w:t>
            </w:r>
          </w:p>
        </w:tc>
        <w:tc>
          <w:tcPr>
            <w:tcW w:w="1186"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118</w:t>
            </w:r>
          </w:p>
        </w:tc>
        <w:tc>
          <w:tcPr>
            <w:tcW w:w="2089"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15.0/14.0</w:t>
            </w:r>
          </w:p>
        </w:tc>
        <w:tc>
          <w:tcPr>
            <w:tcW w:w="2091" w:type="dxa"/>
            <w:gridSpan w:val="4"/>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16.4/13.2</w:t>
            </w:r>
          </w:p>
        </w:tc>
        <w:tc>
          <w:tcPr>
            <w:tcW w:w="1566"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5.5</w:t>
            </w:r>
          </w:p>
        </w:tc>
      </w:tr>
      <w:tr>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4778" w:type="dxa"/>
            <w:gridSpan w:val="5"/>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灌木层</w:t>
            </w:r>
          </w:p>
        </w:tc>
        <w:tc>
          <w:tcPr>
            <w:tcW w:w="4464" w:type="dxa"/>
            <w:gridSpan w:val="7"/>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草本层</w:t>
            </w:r>
          </w:p>
        </w:tc>
      </w:tr>
      <w:tr>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1940"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植物名称</w:t>
            </w:r>
          </w:p>
        </w:tc>
        <w:tc>
          <w:tcPr>
            <w:tcW w:w="113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高(m)</w:t>
            </w:r>
          </w:p>
        </w:tc>
        <w:tc>
          <w:tcPr>
            <w:tcW w:w="169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多优度-群集度</w:t>
            </w:r>
          </w:p>
        </w:tc>
        <w:tc>
          <w:tcPr>
            <w:tcW w:w="1891"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植物名称</w:t>
            </w:r>
          </w:p>
        </w:tc>
        <w:tc>
          <w:tcPr>
            <w:tcW w:w="932"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高(m)</w:t>
            </w:r>
          </w:p>
        </w:tc>
        <w:tc>
          <w:tcPr>
            <w:tcW w:w="1641"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多优度-群集度</w:t>
            </w:r>
          </w:p>
        </w:tc>
      </w:tr>
      <w:tr>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1940"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三桠苦</w:t>
            </w:r>
          </w:p>
        </w:tc>
        <w:tc>
          <w:tcPr>
            <w:tcW w:w="113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0.4</w:t>
            </w:r>
          </w:p>
        </w:tc>
        <w:tc>
          <w:tcPr>
            <w:tcW w:w="169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w:t>
            </w:r>
          </w:p>
        </w:tc>
        <w:tc>
          <w:tcPr>
            <w:tcW w:w="1891"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半边旗</w:t>
            </w:r>
          </w:p>
        </w:tc>
        <w:tc>
          <w:tcPr>
            <w:tcW w:w="932"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0.3</w:t>
            </w:r>
          </w:p>
        </w:tc>
        <w:tc>
          <w:tcPr>
            <w:tcW w:w="1641"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1.2</w:t>
            </w:r>
          </w:p>
        </w:tc>
      </w:tr>
      <w:tr>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1940"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展毛野牡丹</w:t>
            </w:r>
          </w:p>
        </w:tc>
        <w:tc>
          <w:tcPr>
            <w:tcW w:w="113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0.4</w:t>
            </w:r>
          </w:p>
        </w:tc>
        <w:tc>
          <w:tcPr>
            <w:tcW w:w="169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w:t>
            </w:r>
          </w:p>
        </w:tc>
        <w:tc>
          <w:tcPr>
            <w:tcW w:w="1891"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乌毛蕨</w:t>
            </w:r>
          </w:p>
        </w:tc>
        <w:tc>
          <w:tcPr>
            <w:tcW w:w="932"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0.5</w:t>
            </w:r>
          </w:p>
        </w:tc>
        <w:tc>
          <w:tcPr>
            <w:tcW w:w="1641"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1.1</w:t>
            </w:r>
          </w:p>
        </w:tc>
      </w:tr>
      <w:tr>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1940"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玉叶金花</w:t>
            </w:r>
          </w:p>
        </w:tc>
        <w:tc>
          <w:tcPr>
            <w:tcW w:w="113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0.7</w:t>
            </w:r>
          </w:p>
        </w:tc>
        <w:tc>
          <w:tcPr>
            <w:tcW w:w="169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1.3</w:t>
            </w:r>
          </w:p>
        </w:tc>
        <w:tc>
          <w:tcPr>
            <w:tcW w:w="1891"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海金沙</w:t>
            </w:r>
          </w:p>
        </w:tc>
        <w:tc>
          <w:tcPr>
            <w:tcW w:w="932"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0.3</w:t>
            </w:r>
          </w:p>
        </w:tc>
        <w:tc>
          <w:tcPr>
            <w:tcW w:w="1641"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1.1</w:t>
            </w:r>
          </w:p>
        </w:tc>
      </w:tr>
      <w:tr>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1940"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岗柃</w:t>
            </w:r>
          </w:p>
        </w:tc>
        <w:tc>
          <w:tcPr>
            <w:tcW w:w="113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0.8</w:t>
            </w:r>
          </w:p>
        </w:tc>
        <w:tc>
          <w:tcPr>
            <w:tcW w:w="169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w:t>
            </w:r>
          </w:p>
        </w:tc>
        <w:tc>
          <w:tcPr>
            <w:tcW w:w="1891"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浆果薹草</w:t>
            </w:r>
          </w:p>
        </w:tc>
        <w:tc>
          <w:tcPr>
            <w:tcW w:w="932"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0.3</w:t>
            </w:r>
          </w:p>
        </w:tc>
        <w:tc>
          <w:tcPr>
            <w:tcW w:w="1641"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1.1</w:t>
            </w:r>
          </w:p>
        </w:tc>
      </w:tr>
      <w:tr>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1940"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鹅掌柴</w:t>
            </w:r>
          </w:p>
        </w:tc>
        <w:tc>
          <w:tcPr>
            <w:tcW w:w="113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1.0</w:t>
            </w:r>
          </w:p>
        </w:tc>
        <w:tc>
          <w:tcPr>
            <w:tcW w:w="169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lang w:val="pt-BR"/>
              </w:rPr>
            </w:pPr>
            <w:r>
              <w:rPr>
                <w:rFonts w:ascii="Times New Roman" w:hAnsi="Times New Roman" w:eastAsia="宋体" w:cs="Times New Roman"/>
                <w:color w:val="auto"/>
                <w:kern w:val="0"/>
                <w:sz w:val="21"/>
                <w:highlight w:val="none"/>
              </w:rPr>
              <w:t>+.1</w:t>
            </w:r>
          </w:p>
        </w:tc>
        <w:tc>
          <w:tcPr>
            <w:tcW w:w="1891"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华南毛蕨</w:t>
            </w:r>
          </w:p>
        </w:tc>
        <w:tc>
          <w:tcPr>
            <w:tcW w:w="932"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0.4</w:t>
            </w:r>
          </w:p>
        </w:tc>
        <w:tc>
          <w:tcPr>
            <w:tcW w:w="1641"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1.2</w:t>
            </w:r>
          </w:p>
        </w:tc>
      </w:tr>
      <w:tr>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1940"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粗叶悬钩子</w:t>
            </w:r>
          </w:p>
        </w:tc>
        <w:tc>
          <w:tcPr>
            <w:tcW w:w="113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1.0</w:t>
            </w:r>
          </w:p>
        </w:tc>
        <w:tc>
          <w:tcPr>
            <w:tcW w:w="169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w:t>
            </w:r>
          </w:p>
        </w:tc>
        <w:tc>
          <w:tcPr>
            <w:tcW w:w="1891"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耳草</w:t>
            </w:r>
          </w:p>
        </w:tc>
        <w:tc>
          <w:tcPr>
            <w:tcW w:w="932"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0.4</w:t>
            </w:r>
          </w:p>
        </w:tc>
        <w:tc>
          <w:tcPr>
            <w:tcW w:w="1641"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w:t>
            </w:r>
          </w:p>
        </w:tc>
      </w:tr>
      <w:tr>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1940"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簕欓花椒</w:t>
            </w:r>
          </w:p>
        </w:tc>
        <w:tc>
          <w:tcPr>
            <w:tcW w:w="113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0.7</w:t>
            </w:r>
          </w:p>
        </w:tc>
        <w:tc>
          <w:tcPr>
            <w:tcW w:w="169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w:t>
            </w:r>
          </w:p>
        </w:tc>
        <w:tc>
          <w:tcPr>
            <w:tcW w:w="1891"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刚莠竹</w:t>
            </w:r>
          </w:p>
        </w:tc>
        <w:tc>
          <w:tcPr>
            <w:tcW w:w="932"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0.7</w:t>
            </w:r>
          </w:p>
        </w:tc>
        <w:tc>
          <w:tcPr>
            <w:tcW w:w="1641"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1.2</w:t>
            </w:r>
          </w:p>
        </w:tc>
      </w:tr>
      <w:tr>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1940"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地稔</w:t>
            </w:r>
          </w:p>
        </w:tc>
        <w:tc>
          <w:tcPr>
            <w:tcW w:w="113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0.1</w:t>
            </w:r>
          </w:p>
        </w:tc>
        <w:tc>
          <w:tcPr>
            <w:tcW w:w="169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1.2</w:t>
            </w:r>
          </w:p>
        </w:tc>
        <w:tc>
          <w:tcPr>
            <w:tcW w:w="1891"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乌蕨</w:t>
            </w:r>
          </w:p>
        </w:tc>
        <w:tc>
          <w:tcPr>
            <w:tcW w:w="932"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lang w:val="fr-FR"/>
              </w:rPr>
            </w:pPr>
            <w:r>
              <w:rPr>
                <w:rFonts w:ascii="Times New Roman" w:hAnsi="Times New Roman" w:eastAsia="宋体" w:cs="Times New Roman"/>
                <w:color w:val="auto"/>
                <w:kern w:val="0"/>
                <w:sz w:val="21"/>
                <w:highlight w:val="none"/>
                <w:lang w:val="fr-FR"/>
              </w:rPr>
              <w:t>0.5</w:t>
            </w:r>
          </w:p>
        </w:tc>
        <w:tc>
          <w:tcPr>
            <w:tcW w:w="1641"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w:t>
            </w:r>
          </w:p>
        </w:tc>
      </w:tr>
      <w:tr>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1940"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杜茎山</w:t>
            </w:r>
          </w:p>
        </w:tc>
        <w:tc>
          <w:tcPr>
            <w:tcW w:w="113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0.5</w:t>
            </w:r>
          </w:p>
        </w:tc>
        <w:tc>
          <w:tcPr>
            <w:tcW w:w="169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1.1</w:t>
            </w:r>
          </w:p>
        </w:tc>
        <w:tc>
          <w:tcPr>
            <w:tcW w:w="1891"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五节芒</w:t>
            </w:r>
          </w:p>
        </w:tc>
        <w:tc>
          <w:tcPr>
            <w:tcW w:w="932"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1.2</w:t>
            </w:r>
          </w:p>
        </w:tc>
        <w:tc>
          <w:tcPr>
            <w:tcW w:w="1641"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1.2</w:t>
            </w:r>
          </w:p>
        </w:tc>
      </w:tr>
      <w:tr>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1940"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对叶榕</w:t>
            </w:r>
          </w:p>
        </w:tc>
        <w:tc>
          <w:tcPr>
            <w:tcW w:w="113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0.7</w:t>
            </w:r>
          </w:p>
        </w:tc>
        <w:tc>
          <w:tcPr>
            <w:tcW w:w="169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1.1</w:t>
            </w:r>
          </w:p>
        </w:tc>
        <w:tc>
          <w:tcPr>
            <w:tcW w:w="1891"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粪箕笃</w:t>
            </w:r>
          </w:p>
        </w:tc>
        <w:tc>
          <w:tcPr>
            <w:tcW w:w="932"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0.4</w:t>
            </w:r>
          </w:p>
        </w:tc>
        <w:tc>
          <w:tcPr>
            <w:tcW w:w="1641"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w:t>
            </w:r>
          </w:p>
        </w:tc>
      </w:tr>
      <w:tr>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1940"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杠香藤</w:t>
            </w:r>
          </w:p>
        </w:tc>
        <w:tc>
          <w:tcPr>
            <w:tcW w:w="113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0.8</w:t>
            </w:r>
          </w:p>
        </w:tc>
        <w:tc>
          <w:tcPr>
            <w:tcW w:w="169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w:t>
            </w:r>
          </w:p>
        </w:tc>
        <w:tc>
          <w:tcPr>
            <w:tcW w:w="1891"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芒萁</w:t>
            </w:r>
          </w:p>
        </w:tc>
        <w:tc>
          <w:tcPr>
            <w:tcW w:w="932"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0.3</w:t>
            </w:r>
          </w:p>
        </w:tc>
        <w:tc>
          <w:tcPr>
            <w:tcW w:w="1641"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1.2</w:t>
            </w:r>
          </w:p>
        </w:tc>
      </w:tr>
      <w:tr>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1940"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p>
        </w:tc>
        <w:tc>
          <w:tcPr>
            <w:tcW w:w="113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p>
        </w:tc>
        <w:tc>
          <w:tcPr>
            <w:tcW w:w="169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p>
        </w:tc>
        <w:tc>
          <w:tcPr>
            <w:tcW w:w="1891"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糯米团</w:t>
            </w:r>
          </w:p>
        </w:tc>
        <w:tc>
          <w:tcPr>
            <w:tcW w:w="932"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0.3</w:t>
            </w:r>
          </w:p>
        </w:tc>
        <w:tc>
          <w:tcPr>
            <w:tcW w:w="1641"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w:t>
            </w:r>
          </w:p>
        </w:tc>
      </w:tr>
      <w:tr>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1940"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p>
        </w:tc>
        <w:tc>
          <w:tcPr>
            <w:tcW w:w="113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p>
        </w:tc>
        <w:tc>
          <w:tcPr>
            <w:tcW w:w="1699"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p>
        </w:tc>
        <w:tc>
          <w:tcPr>
            <w:tcW w:w="1891" w:type="dxa"/>
            <w:gridSpan w:val="3"/>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火炭母</w:t>
            </w:r>
          </w:p>
        </w:tc>
        <w:tc>
          <w:tcPr>
            <w:tcW w:w="932"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0.3</w:t>
            </w:r>
          </w:p>
        </w:tc>
        <w:tc>
          <w:tcPr>
            <w:tcW w:w="1641" w:type="dxa"/>
            <w:gridSpan w:val="2"/>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1.2</w:t>
            </w:r>
          </w:p>
        </w:tc>
      </w:tr>
    </w:tbl>
    <w:p>
      <w:pPr>
        <w:ind w:firstLine="480"/>
        <w:rPr>
          <w:rFonts w:hint="eastAsia" w:ascii="Times New Roman" w:hAnsi="Times New Roman" w:eastAsia="宋体" w:cs="Times New Roman"/>
          <w:color w:val="auto"/>
          <w:szCs w:val="28"/>
          <w:highlight w:val="none"/>
        </w:rPr>
      </w:pPr>
      <w:r>
        <w:rPr>
          <w:rFonts w:hint="eastAsia" w:ascii="Times New Roman" w:hAnsi="Times New Roman" w:eastAsia="宋体" w:cs="Times New Roman"/>
          <w:color w:val="auto"/>
          <w:szCs w:val="28"/>
          <w:highlight w:val="none"/>
        </w:rPr>
        <w:t>②</w:t>
      </w:r>
      <w:r>
        <w:rPr>
          <w:rFonts w:ascii="Times New Roman" w:hAnsi="Times New Roman" w:eastAsia="宋体"/>
          <w:bCs/>
          <w:color w:val="auto"/>
          <w:szCs w:val="28"/>
          <w:highlight w:val="none"/>
        </w:rPr>
        <w:t>经济林</w:t>
      </w:r>
    </w:p>
    <w:p>
      <w:pPr>
        <w:ind w:firstLine="480"/>
        <w:rPr>
          <w:rFonts w:ascii="Times New Roman" w:hAnsi="Times New Roman" w:eastAsia="宋体"/>
          <w:color w:val="auto"/>
          <w:highlight w:val="none"/>
        </w:rPr>
      </w:pPr>
      <w:r>
        <w:rPr>
          <w:rFonts w:ascii="Times New Roman" w:hAnsi="Times New Roman" w:eastAsia="宋体"/>
          <w:color w:val="auto"/>
          <w:highlight w:val="none"/>
        </w:rPr>
        <w:t>评价区内尚有面积不大的油茶林，分布于项目红线外围南侧的山地下坡位。群落缺乏乔木树种，油茶高度2.5m，覆盖度高达90m，受人为抚育影响，林下其他灌木植物和草本层发育差。灌木植物常见的还有粗叶榕、大青、猪屎豆、玉叶金花、岗柃。草本层植物种类和个体数均较少，覆盖度约10%，高度约0.5m，常见种类有五节芒、狗脊、乌毛蕨、弓果黍、藿香蓟等。群落调查情况详见表</w:t>
      </w:r>
      <w:r>
        <w:rPr>
          <w:rFonts w:hint="eastAsia" w:ascii="Times New Roman" w:hAnsi="Times New Roman" w:eastAsia="宋体"/>
          <w:color w:val="auto"/>
          <w:highlight w:val="none"/>
        </w:rPr>
        <w:t>3.2-17</w:t>
      </w:r>
      <w:r>
        <w:rPr>
          <w:rFonts w:ascii="Times New Roman" w:hAnsi="Times New Roman" w:eastAsia="宋体"/>
          <w:color w:val="auto"/>
          <w:highlight w:val="none"/>
        </w:rPr>
        <w:t>。</w:t>
      </w:r>
    </w:p>
    <w:p>
      <w:pPr>
        <w:pStyle w:val="13"/>
        <w:rPr>
          <w:rFonts w:ascii="Times New Roman" w:hAnsi="Times New Roman" w:eastAsia="宋体"/>
          <w:color w:val="auto"/>
          <w:highlight w:val="none"/>
        </w:rPr>
      </w:pPr>
      <w:r>
        <w:rPr>
          <w:rFonts w:ascii="Times New Roman" w:hAnsi="Times New Roman" w:eastAsia="宋体"/>
          <w:color w:val="auto"/>
          <w:highlight w:val="none"/>
        </w:rPr>
        <w:t>表</w:t>
      </w:r>
      <w:r>
        <w:rPr>
          <w:rFonts w:hint="eastAsia" w:ascii="Times New Roman" w:hAnsi="Times New Roman" w:eastAsia="宋体"/>
          <w:color w:val="auto"/>
          <w:highlight w:val="none"/>
        </w:rPr>
        <w:t>3.2-17</w:t>
      </w:r>
      <w:r>
        <w:rPr>
          <w:rFonts w:hint="eastAsia"/>
          <w:color w:val="auto"/>
          <w:highlight w:val="none"/>
          <w:lang w:val="en-US" w:eastAsia="zh-CN"/>
        </w:rPr>
        <w:t xml:space="preserve"> </w:t>
      </w:r>
      <w:r>
        <w:rPr>
          <w:rFonts w:ascii="Times New Roman" w:hAnsi="Times New Roman" w:eastAsia="宋体"/>
          <w:color w:val="auto"/>
          <w:highlight w:val="none"/>
        </w:rPr>
        <w:t>油茶林群落调查记录表</w:t>
      </w:r>
    </w:p>
    <w:tbl>
      <w:tblPr>
        <w:tblStyle w:val="48"/>
        <w:tblW w:w="9242" w:type="dxa"/>
        <w:tblInd w:w="0" w:type="dxa"/>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370"/>
        <w:gridCol w:w="769"/>
        <w:gridCol w:w="417"/>
        <w:gridCol w:w="1228"/>
        <w:gridCol w:w="13"/>
        <w:gridCol w:w="848"/>
        <w:gridCol w:w="1084"/>
        <w:gridCol w:w="262"/>
        <w:gridCol w:w="697"/>
        <w:gridCol w:w="48"/>
        <w:gridCol w:w="1566"/>
      </w:tblGrid>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trPr>
        <w:tc>
          <w:tcPr>
            <w:tcW w:w="4724" w:type="dxa"/>
            <w:gridSpan w:val="5"/>
            <w:noWrap w:val="0"/>
            <w:vAlign w:val="bottom"/>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群落：油茶林</w:t>
            </w:r>
          </w:p>
        </w:tc>
        <w:tc>
          <w:tcPr>
            <w:tcW w:w="4518" w:type="dxa"/>
            <w:gridSpan w:val="7"/>
            <w:noWrap w:val="0"/>
            <w:vAlign w:val="bottom"/>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经纬度：109°42</w:t>
            </w:r>
            <w:r>
              <w:rPr>
                <w:rFonts w:ascii="Times New Roman" w:hAnsi="Times New Roman" w:eastAsia="宋体" w:cs="Times New Roman"/>
                <w:color w:val="auto"/>
                <w:szCs w:val="24"/>
                <w:highlight w:val="none"/>
              </w:rPr>
              <w:t>'</w:t>
            </w:r>
            <w:r>
              <w:rPr>
                <w:rFonts w:ascii="Times New Roman" w:hAnsi="Times New Roman" w:eastAsia="宋体"/>
                <w:color w:val="auto"/>
                <w:kern w:val="0"/>
                <w:sz w:val="21"/>
                <w:highlight w:val="none"/>
              </w:rPr>
              <w:t>22.4"E，25°45</w:t>
            </w:r>
            <w:r>
              <w:rPr>
                <w:rFonts w:ascii="Times New Roman" w:hAnsi="Times New Roman" w:eastAsia="宋体" w:cs="Times New Roman"/>
                <w:color w:val="auto"/>
                <w:szCs w:val="24"/>
                <w:highlight w:val="none"/>
              </w:rPr>
              <w:t>'</w:t>
            </w:r>
            <w:r>
              <w:rPr>
                <w:rFonts w:ascii="Times New Roman" w:hAnsi="Times New Roman" w:eastAsia="宋体"/>
                <w:color w:val="auto"/>
                <w:kern w:val="0"/>
                <w:sz w:val="21"/>
                <w:highlight w:val="none"/>
              </w:rPr>
              <w:t>39.4"N</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10" w:type="dxa"/>
            <w:gridSpan w:val="2"/>
            <w:noWrap w:val="0"/>
            <w:vAlign w:val="bottom"/>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样方号：05</w:t>
            </w:r>
          </w:p>
        </w:tc>
        <w:tc>
          <w:tcPr>
            <w:tcW w:w="2414" w:type="dxa"/>
            <w:gridSpan w:val="3"/>
            <w:noWrap w:val="0"/>
            <w:vAlign w:val="bottom"/>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面积：20m×20m</w:t>
            </w:r>
          </w:p>
        </w:tc>
        <w:tc>
          <w:tcPr>
            <w:tcW w:w="2207" w:type="dxa"/>
            <w:gridSpan w:val="4"/>
            <w:noWrap w:val="0"/>
            <w:vAlign w:val="bottom"/>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海拔(m)：233</w:t>
            </w:r>
          </w:p>
        </w:tc>
        <w:tc>
          <w:tcPr>
            <w:tcW w:w="2311" w:type="dxa"/>
            <w:gridSpan w:val="3"/>
            <w:noWrap w:val="0"/>
            <w:vAlign w:val="bottom"/>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调查时间：2019.7.18</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trPr>
        <w:tc>
          <w:tcPr>
            <w:tcW w:w="2310" w:type="dxa"/>
            <w:gridSpan w:val="2"/>
            <w:noWrap w:val="0"/>
            <w:vAlign w:val="bottom"/>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坡向：西北</w:t>
            </w:r>
          </w:p>
        </w:tc>
        <w:tc>
          <w:tcPr>
            <w:tcW w:w="2414" w:type="dxa"/>
            <w:gridSpan w:val="3"/>
            <w:noWrap w:val="0"/>
            <w:vAlign w:val="bottom"/>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坡度：20°</w:t>
            </w:r>
          </w:p>
        </w:tc>
        <w:tc>
          <w:tcPr>
            <w:tcW w:w="2207" w:type="dxa"/>
            <w:gridSpan w:val="4"/>
            <w:noWrap w:val="0"/>
            <w:vAlign w:val="bottom"/>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群落高(m)：2.5</w:t>
            </w:r>
          </w:p>
        </w:tc>
        <w:tc>
          <w:tcPr>
            <w:tcW w:w="2311" w:type="dxa"/>
            <w:gridSpan w:val="3"/>
            <w:noWrap w:val="0"/>
            <w:vAlign w:val="bottom"/>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总盖度(%)：95</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7" w:hRule="atLeast"/>
        </w:trPr>
        <w:tc>
          <w:tcPr>
            <w:tcW w:w="2310" w:type="dxa"/>
            <w:gridSpan w:val="2"/>
            <w:noWrap w:val="0"/>
            <w:vAlign w:val="bottom"/>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乔木层高度(m)：0</w:t>
            </w:r>
          </w:p>
        </w:tc>
        <w:tc>
          <w:tcPr>
            <w:tcW w:w="2414" w:type="dxa"/>
            <w:gridSpan w:val="3"/>
            <w:noWrap w:val="0"/>
            <w:vAlign w:val="bottom"/>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乔木层盖度(%)：0</w:t>
            </w:r>
          </w:p>
        </w:tc>
        <w:tc>
          <w:tcPr>
            <w:tcW w:w="2207" w:type="dxa"/>
            <w:gridSpan w:val="4"/>
            <w:noWrap w:val="0"/>
            <w:vAlign w:val="bottom"/>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灌木层高度(m)：2.5</w:t>
            </w:r>
          </w:p>
        </w:tc>
        <w:tc>
          <w:tcPr>
            <w:tcW w:w="2311" w:type="dxa"/>
            <w:gridSpan w:val="3"/>
            <w:noWrap w:val="0"/>
            <w:vAlign w:val="bottom"/>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灌木层盖度(%)：90</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10" w:type="dxa"/>
            <w:gridSpan w:val="2"/>
            <w:noWrap w:val="0"/>
            <w:vAlign w:val="bottom"/>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草本层高度(m)：0.5</w:t>
            </w:r>
          </w:p>
        </w:tc>
        <w:tc>
          <w:tcPr>
            <w:tcW w:w="2414" w:type="dxa"/>
            <w:gridSpan w:val="3"/>
            <w:noWrap w:val="0"/>
            <w:vAlign w:val="bottom"/>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草本层盖度(%)：10</w:t>
            </w:r>
          </w:p>
        </w:tc>
        <w:tc>
          <w:tcPr>
            <w:tcW w:w="2207" w:type="dxa"/>
            <w:gridSpan w:val="4"/>
            <w:noWrap w:val="0"/>
            <w:vAlign w:val="bottom"/>
          </w:tcPr>
          <w:p>
            <w:pPr>
              <w:snapToGrid w:val="0"/>
              <w:spacing w:line="240" w:lineRule="auto"/>
              <w:ind w:firstLine="0" w:firstLineChars="0"/>
              <w:jc w:val="center"/>
              <w:rPr>
                <w:rFonts w:ascii="Times New Roman" w:hAnsi="Times New Roman" w:eastAsia="宋体"/>
                <w:color w:val="auto"/>
                <w:kern w:val="0"/>
                <w:sz w:val="21"/>
                <w:highlight w:val="none"/>
              </w:rPr>
            </w:pPr>
          </w:p>
        </w:tc>
        <w:tc>
          <w:tcPr>
            <w:tcW w:w="2311" w:type="dxa"/>
            <w:gridSpan w:val="3"/>
            <w:noWrap w:val="0"/>
            <w:vAlign w:val="bottom"/>
          </w:tcPr>
          <w:p>
            <w:pPr>
              <w:snapToGrid w:val="0"/>
              <w:spacing w:line="240" w:lineRule="auto"/>
              <w:ind w:firstLine="0" w:firstLineChars="0"/>
              <w:jc w:val="center"/>
              <w:rPr>
                <w:rFonts w:ascii="Times New Roman" w:hAnsi="Times New Roman" w:eastAsia="宋体"/>
                <w:color w:val="auto"/>
                <w:kern w:val="0"/>
                <w:sz w:val="21"/>
                <w:highlight w:val="none"/>
              </w:rPr>
            </w:pP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trPr>
        <w:tc>
          <w:tcPr>
            <w:tcW w:w="9242" w:type="dxa"/>
            <w:gridSpan w:val="12"/>
            <w:noWrap w:val="0"/>
            <w:vAlign w:val="bottom"/>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乔木层</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10"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植物名称</w:t>
            </w:r>
          </w:p>
        </w:tc>
        <w:tc>
          <w:tcPr>
            <w:tcW w:w="1186"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株数</w:t>
            </w:r>
          </w:p>
        </w:tc>
        <w:tc>
          <w:tcPr>
            <w:tcW w:w="2089" w:type="dxa"/>
            <w:gridSpan w:val="3"/>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树高(m)(最高/平均)</w:t>
            </w:r>
          </w:p>
        </w:tc>
        <w:tc>
          <w:tcPr>
            <w:tcW w:w="2091" w:type="dxa"/>
            <w:gridSpan w:val="4"/>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胸径(cm)(最高/平均)</w:t>
            </w:r>
          </w:p>
        </w:tc>
        <w:tc>
          <w:tcPr>
            <w:tcW w:w="1566" w:type="dxa"/>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多优度</w:t>
            </w:r>
            <w:r>
              <w:rPr>
                <w:rFonts w:ascii="Times New Roman" w:hAnsi="Times New Roman" w:eastAsia="宋体"/>
                <w:color w:val="auto"/>
                <w:kern w:val="0"/>
                <w:sz w:val="21"/>
                <w:highlight w:val="none"/>
              </w:rPr>
              <w:softHyphen/>
            </w:r>
            <w:r>
              <w:rPr>
                <w:rFonts w:ascii="Times New Roman" w:hAnsi="Times New Roman" w:eastAsia="宋体"/>
                <w:color w:val="auto"/>
                <w:kern w:val="0"/>
                <w:sz w:val="21"/>
                <w:highlight w:val="none"/>
              </w:rPr>
              <w:t>-群集度</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10"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无</w:t>
            </w:r>
          </w:p>
        </w:tc>
        <w:tc>
          <w:tcPr>
            <w:tcW w:w="1186"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p>
        </w:tc>
        <w:tc>
          <w:tcPr>
            <w:tcW w:w="2089" w:type="dxa"/>
            <w:gridSpan w:val="3"/>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p>
        </w:tc>
        <w:tc>
          <w:tcPr>
            <w:tcW w:w="2091" w:type="dxa"/>
            <w:gridSpan w:val="4"/>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p>
        </w:tc>
        <w:tc>
          <w:tcPr>
            <w:tcW w:w="1566" w:type="dxa"/>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4737" w:type="dxa"/>
            <w:gridSpan w:val="6"/>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灌木层</w:t>
            </w:r>
          </w:p>
        </w:tc>
        <w:tc>
          <w:tcPr>
            <w:tcW w:w="4505" w:type="dxa"/>
            <w:gridSpan w:val="6"/>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草本层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940" w:type="dxa"/>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植物名称</w:t>
            </w:r>
          </w:p>
        </w:tc>
        <w:tc>
          <w:tcPr>
            <w:tcW w:w="1139"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高(m)</w:t>
            </w:r>
          </w:p>
        </w:tc>
        <w:tc>
          <w:tcPr>
            <w:tcW w:w="1658" w:type="dxa"/>
            <w:gridSpan w:val="3"/>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多优度-群集度</w:t>
            </w:r>
          </w:p>
        </w:tc>
        <w:tc>
          <w:tcPr>
            <w:tcW w:w="1932"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植物名称</w:t>
            </w:r>
          </w:p>
        </w:tc>
        <w:tc>
          <w:tcPr>
            <w:tcW w:w="959"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高(m)</w:t>
            </w:r>
          </w:p>
        </w:tc>
        <w:tc>
          <w:tcPr>
            <w:tcW w:w="1614"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多优度-群集度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940" w:type="dxa"/>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油茶</w:t>
            </w:r>
          </w:p>
        </w:tc>
        <w:tc>
          <w:tcPr>
            <w:tcW w:w="1139"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2.5</w:t>
            </w:r>
          </w:p>
        </w:tc>
        <w:tc>
          <w:tcPr>
            <w:tcW w:w="1658" w:type="dxa"/>
            <w:gridSpan w:val="3"/>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5.5</w:t>
            </w:r>
          </w:p>
        </w:tc>
        <w:tc>
          <w:tcPr>
            <w:tcW w:w="1932"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五节芒</w:t>
            </w:r>
          </w:p>
        </w:tc>
        <w:tc>
          <w:tcPr>
            <w:tcW w:w="959"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1.0</w:t>
            </w:r>
          </w:p>
        </w:tc>
        <w:tc>
          <w:tcPr>
            <w:tcW w:w="1614"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940" w:type="dxa"/>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粗叶榕</w:t>
            </w:r>
          </w:p>
        </w:tc>
        <w:tc>
          <w:tcPr>
            <w:tcW w:w="1139"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1.0</w:t>
            </w:r>
          </w:p>
        </w:tc>
        <w:tc>
          <w:tcPr>
            <w:tcW w:w="1658" w:type="dxa"/>
            <w:gridSpan w:val="3"/>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c>
          <w:tcPr>
            <w:tcW w:w="1932"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狗脊</w:t>
            </w:r>
          </w:p>
        </w:tc>
        <w:tc>
          <w:tcPr>
            <w:tcW w:w="959"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0.5</w:t>
            </w:r>
          </w:p>
        </w:tc>
        <w:tc>
          <w:tcPr>
            <w:tcW w:w="1614"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940" w:type="dxa"/>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大青</w:t>
            </w:r>
          </w:p>
        </w:tc>
        <w:tc>
          <w:tcPr>
            <w:tcW w:w="1139"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0.5</w:t>
            </w:r>
          </w:p>
        </w:tc>
        <w:tc>
          <w:tcPr>
            <w:tcW w:w="1658" w:type="dxa"/>
            <w:gridSpan w:val="3"/>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c>
          <w:tcPr>
            <w:tcW w:w="1932"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扇叶铁线蕨</w:t>
            </w:r>
          </w:p>
        </w:tc>
        <w:tc>
          <w:tcPr>
            <w:tcW w:w="959"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0.2</w:t>
            </w:r>
          </w:p>
        </w:tc>
        <w:tc>
          <w:tcPr>
            <w:tcW w:w="1614"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940" w:type="dxa"/>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猪屎豆</w:t>
            </w:r>
          </w:p>
        </w:tc>
        <w:tc>
          <w:tcPr>
            <w:tcW w:w="1139"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0.4</w:t>
            </w:r>
          </w:p>
        </w:tc>
        <w:tc>
          <w:tcPr>
            <w:tcW w:w="1658" w:type="dxa"/>
            <w:gridSpan w:val="3"/>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c>
          <w:tcPr>
            <w:tcW w:w="1932"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乌毛蕨</w:t>
            </w:r>
          </w:p>
        </w:tc>
        <w:tc>
          <w:tcPr>
            <w:tcW w:w="959"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0.5</w:t>
            </w:r>
          </w:p>
        </w:tc>
        <w:tc>
          <w:tcPr>
            <w:tcW w:w="1614"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940" w:type="dxa"/>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玉叶金花</w:t>
            </w:r>
          </w:p>
        </w:tc>
        <w:tc>
          <w:tcPr>
            <w:tcW w:w="1139"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0.7</w:t>
            </w:r>
          </w:p>
        </w:tc>
        <w:tc>
          <w:tcPr>
            <w:tcW w:w="1658" w:type="dxa"/>
            <w:gridSpan w:val="3"/>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c>
          <w:tcPr>
            <w:tcW w:w="1932"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弓果黍</w:t>
            </w:r>
          </w:p>
        </w:tc>
        <w:tc>
          <w:tcPr>
            <w:tcW w:w="959"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0.2</w:t>
            </w:r>
          </w:p>
        </w:tc>
        <w:tc>
          <w:tcPr>
            <w:tcW w:w="1614"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940" w:type="dxa"/>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岗柃</w:t>
            </w:r>
          </w:p>
        </w:tc>
        <w:tc>
          <w:tcPr>
            <w:tcW w:w="1139"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0.5</w:t>
            </w:r>
          </w:p>
        </w:tc>
        <w:tc>
          <w:tcPr>
            <w:tcW w:w="1658" w:type="dxa"/>
            <w:gridSpan w:val="3"/>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c>
          <w:tcPr>
            <w:tcW w:w="1932"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藿香蓟</w:t>
            </w:r>
          </w:p>
        </w:tc>
        <w:tc>
          <w:tcPr>
            <w:tcW w:w="959"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0.4</w:t>
            </w:r>
          </w:p>
        </w:tc>
        <w:tc>
          <w:tcPr>
            <w:tcW w:w="1614"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940" w:type="dxa"/>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p>
        </w:tc>
        <w:tc>
          <w:tcPr>
            <w:tcW w:w="1139"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p>
        </w:tc>
        <w:tc>
          <w:tcPr>
            <w:tcW w:w="1658" w:type="dxa"/>
            <w:gridSpan w:val="3"/>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p>
        </w:tc>
        <w:tc>
          <w:tcPr>
            <w:tcW w:w="1932"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火炭母</w:t>
            </w:r>
          </w:p>
        </w:tc>
        <w:tc>
          <w:tcPr>
            <w:tcW w:w="959"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0.3</w:t>
            </w:r>
          </w:p>
        </w:tc>
        <w:tc>
          <w:tcPr>
            <w:tcW w:w="1614"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940" w:type="dxa"/>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p>
        </w:tc>
        <w:tc>
          <w:tcPr>
            <w:tcW w:w="1139"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p>
        </w:tc>
        <w:tc>
          <w:tcPr>
            <w:tcW w:w="1658" w:type="dxa"/>
            <w:gridSpan w:val="3"/>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p>
        </w:tc>
        <w:tc>
          <w:tcPr>
            <w:tcW w:w="1932"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淡竹叶</w:t>
            </w:r>
          </w:p>
        </w:tc>
        <w:tc>
          <w:tcPr>
            <w:tcW w:w="959"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0.3</w:t>
            </w:r>
          </w:p>
        </w:tc>
        <w:tc>
          <w:tcPr>
            <w:tcW w:w="1614"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940" w:type="dxa"/>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p>
        </w:tc>
        <w:tc>
          <w:tcPr>
            <w:tcW w:w="1139"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p>
        </w:tc>
        <w:tc>
          <w:tcPr>
            <w:tcW w:w="1658" w:type="dxa"/>
            <w:gridSpan w:val="3"/>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p>
        </w:tc>
        <w:tc>
          <w:tcPr>
            <w:tcW w:w="1932"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千里光</w:t>
            </w:r>
          </w:p>
        </w:tc>
        <w:tc>
          <w:tcPr>
            <w:tcW w:w="959"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0.5</w:t>
            </w:r>
          </w:p>
        </w:tc>
        <w:tc>
          <w:tcPr>
            <w:tcW w:w="1614"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940" w:type="dxa"/>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p>
        </w:tc>
        <w:tc>
          <w:tcPr>
            <w:tcW w:w="1139"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p>
        </w:tc>
        <w:tc>
          <w:tcPr>
            <w:tcW w:w="1658" w:type="dxa"/>
            <w:gridSpan w:val="3"/>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p>
        </w:tc>
        <w:tc>
          <w:tcPr>
            <w:tcW w:w="1932"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山菅</w:t>
            </w:r>
          </w:p>
        </w:tc>
        <w:tc>
          <w:tcPr>
            <w:tcW w:w="959"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0.4</w:t>
            </w:r>
          </w:p>
        </w:tc>
        <w:tc>
          <w:tcPr>
            <w:tcW w:w="1614" w:type="dxa"/>
            <w:gridSpan w:val="2"/>
            <w:noWrap w:val="0"/>
            <w:vAlign w:val="center"/>
          </w:tcPr>
          <w:p>
            <w:pPr>
              <w:snapToGrid w:val="0"/>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r>
    </w:tbl>
    <w:p>
      <w:pPr>
        <w:ind w:firstLine="480"/>
        <w:rPr>
          <w:rFonts w:ascii="Times New Roman" w:hAnsi="Times New Roman" w:eastAsia="宋体" w:cs="Times New Roman"/>
          <w:color w:val="auto"/>
          <w:szCs w:val="28"/>
          <w:highlight w:val="none"/>
        </w:rPr>
      </w:pPr>
      <w:r>
        <w:rPr>
          <w:rFonts w:hint="eastAsia" w:ascii="Times New Roman" w:hAnsi="Times New Roman" w:eastAsia="宋体" w:cs="Times New Roman"/>
          <w:color w:val="auto"/>
          <w:szCs w:val="28"/>
          <w:highlight w:val="none"/>
        </w:rPr>
        <w:t>（3）</w:t>
      </w:r>
      <w:r>
        <w:rPr>
          <w:rFonts w:ascii="Times New Roman" w:hAnsi="Times New Roman" w:eastAsia="宋体" w:cs="Times New Roman"/>
          <w:color w:val="auto"/>
          <w:szCs w:val="28"/>
          <w:highlight w:val="none"/>
        </w:rPr>
        <w:t>农田植被</w:t>
      </w:r>
    </w:p>
    <w:p>
      <w:pPr>
        <w:ind w:firstLine="480"/>
        <w:rPr>
          <w:rFonts w:ascii="Times New Roman" w:hAnsi="Times New Roman" w:eastAsia="宋体"/>
          <w:color w:val="auto"/>
          <w:szCs w:val="28"/>
          <w:highlight w:val="none"/>
        </w:rPr>
      </w:pPr>
      <w:r>
        <w:rPr>
          <w:rFonts w:ascii="Times New Roman" w:hAnsi="Times New Roman" w:eastAsia="宋体"/>
          <w:color w:val="auto"/>
          <w:szCs w:val="28"/>
          <w:highlight w:val="none"/>
        </w:rPr>
        <w:t>农田植被主要是指农业耕作的耕地及果园等。评价区内的农田植被只有水稻田，但目前已经弃耕的农田面积较大。</w:t>
      </w:r>
      <w:r>
        <w:rPr>
          <w:rFonts w:ascii="Times New Roman" w:hAnsi="Times New Roman" w:eastAsia="宋体"/>
          <w:color w:val="auto"/>
          <w:szCs w:val="24"/>
          <w:highlight w:val="none"/>
        </w:rPr>
        <w:t>仍在耕作的稻田中，植物组成简单。</w:t>
      </w:r>
    </w:p>
    <w:p>
      <w:pPr>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弃耕农田中的植物种类较多，草本植物种类丰富，群落高度约0.5m，总覆盖度95%。灌木层高度约0.5m，覆盖度5%，常见植物有毛草龙、桤叶黄花稔、刺蒴麻、苎麻、苍耳等。草本植物丰富，高度约0.5m，覆盖度高达95%，种类多，主要有仅有李氏禾、柳叶箬、白花鬼针草、野芋、五节芒、铺地黍、空心莲子草、西来稗、鸭跖草、钻叶紫菀、笔管草等。</w:t>
      </w:r>
      <w:r>
        <w:rPr>
          <w:rFonts w:ascii="Times New Roman" w:hAnsi="Times New Roman" w:eastAsia="宋体"/>
          <w:color w:val="auto"/>
          <w:szCs w:val="28"/>
          <w:highlight w:val="none"/>
        </w:rPr>
        <w:t>实地调查记录的群落样方情况详见表</w:t>
      </w:r>
      <w:r>
        <w:rPr>
          <w:rFonts w:hint="eastAsia" w:ascii="Times New Roman" w:hAnsi="Times New Roman" w:eastAsia="宋体"/>
          <w:color w:val="auto"/>
          <w:szCs w:val="28"/>
          <w:highlight w:val="none"/>
        </w:rPr>
        <w:t>3.2-18</w:t>
      </w:r>
      <w:r>
        <w:rPr>
          <w:rFonts w:ascii="Times New Roman" w:hAnsi="Times New Roman" w:eastAsia="宋体"/>
          <w:color w:val="auto"/>
          <w:szCs w:val="28"/>
          <w:highlight w:val="none"/>
        </w:rPr>
        <w:t>。</w:t>
      </w:r>
    </w:p>
    <w:p>
      <w:pPr>
        <w:pStyle w:val="13"/>
        <w:rPr>
          <w:rFonts w:ascii="Times New Roman" w:hAnsi="Times New Roman" w:eastAsia="宋体"/>
          <w:color w:val="auto"/>
          <w:highlight w:val="none"/>
        </w:rPr>
      </w:pPr>
      <w:r>
        <w:rPr>
          <w:rFonts w:ascii="Times New Roman" w:hAnsi="Times New Roman" w:eastAsia="宋体"/>
          <w:color w:val="auto"/>
          <w:highlight w:val="none"/>
        </w:rPr>
        <w:t>表</w:t>
      </w:r>
      <w:r>
        <w:rPr>
          <w:rFonts w:hint="eastAsia" w:ascii="Times New Roman" w:hAnsi="Times New Roman" w:eastAsia="宋体"/>
          <w:color w:val="auto"/>
          <w:highlight w:val="none"/>
        </w:rPr>
        <w:t>3.2-18</w:t>
      </w:r>
      <w:r>
        <w:rPr>
          <w:rFonts w:hint="eastAsia"/>
          <w:color w:val="auto"/>
          <w:highlight w:val="none"/>
          <w:lang w:val="en-US" w:eastAsia="zh-CN"/>
        </w:rPr>
        <w:t xml:space="preserve"> </w:t>
      </w:r>
      <w:r>
        <w:rPr>
          <w:rFonts w:ascii="Times New Roman" w:hAnsi="Times New Roman" w:eastAsia="宋体"/>
          <w:color w:val="auto"/>
          <w:highlight w:val="none"/>
        </w:rPr>
        <w:t>农田群落群落调查记录表</w:t>
      </w:r>
    </w:p>
    <w:tbl>
      <w:tblPr>
        <w:tblStyle w:val="48"/>
        <w:tblW w:w="9242" w:type="dxa"/>
        <w:tblInd w:w="0" w:type="dxa"/>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370"/>
        <w:gridCol w:w="769"/>
        <w:gridCol w:w="417"/>
        <w:gridCol w:w="1323"/>
        <w:gridCol w:w="766"/>
        <w:gridCol w:w="1084"/>
        <w:gridCol w:w="262"/>
        <w:gridCol w:w="697"/>
        <w:gridCol w:w="48"/>
        <w:gridCol w:w="1566"/>
      </w:tblGrid>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819" w:type="dxa"/>
            <w:gridSpan w:val="5"/>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群落：农田（弃耕）</w:t>
            </w:r>
          </w:p>
        </w:tc>
        <w:tc>
          <w:tcPr>
            <w:tcW w:w="4423" w:type="dxa"/>
            <w:gridSpan w:val="6"/>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经纬度：109°41</w:t>
            </w:r>
            <w:r>
              <w:rPr>
                <w:rFonts w:ascii="Times New Roman" w:hAnsi="Times New Roman" w:eastAsia="宋体" w:cs="Times New Roman"/>
                <w:color w:val="auto"/>
                <w:szCs w:val="24"/>
                <w:highlight w:val="none"/>
              </w:rPr>
              <w:t>'</w:t>
            </w:r>
            <w:r>
              <w:rPr>
                <w:rFonts w:ascii="Times New Roman" w:hAnsi="Times New Roman" w:eastAsia="宋体"/>
                <w:color w:val="auto"/>
                <w:kern w:val="0"/>
                <w:sz w:val="21"/>
                <w:highlight w:val="none"/>
              </w:rPr>
              <w:t>55.5"E，25°45</w:t>
            </w:r>
            <w:r>
              <w:rPr>
                <w:rFonts w:ascii="Times New Roman" w:hAnsi="Times New Roman" w:eastAsia="宋体" w:cs="Times New Roman"/>
                <w:color w:val="auto"/>
                <w:szCs w:val="24"/>
                <w:highlight w:val="none"/>
              </w:rPr>
              <w:t>'</w:t>
            </w:r>
            <w:r>
              <w:rPr>
                <w:rFonts w:ascii="Times New Roman" w:hAnsi="Times New Roman" w:eastAsia="宋体"/>
                <w:color w:val="auto"/>
                <w:kern w:val="0"/>
                <w:sz w:val="21"/>
                <w:highlight w:val="none"/>
              </w:rPr>
              <w:t>34.0"N</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10" w:type="dxa"/>
            <w:gridSpan w:val="2"/>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样方号：01</w:t>
            </w:r>
          </w:p>
        </w:tc>
        <w:tc>
          <w:tcPr>
            <w:tcW w:w="2509"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面积：10m×10m</w:t>
            </w:r>
          </w:p>
        </w:tc>
        <w:tc>
          <w:tcPr>
            <w:tcW w:w="2112"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海拔(m)：225</w:t>
            </w:r>
          </w:p>
        </w:tc>
        <w:tc>
          <w:tcPr>
            <w:tcW w:w="2311"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调查时间：2019.7.18</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trPr>
        <w:tc>
          <w:tcPr>
            <w:tcW w:w="2310" w:type="dxa"/>
            <w:gridSpan w:val="2"/>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坡向：无</w:t>
            </w:r>
          </w:p>
        </w:tc>
        <w:tc>
          <w:tcPr>
            <w:tcW w:w="2509"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坡度：0°</w:t>
            </w:r>
          </w:p>
        </w:tc>
        <w:tc>
          <w:tcPr>
            <w:tcW w:w="2112"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群落高(m)：0.6</w:t>
            </w:r>
          </w:p>
        </w:tc>
        <w:tc>
          <w:tcPr>
            <w:tcW w:w="2311"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总盖度(%)：95</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10" w:type="dxa"/>
            <w:gridSpan w:val="2"/>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乔木层高度(m)：0</w:t>
            </w:r>
          </w:p>
        </w:tc>
        <w:tc>
          <w:tcPr>
            <w:tcW w:w="2509"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乔木层盖度(%)：0</w:t>
            </w:r>
          </w:p>
        </w:tc>
        <w:tc>
          <w:tcPr>
            <w:tcW w:w="2112"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灌木层高度(m)：0.5</w:t>
            </w:r>
          </w:p>
        </w:tc>
        <w:tc>
          <w:tcPr>
            <w:tcW w:w="2311"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灌木层盖度(%)：5</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10" w:type="dxa"/>
            <w:gridSpan w:val="2"/>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草本层高度(m)：0.6</w:t>
            </w:r>
          </w:p>
        </w:tc>
        <w:tc>
          <w:tcPr>
            <w:tcW w:w="2509"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草本层盖度(%)：95</w:t>
            </w:r>
          </w:p>
        </w:tc>
        <w:tc>
          <w:tcPr>
            <w:tcW w:w="2112"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p>
        </w:tc>
        <w:tc>
          <w:tcPr>
            <w:tcW w:w="2311" w:type="dxa"/>
            <w:gridSpan w:val="3"/>
            <w:noWrap w:val="0"/>
            <w:vAlign w:val="bottom"/>
          </w:tcPr>
          <w:p>
            <w:pPr>
              <w:spacing w:line="240" w:lineRule="auto"/>
              <w:ind w:firstLine="0" w:firstLineChars="0"/>
              <w:jc w:val="center"/>
              <w:rPr>
                <w:rFonts w:ascii="Times New Roman" w:hAnsi="Times New Roman" w:eastAsia="宋体"/>
                <w:color w:val="auto"/>
                <w:kern w:val="0"/>
                <w:sz w:val="21"/>
                <w:highlight w:val="none"/>
              </w:rPr>
            </w:pP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242" w:type="dxa"/>
            <w:gridSpan w:val="11"/>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乔木层</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1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植物名称</w:t>
            </w:r>
          </w:p>
        </w:tc>
        <w:tc>
          <w:tcPr>
            <w:tcW w:w="1186"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株数</w:t>
            </w:r>
          </w:p>
        </w:tc>
        <w:tc>
          <w:tcPr>
            <w:tcW w:w="208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树高(m)(最高/平均)</w:t>
            </w:r>
          </w:p>
        </w:tc>
        <w:tc>
          <w:tcPr>
            <w:tcW w:w="2091" w:type="dxa"/>
            <w:gridSpan w:val="4"/>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胸径(cm)(最高/平均)</w:t>
            </w:r>
          </w:p>
        </w:tc>
        <w:tc>
          <w:tcPr>
            <w:tcW w:w="1566"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多优度</w:t>
            </w:r>
            <w:r>
              <w:rPr>
                <w:rFonts w:ascii="Times New Roman" w:hAnsi="Times New Roman" w:eastAsia="宋体"/>
                <w:color w:val="auto"/>
                <w:kern w:val="0"/>
                <w:sz w:val="21"/>
                <w:highlight w:val="none"/>
              </w:rPr>
              <w:softHyphen/>
            </w:r>
            <w:r>
              <w:rPr>
                <w:rFonts w:ascii="Times New Roman" w:hAnsi="Times New Roman" w:eastAsia="宋体"/>
                <w:color w:val="auto"/>
                <w:kern w:val="0"/>
                <w:sz w:val="21"/>
                <w:highlight w:val="none"/>
              </w:rPr>
              <w:t>-群集度</w:t>
            </w:r>
          </w:p>
        </w:tc>
      </w:tr>
      <w:tr>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1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无</w:t>
            </w:r>
          </w:p>
        </w:tc>
        <w:tc>
          <w:tcPr>
            <w:tcW w:w="1186"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208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2091" w:type="dxa"/>
            <w:gridSpan w:val="4"/>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1566"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819" w:type="dxa"/>
            <w:gridSpan w:val="5"/>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灌木层</w:t>
            </w:r>
          </w:p>
        </w:tc>
        <w:tc>
          <w:tcPr>
            <w:tcW w:w="4423" w:type="dxa"/>
            <w:gridSpan w:val="6"/>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草本层</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植物名称</w:t>
            </w: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高(m)</w:t>
            </w:r>
          </w:p>
        </w:tc>
        <w:tc>
          <w:tcPr>
            <w:tcW w:w="17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多优度-群集度</w:t>
            </w:r>
          </w:p>
        </w:tc>
        <w:tc>
          <w:tcPr>
            <w:tcW w:w="185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植物名称</w:t>
            </w:r>
          </w:p>
        </w:tc>
        <w:tc>
          <w:tcPr>
            <w:tcW w:w="95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高(m)</w:t>
            </w:r>
          </w:p>
        </w:tc>
        <w:tc>
          <w:tcPr>
            <w:tcW w:w="1614"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多优度-群集度</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毛草龙</w:t>
            </w: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0.5</w:t>
            </w:r>
          </w:p>
        </w:tc>
        <w:tc>
          <w:tcPr>
            <w:tcW w:w="17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c>
          <w:tcPr>
            <w:tcW w:w="185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李氏禾</w:t>
            </w:r>
          </w:p>
        </w:tc>
        <w:tc>
          <w:tcPr>
            <w:tcW w:w="95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0.3</w:t>
            </w:r>
          </w:p>
        </w:tc>
        <w:tc>
          <w:tcPr>
            <w:tcW w:w="1614"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2.2</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桤叶黄花稔</w:t>
            </w: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0.4</w:t>
            </w:r>
          </w:p>
        </w:tc>
        <w:tc>
          <w:tcPr>
            <w:tcW w:w="17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c>
          <w:tcPr>
            <w:tcW w:w="185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柳叶箬</w:t>
            </w:r>
          </w:p>
        </w:tc>
        <w:tc>
          <w:tcPr>
            <w:tcW w:w="95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0.3</w:t>
            </w:r>
          </w:p>
        </w:tc>
        <w:tc>
          <w:tcPr>
            <w:tcW w:w="1614"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2.2</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刺蒴麻</w:t>
            </w: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0.4</w:t>
            </w:r>
          </w:p>
        </w:tc>
        <w:tc>
          <w:tcPr>
            <w:tcW w:w="17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c>
          <w:tcPr>
            <w:tcW w:w="185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白花鬼针草</w:t>
            </w:r>
          </w:p>
        </w:tc>
        <w:tc>
          <w:tcPr>
            <w:tcW w:w="95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0.5</w:t>
            </w:r>
          </w:p>
        </w:tc>
        <w:tc>
          <w:tcPr>
            <w:tcW w:w="1614"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空心泡</w:t>
            </w: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0.3</w:t>
            </w:r>
          </w:p>
        </w:tc>
        <w:tc>
          <w:tcPr>
            <w:tcW w:w="17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c>
          <w:tcPr>
            <w:tcW w:w="185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野芋</w:t>
            </w:r>
          </w:p>
        </w:tc>
        <w:tc>
          <w:tcPr>
            <w:tcW w:w="95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0.6</w:t>
            </w:r>
          </w:p>
        </w:tc>
        <w:tc>
          <w:tcPr>
            <w:tcW w:w="1614"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2.2</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猪屎豆</w:t>
            </w: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0.5</w:t>
            </w:r>
          </w:p>
        </w:tc>
        <w:tc>
          <w:tcPr>
            <w:tcW w:w="17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c>
          <w:tcPr>
            <w:tcW w:w="185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五节芒</w:t>
            </w:r>
          </w:p>
        </w:tc>
        <w:tc>
          <w:tcPr>
            <w:tcW w:w="95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0.6</w:t>
            </w:r>
          </w:p>
        </w:tc>
        <w:tc>
          <w:tcPr>
            <w:tcW w:w="1614"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1.2</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苎麻</w:t>
            </w: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0.5</w:t>
            </w:r>
          </w:p>
        </w:tc>
        <w:tc>
          <w:tcPr>
            <w:tcW w:w="17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c>
          <w:tcPr>
            <w:tcW w:w="185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铺地黍</w:t>
            </w:r>
          </w:p>
        </w:tc>
        <w:tc>
          <w:tcPr>
            <w:tcW w:w="95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0.5</w:t>
            </w:r>
          </w:p>
        </w:tc>
        <w:tc>
          <w:tcPr>
            <w:tcW w:w="1614"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3.3</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苍耳</w:t>
            </w: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0.5</w:t>
            </w:r>
          </w:p>
        </w:tc>
        <w:tc>
          <w:tcPr>
            <w:tcW w:w="17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c>
          <w:tcPr>
            <w:tcW w:w="185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空心莲子草</w:t>
            </w:r>
          </w:p>
        </w:tc>
        <w:tc>
          <w:tcPr>
            <w:tcW w:w="95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0.3</w:t>
            </w:r>
          </w:p>
        </w:tc>
        <w:tc>
          <w:tcPr>
            <w:tcW w:w="1614"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3.3</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17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185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西来稗</w:t>
            </w:r>
          </w:p>
        </w:tc>
        <w:tc>
          <w:tcPr>
            <w:tcW w:w="95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0.4</w:t>
            </w:r>
          </w:p>
        </w:tc>
        <w:tc>
          <w:tcPr>
            <w:tcW w:w="1614"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17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185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鸭跖草</w:t>
            </w:r>
          </w:p>
        </w:tc>
        <w:tc>
          <w:tcPr>
            <w:tcW w:w="95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0.3</w:t>
            </w:r>
          </w:p>
        </w:tc>
        <w:tc>
          <w:tcPr>
            <w:tcW w:w="1614"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2.2</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17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185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钻叶紫菀</w:t>
            </w:r>
          </w:p>
        </w:tc>
        <w:tc>
          <w:tcPr>
            <w:tcW w:w="95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0.6</w:t>
            </w:r>
          </w:p>
        </w:tc>
        <w:tc>
          <w:tcPr>
            <w:tcW w:w="1614"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2.2</w:t>
            </w:r>
          </w:p>
        </w:tc>
      </w:tr>
      <w:tr>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40"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113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174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1850"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笔管草</w:t>
            </w:r>
          </w:p>
        </w:tc>
        <w:tc>
          <w:tcPr>
            <w:tcW w:w="959"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0.4</w:t>
            </w:r>
          </w:p>
        </w:tc>
        <w:tc>
          <w:tcPr>
            <w:tcW w:w="1614" w:type="dxa"/>
            <w:gridSpan w:val="2"/>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r>
    </w:tbl>
    <w:p>
      <w:pPr>
        <w:ind w:firstLine="480"/>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4、评价范围内植被面积构成情况</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采用ERDAS Imagine软件对区域遥感卫星影像进行监督分类处理，将得到的植被类型图输入ArcGIS，采用ArcGIS提供的缓冲区分析功能，对本项目矿区范围</w:t>
      </w:r>
      <w:r>
        <w:rPr>
          <w:rFonts w:ascii="Times New Roman" w:hAnsi="Times New Roman" w:eastAsia="宋体" w:cs="Times New Roman"/>
          <w:color w:val="auto"/>
          <w:kern w:val="13"/>
          <w:highlight w:val="none"/>
        </w:rPr>
        <w:t>向外延200m</w:t>
      </w:r>
      <w:r>
        <w:rPr>
          <w:rFonts w:ascii="Times New Roman" w:hAnsi="Times New Roman" w:eastAsia="宋体" w:cs="Times New Roman"/>
          <w:color w:val="auto"/>
          <w:highlight w:val="none"/>
        </w:rPr>
        <w:t>内的各种植被面积进行统计，结果见表3.2-</w:t>
      </w:r>
      <w:r>
        <w:rPr>
          <w:rFonts w:hint="eastAsia" w:ascii="Times New Roman" w:hAnsi="Times New Roman" w:eastAsia="宋体" w:cs="Times New Roman"/>
          <w:color w:val="auto"/>
          <w:highlight w:val="none"/>
        </w:rPr>
        <w:t>19</w:t>
      </w:r>
      <w:r>
        <w:rPr>
          <w:rFonts w:ascii="Times New Roman" w:hAnsi="Times New Roman" w:eastAsia="宋体" w:cs="Times New Roman"/>
          <w:color w:val="auto"/>
          <w:highlight w:val="none"/>
        </w:rPr>
        <w:t>。</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本项目评价区总面积为</w:t>
      </w:r>
      <w:r>
        <w:rPr>
          <w:rFonts w:hint="eastAsia" w:ascii="Times New Roman" w:hAnsi="Times New Roman" w:eastAsia="宋体" w:cs="Times New Roman"/>
          <w:color w:val="auto"/>
          <w:highlight w:val="none"/>
        </w:rPr>
        <w:t>473761.32</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2</w:t>
      </w:r>
      <w:r>
        <w:rPr>
          <w:rFonts w:ascii="Times New Roman" w:hAnsi="Times New Roman" w:eastAsia="宋体" w:cs="Times New Roman"/>
          <w:color w:val="auto"/>
          <w:highlight w:val="none"/>
        </w:rPr>
        <w:t>，植被类型以自然植被为主；评价区自然植被面积</w:t>
      </w:r>
      <w:r>
        <w:rPr>
          <w:rFonts w:hint="eastAsia" w:ascii="Times New Roman" w:hAnsi="Times New Roman" w:eastAsia="宋体" w:cs="Times New Roman"/>
          <w:color w:val="auto"/>
          <w:highlight w:val="none"/>
        </w:rPr>
        <w:t>348932.77</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2</w:t>
      </w:r>
      <w:r>
        <w:rPr>
          <w:rFonts w:ascii="Times New Roman" w:hAnsi="Times New Roman" w:eastAsia="宋体" w:cs="Times New Roman"/>
          <w:color w:val="auto"/>
          <w:highlight w:val="none"/>
        </w:rPr>
        <w:t>，占评价区总面积的</w:t>
      </w:r>
      <w:r>
        <w:rPr>
          <w:rFonts w:hint="eastAsia" w:ascii="Times New Roman" w:hAnsi="Times New Roman" w:eastAsia="宋体" w:cs="Times New Roman"/>
          <w:color w:val="auto"/>
          <w:highlight w:val="none"/>
        </w:rPr>
        <w:t>59.77</w:t>
      </w:r>
      <w:r>
        <w:rPr>
          <w:rFonts w:ascii="Times New Roman" w:hAnsi="Times New Roman" w:eastAsia="宋体" w:cs="Times New Roman"/>
          <w:color w:val="auto"/>
          <w:highlight w:val="none"/>
        </w:rPr>
        <w:t>%；人工植被面积</w:t>
      </w:r>
      <w:r>
        <w:rPr>
          <w:rFonts w:hint="eastAsia" w:ascii="Times New Roman" w:hAnsi="Times New Roman" w:eastAsia="宋体" w:cs="Times New Roman"/>
          <w:color w:val="auto"/>
          <w:highlight w:val="none"/>
        </w:rPr>
        <w:t>124828.55</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2</w:t>
      </w:r>
      <w:r>
        <w:rPr>
          <w:rFonts w:ascii="Times New Roman" w:hAnsi="Times New Roman" w:eastAsia="宋体" w:cs="Times New Roman"/>
          <w:color w:val="auto"/>
          <w:highlight w:val="none"/>
        </w:rPr>
        <w:t>，占评价区总面积的</w:t>
      </w:r>
      <w:r>
        <w:rPr>
          <w:rFonts w:hint="eastAsia" w:ascii="Times New Roman" w:hAnsi="Times New Roman" w:eastAsia="宋体" w:cs="Times New Roman"/>
          <w:color w:val="auto"/>
          <w:highlight w:val="none"/>
        </w:rPr>
        <w:t>21.38</w:t>
      </w:r>
      <w:r>
        <w:rPr>
          <w:rFonts w:ascii="Times New Roman" w:hAnsi="Times New Roman" w:eastAsia="宋体" w:cs="Times New Roman"/>
          <w:color w:val="auto"/>
          <w:highlight w:val="none"/>
        </w:rPr>
        <w:t>%。</w:t>
      </w:r>
    </w:p>
    <w:p>
      <w:pPr>
        <w:pStyle w:val="13"/>
        <w:rPr>
          <w:rFonts w:ascii="Times New Roman" w:hAnsi="Times New Roman" w:eastAsia="宋体"/>
          <w:color w:val="auto"/>
          <w:highlight w:val="none"/>
        </w:rPr>
      </w:pPr>
      <w:r>
        <w:rPr>
          <w:rFonts w:ascii="Times New Roman" w:hAnsi="Times New Roman" w:eastAsia="宋体"/>
          <w:color w:val="auto"/>
          <w:highlight w:val="none"/>
        </w:rPr>
        <w:t>表3.2-</w:t>
      </w:r>
      <w:r>
        <w:rPr>
          <w:rFonts w:hint="eastAsia" w:ascii="Times New Roman" w:hAnsi="Times New Roman" w:eastAsia="宋体"/>
          <w:color w:val="auto"/>
          <w:highlight w:val="none"/>
        </w:rPr>
        <w:t>19</w:t>
      </w:r>
      <w:r>
        <w:rPr>
          <w:rFonts w:ascii="Times New Roman" w:hAnsi="Times New Roman" w:eastAsia="宋体"/>
          <w:color w:val="auto"/>
          <w:highlight w:val="none"/>
        </w:rPr>
        <w:t xml:space="preserve"> 评价区植被类型分类面积统计一览表</w:t>
      </w:r>
    </w:p>
    <w:tbl>
      <w:tblPr>
        <w:tblStyle w:val="48"/>
        <w:tblW w:w="9093"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379"/>
        <w:gridCol w:w="1878"/>
        <w:gridCol w:w="2635"/>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80" w:type="dxa"/>
            <w:gridSpan w:val="2"/>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植被类型</w:t>
            </w:r>
          </w:p>
        </w:tc>
        <w:tc>
          <w:tcPr>
            <w:tcW w:w="1878"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面积（m</w:t>
            </w:r>
            <w:r>
              <w:rPr>
                <w:rFonts w:ascii="Times New Roman" w:hAnsi="Times New Roman" w:eastAsia="宋体" w:cs="Times New Roman"/>
                <w:b/>
                <w:bCs/>
                <w:color w:val="auto"/>
                <w:sz w:val="21"/>
                <w:highlight w:val="none"/>
                <w:vertAlign w:val="superscript"/>
              </w:rPr>
              <w:t>2</w:t>
            </w:r>
            <w:r>
              <w:rPr>
                <w:rFonts w:ascii="Times New Roman" w:hAnsi="Times New Roman" w:eastAsia="宋体" w:cs="Times New Roman"/>
                <w:b/>
                <w:bCs/>
                <w:color w:val="auto"/>
                <w:sz w:val="21"/>
                <w:highlight w:val="none"/>
              </w:rPr>
              <w:t>）</w:t>
            </w:r>
          </w:p>
        </w:tc>
        <w:tc>
          <w:tcPr>
            <w:tcW w:w="2635"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占评价总面积</w:t>
            </w:r>
            <w:r>
              <w:rPr>
                <w:rFonts w:ascii="Times New Roman" w:hAnsi="Times New Roman" w:eastAsia="宋体" w:cs="Times New Roman"/>
                <w:b/>
                <w:bCs/>
                <w:color w:val="auto"/>
                <w:sz w:val="21"/>
                <w:highlight w:val="none"/>
              </w:rPr>
              <w:t>比例（%）</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201"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自然植被</w:t>
            </w:r>
          </w:p>
        </w:tc>
        <w:tc>
          <w:tcPr>
            <w:tcW w:w="337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马尾松次生林</w:t>
            </w:r>
          </w:p>
        </w:tc>
        <w:tc>
          <w:tcPr>
            <w:tcW w:w="187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348932.77</w:t>
            </w:r>
          </w:p>
        </w:tc>
        <w:tc>
          <w:tcPr>
            <w:tcW w:w="2635"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 xml:space="preserve">59.77 </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201"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337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小计</w:t>
            </w:r>
          </w:p>
        </w:tc>
        <w:tc>
          <w:tcPr>
            <w:tcW w:w="187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348932.77</w:t>
            </w:r>
          </w:p>
        </w:tc>
        <w:tc>
          <w:tcPr>
            <w:tcW w:w="2635"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 xml:space="preserve">59.77 </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1201"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人工植被</w:t>
            </w:r>
          </w:p>
        </w:tc>
        <w:tc>
          <w:tcPr>
            <w:tcW w:w="3379"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油茶</w:t>
            </w:r>
          </w:p>
        </w:tc>
        <w:tc>
          <w:tcPr>
            <w:tcW w:w="187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11473.48</w:t>
            </w:r>
          </w:p>
        </w:tc>
        <w:tc>
          <w:tcPr>
            <w:tcW w:w="2635"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 xml:space="preserve">1.97 </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1201"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3379"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农田</w:t>
            </w:r>
          </w:p>
        </w:tc>
        <w:tc>
          <w:tcPr>
            <w:tcW w:w="187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74947.25</w:t>
            </w:r>
          </w:p>
        </w:tc>
        <w:tc>
          <w:tcPr>
            <w:tcW w:w="2635"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 xml:space="preserve">12.84 </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1201"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3379"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杉木</w:t>
            </w:r>
          </w:p>
        </w:tc>
        <w:tc>
          <w:tcPr>
            <w:tcW w:w="1878"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38407.82</w:t>
            </w:r>
          </w:p>
        </w:tc>
        <w:tc>
          <w:tcPr>
            <w:tcW w:w="2635"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 xml:space="preserve">6.58 </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201"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337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小计</w:t>
            </w:r>
          </w:p>
        </w:tc>
        <w:tc>
          <w:tcPr>
            <w:tcW w:w="187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124828.55</w:t>
            </w:r>
          </w:p>
        </w:tc>
        <w:tc>
          <w:tcPr>
            <w:tcW w:w="2635"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 xml:space="preserve">21.38 </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80" w:type="dxa"/>
            <w:gridSpan w:val="2"/>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合计</w:t>
            </w:r>
          </w:p>
        </w:tc>
        <w:tc>
          <w:tcPr>
            <w:tcW w:w="187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473761.32</w:t>
            </w:r>
          </w:p>
        </w:tc>
        <w:tc>
          <w:tcPr>
            <w:tcW w:w="2635"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 xml:space="preserve">81.15 </w:t>
            </w:r>
          </w:p>
        </w:tc>
      </w:tr>
    </w:tbl>
    <w:p>
      <w:pPr>
        <w:ind w:firstLine="480"/>
        <w:rPr>
          <w:rFonts w:ascii="Times New Roman" w:hAnsi="Times New Roman" w:eastAsia="宋体" w:cs="Times New Roman"/>
          <w:color w:val="auto"/>
          <w:highlight w:val="none"/>
        </w:rPr>
      </w:pPr>
      <w:bookmarkStart w:id="254" w:name="_Toc13932"/>
      <w:r>
        <w:rPr>
          <w:rFonts w:ascii="Times New Roman" w:hAnsi="Times New Roman" w:eastAsia="宋体" w:cs="Times New Roman"/>
          <w:color w:val="auto"/>
          <w:highlight w:val="none"/>
        </w:rPr>
        <w:t>5、生物量计算</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根据调查，矿区红线范围内</w:t>
      </w:r>
      <w:r>
        <w:rPr>
          <w:rFonts w:ascii="Times New Roman" w:hAnsi="Times New Roman" w:eastAsia="宋体" w:cs="Times New Roman"/>
          <w:color w:val="auto"/>
          <w:highlight w:val="none"/>
        </w:rPr>
        <w:t>工程占地涉及植被型组为</w:t>
      </w:r>
      <w:r>
        <w:rPr>
          <w:rFonts w:hint="eastAsia" w:ascii="Times New Roman" w:hAnsi="Times New Roman" w:eastAsia="宋体" w:cs="Times New Roman"/>
          <w:color w:val="auto"/>
          <w:highlight w:val="none"/>
        </w:rPr>
        <w:t>马尾松次生林</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马尾松次生林</w:t>
      </w:r>
      <w:r>
        <w:rPr>
          <w:rFonts w:ascii="Times New Roman" w:hAnsi="Times New Roman" w:eastAsia="宋体" w:cs="Times New Roman"/>
          <w:color w:val="auto"/>
          <w:highlight w:val="none"/>
        </w:rPr>
        <w:t>生物量的估算量根据《中国森林生态系统的生物量和生产力》、《</w:t>
      </w:r>
      <w:r>
        <w:rPr>
          <w:rFonts w:hint="eastAsia" w:ascii="Times New Roman" w:hAnsi="Times New Roman" w:eastAsia="宋体" w:cs="Times New Roman"/>
          <w:color w:val="auto"/>
          <w:highlight w:val="none"/>
        </w:rPr>
        <w:t>马尾松天然次生林生物量的结构与分布</w:t>
      </w:r>
      <w:r>
        <w:rPr>
          <w:rFonts w:ascii="Times New Roman" w:hAnsi="Times New Roman" w:eastAsia="宋体" w:cs="Times New Roman"/>
          <w:color w:val="auto"/>
          <w:highlight w:val="none"/>
        </w:rPr>
        <w:t>》等文献资料中的基本参数</w:t>
      </w:r>
      <w:r>
        <w:rPr>
          <w:rFonts w:hint="eastAsia" w:ascii="Times New Roman" w:hAnsi="Times New Roman" w:eastAsia="宋体" w:cs="Times New Roman"/>
          <w:color w:val="auto"/>
          <w:highlight w:val="none"/>
          <w:lang w:val="en-US" w:eastAsia="zh-CN"/>
        </w:rPr>
        <w:t>确定</w:t>
      </w:r>
      <w:r>
        <w:rPr>
          <w:rFonts w:ascii="Times New Roman" w:hAnsi="Times New Roman" w:eastAsia="宋体" w:cs="Times New Roman"/>
          <w:color w:val="auto"/>
          <w:highlight w:val="none"/>
        </w:rPr>
        <w:t>。根据相关数据得项目</w:t>
      </w:r>
      <w:r>
        <w:rPr>
          <w:rFonts w:hint="eastAsia" w:ascii="Times New Roman" w:hAnsi="Times New Roman" w:eastAsia="宋体" w:cs="Times New Roman"/>
          <w:color w:val="auto"/>
          <w:highlight w:val="none"/>
        </w:rPr>
        <w:t>矿区</w:t>
      </w:r>
      <w:r>
        <w:rPr>
          <w:rFonts w:ascii="Times New Roman" w:hAnsi="Times New Roman" w:eastAsia="宋体" w:cs="Times New Roman"/>
          <w:color w:val="auto"/>
          <w:highlight w:val="none"/>
        </w:rPr>
        <w:t>范围内所影响的生物量为</w:t>
      </w:r>
      <w:r>
        <w:rPr>
          <w:rFonts w:hint="eastAsia" w:ascii="Times New Roman" w:hAnsi="Times New Roman" w:eastAsia="宋体" w:cs="Times New Roman"/>
          <w:color w:val="auto"/>
          <w:highlight w:val="none"/>
          <w:lang w:val="en-US" w:eastAsia="zh-CN"/>
        </w:rPr>
        <w:t>2241.88</w:t>
      </w:r>
      <w:r>
        <w:rPr>
          <w:rFonts w:ascii="Times New Roman" w:hAnsi="Times New Roman" w:eastAsia="宋体" w:cs="Times New Roman"/>
          <w:color w:val="auto"/>
          <w:highlight w:val="none"/>
        </w:rPr>
        <w:t>t。</w:t>
      </w:r>
    </w:p>
    <w:p>
      <w:pPr>
        <w:pStyle w:val="13"/>
        <w:rPr>
          <w:rFonts w:ascii="Times New Roman" w:hAnsi="Times New Roman" w:eastAsia="宋体"/>
          <w:color w:val="auto"/>
          <w:highlight w:val="none"/>
        </w:rPr>
      </w:pPr>
      <w:r>
        <w:rPr>
          <w:rFonts w:ascii="Times New Roman" w:hAnsi="Times New Roman" w:eastAsia="宋体"/>
          <w:color w:val="auto"/>
          <w:highlight w:val="none"/>
        </w:rPr>
        <w:t>表3</w:t>
      </w:r>
      <w:r>
        <w:rPr>
          <w:rFonts w:hint="eastAsia" w:ascii="Times New Roman" w:hAnsi="Times New Roman" w:eastAsia="宋体"/>
          <w:color w:val="auto"/>
          <w:highlight w:val="none"/>
        </w:rPr>
        <w:t>.</w:t>
      </w:r>
      <w:r>
        <w:rPr>
          <w:rFonts w:ascii="Times New Roman" w:hAnsi="Times New Roman" w:eastAsia="宋体"/>
          <w:color w:val="auto"/>
          <w:highlight w:val="none"/>
        </w:rPr>
        <w:t>2-</w:t>
      </w:r>
      <w:r>
        <w:rPr>
          <w:rFonts w:hint="eastAsia" w:ascii="Times New Roman" w:hAnsi="Times New Roman" w:eastAsia="宋体"/>
          <w:color w:val="auto"/>
          <w:highlight w:val="none"/>
        </w:rPr>
        <w:t>20</w:t>
      </w:r>
      <w:r>
        <w:rPr>
          <w:rFonts w:ascii="Times New Roman" w:hAnsi="Times New Roman" w:eastAsia="宋体"/>
          <w:color w:val="auto"/>
          <w:highlight w:val="none"/>
        </w:rPr>
        <w:t xml:space="preserve"> 项目</w:t>
      </w:r>
      <w:r>
        <w:rPr>
          <w:rFonts w:hint="eastAsia" w:ascii="Times New Roman" w:hAnsi="Times New Roman" w:eastAsia="宋体"/>
          <w:color w:val="auto"/>
          <w:highlight w:val="none"/>
        </w:rPr>
        <w:t>矿区</w:t>
      </w:r>
      <w:r>
        <w:rPr>
          <w:rFonts w:ascii="Times New Roman" w:hAnsi="Times New Roman" w:eastAsia="宋体"/>
          <w:color w:val="auto"/>
          <w:highlight w:val="none"/>
        </w:rPr>
        <w:t>范围内受影响生物量估算表</w:t>
      </w:r>
    </w:p>
    <w:tbl>
      <w:tblPr>
        <w:tblStyle w:val="48"/>
        <w:tblW w:w="9071"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2269"/>
        <w:gridCol w:w="2267"/>
        <w:gridCol w:w="2268"/>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2267"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植被型组</w:t>
            </w:r>
          </w:p>
        </w:tc>
        <w:tc>
          <w:tcPr>
            <w:tcW w:w="2269"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生物量t·hm</w:t>
            </w:r>
            <w:r>
              <w:rPr>
                <w:rFonts w:ascii="Times New Roman" w:hAnsi="Times New Roman" w:eastAsia="宋体" w:cs="Times New Roman"/>
                <w:b/>
                <w:color w:val="auto"/>
                <w:sz w:val="21"/>
                <w:highlight w:val="none"/>
                <w:vertAlign w:val="superscript"/>
              </w:rPr>
              <w:t>2</w:t>
            </w:r>
          </w:p>
        </w:tc>
        <w:tc>
          <w:tcPr>
            <w:tcW w:w="2267"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面积hm</w:t>
            </w:r>
            <w:r>
              <w:rPr>
                <w:rFonts w:ascii="Times New Roman" w:hAnsi="Times New Roman" w:eastAsia="宋体" w:cs="Times New Roman"/>
                <w:b/>
                <w:color w:val="auto"/>
                <w:sz w:val="21"/>
                <w:highlight w:val="none"/>
                <w:vertAlign w:val="superscript"/>
              </w:rPr>
              <w:t>2</w:t>
            </w:r>
          </w:p>
        </w:tc>
        <w:tc>
          <w:tcPr>
            <w:tcW w:w="2268" w:type="dxa"/>
            <w:noWrap w:val="0"/>
            <w:vAlign w:val="center"/>
          </w:tcPr>
          <w:p>
            <w:pPr>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生物量影响量t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226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马尾松次生林</w:t>
            </w:r>
          </w:p>
        </w:tc>
        <w:tc>
          <w:tcPr>
            <w:tcW w:w="226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146.08</w:t>
            </w:r>
          </w:p>
        </w:tc>
        <w:tc>
          <w:tcPr>
            <w:tcW w:w="2267" w:type="dxa"/>
            <w:noWrap w:val="0"/>
            <w:vAlign w:val="center"/>
          </w:tcPr>
          <w:p>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15.3469</w:t>
            </w:r>
          </w:p>
        </w:tc>
        <w:tc>
          <w:tcPr>
            <w:tcW w:w="2268" w:type="dxa"/>
            <w:noWrap w:val="0"/>
            <w:vAlign w:val="center"/>
          </w:tcPr>
          <w:p>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2241.88</w:t>
            </w:r>
          </w:p>
        </w:tc>
      </w:tr>
    </w:tbl>
    <w:p>
      <w:pPr>
        <w:pStyle w:val="6"/>
        <w:tabs>
          <w:tab w:val="left" w:pos="360"/>
          <w:tab w:val="left" w:pos="1390"/>
        </w:tabs>
        <w:rPr>
          <w:rFonts w:ascii="Times New Roman" w:hAnsi="Times New Roman" w:eastAsia="宋体"/>
          <w:color w:val="auto"/>
          <w:highlight w:val="none"/>
        </w:rPr>
      </w:pPr>
      <w:r>
        <w:rPr>
          <w:rFonts w:ascii="Times New Roman" w:hAnsi="Times New Roman" w:eastAsia="宋体"/>
          <w:color w:val="auto"/>
          <w:highlight w:val="none"/>
        </w:rPr>
        <w:t>3.2.6.5 评价区资源现状</w:t>
      </w:r>
      <w:bookmarkEnd w:id="254"/>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1、评价区植物资源</w:t>
      </w:r>
    </w:p>
    <w:p>
      <w:pPr>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根据对评价区植物的资源综合调查，项目区域共有维管植物</w:t>
      </w:r>
      <w:r>
        <w:rPr>
          <w:rFonts w:hint="eastAsia" w:ascii="Times New Roman" w:hAnsi="Times New Roman" w:eastAsia="宋体"/>
          <w:color w:val="auto"/>
          <w:szCs w:val="24"/>
          <w:highlight w:val="none"/>
        </w:rPr>
        <w:t>309</w:t>
      </w:r>
      <w:r>
        <w:rPr>
          <w:rFonts w:ascii="Times New Roman" w:hAnsi="Times New Roman" w:eastAsia="宋体"/>
          <w:color w:val="auto"/>
          <w:szCs w:val="24"/>
          <w:highlight w:val="none"/>
        </w:rPr>
        <w:t>种，隶属于</w:t>
      </w:r>
      <w:r>
        <w:rPr>
          <w:rFonts w:hint="eastAsia" w:ascii="Times New Roman" w:hAnsi="Times New Roman" w:eastAsia="宋体"/>
          <w:color w:val="auto"/>
          <w:szCs w:val="24"/>
          <w:highlight w:val="none"/>
        </w:rPr>
        <w:t>98</w:t>
      </w:r>
      <w:r>
        <w:rPr>
          <w:rFonts w:ascii="Times New Roman" w:hAnsi="Times New Roman" w:eastAsia="宋体"/>
          <w:color w:val="auto"/>
          <w:szCs w:val="24"/>
          <w:highlight w:val="none"/>
        </w:rPr>
        <w:t>科</w:t>
      </w:r>
      <w:r>
        <w:rPr>
          <w:rFonts w:hint="eastAsia" w:ascii="Times New Roman" w:hAnsi="Times New Roman" w:eastAsia="宋体"/>
          <w:color w:val="auto"/>
          <w:szCs w:val="24"/>
          <w:highlight w:val="none"/>
        </w:rPr>
        <w:t>232</w:t>
      </w:r>
      <w:r>
        <w:rPr>
          <w:rFonts w:ascii="Times New Roman" w:hAnsi="Times New Roman" w:eastAsia="宋体"/>
          <w:color w:val="auto"/>
          <w:szCs w:val="24"/>
          <w:highlight w:val="none"/>
        </w:rPr>
        <w:t>属，其中蕨类植物</w:t>
      </w:r>
      <w:r>
        <w:rPr>
          <w:rFonts w:hint="eastAsia" w:ascii="Times New Roman" w:hAnsi="Times New Roman" w:eastAsia="宋体"/>
          <w:color w:val="auto"/>
          <w:szCs w:val="24"/>
          <w:highlight w:val="none"/>
        </w:rPr>
        <w:t>17</w:t>
      </w:r>
      <w:r>
        <w:rPr>
          <w:rFonts w:ascii="Times New Roman" w:hAnsi="Times New Roman" w:eastAsia="宋体"/>
          <w:color w:val="auto"/>
          <w:szCs w:val="24"/>
          <w:highlight w:val="none"/>
        </w:rPr>
        <w:t>科</w:t>
      </w:r>
      <w:r>
        <w:rPr>
          <w:rFonts w:hint="eastAsia" w:ascii="Times New Roman" w:hAnsi="Times New Roman" w:eastAsia="宋体"/>
          <w:color w:val="auto"/>
          <w:szCs w:val="24"/>
          <w:highlight w:val="none"/>
        </w:rPr>
        <w:t>23</w:t>
      </w:r>
      <w:r>
        <w:rPr>
          <w:rFonts w:ascii="Times New Roman" w:hAnsi="Times New Roman" w:eastAsia="宋体"/>
          <w:color w:val="auto"/>
          <w:szCs w:val="24"/>
          <w:highlight w:val="none"/>
        </w:rPr>
        <w:t>属</w:t>
      </w:r>
      <w:r>
        <w:rPr>
          <w:rFonts w:hint="eastAsia" w:ascii="Times New Roman" w:hAnsi="Times New Roman" w:eastAsia="宋体"/>
          <w:color w:val="auto"/>
          <w:szCs w:val="24"/>
          <w:highlight w:val="none"/>
        </w:rPr>
        <w:t>29</w:t>
      </w:r>
      <w:r>
        <w:rPr>
          <w:rFonts w:ascii="Times New Roman" w:hAnsi="Times New Roman" w:eastAsia="宋体"/>
          <w:color w:val="auto"/>
          <w:szCs w:val="24"/>
          <w:highlight w:val="none"/>
        </w:rPr>
        <w:t>种，裸子植物</w:t>
      </w:r>
      <w:r>
        <w:rPr>
          <w:rFonts w:hint="eastAsia" w:ascii="Times New Roman" w:hAnsi="Times New Roman" w:eastAsia="宋体"/>
          <w:color w:val="auto"/>
          <w:szCs w:val="24"/>
          <w:highlight w:val="none"/>
        </w:rPr>
        <w:t>3</w:t>
      </w:r>
      <w:r>
        <w:rPr>
          <w:rFonts w:ascii="Times New Roman" w:hAnsi="Times New Roman" w:eastAsia="宋体"/>
          <w:color w:val="auto"/>
          <w:szCs w:val="24"/>
          <w:highlight w:val="none"/>
        </w:rPr>
        <w:t>科</w:t>
      </w:r>
      <w:r>
        <w:rPr>
          <w:rFonts w:hint="eastAsia" w:ascii="Times New Roman" w:hAnsi="Times New Roman" w:eastAsia="宋体"/>
          <w:color w:val="auto"/>
          <w:szCs w:val="24"/>
          <w:highlight w:val="none"/>
        </w:rPr>
        <w:t>3</w:t>
      </w:r>
      <w:r>
        <w:rPr>
          <w:rFonts w:ascii="Times New Roman" w:hAnsi="Times New Roman" w:eastAsia="宋体"/>
          <w:color w:val="auto"/>
          <w:szCs w:val="24"/>
          <w:highlight w:val="none"/>
        </w:rPr>
        <w:t>属</w:t>
      </w:r>
      <w:r>
        <w:rPr>
          <w:rFonts w:hint="eastAsia" w:ascii="Times New Roman" w:hAnsi="Times New Roman" w:eastAsia="宋体"/>
          <w:color w:val="auto"/>
          <w:szCs w:val="24"/>
          <w:highlight w:val="none"/>
        </w:rPr>
        <w:t>3</w:t>
      </w:r>
      <w:r>
        <w:rPr>
          <w:rFonts w:ascii="Times New Roman" w:hAnsi="Times New Roman" w:eastAsia="宋体"/>
          <w:color w:val="auto"/>
          <w:szCs w:val="24"/>
          <w:highlight w:val="none"/>
        </w:rPr>
        <w:t>种，双子叶植物</w:t>
      </w:r>
      <w:r>
        <w:rPr>
          <w:rFonts w:hint="eastAsia" w:ascii="Times New Roman" w:hAnsi="Times New Roman" w:eastAsia="宋体"/>
          <w:color w:val="auto"/>
          <w:szCs w:val="24"/>
          <w:highlight w:val="none"/>
        </w:rPr>
        <w:t>67</w:t>
      </w:r>
      <w:r>
        <w:rPr>
          <w:rFonts w:ascii="Times New Roman" w:hAnsi="Times New Roman" w:eastAsia="宋体"/>
          <w:color w:val="auto"/>
          <w:szCs w:val="24"/>
          <w:highlight w:val="none"/>
        </w:rPr>
        <w:t>科</w:t>
      </w:r>
      <w:r>
        <w:rPr>
          <w:rFonts w:hint="eastAsia" w:ascii="Times New Roman" w:hAnsi="Times New Roman" w:eastAsia="宋体"/>
          <w:color w:val="auto"/>
          <w:szCs w:val="24"/>
          <w:highlight w:val="none"/>
        </w:rPr>
        <w:t>160</w:t>
      </w:r>
      <w:r>
        <w:rPr>
          <w:rFonts w:ascii="Times New Roman" w:hAnsi="Times New Roman" w:eastAsia="宋体"/>
          <w:color w:val="auto"/>
          <w:szCs w:val="24"/>
          <w:highlight w:val="none"/>
        </w:rPr>
        <w:t>属</w:t>
      </w:r>
      <w:r>
        <w:rPr>
          <w:rFonts w:hint="eastAsia" w:ascii="Times New Roman" w:hAnsi="Times New Roman" w:eastAsia="宋体"/>
          <w:color w:val="auto"/>
          <w:szCs w:val="24"/>
          <w:highlight w:val="none"/>
        </w:rPr>
        <w:t>222</w:t>
      </w:r>
      <w:r>
        <w:rPr>
          <w:rFonts w:ascii="Times New Roman" w:hAnsi="Times New Roman" w:eastAsia="宋体"/>
          <w:color w:val="auto"/>
          <w:szCs w:val="24"/>
          <w:highlight w:val="none"/>
        </w:rPr>
        <w:t>种</w:t>
      </w:r>
      <w:r>
        <w:rPr>
          <w:rFonts w:hint="eastAsia" w:ascii="Times New Roman" w:hAnsi="Times New Roman" w:eastAsia="宋体"/>
          <w:color w:val="auto"/>
          <w:szCs w:val="24"/>
          <w:highlight w:val="none"/>
        </w:rPr>
        <w:t>，</w:t>
      </w:r>
      <w:r>
        <w:rPr>
          <w:rFonts w:ascii="Times New Roman" w:hAnsi="Times New Roman" w:eastAsia="宋体"/>
          <w:color w:val="auto"/>
          <w:szCs w:val="24"/>
          <w:highlight w:val="none"/>
          <w:u w:val="single"/>
        </w:rPr>
        <w:t>单子叶植物</w:t>
      </w:r>
      <w:r>
        <w:rPr>
          <w:rFonts w:hint="eastAsia" w:ascii="Times New Roman" w:hAnsi="Times New Roman" w:eastAsia="宋体"/>
          <w:color w:val="auto"/>
          <w:szCs w:val="24"/>
          <w:highlight w:val="none"/>
          <w:u w:val="single"/>
        </w:rPr>
        <w:t>11</w:t>
      </w:r>
      <w:r>
        <w:rPr>
          <w:rFonts w:ascii="Times New Roman" w:hAnsi="Times New Roman" w:eastAsia="宋体"/>
          <w:color w:val="auto"/>
          <w:szCs w:val="24"/>
          <w:highlight w:val="none"/>
          <w:u w:val="single"/>
        </w:rPr>
        <w:t>科</w:t>
      </w:r>
      <w:r>
        <w:rPr>
          <w:rFonts w:hint="eastAsia"/>
          <w:color w:val="auto"/>
          <w:szCs w:val="24"/>
          <w:highlight w:val="none"/>
          <w:u w:val="single"/>
          <w:lang w:val="en-US" w:eastAsia="zh-CN"/>
        </w:rPr>
        <w:t>46</w:t>
      </w:r>
      <w:r>
        <w:rPr>
          <w:rFonts w:ascii="Times New Roman" w:hAnsi="Times New Roman" w:eastAsia="宋体"/>
          <w:color w:val="auto"/>
          <w:szCs w:val="24"/>
          <w:highlight w:val="none"/>
          <w:u w:val="single"/>
        </w:rPr>
        <w:t>属</w:t>
      </w:r>
      <w:r>
        <w:rPr>
          <w:rFonts w:hint="eastAsia"/>
          <w:color w:val="auto"/>
          <w:szCs w:val="24"/>
          <w:highlight w:val="none"/>
          <w:u w:val="single"/>
          <w:lang w:val="en-US" w:eastAsia="zh-CN"/>
        </w:rPr>
        <w:t>55</w:t>
      </w:r>
      <w:r>
        <w:rPr>
          <w:rFonts w:ascii="Times New Roman" w:hAnsi="Times New Roman" w:eastAsia="宋体"/>
          <w:color w:val="auto"/>
          <w:szCs w:val="24"/>
          <w:highlight w:val="none"/>
          <w:u w:val="single"/>
        </w:rPr>
        <w:t>种（表</w:t>
      </w:r>
      <w:r>
        <w:rPr>
          <w:rFonts w:hint="eastAsia" w:ascii="Times New Roman" w:hAnsi="Times New Roman" w:eastAsia="宋体"/>
          <w:color w:val="auto"/>
          <w:szCs w:val="24"/>
          <w:highlight w:val="none"/>
          <w:u w:val="single"/>
        </w:rPr>
        <w:t>3.2-21</w:t>
      </w:r>
      <w:r>
        <w:rPr>
          <w:rFonts w:ascii="Times New Roman" w:hAnsi="Times New Roman" w:eastAsia="宋体"/>
          <w:color w:val="auto"/>
          <w:szCs w:val="24"/>
          <w:highlight w:val="none"/>
          <w:u w:val="single"/>
        </w:rPr>
        <w:t>）。</w:t>
      </w:r>
    </w:p>
    <w:p>
      <w:pPr>
        <w:pStyle w:val="13"/>
        <w:rPr>
          <w:rFonts w:ascii="Times New Roman" w:hAnsi="Times New Roman" w:eastAsia="宋体"/>
          <w:color w:val="auto"/>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13"/>
        <w:rPr>
          <w:rFonts w:ascii="Times New Roman" w:hAnsi="Times New Roman" w:eastAsia="宋体"/>
          <w:color w:val="auto"/>
          <w:highlight w:val="none"/>
        </w:rPr>
      </w:pPr>
      <w:r>
        <w:rPr>
          <w:rFonts w:ascii="Times New Roman" w:hAnsi="Times New Roman" w:eastAsia="宋体"/>
          <w:color w:val="auto"/>
          <w:highlight w:val="none"/>
        </w:rPr>
        <w:t>表</w:t>
      </w:r>
      <w:r>
        <w:rPr>
          <w:rFonts w:hint="eastAsia" w:ascii="Times New Roman" w:hAnsi="Times New Roman" w:eastAsia="宋体"/>
          <w:color w:val="auto"/>
          <w:highlight w:val="none"/>
        </w:rPr>
        <w:t>3.2-21</w:t>
      </w:r>
      <w:r>
        <w:rPr>
          <w:rFonts w:ascii="Times New Roman" w:hAnsi="Times New Roman" w:eastAsia="宋体"/>
          <w:color w:val="auto"/>
          <w:highlight w:val="none"/>
        </w:rPr>
        <w:t xml:space="preserve">  项目区域维管植物科、属、种组成</w:t>
      </w:r>
    </w:p>
    <w:tbl>
      <w:tblPr>
        <w:tblStyle w:val="48"/>
        <w:tblW w:w="924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1692"/>
        <w:gridCol w:w="848"/>
        <w:gridCol w:w="1205"/>
        <w:gridCol w:w="848"/>
        <w:gridCol w:w="1205"/>
        <w:gridCol w:w="848"/>
        <w:gridCol w:w="11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097" w:type="dxa"/>
            <w:gridSpan w:val="2"/>
            <w:vMerge w:val="restart"/>
            <w:noWrap w:val="0"/>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ascii="Times New Roman" w:hAnsi="Times New Roman" w:eastAsia="宋体"/>
                <w:b/>
                <w:bCs/>
                <w:color w:val="auto"/>
                <w:kern w:val="0"/>
                <w:sz w:val="21"/>
                <w:highlight w:val="none"/>
              </w:rPr>
              <w:t>分类群</w:t>
            </w:r>
          </w:p>
        </w:tc>
        <w:tc>
          <w:tcPr>
            <w:tcW w:w="2053" w:type="dxa"/>
            <w:gridSpan w:val="2"/>
            <w:noWrap w:val="0"/>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ascii="Times New Roman" w:hAnsi="Times New Roman" w:eastAsia="宋体"/>
                <w:b/>
                <w:bCs/>
                <w:color w:val="auto"/>
                <w:kern w:val="0"/>
                <w:sz w:val="21"/>
                <w:highlight w:val="none"/>
              </w:rPr>
              <w:t>科</w:t>
            </w:r>
          </w:p>
        </w:tc>
        <w:tc>
          <w:tcPr>
            <w:tcW w:w="2053" w:type="dxa"/>
            <w:gridSpan w:val="2"/>
            <w:noWrap w:val="0"/>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ascii="Times New Roman" w:hAnsi="Times New Roman" w:eastAsia="宋体"/>
                <w:b/>
                <w:bCs/>
                <w:color w:val="auto"/>
                <w:kern w:val="0"/>
                <w:sz w:val="21"/>
                <w:highlight w:val="none"/>
              </w:rPr>
              <w:t>属</w:t>
            </w:r>
          </w:p>
        </w:tc>
        <w:tc>
          <w:tcPr>
            <w:tcW w:w="2039" w:type="dxa"/>
            <w:gridSpan w:val="2"/>
            <w:noWrap w:val="0"/>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ascii="Times New Roman" w:hAnsi="Times New Roman" w:eastAsia="宋体"/>
                <w:b/>
                <w:bCs/>
                <w:color w:val="auto"/>
                <w:kern w:val="0"/>
                <w:sz w:val="21"/>
                <w:highlight w:val="none"/>
              </w:rPr>
              <w:t>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097" w:type="dxa"/>
            <w:gridSpan w:val="2"/>
            <w:vMerge w:val="continue"/>
            <w:noWrap w:val="0"/>
            <w:vAlign w:val="center"/>
          </w:tcPr>
          <w:p>
            <w:pPr>
              <w:spacing w:line="240" w:lineRule="auto"/>
              <w:ind w:firstLine="0" w:firstLineChars="0"/>
              <w:jc w:val="center"/>
              <w:rPr>
                <w:rFonts w:ascii="Times New Roman" w:hAnsi="Times New Roman" w:eastAsia="宋体"/>
                <w:b/>
                <w:bCs/>
                <w:color w:val="auto"/>
                <w:kern w:val="0"/>
                <w:sz w:val="21"/>
                <w:highlight w:val="none"/>
              </w:rPr>
            </w:pPr>
          </w:p>
        </w:tc>
        <w:tc>
          <w:tcPr>
            <w:tcW w:w="848" w:type="dxa"/>
            <w:noWrap w:val="0"/>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ascii="Times New Roman" w:hAnsi="Times New Roman" w:eastAsia="宋体"/>
                <w:b/>
                <w:bCs/>
                <w:color w:val="auto"/>
                <w:kern w:val="0"/>
                <w:sz w:val="21"/>
                <w:highlight w:val="none"/>
              </w:rPr>
              <w:t>数量</w:t>
            </w:r>
          </w:p>
        </w:tc>
        <w:tc>
          <w:tcPr>
            <w:tcW w:w="1205" w:type="dxa"/>
            <w:noWrap w:val="0"/>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ascii="Times New Roman" w:hAnsi="Times New Roman" w:eastAsia="宋体"/>
                <w:b/>
                <w:bCs/>
                <w:color w:val="auto"/>
                <w:kern w:val="0"/>
                <w:sz w:val="21"/>
                <w:highlight w:val="none"/>
              </w:rPr>
              <w:t>比例/％</w:t>
            </w:r>
          </w:p>
        </w:tc>
        <w:tc>
          <w:tcPr>
            <w:tcW w:w="848" w:type="dxa"/>
            <w:noWrap w:val="0"/>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ascii="Times New Roman" w:hAnsi="Times New Roman" w:eastAsia="宋体"/>
                <w:b/>
                <w:bCs/>
                <w:color w:val="auto"/>
                <w:kern w:val="0"/>
                <w:sz w:val="21"/>
                <w:highlight w:val="none"/>
              </w:rPr>
              <w:t>数量</w:t>
            </w:r>
          </w:p>
        </w:tc>
        <w:tc>
          <w:tcPr>
            <w:tcW w:w="1205" w:type="dxa"/>
            <w:noWrap w:val="0"/>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ascii="Times New Roman" w:hAnsi="Times New Roman" w:eastAsia="宋体"/>
                <w:b/>
                <w:bCs/>
                <w:color w:val="auto"/>
                <w:kern w:val="0"/>
                <w:sz w:val="21"/>
                <w:highlight w:val="none"/>
              </w:rPr>
              <w:t>比例/％</w:t>
            </w:r>
          </w:p>
        </w:tc>
        <w:tc>
          <w:tcPr>
            <w:tcW w:w="848" w:type="dxa"/>
            <w:noWrap w:val="0"/>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ascii="Times New Roman" w:hAnsi="Times New Roman" w:eastAsia="宋体"/>
                <w:b/>
                <w:bCs/>
                <w:color w:val="auto"/>
                <w:kern w:val="0"/>
                <w:sz w:val="21"/>
                <w:highlight w:val="none"/>
              </w:rPr>
              <w:t>数量</w:t>
            </w:r>
          </w:p>
        </w:tc>
        <w:tc>
          <w:tcPr>
            <w:tcW w:w="1191" w:type="dxa"/>
            <w:noWrap w:val="0"/>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ascii="Times New Roman" w:hAnsi="Times New Roman" w:eastAsia="宋体"/>
                <w:b/>
                <w:bCs/>
                <w:color w:val="auto"/>
                <w:kern w:val="0"/>
                <w:sz w:val="21"/>
                <w:highlight w:val="none"/>
              </w:rPr>
              <w:t>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097" w:type="dxa"/>
            <w:gridSpan w:val="2"/>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蕨类植物</w:t>
            </w:r>
          </w:p>
        </w:tc>
        <w:tc>
          <w:tcPr>
            <w:tcW w:w="848"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17</w:t>
            </w:r>
          </w:p>
        </w:tc>
        <w:tc>
          <w:tcPr>
            <w:tcW w:w="1205"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17.3</w:t>
            </w:r>
          </w:p>
        </w:tc>
        <w:tc>
          <w:tcPr>
            <w:tcW w:w="848"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23</w:t>
            </w:r>
          </w:p>
        </w:tc>
        <w:tc>
          <w:tcPr>
            <w:tcW w:w="1205"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9.9</w:t>
            </w:r>
          </w:p>
        </w:tc>
        <w:tc>
          <w:tcPr>
            <w:tcW w:w="848"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29</w:t>
            </w:r>
          </w:p>
        </w:tc>
        <w:tc>
          <w:tcPr>
            <w:tcW w:w="1191"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097" w:type="dxa"/>
            <w:gridSpan w:val="2"/>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裸子植物</w:t>
            </w:r>
          </w:p>
        </w:tc>
        <w:tc>
          <w:tcPr>
            <w:tcW w:w="848"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3</w:t>
            </w:r>
          </w:p>
        </w:tc>
        <w:tc>
          <w:tcPr>
            <w:tcW w:w="1205"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3.1</w:t>
            </w:r>
          </w:p>
        </w:tc>
        <w:tc>
          <w:tcPr>
            <w:tcW w:w="848"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3</w:t>
            </w:r>
          </w:p>
        </w:tc>
        <w:tc>
          <w:tcPr>
            <w:tcW w:w="1205"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1.3</w:t>
            </w:r>
          </w:p>
        </w:tc>
        <w:tc>
          <w:tcPr>
            <w:tcW w:w="848"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3</w:t>
            </w:r>
          </w:p>
        </w:tc>
        <w:tc>
          <w:tcPr>
            <w:tcW w:w="1191"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405" w:type="dxa"/>
            <w:vMerge w:val="restart"/>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被子植物</w:t>
            </w:r>
          </w:p>
        </w:tc>
        <w:tc>
          <w:tcPr>
            <w:tcW w:w="1692" w:type="dxa"/>
            <w:noWrap w:val="0"/>
            <w:vAlign w:val="top"/>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双子叶植物</w:t>
            </w:r>
          </w:p>
        </w:tc>
        <w:tc>
          <w:tcPr>
            <w:tcW w:w="848"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67</w:t>
            </w:r>
          </w:p>
        </w:tc>
        <w:tc>
          <w:tcPr>
            <w:tcW w:w="1205"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68.4</w:t>
            </w:r>
          </w:p>
        </w:tc>
        <w:tc>
          <w:tcPr>
            <w:tcW w:w="848"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160</w:t>
            </w:r>
          </w:p>
        </w:tc>
        <w:tc>
          <w:tcPr>
            <w:tcW w:w="1205"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69.0</w:t>
            </w:r>
          </w:p>
        </w:tc>
        <w:tc>
          <w:tcPr>
            <w:tcW w:w="848"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222</w:t>
            </w:r>
          </w:p>
        </w:tc>
        <w:tc>
          <w:tcPr>
            <w:tcW w:w="1191"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71.8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405" w:type="dxa"/>
            <w:vMerge w:val="continue"/>
            <w:noWrap w:val="0"/>
            <w:vAlign w:val="bottom"/>
          </w:tcPr>
          <w:p>
            <w:pPr>
              <w:spacing w:line="240" w:lineRule="auto"/>
              <w:ind w:firstLine="0" w:firstLineChars="0"/>
              <w:jc w:val="center"/>
              <w:rPr>
                <w:rFonts w:ascii="Times New Roman" w:hAnsi="Times New Roman" w:eastAsia="宋体"/>
                <w:color w:val="auto"/>
                <w:kern w:val="0"/>
                <w:sz w:val="21"/>
                <w:highlight w:val="none"/>
              </w:rPr>
            </w:pPr>
          </w:p>
        </w:tc>
        <w:tc>
          <w:tcPr>
            <w:tcW w:w="1692" w:type="dxa"/>
            <w:noWrap w:val="0"/>
            <w:vAlign w:val="top"/>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单子叶植物</w:t>
            </w:r>
          </w:p>
        </w:tc>
        <w:tc>
          <w:tcPr>
            <w:tcW w:w="848"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c>
          <w:tcPr>
            <w:tcW w:w="1205"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11.2</w:t>
            </w:r>
          </w:p>
        </w:tc>
        <w:tc>
          <w:tcPr>
            <w:tcW w:w="848"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46</w:t>
            </w:r>
          </w:p>
        </w:tc>
        <w:tc>
          <w:tcPr>
            <w:tcW w:w="1205"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19.8</w:t>
            </w:r>
          </w:p>
        </w:tc>
        <w:tc>
          <w:tcPr>
            <w:tcW w:w="848"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55</w:t>
            </w:r>
          </w:p>
        </w:tc>
        <w:tc>
          <w:tcPr>
            <w:tcW w:w="1191"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097" w:type="dxa"/>
            <w:gridSpan w:val="2"/>
            <w:noWrap w:val="0"/>
            <w:vAlign w:val="bottom"/>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总计</w:t>
            </w:r>
          </w:p>
        </w:tc>
        <w:tc>
          <w:tcPr>
            <w:tcW w:w="848"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98</w:t>
            </w:r>
          </w:p>
        </w:tc>
        <w:tc>
          <w:tcPr>
            <w:tcW w:w="1205"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100</w:t>
            </w:r>
          </w:p>
        </w:tc>
        <w:tc>
          <w:tcPr>
            <w:tcW w:w="848"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232</w:t>
            </w:r>
          </w:p>
        </w:tc>
        <w:tc>
          <w:tcPr>
            <w:tcW w:w="1205"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100</w:t>
            </w:r>
          </w:p>
        </w:tc>
        <w:tc>
          <w:tcPr>
            <w:tcW w:w="848"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309</w:t>
            </w:r>
          </w:p>
        </w:tc>
        <w:tc>
          <w:tcPr>
            <w:tcW w:w="1191"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100</w:t>
            </w:r>
          </w:p>
        </w:tc>
      </w:tr>
    </w:tbl>
    <w:p>
      <w:pPr>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在所调查到的</w:t>
      </w:r>
      <w:r>
        <w:rPr>
          <w:rFonts w:hint="eastAsia" w:ascii="Times New Roman" w:hAnsi="Times New Roman" w:eastAsia="宋体"/>
          <w:color w:val="auto"/>
          <w:szCs w:val="24"/>
          <w:highlight w:val="none"/>
        </w:rPr>
        <w:t>309</w:t>
      </w:r>
      <w:r>
        <w:rPr>
          <w:rFonts w:ascii="Times New Roman" w:hAnsi="Times New Roman" w:eastAsia="宋体"/>
          <w:color w:val="auto"/>
          <w:szCs w:val="24"/>
          <w:highlight w:val="none"/>
        </w:rPr>
        <w:t>种植物中，野生植物</w:t>
      </w:r>
      <w:r>
        <w:rPr>
          <w:rFonts w:hint="eastAsia" w:ascii="Times New Roman" w:hAnsi="Times New Roman" w:eastAsia="宋体"/>
          <w:color w:val="auto"/>
          <w:szCs w:val="24"/>
          <w:highlight w:val="none"/>
        </w:rPr>
        <w:t>297</w:t>
      </w:r>
      <w:r>
        <w:rPr>
          <w:rFonts w:ascii="Times New Roman" w:hAnsi="Times New Roman" w:eastAsia="宋体"/>
          <w:color w:val="auto"/>
          <w:szCs w:val="24"/>
          <w:highlight w:val="none"/>
        </w:rPr>
        <w:t>种，占植物总物种数的</w:t>
      </w:r>
      <w:r>
        <w:rPr>
          <w:rFonts w:hint="eastAsia" w:ascii="Times New Roman" w:hAnsi="Times New Roman" w:eastAsia="宋体"/>
          <w:color w:val="auto"/>
          <w:szCs w:val="24"/>
          <w:highlight w:val="none"/>
        </w:rPr>
        <w:t>96.1</w:t>
      </w:r>
      <w:r>
        <w:rPr>
          <w:rFonts w:ascii="Times New Roman" w:hAnsi="Times New Roman" w:eastAsia="宋体"/>
          <w:color w:val="auto"/>
          <w:szCs w:val="24"/>
          <w:highlight w:val="none"/>
        </w:rPr>
        <w:t>％，栽培只有</w:t>
      </w:r>
      <w:r>
        <w:rPr>
          <w:rFonts w:hint="eastAsia" w:ascii="Times New Roman" w:hAnsi="Times New Roman" w:eastAsia="宋体"/>
          <w:color w:val="auto"/>
          <w:szCs w:val="24"/>
          <w:highlight w:val="none"/>
        </w:rPr>
        <w:t>11</w:t>
      </w:r>
      <w:r>
        <w:rPr>
          <w:rFonts w:ascii="Times New Roman" w:hAnsi="Times New Roman" w:eastAsia="宋体"/>
          <w:color w:val="auto"/>
          <w:szCs w:val="24"/>
          <w:highlight w:val="none"/>
        </w:rPr>
        <w:t>种，占</w:t>
      </w:r>
      <w:r>
        <w:rPr>
          <w:rFonts w:hint="eastAsia" w:ascii="Times New Roman" w:hAnsi="Times New Roman" w:eastAsia="宋体"/>
          <w:color w:val="auto"/>
          <w:szCs w:val="24"/>
          <w:highlight w:val="none"/>
        </w:rPr>
        <w:t>3.6</w:t>
      </w:r>
      <w:r>
        <w:rPr>
          <w:rFonts w:ascii="Times New Roman" w:hAnsi="Times New Roman" w:eastAsia="宋体"/>
          <w:color w:val="auto"/>
          <w:szCs w:val="24"/>
          <w:highlight w:val="none"/>
        </w:rPr>
        <w:t>％</w:t>
      </w:r>
      <w:r>
        <w:rPr>
          <w:rFonts w:hint="eastAsia" w:ascii="Times New Roman" w:hAnsi="Times New Roman" w:eastAsia="宋体"/>
          <w:color w:val="auto"/>
          <w:szCs w:val="24"/>
          <w:highlight w:val="none"/>
        </w:rPr>
        <w:t>，另有1种（马尾松）野生和栽培都有</w:t>
      </w:r>
      <w:r>
        <w:rPr>
          <w:rFonts w:ascii="Times New Roman" w:hAnsi="Times New Roman" w:eastAsia="宋体"/>
          <w:color w:val="auto"/>
          <w:szCs w:val="24"/>
          <w:highlight w:val="none"/>
        </w:rPr>
        <w:t>。可见，野生植物是项目区域植物组成的主要成分，占有绝对比重（表</w:t>
      </w:r>
      <w:r>
        <w:rPr>
          <w:rFonts w:hint="eastAsia" w:ascii="Times New Roman" w:hAnsi="Times New Roman" w:eastAsia="宋体"/>
          <w:color w:val="auto"/>
          <w:szCs w:val="24"/>
          <w:highlight w:val="none"/>
        </w:rPr>
        <w:t>3.2-22</w:t>
      </w:r>
      <w:r>
        <w:rPr>
          <w:rFonts w:ascii="Times New Roman" w:hAnsi="Times New Roman" w:eastAsia="宋体"/>
          <w:color w:val="auto"/>
          <w:szCs w:val="24"/>
          <w:highlight w:val="none"/>
        </w:rPr>
        <w:t>）。</w:t>
      </w:r>
    </w:p>
    <w:p>
      <w:pPr>
        <w:pStyle w:val="13"/>
        <w:rPr>
          <w:rFonts w:ascii="Times New Roman" w:hAnsi="Times New Roman" w:eastAsia="宋体"/>
          <w:color w:val="auto"/>
          <w:highlight w:val="none"/>
        </w:rPr>
      </w:pPr>
      <w:r>
        <w:rPr>
          <w:rFonts w:ascii="Times New Roman" w:hAnsi="Times New Roman" w:eastAsia="宋体"/>
          <w:color w:val="auto"/>
          <w:highlight w:val="none"/>
        </w:rPr>
        <w:t>表</w:t>
      </w:r>
      <w:r>
        <w:rPr>
          <w:rFonts w:hint="eastAsia" w:ascii="Times New Roman" w:hAnsi="Times New Roman" w:eastAsia="宋体"/>
          <w:color w:val="auto"/>
          <w:highlight w:val="none"/>
        </w:rPr>
        <w:t>3.2-22</w:t>
      </w:r>
      <w:r>
        <w:rPr>
          <w:rFonts w:ascii="Times New Roman" w:hAnsi="Times New Roman" w:eastAsia="宋体"/>
          <w:color w:val="auto"/>
          <w:highlight w:val="none"/>
        </w:rPr>
        <w:t xml:space="preserve">  项目区域维管束植物野生或栽培统计</w:t>
      </w:r>
    </w:p>
    <w:tbl>
      <w:tblPr>
        <w:tblStyle w:val="48"/>
        <w:tblW w:w="924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44"/>
        <w:gridCol w:w="3022"/>
        <w:gridCol w:w="29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244" w:type="dxa"/>
            <w:noWrap w:val="0"/>
            <w:vAlign w:val="center"/>
          </w:tcPr>
          <w:p>
            <w:pPr>
              <w:spacing w:line="240" w:lineRule="auto"/>
              <w:ind w:firstLine="0" w:firstLineChars="0"/>
              <w:jc w:val="center"/>
              <w:rPr>
                <w:rFonts w:ascii="Times New Roman" w:hAnsi="Times New Roman" w:eastAsia="宋体"/>
                <w:b/>
                <w:bCs/>
                <w:color w:val="auto"/>
                <w:kern w:val="0"/>
                <w:sz w:val="21"/>
                <w:highlight w:val="none"/>
              </w:rPr>
            </w:pPr>
          </w:p>
        </w:tc>
        <w:tc>
          <w:tcPr>
            <w:tcW w:w="3022" w:type="dxa"/>
            <w:noWrap w:val="0"/>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ascii="Times New Roman" w:hAnsi="Times New Roman" w:eastAsia="宋体"/>
                <w:b/>
                <w:bCs/>
                <w:color w:val="auto"/>
                <w:kern w:val="0"/>
                <w:sz w:val="21"/>
                <w:highlight w:val="none"/>
              </w:rPr>
              <w:t>种数</w:t>
            </w:r>
          </w:p>
        </w:tc>
        <w:tc>
          <w:tcPr>
            <w:tcW w:w="2976" w:type="dxa"/>
            <w:noWrap w:val="0"/>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ascii="Times New Roman" w:hAnsi="Times New Roman" w:eastAsia="宋体"/>
                <w:b/>
                <w:bCs/>
                <w:color w:val="auto"/>
                <w:kern w:val="0"/>
                <w:sz w:val="21"/>
                <w:highlight w:val="none"/>
              </w:rPr>
              <w:t>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244"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野生</w:t>
            </w:r>
          </w:p>
        </w:tc>
        <w:tc>
          <w:tcPr>
            <w:tcW w:w="3022"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297</w:t>
            </w:r>
          </w:p>
        </w:tc>
        <w:tc>
          <w:tcPr>
            <w:tcW w:w="2976"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96.1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244"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栽培</w:t>
            </w:r>
          </w:p>
        </w:tc>
        <w:tc>
          <w:tcPr>
            <w:tcW w:w="3022"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w:t>
            </w:r>
          </w:p>
        </w:tc>
        <w:tc>
          <w:tcPr>
            <w:tcW w:w="2976"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244"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野生或栽培</w:t>
            </w:r>
          </w:p>
        </w:tc>
        <w:tc>
          <w:tcPr>
            <w:tcW w:w="3022"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w:t>
            </w:r>
          </w:p>
        </w:tc>
        <w:tc>
          <w:tcPr>
            <w:tcW w:w="2976"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244"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合计</w:t>
            </w:r>
          </w:p>
        </w:tc>
        <w:tc>
          <w:tcPr>
            <w:tcW w:w="3022"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309</w:t>
            </w:r>
          </w:p>
        </w:tc>
        <w:tc>
          <w:tcPr>
            <w:tcW w:w="2976" w:type="dxa"/>
            <w:noWrap w:val="0"/>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100</w:t>
            </w:r>
          </w:p>
        </w:tc>
      </w:tr>
    </w:tbl>
    <w:p>
      <w:pPr>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评价区内植物区系成分以草本植物为主，占维管植物的</w:t>
      </w:r>
      <w:r>
        <w:rPr>
          <w:rFonts w:hint="eastAsia" w:ascii="Times New Roman" w:hAnsi="Times New Roman" w:eastAsia="宋体"/>
          <w:color w:val="auto"/>
          <w:szCs w:val="24"/>
          <w:highlight w:val="none"/>
        </w:rPr>
        <w:t>57.3</w:t>
      </w:r>
      <w:r>
        <w:rPr>
          <w:rFonts w:hint="eastAsia"/>
          <w:color w:val="auto"/>
          <w:szCs w:val="24"/>
          <w:highlight w:val="none"/>
          <w:lang w:val="en-US" w:eastAsia="zh-CN"/>
        </w:rPr>
        <w:t>%</w:t>
      </w:r>
      <w:r>
        <w:rPr>
          <w:rFonts w:ascii="Times New Roman" w:hAnsi="Times New Roman" w:eastAsia="宋体"/>
          <w:color w:val="auto"/>
          <w:szCs w:val="24"/>
          <w:highlight w:val="none"/>
        </w:rPr>
        <w:t>（表</w:t>
      </w:r>
      <w:r>
        <w:rPr>
          <w:rFonts w:hint="eastAsia" w:ascii="Times New Roman" w:hAnsi="Times New Roman" w:eastAsia="宋体"/>
          <w:color w:val="auto"/>
          <w:szCs w:val="24"/>
          <w:highlight w:val="none"/>
        </w:rPr>
        <w:t>3.2-23</w:t>
      </w:r>
      <w:r>
        <w:rPr>
          <w:rFonts w:ascii="Times New Roman" w:hAnsi="Times New Roman" w:eastAsia="宋体"/>
          <w:color w:val="auto"/>
          <w:szCs w:val="24"/>
          <w:highlight w:val="none"/>
        </w:rPr>
        <w:t>）。草本植物占据了农田、路边、山坡、水边、荒地等生境，草本植物对干扰的适应能力强，在受人类干扰严重的环境中最先出现。</w:t>
      </w:r>
    </w:p>
    <w:p>
      <w:pPr>
        <w:pStyle w:val="13"/>
        <w:rPr>
          <w:rFonts w:ascii="Times New Roman" w:hAnsi="Times New Roman" w:eastAsia="宋体"/>
          <w:color w:val="auto"/>
          <w:highlight w:val="none"/>
        </w:rPr>
      </w:pPr>
      <w:r>
        <w:rPr>
          <w:rFonts w:ascii="Times New Roman" w:hAnsi="Times New Roman" w:eastAsia="宋体"/>
          <w:color w:val="auto"/>
          <w:highlight w:val="none"/>
        </w:rPr>
        <w:t>表</w:t>
      </w:r>
      <w:r>
        <w:rPr>
          <w:rFonts w:hint="eastAsia" w:ascii="Times New Roman" w:hAnsi="Times New Roman" w:eastAsia="宋体"/>
          <w:color w:val="auto"/>
          <w:highlight w:val="none"/>
        </w:rPr>
        <w:t>3.2-23</w:t>
      </w:r>
      <w:r>
        <w:rPr>
          <w:rFonts w:ascii="Times New Roman" w:hAnsi="Times New Roman" w:eastAsia="宋体"/>
          <w:color w:val="auto"/>
          <w:highlight w:val="none"/>
        </w:rPr>
        <w:t xml:space="preserve">  项目区域植物生长型统计</w:t>
      </w:r>
    </w:p>
    <w:tbl>
      <w:tblPr>
        <w:tblStyle w:val="48"/>
        <w:tblW w:w="924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667"/>
        <w:gridCol w:w="1667"/>
        <w:gridCol w:w="1349"/>
        <w:gridCol w:w="1669"/>
        <w:gridCol w:w="14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1450" w:type="dxa"/>
            <w:vMerge w:val="restart"/>
            <w:noWrap/>
            <w:vAlign w:val="center"/>
          </w:tcPr>
          <w:p>
            <w:pPr>
              <w:spacing w:line="240" w:lineRule="auto"/>
              <w:ind w:firstLine="0" w:firstLineChars="0"/>
              <w:jc w:val="center"/>
              <w:rPr>
                <w:rFonts w:ascii="Times New Roman" w:hAnsi="Times New Roman" w:eastAsia="宋体"/>
                <w:b/>
                <w:bCs/>
                <w:color w:val="auto"/>
                <w:kern w:val="0"/>
                <w:sz w:val="21"/>
                <w:highlight w:val="none"/>
              </w:rPr>
            </w:pPr>
          </w:p>
        </w:tc>
        <w:tc>
          <w:tcPr>
            <w:tcW w:w="6352" w:type="dxa"/>
            <w:gridSpan w:val="4"/>
            <w:noWrap/>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ascii="Times New Roman" w:hAnsi="Times New Roman" w:eastAsia="宋体"/>
                <w:b/>
                <w:bCs/>
                <w:color w:val="auto"/>
                <w:kern w:val="0"/>
                <w:sz w:val="21"/>
                <w:highlight w:val="none"/>
              </w:rPr>
              <w:t>生长型</w:t>
            </w:r>
          </w:p>
        </w:tc>
        <w:tc>
          <w:tcPr>
            <w:tcW w:w="1440" w:type="dxa"/>
            <w:vMerge w:val="restart"/>
            <w:noWrap/>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ascii="Times New Roman" w:hAnsi="Times New Roman" w:eastAsia="宋体"/>
                <w:b/>
                <w:bCs/>
                <w:color w:val="auto"/>
                <w:kern w:val="0"/>
                <w:sz w:val="21"/>
                <w:highlight w:val="none"/>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1450" w:type="dxa"/>
            <w:vMerge w:val="continue"/>
            <w:noWrap/>
            <w:vAlign w:val="center"/>
          </w:tcPr>
          <w:p>
            <w:pPr>
              <w:spacing w:line="240" w:lineRule="auto"/>
              <w:ind w:firstLine="0" w:firstLineChars="0"/>
              <w:jc w:val="center"/>
              <w:rPr>
                <w:rFonts w:ascii="Times New Roman" w:hAnsi="Times New Roman" w:eastAsia="宋体"/>
                <w:color w:val="auto"/>
                <w:kern w:val="0"/>
                <w:sz w:val="21"/>
                <w:highlight w:val="none"/>
              </w:rPr>
            </w:pPr>
          </w:p>
        </w:tc>
        <w:tc>
          <w:tcPr>
            <w:tcW w:w="1667" w:type="dxa"/>
            <w:noWrap/>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ascii="Times New Roman" w:hAnsi="Times New Roman" w:eastAsia="宋体"/>
                <w:b/>
                <w:bCs/>
                <w:color w:val="auto"/>
                <w:kern w:val="0"/>
                <w:sz w:val="21"/>
                <w:highlight w:val="none"/>
              </w:rPr>
              <w:t>乔木</w:t>
            </w:r>
          </w:p>
        </w:tc>
        <w:tc>
          <w:tcPr>
            <w:tcW w:w="1667" w:type="dxa"/>
            <w:noWrap/>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ascii="Times New Roman" w:hAnsi="Times New Roman" w:eastAsia="宋体"/>
                <w:b/>
                <w:bCs/>
                <w:color w:val="auto"/>
                <w:kern w:val="0"/>
                <w:sz w:val="21"/>
                <w:highlight w:val="none"/>
              </w:rPr>
              <w:t>灌木</w:t>
            </w:r>
          </w:p>
        </w:tc>
        <w:tc>
          <w:tcPr>
            <w:tcW w:w="1349" w:type="dxa"/>
            <w:noWrap/>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ascii="Times New Roman" w:hAnsi="Times New Roman" w:eastAsia="宋体"/>
                <w:b/>
                <w:bCs/>
                <w:color w:val="auto"/>
                <w:kern w:val="0"/>
                <w:sz w:val="21"/>
                <w:highlight w:val="none"/>
              </w:rPr>
              <w:t>藤本</w:t>
            </w:r>
          </w:p>
        </w:tc>
        <w:tc>
          <w:tcPr>
            <w:tcW w:w="1669" w:type="dxa"/>
            <w:noWrap/>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ascii="Times New Roman" w:hAnsi="Times New Roman" w:eastAsia="宋体"/>
                <w:b/>
                <w:bCs/>
                <w:color w:val="auto"/>
                <w:kern w:val="0"/>
                <w:sz w:val="21"/>
                <w:highlight w:val="none"/>
              </w:rPr>
              <w:t>草本</w:t>
            </w:r>
          </w:p>
        </w:tc>
        <w:tc>
          <w:tcPr>
            <w:tcW w:w="1440" w:type="dxa"/>
            <w:vMerge w:val="continue"/>
            <w:noWrap w:val="0"/>
            <w:vAlign w:val="center"/>
          </w:tcPr>
          <w:p>
            <w:pPr>
              <w:spacing w:line="240" w:lineRule="auto"/>
              <w:ind w:firstLine="0" w:firstLineChars="0"/>
              <w:jc w:val="center"/>
              <w:rPr>
                <w:rFonts w:ascii="Times New Roman" w:hAnsi="Times New Roman" w:eastAsia="宋体"/>
                <w:color w:val="auto"/>
                <w:kern w:val="0"/>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1450" w:type="dxa"/>
            <w:noWrap/>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种数</w:t>
            </w:r>
          </w:p>
        </w:tc>
        <w:tc>
          <w:tcPr>
            <w:tcW w:w="1667" w:type="dxa"/>
            <w:noWrap/>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34</w:t>
            </w:r>
          </w:p>
        </w:tc>
        <w:tc>
          <w:tcPr>
            <w:tcW w:w="1667" w:type="dxa"/>
            <w:noWrap/>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57</w:t>
            </w:r>
          </w:p>
        </w:tc>
        <w:tc>
          <w:tcPr>
            <w:tcW w:w="1349" w:type="dxa"/>
            <w:noWrap/>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41</w:t>
            </w:r>
          </w:p>
        </w:tc>
        <w:tc>
          <w:tcPr>
            <w:tcW w:w="1669" w:type="dxa"/>
            <w:noWrap/>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177</w:t>
            </w:r>
          </w:p>
        </w:tc>
        <w:tc>
          <w:tcPr>
            <w:tcW w:w="1440" w:type="dxa"/>
            <w:noWrap/>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309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1450" w:type="dxa"/>
            <w:noWrap/>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比例</w:t>
            </w:r>
          </w:p>
        </w:tc>
        <w:tc>
          <w:tcPr>
            <w:tcW w:w="1667" w:type="dxa"/>
            <w:noWrap/>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11.0</w:t>
            </w:r>
          </w:p>
        </w:tc>
        <w:tc>
          <w:tcPr>
            <w:tcW w:w="1667" w:type="dxa"/>
            <w:noWrap/>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18.4</w:t>
            </w:r>
          </w:p>
        </w:tc>
        <w:tc>
          <w:tcPr>
            <w:tcW w:w="1349" w:type="dxa"/>
            <w:noWrap/>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13.3</w:t>
            </w:r>
          </w:p>
        </w:tc>
        <w:tc>
          <w:tcPr>
            <w:tcW w:w="1669" w:type="dxa"/>
            <w:noWrap/>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57.3</w:t>
            </w:r>
          </w:p>
        </w:tc>
        <w:tc>
          <w:tcPr>
            <w:tcW w:w="1440" w:type="dxa"/>
            <w:noWrap/>
            <w:vAlign w:val="center"/>
          </w:tcPr>
          <w:p>
            <w:pPr>
              <w:spacing w:line="240" w:lineRule="auto"/>
              <w:ind w:firstLine="0" w:firstLineChars="0"/>
              <w:jc w:val="center"/>
              <w:rPr>
                <w:rFonts w:ascii="Times New Roman" w:hAnsi="Times New Roman" w:eastAsia="宋体"/>
                <w:color w:val="auto"/>
                <w:kern w:val="0"/>
                <w:sz w:val="21"/>
                <w:highlight w:val="none"/>
              </w:rPr>
            </w:pPr>
            <w:r>
              <w:rPr>
                <w:rFonts w:ascii="Times New Roman" w:hAnsi="Times New Roman" w:eastAsia="宋体"/>
                <w:color w:val="auto"/>
                <w:kern w:val="0"/>
                <w:sz w:val="21"/>
                <w:highlight w:val="none"/>
              </w:rPr>
              <w:t>100</w:t>
            </w:r>
          </w:p>
        </w:tc>
      </w:tr>
    </w:tbl>
    <w:p>
      <w:pPr>
        <w:ind w:firstLine="480"/>
        <w:rPr>
          <w:rFonts w:ascii="Times New Roman" w:hAnsi="Times New Roman" w:eastAsia="宋体" w:cs="Times New Roman"/>
          <w:bCs/>
          <w:color w:val="auto"/>
          <w:highlight w:val="none"/>
        </w:rPr>
      </w:pPr>
      <w:r>
        <w:rPr>
          <w:rFonts w:ascii="Times New Roman" w:hAnsi="Times New Roman" w:eastAsia="宋体" w:cs="Times New Roman"/>
          <w:color w:val="auto"/>
          <w:highlight w:val="none"/>
        </w:rPr>
        <w:t>2、评价区重点保护野生植物调查</w:t>
      </w:r>
    </w:p>
    <w:p>
      <w:pPr>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评价区内发现1种国家</w:t>
      </w:r>
      <w:r>
        <w:rPr>
          <w:rFonts w:hint="default" w:ascii="Times New Roman" w:hAnsi="Times New Roman" w:eastAsia="宋体" w:cs="Times New Roman"/>
          <w:color w:val="auto"/>
          <w:kern w:val="0"/>
          <w:szCs w:val="24"/>
          <w:highlight w:val="none"/>
        </w:rPr>
        <w:t>Ⅱ</w:t>
      </w:r>
      <w:r>
        <w:rPr>
          <w:rFonts w:hint="default" w:ascii="Times New Roman" w:hAnsi="Times New Roman" w:eastAsia="宋体" w:cs="Times New Roman"/>
          <w:color w:val="auto"/>
          <w:szCs w:val="24"/>
          <w:highlight w:val="none"/>
        </w:rPr>
        <w:t>级重点保护野生植物金毛狗（</w:t>
      </w:r>
      <w:r>
        <w:rPr>
          <w:rFonts w:hint="default" w:ascii="Times New Roman" w:hAnsi="Times New Roman" w:eastAsia="宋体" w:cs="Times New Roman"/>
          <w:i/>
          <w:color w:val="auto"/>
          <w:szCs w:val="24"/>
          <w:highlight w:val="none"/>
        </w:rPr>
        <w:t>Cibotium</w:t>
      </w:r>
      <w:r>
        <w:rPr>
          <w:rFonts w:hint="default" w:ascii="Times New Roman" w:hAnsi="Times New Roman" w:eastAsia="宋体" w:cs="Times New Roman"/>
          <w:color w:val="auto"/>
          <w:szCs w:val="24"/>
          <w:highlight w:val="none"/>
        </w:rPr>
        <w:t xml:space="preserve"> </w:t>
      </w:r>
      <w:r>
        <w:rPr>
          <w:rFonts w:hint="default" w:ascii="Times New Roman" w:hAnsi="Times New Roman" w:eastAsia="宋体" w:cs="Times New Roman"/>
          <w:i/>
          <w:color w:val="auto"/>
          <w:szCs w:val="24"/>
          <w:highlight w:val="none"/>
        </w:rPr>
        <w:t>barometz</w:t>
      </w:r>
      <w:r>
        <w:rPr>
          <w:rFonts w:hint="default" w:ascii="Times New Roman" w:hAnsi="Times New Roman" w:eastAsia="宋体" w:cs="Times New Roman"/>
          <w:color w:val="auto"/>
          <w:szCs w:val="24"/>
          <w:highlight w:val="none"/>
        </w:rPr>
        <w:t>），为蕨类草本植物，生于项目区红线外，公路旁山坡，种群数量仅有2丛，面积约30m</w:t>
      </w:r>
      <w:r>
        <w:rPr>
          <w:rFonts w:hint="default" w:ascii="Times New Roman" w:hAnsi="Times New Roman" w:eastAsia="宋体" w:cs="Times New Roman"/>
          <w:color w:val="auto"/>
          <w:szCs w:val="24"/>
          <w:highlight w:val="none"/>
          <w:vertAlign w:val="superscript"/>
        </w:rPr>
        <w:t>2</w:t>
      </w:r>
      <w:r>
        <w:rPr>
          <w:rFonts w:hint="default" w:ascii="Times New Roman" w:hAnsi="Times New Roman" w:eastAsia="宋体" w:cs="Times New Roman"/>
          <w:color w:val="auto"/>
          <w:szCs w:val="24"/>
          <w:highlight w:val="none"/>
        </w:rPr>
        <w:t>，坐标为：</w:t>
      </w:r>
      <w:r>
        <w:rPr>
          <w:rFonts w:hint="default" w:ascii="Times New Roman" w:hAnsi="Times New Roman" w:eastAsia="宋体" w:cs="Times New Roman"/>
          <w:color w:val="auto"/>
          <w:highlight w:val="none"/>
        </w:rPr>
        <w:t>109°42＇32.8"E，25°45＇28.5"N</w:t>
      </w:r>
      <w:r>
        <w:rPr>
          <w:rFonts w:hint="default" w:ascii="Times New Roman" w:hAnsi="Times New Roman" w:eastAsia="宋体" w:cs="Times New Roman"/>
          <w:color w:val="auto"/>
          <w:szCs w:val="24"/>
          <w:highlight w:val="none"/>
        </w:rPr>
        <w:t>。未发现广西重点保护野生植物。</w:t>
      </w:r>
    </w:p>
    <w:p>
      <w:pPr>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在工人住房旁发现1株南方红豆杉，南方红豆杉为国家</w:t>
      </w:r>
      <w:r>
        <w:rPr>
          <w:rFonts w:hint="default" w:ascii="Times New Roman" w:hAnsi="Times New Roman" w:eastAsia="宋体" w:cs="Times New Roman"/>
          <w:color w:val="auto"/>
          <w:kern w:val="0"/>
          <w:szCs w:val="24"/>
          <w:highlight w:val="none"/>
        </w:rPr>
        <w:t>Ⅰ级重点保护植物，</w:t>
      </w:r>
      <w:r>
        <w:rPr>
          <w:rFonts w:hint="default" w:ascii="Times New Roman" w:hAnsi="Times New Roman" w:eastAsia="宋体" w:cs="Times New Roman"/>
          <w:color w:val="auto"/>
          <w:szCs w:val="24"/>
          <w:highlight w:val="none"/>
        </w:rPr>
        <w:t>但此树来源为引种栽培的绿化树，非野生植物。</w:t>
      </w:r>
    </w:p>
    <w:p>
      <w:pPr>
        <w:pStyle w:val="13"/>
        <w:rPr>
          <w:rFonts w:ascii="Times New Roman" w:hAnsi="Times New Roman" w:eastAsia="宋体"/>
          <w:color w:val="auto"/>
          <w:highlight w:val="none"/>
        </w:rPr>
      </w:pPr>
      <w:r>
        <w:rPr>
          <w:rFonts w:ascii="Times New Roman" w:hAnsi="Times New Roman" w:eastAsia="宋体"/>
          <w:color w:val="auto"/>
          <w:highlight w:val="none"/>
        </w:rPr>
        <w:t>表</w:t>
      </w:r>
      <w:r>
        <w:rPr>
          <w:rFonts w:hint="eastAsia" w:ascii="Times New Roman" w:hAnsi="Times New Roman" w:eastAsia="宋体"/>
          <w:color w:val="auto"/>
          <w:highlight w:val="none"/>
        </w:rPr>
        <w:t>3.2-24</w:t>
      </w:r>
      <w:r>
        <w:rPr>
          <w:rFonts w:ascii="Times New Roman" w:hAnsi="Times New Roman" w:eastAsia="宋体"/>
          <w:color w:val="auto"/>
          <w:highlight w:val="none"/>
        </w:rPr>
        <w:t xml:space="preserve">  </w:t>
      </w:r>
      <w:r>
        <w:rPr>
          <w:rFonts w:hint="eastAsia" w:ascii="Times New Roman" w:hAnsi="Times New Roman" w:eastAsia="宋体"/>
          <w:color w:val="auto"/>
          <w:highlight w:val="none"/>
        </w:rPr>
        <w:t>项目区内的保护植物</w:t>
      </w:r>
    </w:p>
    <w:tbl>
      <w:tblPr>
        <w:tblStyle w:val="48"/>
        <w:tblW w:w="924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3242"/>
        <w:gridCol w:w="1268"/>
        <w:gridCol w:w="761"/>
        <w:gridCol w:w="1085"/>
        <w:gridCol w:w="13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522" w:type="dxa"/>
            <w:noWrap/>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hint="eastAsia" w:ascii="Times New Roman" w:hAnsi="Times New Roman" w:eastAsia="宋体"/>
                <w:b/>
                <w:bCs/>
                <w:color w:val="auto"/>
                <w:kern w:val="0"/>
                <w:sz w:val="21"/>
                <w:highlight w:val="none"/>
              </w:rPr>
              <w:t>种名</w:t>
            </w:r>
          </w:p>
        </w:tc>
        <w:tc>
          <w:tcPr>
            <w:tcW w:w="3242" w:type="dxa"/>
            <w:noWrap/>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hint="eastAsia" w:ascii="Times New Roman" w:hAnsi="Times New Roman" w:eastAsia="宋体"/>
                <w:b/>
                <w:bCs/>
                <w:color w:val="auto"/>
                <w:kern w:val="0"/>
                <w:sz w:val="21"/>
                <w:highlight w:val="none"/>
              </w:rPr>
              <w:t>学名</w:t>
            </w:r>
          </w:p>
        </w:tc>
        <w:tc>
          <w:tcPr>
            <w:tcW w:w="1268" w:type="dxa"/>
            <w:noWrap/>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hint="eastAsia" w:ascii="Times New Roman" w:hAnsi="Times New Roman" w:eastAsia="宋体"/>
                <w:b/>
                <w:bCs/>
                <w:color w:val="auto"/>
                <w:kern w:val="0"/>
                <w:sz w:val="21"/>
                <w:highlight w:val="none"/>
              </w:rPr>
              <w:t>科名</w:t>
            </w:r>
          </w:p>
        </w:tc>
        <w:tc>
          <w:tcPr>
            <w:tcW w:w="761" w:type="dxa"/>
            <w:noWrap/>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hint="eastAsia" w:ascii="Times New Roman" w:hAnsi="Times New Roman" w:eastAsia="宋体"/>
                <w:b/>
                <w:bCs/>
                <w:color w:val="auto"/>
                <w:kern w:val="0"/>
                <w:sz w:val="21"/>
                <w:highlight w:val="none"/>
              </w:rPr>
              <w:t>来源</w:t>
            </w:r>
          </w:p>
        </w:tc>
        <w:tc>
          <w:tcPr>
            <w:tcW w:w="1085" w:type="dxa"/>
            <w:noWrap/>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hint="eastAsia" w:ascii="Times New Roman" w:hAnsi="Times New Roman" w:eastAsia="宋体"/>
                <w:b/>
                <w:bCs/>
                <w:color w:val="auto"/>
                <w:kern w:val="0"/>
                <w:sz w:val="21"/>
                <w:highlight w:val="none"/>
              </w:rPr>
              <w:t>生长型</w:t>
            </w:r>
          </w:p>
        </w:tc>
        <w:tc>
          <w:tcPr>
            <w:tcW w:w="1364" w:type="dxa"/>
            <w:noWrap/>
            <w:vAlign w:val="center"/>
          </w:tcPr>
          <w:p>
            <w:pPr>
              <w:spacing w:line="240" w:lineRule="auto"/>
              <w:ind w:firstLine="0" w:firstLineChars="0"/>
              <w:jc w:val="center"/>
              <w:rPr>
                <w:rFonts w:ascii="Times New Roman" w:hAnsi="Times New Roman" w:eastAsia="宋体"/>
                <w:b/>
                <w:bCs/>
                <w:color w:val="auto"/>
                <w:kern w:val="0"/>
                <w:sz w:val="21"/>
                <w:highlight w:val="none"/>
              </w:rPr>
            </w:pPr>
            <w:r>
              <w:rPr>
                <w:rFonts w:hint="eastAsia" w:ascii="Times New Roman" w:hAnsi="Times New Roman" w:eastAsia="宋体"/>
                <w:b/>
                <w:bCs/>
                <w:color w:val="auto"/>
                <w:kern w:val="0"/>
                <w:sz w:val="21"/>
                <w:highlight w:val="none"/>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522" w:type="dxa"/>
            <w:noWrap/>
            <w:vAlign w:val="center"/>
          </w:tcPr>
          <w:p>
            <w:pPr>
              <w:spacing w:line="240" w:lineRule="auto"/>
              <w:ind w:firstLine="0" w:firstLineChars="0"/>
              <w:jc w:val="center"/>
              <w:rPr>
                <w:rFonts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金毛狗</w:t>
            </w:r>
          </w:p>
        </w:tc>
        <w:tc>
          <w:tcPr>
            <w:tcW w:w="3242" w:type="dxa"/>
            <w:noWrap/>
            <w:vAlign w:val="center"/>
          </w:tcPr>
          <w:p>
            <w:pPr>
              <w:spacing w:line="240" w:lineRule="auto"/>
              <w:ind w:firstLine="0" w:firstLineChars="0"/>
              <w:jc w:val="center"/>
              <w:rPr>
                <w:rFonts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Cibotium barometz</w:t>
            </w:r>
          </w:p>
        </w:tc>
        <w:tc>
          <w:tcPr>
            <w:tcW w:w="1268" w:type="dxa"/>
            <w:noWrap/>
            <w:vAlign w:val="center"/>
          </w:tcPr>
          <w:p>
            <w:pPr>
              <w:spacing w:line="240" w:lineRule="auto"/>
              <w:ind w:firstLine="0" w:firstLineChars="0"/>
              <w:jc w:val="center"/>
              <w:rPr>
                <w:rFonts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红线外</w:t>
            </w:r>
          </w:p>
        </w:tc>
        <w:tc>
          <w:tcPr>
            <w:tcW w:w="761" w:type="dxa"/>
            <w:noWrap/>
            <w:vAlign w:val="center"/>
          </w:tcPr>
          <w:p>
            <w:pPr>
              <w:spacing w:line="240" w:lineRule="auto"/>
              <w:ind w:firstLine="0" w:firstLineChars="0"/>
              <w:jc w:val="center"/>
              <w:rPr>
                <w:rFonts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野生</w:t>
            </w:r>
          </w:p>
        </w:tc>
        <w:tc>
          <w:tcPr>
            <w:tcW w:w="1085" w:type="dxa"/>
            <w:noWrap/>
            <w:vAlign w:val="center"/>
          </w:tcPr>
          <w:p>
            <w:pPr>
              <w:spacing w:line="240" w:lineRule="auto"/>
              <w:ind w:firstLine="0" w:firstLineChars="0"/>
              <w:jc w:val="center"/>
              <w:rPr>
                <w:rFonts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草本</w:t>
            </w:r>
          </w:p>
        </w:tc>
        <w:tc>
          <w:tcPr>
            <w:tcW w:w="1364" w:type="dxa"/>
            <w:noWrap/>
            <w:vAlign w:val="center"/>
          </w:tcPr>
          <w:p>
            <w:pPr>
              <w:spacing w:line="240" w:lineRule="auto"/>
              <w:ind w:firstLine="0" w:firstLineChars="0"/>
              <w:jc w:val="center"/>
              <w:rPr>
                <w:rFonts w:hint="eastAsia" w:ascii="Times New Roman" w:hAnsi="Times New Roman" w:eastAsia="宋体" w:cs="Times New Roman"/>
                <w:color w:val="auto"/>
                <w:kern w:val="0"/>
                <w:sz w:val="21"/>
                <w:highlight w:val="none"/>
                <w:u w:val="single"/>
                <w:lang w:val="en-US" w:eastAsia="zh-CN"/>
              </w:rPr>
            </w:pPr>
            <w:r>
              <w:rPr>
                <w:rFonts w:hint="default" w:ascii="Times New Roman" w:hAnsi="Times New Roman" w:eastAsia="宋体" w:cs="Times New Roman"/>
                <w:color w:val="auto"/>
                <w:kern w:val="0"/>
                <w:sz w:val="21"/>
                <w:highlight w:val="none"/>
                <w:u w:val="single"/>
              </w:rPr>
              <w:t>国家Ⅱ</w:t>
            </w:r>
            <w:r>
              <w:rPr>
                <w:rFonts w:hint="eastAsia" w:ascii="Times New Roman" w:hAnsi="Times New Roman" w:cs="Times New Roman"/>
                <w:color w:val="auto"/>
                <w:kern w:val="0"/>
                <w:sz w:val="21"/>
                <w:highlight w:val="none"/>
                <w:u w:val="single"/>
                <w:lang w:val="en-US" w:eastAsia="zh-CN"/>
              </w:rPr>
              <w:t>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522" w:type="dxa"/>
            <w:noWrap/>
            <w:vAlign w:val="center"/>
          </w:tcPr>
          <w:p>
            <w:pPr>
              <w:spacing w:line="240" w:lineRule="auto"/>
              <w:ind w:firstLine="0" w:firstLineChars="0"/>
              <w:jc w:val="center"/>
              <w:rPr>
                <w:rFonts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南方红豆杉</w:t>
            </w:r>
          </w:p>
        </w:tc>
        <w:tc>
          <w:tcPr>
            <w:tcW w:w="3242" w:type="dxa"/>
            <w:noWrap/>
            <w:vAlign w:val="center"/>
          </w:tcPr>
          <w:p>
            <w:pPr>
              <w:spacing w:line="240" w:lineRule="auto"/>
              <w:ind w:firstLine="0" w:firstLineChars="0"/>
              <w:jc w:val="center"/>
              <w:rPr>
                <w:rFonts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Taxus wallichiana var. mairei</w:t>
            </w:r>
          </w:p>
        </w:tc>
        <w:tc>
          <w:tcPr>
            <w:tcW w:w="1268" w:type="dxa"/>
            <w:noWrap/>
            <w:vAlign w:val="center"/>
          </w:tcPr>
          <w:p>
            <w:pPr>
              <w:spacing w:line="240" w:lineRule="auto"/>
              <w:ind w:firstLine="0" w:firstLineChars="0"/>
              <w:jc w:val="center"/>
              <w:rPr>
                <w:rFonts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红线内</w:t>
            </w:r>
          </w:p>
        </w:tc>
        <w:tc>
          <w:tcPr>
            <w:tcW w:w="761" w:type="dxa"/>
            <w:noWrap/>
            <w:vAlign w:val="center"/>
          </w:tcPr>
          <w:p>
            <w:pPr>
              <w:spacing w:line="240" w:lineRule="auto"/>
              <w:ind w:firstLine="0" w:firstLineChars="0"/>
              <w:jc w:val="center"/>
              <w:rPr>
                <w:rFonts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栽培</w:t>
            </w:r>
          </w:p>
        </w:tc>
        <w:tc>
          <w:tcPr>
            <w:tcW w:w="1085" w:type="dxa"/>
            <w:noWrap/>
            <w:vAlign w:val="center"/>
          </w:tcPr>
          <w:p>
            <w:pPr>
              <w:spacing w:line="240" w:lineRule="auto"/>
              <w:ind w:firstLine="0" w:firstLineChars="0"/>
              <w:jc w:val="center"/>
              <w:rPr>
                <w:rFonts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乔木</w:t>
            </w:r>
          </w:p>
        </w:tc>
        <w:tc>
          <w:tcPr>
            <w:tcW w:w="1364" w:type="dxa"/>
            <w:noWrap/>
            <w:vAlign w:val="center"/>
          </w:tcPr>
          <w:p>
            <w:pPr>
              <w:spacing w:line="240" w:lineRule="auto"/>
              <w:ind w:firstLine="0" w:firstLineChars="0"/>
              <w:jc w:val="center"/>
              <w:rPr>
                <w:rFonts w:hint="eastAsia" w:ascii="Times New Roman" w:hAnsi="Times New Roman" w:eastAsia="宋体" w:cs="Times New Roman"/>
                <w:color w:val="auto"/>
                <w:kern w:val="0"/>
                <w:sz w:val="21"/>
                <w:highlight w:val="none"/>
                <w:u w:val="single"/>
                <w:lang w:val="en-US" w:eastAsia="zh-CN"/>
              </w:rPr>
            </w:pPr>
            <w:r>
              <w:rPr>
                <w:rFonts w:hint="default" w:ascii="Times New Roman" w:hAnsi="Times New Roman" w:eastAsia="宋体" w:cs="Times New Roman"/>
                <w:color w:val="auto"/>
                <w:kern w:val="0"/>
                <w:sz w:val="21"/>
                <w:highlight w:val="none"/>
                <w:u w:val="single"/>
              </w:rPr>
              <w:t>国家Ⅰ</w:t>
            </w:r>
            <w:r>
              <w:rPr>
                <w:rFonts w:hint="eastAsia" w:ascii="Times New Roman" w:hAnsi="Times New Roman" w:cs="Times New Roman"/>
                <w:color w:val="auto"/>
                <w:kern w:val="0"/>
                <w:sz w:val="21"/>
                <w:highlight w:val="none"/>
                <w:u w:val="single"/>
                <w:lang w:val="en-US" w:eastAsia="zh-CN"/>
              </w:rPr>
              <w:t>级</w:t>
            </w:r>
          </w:p>
        </w:tc>
      </w:tr>
    </w:tbl>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3、评价区古树名木调查</w:t>
      </w:r>
    </w:p>
    <w:p>
      <w:pPr>
        <w:ind w:firstLine="480"/>
        <w:rPr>
          <w:rFonts w:hint="eastAsia" w:ascii="Times New Roman" w:hAnsi="Times New Roman" w:eastAsia="宋体"/>
          <w:color w:val="auto"/>
          <w:szCs w:val="24"/>
          <w:highlight w:val="none"/>
        </w:rPr>
      </w:pPr>
      <w:r>
        <w:rPr>
          <w:rFonts w:hint="eastAsia" w:ascii="Times New Roman" w:hAnsi="Times New Roman" w:eastAsia="宋体"/>
          <w:color w:val="auto"/>
          <w:szCs w:val="24"/>
          <w:highlight w:val="none"/>
        </w:rPr>
        <w:t>根据2017年6月1日开始施行的《广西壮族自治区古树名木保护条例》，经实地调查，在评价区范围内共调查到3株古树。3株古树生于项目红线区外，公路南侧，树种均为枫香树，树龄100年、120年和140年，均为三级古树，详见表3.2-25。</w:t>
      </w:r>
    </w:p>
    <w:p>
      <w:pPr>
        <w:pStyle w:val="13"/>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olor w:val="auto"/>
          <w:highlight w:val="none"/>
        </w:rPr>
      </w:pPr>
      <w:r>
        <w:rPr>
          <w:rFonts w:ascii="Times New Roman" w:hAnsi="Times New Roman" w:eastAsia="宋体"/>
          <w:color w:val="auto"/>
          <w:highlight w:val="none"/>
        </w:rPr>
        <w:t>表</w:t>
      </w:r>
      <w:r>
        <w:rPr>
          <w:rFonts w:hint="eastAsia" w:ascii="Times New Roman" w:hAnsi="Times New Roman" w:eastAsia="宋体"/>
          <w:color w:val="auto"/>
          <w:highlight w:val="none"/>
        </w:rPr>
        <w:t>3.2-25</w:t>
      </w:r>
      <w:r>
        <w:rPr>
          <w:rFonts w:ascii="Times New Roman" w:hAnsi="Times New Roman" w:eastAsia="宋体"/>
          <w:color w:val="auto"/>
          <w:highlight w:val="none"/>
        </w:rPr>
        <w:t xml:space="preserve">  </w:t>
      </w:r>
      <w:r>
        <w:rPr>
          <w:rFonts w:hint="eastAsia" w:ascii="Times New Roman" w:hAnsi="Times New Roman" w:eastAsia="宋体"/>
          <w:color w:val="auto"/>
          <w:highlight w:val="none"/>
        </w:rPr>
        <w:t>项目区内的古树</w:t>
      </w:r>
    </w:p>
    <w:tbl>
      <w:tblPr>
        <w:tblStyle w:val="48"/>
        <w:tblW w:w="924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480"/>
        <w:gridCol w:w="765"/>
        <w:gridCol w:w="765"/>
        <w:gridCol w:w="1161"/>
        <w:gridCol w:w="1045"/>
        <w:gridCol w:w="1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029" w:type="dxa"/>
            <w:noWrap w:val="0"/>
            <w:vAlign w:val="center"/>
          </w:tcPr>
          <w:p>
            <w:pPr>
              <w:spacing w:line="240" w:lineRule="auto"/>
              <w:ind w:firstLine="0" w:firstLineChars="0"/>
              <w:jc w:val="center"/>
              <w:rPr>
                <w:rFonts w:hint="eastAsia" w:ascii="Times New Roman" w:hAnsi="Times New Roman" w:eastAsia="宋体"/>
                <w:b/>
                <w:bCs/>
                <w:color w:val="auto"/>
                <w:kern w:val="0"/>
                <w:sz w:val="21"/>
                <w:highlight w:val="none"/>
              </w:rPr>
            </w:pPr>
            <w:r>
              <w:rPr>
                <w:rFonts w:hint="eastAsia" w:ascii="Times New Roman" w:hAnsi="Times New Roman" w:eastAsia="宋体"/>
                <w:b/>
                <w:bCs/>
                <w:color w:val="auto"/>
                <w:kern w:val="0"/>
                <w:sz w:val="21"/>
                <w:highlight w:val="none"/>
              </w:rPr>
              <w:t>种名</w:t>
            </w:r>
          </w:p>
        </w:tc>
        <w:tc>
          <w:tcPr>
            <w:tcW w:w="2480" w:type="dxa"/>
            <w:noWrap w:val="0"/>
            <w:vAlign w:val="center"/>
          </w:tcPr>
          <w:p>
            <w:pPr>
              <w:spacing w:line="240" w:lineRule="auto"/>
              <w:ind w:firstLine="0" w:firstLineChars="0"/>
              <w:jc w:val="center"/>
              <w:rPr>
                <w:rFonts w:hint="eastAsia" w:ascii="Times New Roman" w:hAnsi="Times New Roman" w:eastAsia="宋体"/>
                <w:b/>
                <w:bCs/>
                <w:color w:val="auto"/>
                <w:kern w:val="0"/>
                <w:sz w:val="21"/>
                <w:highlight w:val="none"/>
              </w:rPr>
            </w:pPr>
            <w:r>
              <w:rPr>
                <w:rFonts w:hint="eastAsia" w:ascii="Times New Roman" w:hAnsi="Times New Roman" w:eastAsia="宋体"/>
                <w:b/>
                <w:bCs/>
                <w:color w:val="auto"/>
                <w:kern w:val="0"/>
                <w:sz w:val="21"/>
                <w:highlight w:val="none"/>
              </w:rPr>
              <w:t>古树编号</w:t>
            </w:r>
          </w:p>
        </w:tc>
        <w:tc>
          <w:tcPr>
            <w:tcW w:w="765" w:type="dxa"/>
            <w:noWrap w:val="0"/>
            <w:vAlign w:val="center"/>
          </w:tcPr>
          <w:p>
            <w:pPr>
              <w:spacing w:line="240" w:lineRule="auto"/>
              <w:ind w:firstLine="0" w:firstLineChars="0"/>
              <w:jc w:val="center"/>
              <w:rPr>
                <w:rFonts w:hint="eastAsia" w:ascii="Times New Roman" w:hAnsi="Times New Roman" w:eastAsia="宋体"/>
                <w:b/>
                <w:bCs/>
                <w:color w:val="auto"/>
                <w:kern w:val="0"/>
                <w:sz w:val="21"/>
                <w:highlight w:val="none"/>
              </w:rPr>
            </w:pPr>
            <w:r>
              <w:rPr>
                <w:rFonts w:hint="eastAsia" w:ascii="Times New Roman" w:hAnsi="Times New Roman" w:eastAsia="宋体"/>
                <w:b/>
                <w:bCs/>
                <w:color w:val="auto"/>
                <w:kern w:val="0"/>
                <w:sz w:val="21"/>
                <w:highlight w:val="none"/>
              </w:rPr>
              <w:t>树龄</w:t>
            </w:r>
          </w:p>
        </w:tc>
        <w:tc>
          <w:tcPr>
            <w:tcW w:w="765" w:type="dxa"/>
            <w:noWrap w:val="0"/>
            <w:vAlign w:val="center"/>
          </w:tcPr>
          <w:p>
            <w:pPr>
              <w:spacing w:line="240" w:lineRule="auto"/>
              <w:ind w:firstLine="0" w:firstLineChars="0"/>
              <w:jc w:val="center"/>
              <w:rPr>
                <w:rFonts w:hint="eastAsia" w:ascii="Times New Roman" w:hAnsi="Times New Roman" w:eastAsia="宋体"/>
                <w:b/>
                <w:bCs/>
                <w:color w:val="auto"/>
                <w:kern w:val="0"/>
                <w:sz w:val="21"/>
                <w:highlight w:val="none"/>
              </w:rPr>
            </w:pPr>
            <w:r>
              <w:rPr>
                <w:rFonts w:hint="eastAsia" w:ascii="Times New Roman" w:hAnsi="Times New Roman" w:eastAsia="宋体"/>
                <w:b/>
                <w:bCs/>
                <w:color w:val="auto"/>
                <w:kern w:val="0"/>
                <w:sz w:val="21"/>
                <w:highlight w:val="none"/>
              </w:rPr>
              <w:t>等级</w:t>
            </w:r>
          </w:p>
        </w:tc>
        <w:tc>
          <w:tcPr>
            <w:tcW w:w="1161" w:type="dxa"/>
            <w:noWrap w:val="0"/>
            <w:vAlign w:val="center"/>
          </w:tcPr>
          <w:p>
            <w:pPr>
              <w:spacing w:line="240" w:lineRule="auto"/>
              <w:ind w:firstLine="0" w:firstLineChars="0"/>
              <w:jc w:val="center"/>
              <w:rPr>
                <w:rFonts w:hint="eastAsia" w:ascii="Times New Roman" w:hAnsi="Times New Roman" w:eastAsia="宋体"/>
                <w:b/>
                <w:bCs/>
                <w:color w:val="auto"/>
                <w:kern w:val="0"/>
                <w:sz w:val="21"/>
                <w:highlight w:val="none"/>
              </w:rPr>
            </w:pPr>
            <w:r>
              <w:rPr>
                <w:rFonts w:hint="eastAsia" w:ascii="Times New Roman" w:hAnsi="Times New Roman" w:eastAsia="宋体"/>
                <w:b/>
                <w:bCs/>
                <w:color w:val="auto"/>
                <w:kern w:val="0"/>
                <w:sz w:val="21"/>
                <w:highlight w:val="none"/>
              </w:rPr>
              <w:t>胸径/cm</w:t>
            </w:r>
          </w:p>
        </w:tc>
        <w:tc>
          <w:tcPr>
            <w:tcW w:w="1045" w:type="dxa"/>
            <w:noWrap w:val="0"/>
            <w:vAlign w:val="center"/>
          </w:tcPr>
          <w:p>
            <w:pPr>
              <w:spacing w:line="240" w:lineRule="auto"/>
              <w:ind w:firstLine="0" w:firstLineChars="0"/>
              <w:jc w:val="center"/>
              <w:rPr>
                <w:rFonts w:hint="eastAsia" w:ascii="Times New Roman" w:hAnsi="Times New Roman" w:eastAsia="宋体"/>
                <w:b/>
                <w:bCs/>
                <w:color w:val="auto"/>
                <w:kern w:val="0"/>
                <w:sz w:val="21"/>
                <w:highlight w:val="none"/>
              </w:rPr>
            </w:pPr>
            <w:r>
              <w:rPr>
                <w:rFonts w:hint="eastAsia" w:ascii="Times New Roman" w:hAnsi="Times New Roman" w:eastAsia="宋体"/>
                <w:b/>
                <w:bCs/>
                <w:color w:val="auto"/>
                <w:kern w:val="0"/>
                <w:sz w:val="21"/>
                <w:highlight w:val="none"/>
              </w:rPr>
              <w:t>树高/m</w:t>
            </w:r>
          </w:p>
        </w:tc>
        <w:tc>
          <w:tcPr>
            <w:tcW w:w="1997" w:type="dxa"/>
            <w:noWrap w:val="0"/>
            <w:vAlign w:val="center"/>
          </w:tcPr>
          <w:p>
            <w:pPr>
              <w:spacing w:line="240" w:lineRule="auto"/>
              <w:ind w:firstLine="0" w:firstLineChars="0"/>
              <w:jc w:val="center"/>
              <w:rPr>
                <w:rFonts w:hint="eastAsia" w:ascii="Times New Roman" w:hAnsi="Times New Roman" w:eastAsia="宋体"/>
                <w:b/>
                <w:bCs/>
                <w:color w:val="auto"/>
                <w:kern w:val="0"/>
                <w:sz w:val="21"/>
                <w:highlight w:val="none"/>
              </w:rPr>
            </w:pPr>
            <w:r>
              <w:rPr>
                <w:rFonts w:hint="eastAsia" w:ascii="Times New Roman" w:hAnsi="Times New Roman" w:eastAsia="宋体"/>
                <w:b/>
                <w:bCs/>
                <w:color w:val="auto"/>
                <w:kern w:val="0"/>
                <w:sz w:val="21"/>
                <w:highlight w:val="none"/>
              </w:rPr>
              <w:t>坐标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029" w:type="dxa"/>
            <w:noWrap w:val="0"/>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枫香树</w:t>
            </w:r>
          </w:p>
        </w:tc>
        <w:tc>
          <w:tcPr>
            <w:tcW w:w="2480" w:type="dxa"/>
            <w:noWrap w:val="0"/>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45022610120819155</w:t>
            </w:r>
          </w:p>
        </w:tc>
        <w:tc>
          <w:tcPr>
            <w:tcW w:w="765" w:type="dxa"/>
            <w:noWrap w:val="0"/>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120</w:t>
            </w:r>
          </w:p>
        </w:tc>
        <w:tc>
          <w:tcPr>
            <w:tcW w:w="765" w:type="dxa"/>
            <w:noWrap w:val="0"/>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三级</w:t>
            </w:r>
          </w:p>
        </w:tc>
        <w:tc>
          <w:tcPr>
            <w:tcW w:w="1161" w:type="dxa"/>
            <w:noWrap w:val="0"/>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66.8</w:t>
            </w:r>
          </w:p>
        </w:tc>
        <w:tc>
          <w:tcPr>
            <w:tcW w:w="1045" w:type="dxa"/>
            <w:noWrap w:val="0"/>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25</w:t>
            </w:r>
          </w:p>
        </w:tc>
        <w:tc>
          <w:tcPr>
            <w:tcW w:w="1997"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109°42</w:t>
            </w:r>
            <w:r>
              <w:rPr>
                <w:rFonts w:ascii="Times New Roman" w:hAnsi="Times New Roman" w:eastAsia="宋体" w:cs="Times New Roman"/>
                <w:color w:val="auto"/>
                <w:szCs w:val="24"/>
                <w:highlight w:val="none"/>
              </w:rPr>
              <w:t>'</w:t>
            </w:r>
            <w:r>
              <w:rPr>
                <w:rFonts w:ascii="Times New Roman" w:hAnsi="Times New Roman" w:eastAsia="宋体" w:cs="Times New Roman"/>
                <w:color w:val="auto"/>
                <w:kern w:val="0"/>
                <w:sz w:val="21"/>
                <w:highlight w:val="none"/>
              </w:rPr>
              <w:t>37.3"E</w:t>
            </w:r>
          </w:p>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25°45</w:t>
            </w:r>
            <w:r>
              <w:rPr>
                <w:rFonts w:ascii="Times New Roman" w:hAnsi="Times New Roman" w:eastAsia="宋体" w:cs="Times New Roman"/>
                <w:color w:val="auto"/>
                <w:szCs w:val="24"/>
                <w:highlight w:val="none"/>
              </w:rPr>
              <w:t>'</w:t>
            </w:r>
            <w:r>
              <w:rPr>
                <w:rFonts w:ascii="Times New Roman" w:hAnsi="Times New Roman" w:eastAsia="宋体" w:cs="Times New Roman"/>
                <w:color w:val="auto"/>
                <w:kern w:val="0"/>
                <w:sz w:val="21"/>
                <w:highlight w:val="none"/>
              </w:rPr>
              <w:t>27.9"N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029" w:type="dxa"/>
            <w:noWrap w:val="0"/>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枫香树</w:t>
            </w:r>
          </w:p>
        </w:tc>
        <w:tc>
          <w:tcPr>
            <w:tcW w:w="2480" w:type="dxa"/>
            <w:noWrap w:val="0"/>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45022610120819156</w:t>
            </w:r>
          </w:p>
        </w:tc>
        <w:tc>
          <w:tcPr>
            <w:tcW w:w="765" w:type="dxa"/>
            <w:noWrap w:val="0"/>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100</w:t>
            </w:r>
          </w:p>
        </w:tc>
        <w:tc>
          <w:tcPr>
            <w:tcW w:w="765" w:type="dxa"/>
            <w:noWrap w:val="0"/>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三级</w:t>
            </w:r>
          </w:p>
        </w:tc>
        <w:tc>
          <w:tcPr>
            <w:tcW w:w="1161" w:type="dxa"/>
            <w:noWrap w:val="0"/>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59.3</w:t>
            </w:r>
          </w:p>
        </w:tc>
        <w:tc>
          <w:tcPr>
            <w:tcW w:w="1045" w:type="dxa"/>
            <w:noWrap w:val="0"/>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25</w:t>
            </w:r>
          </w:p>
        </w:tc>
        <w:tc>
          <w:tcPr>
            <w:tcW w:w="1997"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109°42</w:t>
            </w:r>
            <w:r>
              <w:rPr>
                <w:rFonts w:ascii="Times New Roman" w:hAnsi="Times New Roman" w:eastAsia="宋体" w:cs="Times New Roman"/>
                <w:color w:val="auto"/>
                <w:szCs w:val="24"/>
                <w:highlight w:val="none"/>
              </w:rPr>
              <w:t>'</w:t>
            </w:r>
            <w:r>
              <w:rPr>
                <w:rFonts w:ascii="Times New Roman" w:hAnsi="Times New Roman" w:eastAsia="宋体" w:cs="Times New Roman"/>
                <w:color w:val="auto"/>
                <w:kern w:val="0"/>
                <w:sz w:val="21"/>
                <w:highlight w:val="none"/>
              </w:rPr>
              <w:t>37.3"E</w:t>
            </w:r>
          </w:p>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25°45</w:t>
            </w:r>
            <w:r>
              <w:rPr>
                <w:rFonts w:ascii="Times New Roman" w:hAnsi="Times New Roman" w:eastAsia="宋体" w:cs="Times New Roman"/>
                <w:color w:val="auto"/>
                <w:szCs w:val="24"/>
                <w:highlight w:val="none"/>
              </w:rPr>
              <w:t>'</w:t>
            </w:r>
            <w:r>
              <w:rPr>
                <w:rFonts w:ascii="Times New Roman" w:hAnsi="Times New Roman" w:eastAsia="宋体" w:cs="Times New Roman"/>
                <w:color w:val="auto"/>
                <w:kern w:val="0"/>
                <w:sz w:val="21"/>
                <w:highlight w:val="none"/>
              </w:rPr>
              <w:t>27.9"N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029" w:type="dxa"/>
            <w:noWrap w:val="0"/>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枫香树</w:t>
            </w:r>
          </w:p>
        </w:tc>
        <w:tc>
          <w:tcPr>
            <w:tcW w:w="2480" w:type="dxa"/>
            <w:noWrap w:val="0"/>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45022610120819157</w:t>
            </w:r>
          </w:p>
        </w:tc>
        <w:tc>
          <w:tcPr>
            <w:tcW w:w="765" w:type="dxa"/>
            <w:noWrap w:val="0"/>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140</w:t>
            </w:r>
          </w:p>
        </w:tc>
        <w:tc>
          <w:tcPr>
            <w:tcW w:w="765" w:type="dxa"/>
            <w:noWrap w:val="0"/>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三级</w:t>
            </w:r>
          </w:p>
        </w:tc>
        <w:tc>
          <w:tcPr>
            <w:tcW w:w="1161" w:type="dxa"/>
            <w:noWrap w:val="0"/>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78.0</w:t>
            </w:r>
          </w:p>
        </w:tc>
        <w:tc>
          <w:tcPr>
            <w:tcW w:w="1045" w:type="dxa"/>
            <w:noWrap w:val="0"/>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24</w:t>
            </w:r>
          </w:p>
        </w:tc>
        <w:tc>
          <w:tcPr>
            <w:tcW w:w="1997"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109°42</w:t>
            </w:r>
            <w:r>
              <w:rPr>
                <w:rFonts w:ascii="Times New Roman" w:hAnsi="Times New Roman" w:eastAsia="宋体" w:cs="Times New Roman"/>
                <w:color w:val="auto"/>
                <w:szCs w:val="24"/>
                <w:highlight w:val="none"/>
              </w:rPr>
              <w:t>'</w:t>
            </w:r>
            <w:r>
              <w:rPr>
                <w:rFonts w:ascii="Times New Roman" w:hAnsi="Times New Roman" w:eastAsia="宋体" w:cs="Times New Roman"/>
                <w:color w:val="auto"/>
                <w:kern w:val="0"/>
                <w:sz w:val="21"/>
                <w:highlight w:val="none"/>
              </w:rPr>
              <w:t>36.5"E</w:t>
            </w:r>
          </w:p>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25°45</w:t>
            </w:r>
            <w:r>
              <w:rPr>
                <w:rFonts w:ascii="Times New Roman" w:hAnsi="Times New Roman" w:eastAsia="宋体" w:cs="Times New Roman"/>
                <w:color w:val="auto"/>
                <w:szCs w:val="24"/>
                <w:highlight w:val="none"/>
              </w:rPr>
              <w:t>'</w:t>
            </w:r>
            <w:r>
              <w:rPr>
                <w:rFonts w:ascii="Times New Roman" w:hAnsi="Times New Roman" w:eastAsia="宋体" w:cs="Times New Roman"/>
                <w:color w:val="auto"/>
                <w:kern w:val="0"/>
                <w:sz w:val="21"/>
                <w:highlight w:val="none"/>
              </w:rPr>
              <w:t>27.5"N</w:t>
            </w:r>
          </w:p>
        </w:tc>
      </w:tr>
    </w:tbl>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4、评价区外来物种调查</w:t>
      </w:r>
    </w:p>
    <w:p>
      <w:pPr>
        <w:ind w:firstLine="480"/>
        <w:rPr>
          <w:rFonts w:ascii="Times New Roman" w:hAnsi="Times New Roman" w:eastAsia="宋体"/>
          <w:color w:val="auto"/>
          <w:szCs w:val="24"/>
          <w:highlight w:val="none"/>
        </w:rPr>
      </w:pPr>
      <w:bookmarkStart w:id="255" w:name="_Toc29591"/>
      <w:r>
        <w:rPr>
          <w:rFonts w:ascii="Times New Roman" w:hAnsi="Times New Roman" w:eastAsia="宋体"/>
          <w:color w:val="auto"/>
          <w:szCs w:val="24"/>
          <w:highlight w:val="none"/>
        </w:rPr>
        <w:t>对</w:t>
      </w:r>
      <w:r>
        <w:rPr>
          <w:rFonts w:hint="eastAsia" w:ascii="Times New Roman" w:hAnsi="Times New Roman" w:eastAsia="宋体"/>
          <w:color w:val="auto"/>
          <w:szCs w:val="24"/>
          <w:highlight w:val="none"/>
        </w:rPr>
        <w:t>评价</w:t>
      </w:r>
      <w:r>
        <w:rPr>
          <w:rFonts w:ascii="Times New Roman" w:hAnsi="Times New Roman" w:eastAsia="宋体"/>
          <w:color w:val="auto"/>
          <w:szCs w:val="24"/>
          <w:highlight w:val="none"/>
        </w:rPr>
        <w:t>区域植物来源进行分析，由表</w:t>
      </w:r>
      <w:r>
        <w:rPr>
          <w:rFonts w:hint="eastAsia" w:ascii="Times New Roman" w:hAnsi="Times New Roman" w:eastAsia="宋体"/>
          <w:color w:val="auto"/>
          <w:szCs w:val="24"/>
          <w:highlight w:val="none"/>
        </w:rPr>
        <w:t>3.2-26</w:t>
      </w:r>
      <w:r>
        <w:rPr>
          <w:rFonts w:ascii="Times New Roman" w:hAnsi="Times New Roman" w:eastAsia="宋体"/>
          <w:color w:val="auto"/>
          <w:szCs w:val="24"/>
          <w:highlight w:val="none"/>
        </w:rPr>
        <w:t>可知，本地原有和国内引种的乡土植物是植物区系</w:t>
      </w:r>
      <w:r>
        <w:rPr>
          <w:rFonts w:hint="eastAsia" w:ascii="Times New Roman" w:hAnsi="Times New Roman" w:eastAsia="宋体"/>
          <w:color w:val="auto"/>
          <w:szCs w:val="24"/>
          <w:highlight w:val="none"/>
        </w:rPr>
        <w:t>组成</w:t>
      </w:r>
      <w:r>
        <w:rPr>
          <w:rFonts w:ascii="Times New Roman" w:hAnsi="Times New Roman" w:eastAsia="宋体"/>
          <w:color w:val="auto"/>
          <w:szCs w:val="24"/>
          <w:highlight w:val="none"/>
        </w:rPr>
        <w:t>的主要成分，共有</w:t>
      </w:r>
      <w:r>
        <w:rPr>
          <w:rFonts w:hint="eastAsia" w:ascii="Times New Roman" w:hAnsi="Times New Roman" w:eastAsia="宋体"/>
          <w:color w:val="auto"/>
          <w:szCs w:val="24"/>
          <w:highlight w:val="none"/>
        </w:rPr>
        <w:t>271</w:t>
      </w:r>
      <w:r>
        <w:rPr>
          <w:rFonts w:ascii="Times New Roman" w:hAnsi="Times New Roman" w:eastAsia="宋体"/>
          <w:color w:val="auto"/>
          <w:szCs w:val="24"/>
          <w:highlight w:val="none"/>
        </w:rPr>
        <w:t>种，占</w:t>
      </w:r>
      <w:r>
        <w:rPr>
          <w:rFonts w:hint="eastAsia" w:ascii="Times New Roman" w:hAnsi="Times New Roman" w:eastAsia="宋体"/>
          <w:color w:val="auto"/>
          <w:szCs w:val="24"/>
          <w:highlight w:val="none"/>
        </w:rPr>
        <w:t>87.7</w:t>
      </w:r>
      <w:r>
        <w:rPr>
          <w:rFonts w:hint="eastAsia"/>
          <w:color w:val="auto"/>
          <w:szCs w:val="24"/>
          <w:highlight w:val="none"/>
          <w:lang w:val="en-US" w:eastAsia="zh-CN"/>
        </w:rPr>
        <w:t>%</w:t>
      </w:r>
      <w:r>
        <w:rPr>
          <w:rFonts w:ascii="Times New Roman" w:hAnsi="Times New Roman" w:eastAsia="宋体"/>
          <w:color w:val="auto"/>
          <w:szCs w:val="24"/>
          <w:highlight w:val="none"/>
        </w:rPr>
        <w:t>。外来植物</w:t>
      </w:r>
      <w:r>
        <w:rPr>
          <w:rFonts w:hint="eastAsia" w:ascii="Times New Roman" w:hAnsi="Times New Roman" w:eastAsia="宋体"/>
          <w:color w:val="auto"/>
          <w:szCs w:val="24"/>
          <w:highlight w:val="none"/>
        </w:rPr>
        <w:t>（来自国外的植物）</w:t>
      </w:r>
      <w:r>
        <w:rPr>
          <w:rFonts w:ascii="Times New Roman" w:hAnsi="Times New Roman" w:eastAsia="宋体"/>
          <w:color w:val="auto"/>
          <w:szCs w:val="24"/>
          <w:highlight w:val="none"/>
        </w:rPr>
        <w:t>占有</w:t>
      </w:r>
      <w:r>
        <w:rPr>
          <w:rFonts w:hint="eastAsia" w:ascii="Times New Roman" w:hAnsi="Times New Roman" w:eastAsia="宋体"/>
          <w:color w:val="auto"/>
          <w:szCs w:val="24"/>
          <w:highlight w:val="none"/>
        </w:rPr>
        <w:t>12.3</w:t>
      </w:r>
      <w:r>
        <w:rPr>
          <w:rFonts w:ascii="Times New Roman" w:hAnsi="Times New Roman" w:eastAsia="宋体"/>
          <w:color w:val="auto"/>
          <w:szCs w:val="24"/>
          <w:highlight w:val="none"/>
        </w:rPr>
        <w:t>％的比重，其中被列为外来入侵物种的有</w:t>
      </w:r>
      <w:r>
        <w:rPr>
          <w:rFonts w:hint="eastAsia" w:ascii="Times New Roman" w:hAnsi="Times New Roman" w:eastAsia="宋体"/>
          <w:color w:val="auto"/>
          <w:szCs w:val="24"/>
          <w:highlight w:val="none"/>
        </w:rPr>
        <w:t>36</w:t>
      </w:r>
      <w:r>
        <w:rPr>
          <w:rFonts w:ascii="Times New Roman" w:hAnsi="Times New Roman" w:eastAsia="宋体"/>
          <w:color w:val="auto"/>
          <w:szCs w:val="24"/>
          <w:highlight w:val="none"/>
        </w:rPr>
        <w:t>种，占外来种的比例达</w:t>
      </w:r>
      <w:r>
        <w:rPr>
          <w:rFonts w:hint="eastAsia" w:ascii="Times New Roman" w:hAnsi="Times New Roman" w:eastAsia="宋体"/>
          <w:color w:val="auto"/>
          <w:szCs w:val="24"/>
          <w:highlight w:val="none"/>
        </w:rPr>
        <w:t>94.7</w:t>
      </w:r>
      <w:r>
        <w:rPr>
          <w:rFonts w:hint="eastAsia"/>
          <w:color w:val="auto"/>
          <w:szCs w:val="24"/>
          <w:highlight w:val="none"/>
          <w:lang w:val="en-US" w:eastAsia="zh-CN"/>
        </w:rPr>
        <w:t>%</w:t>
      </w:r>
      <w:r>
        <w:rPr>
          <w:rFonts w:ascii="Times New Roman" w:hAnsi="Times New Roman" w:eastAsia="宋体"/>
          <w:color w:val="auto"/>
          <w:szCs w:val="24"/>
          <w:highlight w:val="none"/>
        </w:rPr>
        <w:t>。</w:t>
      </w:r>
    </w:p>
    <w:p>
      <w:pPr>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外来入侵植物种类多是评价区内植物组成的重要特点，</w:t>
      </w:r>
      <w:r>
        <w:rPr>
          <w:rFonts w:hint="eastAsia" w:ascii="Times New Roman" w:hAnsi="Times New Roman" w:eastAsia="宋体"/>
          <w:color w:val="auto"/>
          <w:szCs w:val="24"/>
          <w:highlight w:val="none"/>
        </w:rPr>
        <w:t>空心莲子草、牛筋草、</w:t>
      </w:r>
      <w:r>
        <w:rPr>
          <w:rFonts w:ascii="Times New Roman" w:hAnsi="Times New Roman" w:eastAsia="宋体"/>
          <w:color w:val="auto"/>
          <w:szCs w:val="24"/>
          <w:highlight w:val="none"/>
        </w:rPr>
        <w:t>白花鬼针草</w:t>
      </w:r>
      <w:r>
        <w:rPr>
          <w:rFonts w:hint="eastAsia" w:ascii="Times New Roman" w:hAnsi="Times New Roman" w:eastAsia="宋体"/>
          <w:color w:val="auto"/>
          <w:szCs w:val="24"/>
          <w:highlight w:val="none"/>
        </w:rPr>
        <w:t>、小蓬草、铺地黍、胜红蓟、钻形紫菀、假臭草</w:t>
      </w:r>
      <w:r>
        <w:rPr>
          <w:rFonts w:ascii="Times New Roman" w:hAnsi="Times New Roman" w:eastAsia="宋体"/>
          <w:color w:val="auto"/>
          <w:szCs w:val="24"/>
          <w:highlight w:val="none"/>
        </w:rPr>
        <w:t>等外来入侵植物较常见，这些植物</w:t>
      </w:r>
      <w:r>
        <w:rPr>
          <w:rFonts w:hint="eastAsia" w:ascii="Times New Roman" w:hAnsi="Times New Roman" w:eastAsia="宋体"/>
          <w:color w:val="auto"/>
          <w:szCs w:val="24"/>
          <w:highlight w:val="none"/>
        </w:rPr>
        <w:t>在</w:t>
      </w:r>
      <w:r>
        <w:rPr>
          <w:rFonts w:ascii="Times New Roman" w:hAnsi="Times New Roman" w:eastAsia="宋体"/>
          <w:color w:val="auto"/>
          <w:szCs w:val="24"/>
          <w:highlight w:val="none"/>
        </w:rPr>
        <w:t>道路两旁和农田、</w:t>
      </w:r>
      <w:r>
        <w:rPr>
          <w:rFonts w:hint="eastAsia" w:ascii="Times New Roman" w:hAnsi="Times New Roman" w:eastAsia="宋体"/>
          <w:color w:val="auto"/>
          <w:szCs w:val="24"/>
          <w:highlight w:val="none"/>
        </w:rPr>
        <w:t>住宅区</w:t>
      </w:r>
      <w:r>
        <w:rPr>
          <w:rFonts w:ascii="Times New Roman" w:hAnsi="Times New Roman" w:eastAsia="宋体"/>
          <w:color w:val="auto"/>
          <w:szCs w:val="24"/>
          <w:highlight w:val="none"/>
        </w:rPr>
        <w:t>等</w:t>
      </w:r>
      <w:r>
        <w:rPr>
          <w:rFonts w:hint="eastAsia" w:ascii="Times New Roman" w:hAnsi="Times New Roman" w:eastAsia="宋体"/>
          <w:color w:val="auto"/>
          <w:szCs w:val="24"/>
          <w:highlight w:val="none"/>
        </w:rPr>
        <w:t>生境中的数量较多</w:t>
      </w:r>
      <w:r>
        <w:rPr>
          <w:rFonts w:ascii="Times New Roman" w:hAnsi="Times New Roman" w:eastAsia="宋体"/>
          <w:color w:val="auto"/>
          <w:szCs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color w:val="auto"/>
          <w:szCs w:val="28"/>
          <w:highlight w:val="none"/>
        </w:rPr>
      </w:pPr>
      <w:r>
        <w:rPr>
          <w:rFonts w:ascii="Times New Roman" w:hAnsi="Times New Roman" w:eastAsia="宋体"/>
          <w:b/>
          <w:color w:val="auto"/>
          <w:szCs w:val="28"/>
          <w:highlight w:val="none"/>
        </w:rPr>
        <w:t>表</w:t>
      </w:r>
      <w:r>
        <w:rPr>
          <w:rFonts w:hint="eastAsia" w:ascii="Times New Roman" w:hAnsi="Times New Roman" w:eastAsia="宋体"/>
          <w:b/>
          <w:color w:val="auto"/>
          <w:szCs w:val="28"/>
          <w:highlight w:val="none"/>
        </w:rPr>
        <w:t>3.2-26</w:t>
      </w:r>
      <w:r>
        <w:rPr>
          <w:rFonts w:ascii="Times New Roman" w:hAnsi="Times New Roman" w:eastAsia="宋体"/>
          <w:b/>
          <w:color w:val="auto"/>
          <w:szCs w:val="28"/>
          <w:highlight w:val="none"/>
        </w:rPr>
        <w:t xml:space="preserve">  植物来源分析</w:t>
      </w:r>
    </w:p>
    <w:tbl>
      <w:tblPr>
        <w:tblStyle w:val="48"/>
        <w:tblW w:w="924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65"/>
        <w:gridCol w:w="2411"/>
        <w:gridCol w:w="33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3465" w:type="dxa"/>
            <w:noWrap/>
            <w:vAlign w:val="center"/>
          </w:tcPr>
          <w:p>
            <w:pPr>
              <w:spacing w:line="240" w:lineRule="auto"/>
              <w:ind w:firstLine="0" w:firstLineChars="0"/>
              <w:jc w:val="center"/>
              <w:rPr>
                <w:rFonts w:hint="eastAsia" w:ascii="Times New Roman" w:hAnsi="Times New Roman" w:eastAsia="宋体"/>
                <w:b/>
                <w:bCs/>
                <w:color w:val="auto"/>
                <w:kern w:val="0"/>
                <w:sz w:val="21"/>
                <w:highlight w:val="none"/>
              </w:rPr>
            </w:pPr>
            <w:r>
              <w:rPr>
                <w:rFonts w:hint="eastAsia" w:ascii="Times New Roman" w:hAnsi="Times New Roman" w:eastAsia="宋体"/>
                <w:b/>
                <w:bCs/>
                <w:color w:val="auto"/>
                <w:kern w:val="0"/>
                <w:sz w:val="21"/>
                <w:highlight w:val="none"/>
              </w:rPr>
              <w:t>来源</w:t>
            </w:r>
          </w:p>
        </w:tc>
        <w:tc>
          <w:tcPr>
            <w:tcW w:w="2411" w:type="dxa"/>
            <w:noWrap/>
            <w:vAlign w:val="center"/>
          </w:tcPr>
          <w:p>
            <w:pPr>
              <w:spacing w:line="240" w:lineRule="auto"/>
              <w:ind w:firstLine="0" w:firstLineChars="0"/>
              <w:jc w:val="center"/>
              <w:rPr>
                <w:rFonts w:hint="eastAsia" w:ascii="Times New Roman" w:hAnsi="Times New Roman" w:eastAsia="宋体"/>
                <w:b/>
                <w:bCs/>
                <w:color w:val="auto"/>
                <w:kern w:val="0"/>
                <w:sz w:val="21"/>
                <w:highlight w:val="none"/>
              </w:rPr>
            </w:pPr>
            <w:r>
              <w:rPr>
                <w:rFonts w:hint="eastAsia" w:ascii="Times New Roman" w:hAnsi="Times New Roman" w:eastAsia="宋体"/>
                <w:b/>
                <w:bCs/>
                <w:color w:val="auto"/>
                <w:kern w:val="0"/>
                <w:sz w:val="21"/>
                <w:highlight w:val="none"/>
              </w:rPr>
              <w:t>种数</w:t>
            </w:r>
          </w:p>
        </w:tc>
        <w:tc>
          <w:tcPr>
            <w:tcW w:w="3366" w:type="dxa"/>
            <w:noWrap/>
            <w:vAlign w:val="center"/>
          </w:tcPr>
          <w:p>
            <w:pPr>
              <w:spacing w:line="240" w:lineRule="auto"/>
              <w:ind w:firstLine="0" w:firstLineChars="0"/>
              <w:jc w:val="center"/>
              <w:rPr>
                <w:rFonts w:hint="eastAsia" w:ascii="Times New Roman" w:hAnsi="Times New Roman" w:eastAsia="宋体"/>
                <w:b/>
                <w:bCs/>
                <w:color w:val="auto"/>
                <w:kern w:val="0"/>
                <w:sz w:val="21"/>
                <w:highlight w:val="none"/>
                <w:lang w:eastAsia="zh-CN"/>
              </w:rPr>
            </w:pPr>
            <w:r>
              <w:rPr>
                <w:rFonts w:hint="eastAsia" w:ascii="Times New Roman" w:hAnsi="Times New Roman" w:eastAsia="宋体"/>
                <w:b/>
                <w:bCs/>
                <w:color w:val="auto"/>
                <w:kern w:val="0"/>
                <w:sz w:val="21"/>
                <w:highlight w:val="none"/>
              </w:rPr>
              <w:t>比例/</w:t>
            </w:r>
            <w:r>
              <w:rPr>
                <w:rFonts w:hint="eastAsia"/>
                <w:b/>
                <w:bCs/>
                <w:color w:val="auto"/>
                <w:kern w:val="0"/>
                <w:sz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3465" w:type="dxa"/>
            <w:noWrap/>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乡土植物</w:t>
            </w:r>
          </w:p>
        </w:tc>
        <w:tc>
          <w:tcPr>
            <w:tcW w:w="2411" w:type="dxa"/>
            <w:noWrap/>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271</w:t>
            </w:r>
          </w:p>
        </w:tc>
        <w:tc>
          <w:tcPr>
            <w:tcW w:w="3366" w:type="dxa"/>
            <w:noWrap/>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87.7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3465" w:type="dxa"/>
            <w:noWrap/>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国外引种</w:t>
            </w:r>
          </w:p>
        </w:tc>
        <w:tc>
          <w:tcPr>
            <w:tcW w:w="2411" w:type="dxa"/>
            <w:noWrap/>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38</w:t>
            </w:r>
          </w:p>
        </w:tc>
        <w:tc>
          <w:tcPr>
            <w:tcW w:w="3366" w:type="dxa"/>
            <w:noWrap/>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12.3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3465" w:type="dxa"/>
            <w:noWrap/>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合计</w:t>
            </w:r>
          </w:p>
        </w:tc>
        <w:tc>
          <w:tcPr>
            <w:tcW w:w="2411" w:type="dxa"/>
            <w:noWrap/>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309</w:t>
            </w:r>
          </w:p>
        </w:tc>
        <w:tc>
          <w:tcPr>
            <w:tcW w:w="3366" w:type="dxa"/>
            <w:noWrap/>
            <w:vAlign w:val="center"/>
          </w:tcPr>
          <w:p>
            <w:pPr>
              <w:spacing w:line="240" w:lineRule="auto"/>
              <w:ind w:firstLine="0" w:firstLineChars="0"/>
              <w:jc w:val="center"/>
              <w:rPr>
                <w:rFonts w:hint="eastAsia" w:ascii="Times New Roman" w:hAnsi="Times New Roman" w:eastAsia="宋体"/>
                <w:color w:val="auto"/>
                <w:kern w:val="0"/>
                <w:sz w:val="21"/>
                <w:highlight w:val="none"/>
              </w:rPr>
            </w:pPr>
            <w:r>
              <w:rPr>
                <w:rFonts w:hint="eastAsia" w:ascii="Times New Roman" w:hAnsi="Times New Roman" w:eastAsia="宋体"/>
                <w:color w:val="auto"/>
                <w:kern w:val="0"/>
                <w:sz w:val="21"/>
                <w:highlight w:val="none"/>
              </w:rPr>
              <w:t>100</w:t>
            </w:r>
          </w:p>
        </w:tc>
      </w:tr>
    </w:tbl>
    <w:p>
      <w:pPr>
        <w:pStyle w:val="6"/>
        <w:tabs>
          <w:tab w:val="left" w:pos="360"/>
          <w:tab w:val="left" w:pos="1390"/>
        </w:tabs>
        <w:spacing w:line="500" w:lineRule="exact"/>
        <w:rPr>
          <w:rFonts w:ascii="Times New Roman" w:hAnsi="Times New Roman" w:eastAsia="宋体"/>
          <w:color w:val="auto"/>
          <w:highlight w:val="none"/>
        </w:rPr>
      </w:pPr>
      <w:r>
        <w:rPr>
          <w:rFonts w:ascii="Times New Roman" w:hAnsi="Times New Roman" w:eastAsia="宋体"/>
          <w:color w:val="auto"/>
          <w:highlight w:val="none"/>
        </w:rPr>
        <w:t>3.2.6.6 区域动物资源调查</w:t>
      </w:r>
      <w:bookmarkEnd w:id="255"/>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对动物资源的调查采取收集资料与实地调查相结合的方法，并走访当地群众，调查结果为：项目所在区域人类活动较为频繁，野生动物较少。经调查哺乳类动物主要有田鼠等啮齿类；鸟类有野鸡、麻雀等，栖息于</w:t>
      </w:r>
      <w:r>
        <w:rPr>
          <w:rFonts w:hint="eastAsia" w:ascii="Times New Roman" w:hAnsi="Times New Roman" w:eastAsia="宋体" w:cs="Times New Roman"/>
          <w:color w:val="auto"/>
          <w:highlight w:val="none"/>
        </w:rPr>
        <w:t>林区</w:t>
      </w:r>
      <w:r>
        <w:rPr>
          <w:rFonts w:ascii="Times New Roman" w:hAnsi="Times New Roman" w:eastAsia="宋体" w:cs="Times New Roman"/>
          <w:color w:val="auto"/>
          <w:highlight w:val="none"/>
        </w:rPr>
        <w:t>环境；两栖爬行类有青蛙、蟾蜍等，主要生活于低洼地带；昆虫类主要有蜜蜂、蜻蜓、蜘蛛、蜈蚣、蟋蟀、蚂</w:t>
      </w:r>
      <w:r>
        <w:rPr>
          <w:rFonts w:ascii="Times New Roman" w:hAnsi="Times New Roman" w:eastAsia="宋体" w:cs="Times New Roman"/>
          <w:color w:val="auto"/>
          <w:szCs w:val="24"/>
          <w:highlight w:val="none"/>
        </w:rPr>
        <w:t>蚁等，分布于</w:t>
      </w:r>
      <w:r>
        <w:rPr>
          <w:rFonts w:hint="eastAsia" w:ascii="Times New Roman" w:hAnsi="Times New Roman" w:eastAsia="宋体" w:cs="Times New Roman"/>
          <w:color w:val="auto"/>
          <w:szCs w:val="24"/>
          <w:highlight w:val="none"/>
        </w:rPr>
        <w:t>马尾松次生林、杉木地带</w:t>
      </w:r>
      <w:r>
        <w:rPr>
          <w:rFonts w:ascii="Times New Roman" w:hAnsi="Times New Roman" w:eastAsia="宋体" w:cs="Times New Roman"/>
          <w:color w:val="auto"/>
          <w:szCs w:val="24"/>
          <w:highlight w:val="none"/>
        </w:rPr>
        <w:t>。</w:t>
      </w:r>
      <w:r>
        <w:rPr>
          <w:rFonts w:ascii="Times New Roman" w:hAnsi="Times New Roman" w:eastAsia="宋体" w:cs="Times New Roman"/>
          <w:color w:val="auto"/>
          <w:highlight w:val="none"/>
        </w:rPr>
        <w:t>经现场调查和资料显示，项目区内未发现有国家、自治区重点保护的野生动物。</w:t>
      </w:r>
    </w:p>
    <w:p>
      <w:pPr>
        <w:pStyle w:val="6"/>
        <w:tabs>
          <w:tab w:val="left" w:pos="360"/>
          <w:tab w:val="left" w:pos="1390"/>
        </w:tabs>
        <w:spacing w:line="500" w:lineRule="exact"/>
        <w:rPr>
          <w:rFonts w:ascii="Times New Roman" w:hAnsi="Times New Roman" w:eastAsia="宋体"/>
          <w:color w:val="auto"/>
          <w:highlight w:val="none"/>
        </w:rPr>
      </w:pPr>
      <w:bookmarkStart w:id="256" w:name="_Toc17790"/>
      <w:r>
        <w:rPr>
          <w:rFonts w:ascii="Times New Roman" w:hAnsi="Times New Roman" w:eastAsia="宋体"/>
          <w:color w:val="auto"/>
          <w:highlight w:val="none"/>
        </w:rPr>
        <w:t>3.2.6.7 区域经济作物调查</w:t>
      </w:r>
      <w:bookmarkEnd w:id="256"/>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受当地亚热带季风气候、岩土土壤类型及丘陵地形影响，区域农业生态现状主要为旱地。项目区由于位于丘陵山地之间，项目矿区范围内无相关人工种植的经济作物，主要为</w:t>
      </w:r>
      <w:r>
        <w:rPr>
          <w:rFonts w:hint="eastAsia" w:ascii="Times New Roman" w:hAnsi="Times New Roman" w:eastAsia="宋体" w:cs="Times New Roman"/>
          <w:color w:val="auto"/>
          <w:szCs w:val="24"/>
          <w:highlight w:val="none"/>
        </w:rPr>
        <w:t>马尾松次生林</w:t>
      </w:r>
      <w:r>
        <w:rPr>
          <w:rFonts w:ascii="Times New Roman" w:hAnsi="Times New Roman" w:eastAsia="宋体" w:cs="Times New Roman"/>
          <w:color w:val="auto"/>
          <w:highlight w:val="none"/>
        </w:rPr>
        <w:t>，分布的旱地较多，而且种植的作物种类较单一，整体的生长状况良好。</w:t>
      </w:r>
    </w:p>
    <w:p>
      <w:pPr>
        <w:pStyle w:val="6"/>
        <w:tabs>
          <w:tab w:val="left" w:pos="360"/>
          <w:tab w:val="left" w:pos="1390"/>
        </w:tabs>
        <w:spacing w:line="500" w:lineRule="exact"/>
        <w:rPr>
          <w:rFonts w:ascii="Times New Roman" w:hAnsi="Times New Roman" w:eastAsia="宋体"/>
          <w:color w:val="auto"/>
          <w:highlight w:val="none"/>
        </w:rPr>
      </w:pPr>
      <w:bookmarkStart w:id="257" w:name="_Toc26242"/>
      <w:r>
        <w:rPr>
          <w:rFonts w:ascii="Times New Roman" w:hAnsi="Times New Roman" w:eastAsia="宋体"/>
          <w:color w:val="auto"/>
          <w:highlight w:val="none"/>
        </w:rPr>
        <w:t>3.2.6.8 小结</w:t>
      </w:r>
      <w:bookmarkEnd w:id="257"/>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综上，项目区域主要生态系统类型为自然生态系统，区域植被主要是</w:t>
      </w:r>
      <w:r>
        <w:rPr>
          <w:rFonts w:hint="eastAsia" w:ascii="Times New Roman" w:hAnsi="Times New Roman" w:eastAsia="宋体" w:cs="Times New Roman"/>
          <w:color w:val="auto"/>
          <w:szCs w:val="24"/>
          <w:highlight w:val="none"/>
        </w:rPr>
        <w:t>马尾松次生林</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杉木</w:t>
      </w:r>
      <w:r>
        <w:rPr>
          <w:rFonts w:ascii="Times New Roman" w:hAnsi="Times New Roman" w:eastAsia="宋体" w:cs="Times New Roman"/>
          <w:color w:val="auto"/>
          <w:highlight w:val="none"/>
        </w:rPr>
        <w:t>以及农作物等，植被种类较单一，动物种类也多为常见的物种，生态系统的组成成分较简单，区域范围内农作物生产良好。总体上，项目区域生态环境质量一般。</w:t>
      </w:r>
    </w:p>
    <w:p>
      <w:pPr>
        <w:pStyle w:val="4"/>
        <w:rPr>
          <w:rFonts w:ascii="Times New Roman" w:hAnsi="Times New Roman" w:eastAsia="宋体"/>
          <w:color w:val="auto"/>
          <w:highlight w:val="none"/>
        </w:rPr>
      </w:pPr>
      <w:bookmarkStart w:id="258" w:name="_Toc839"/>
      <w:bookmarkStart w:id="259" w:name="_Toc18389"/>
      <w:bookmarkStart w:id="260" w:name="_Toc11248"/>
      <w:r>
        <w:rPr>
          <w:rFonts w:ascii="Times New Roman" w:hAnsi="Times New Roman" w:eastAsia="宋体"/>
          <w:color w:val="auto"/>
          <w:highlight w:val="none"/>
        </w:rPr>
        <w:t>3.3 污染源调查</w:t>
      </w:r>
      <w:bookmarkEnd w:id="160"/>
      <w:bookmarkEnd w:id="161"/>
      <w:bookmarkEnd w:id="162"/>
      <w:bookmarkEnd w:id="258"/>
      <w:bookmarkEnd w:id="259"/>
      <w:bookmarkEnd w:id="260"/>
    </w:p>
    <w:p>
      <w:pPr>
        <w:pStyle w:val="5"/>
        <w:rPr>
          <w:rFonts w:hint="eastAsia" w:ascii="Times New Roman" w:hAnsi="Times New Roman" w:eastAsia="宋体"/>
          <w:color w:val="auto"/>
          <w:highlight w:val="none"/>
        </w:rPr>
      </w:pPr>
      <w:bookmarkStart w:id="261" w:name="_Toc15237"/>
      <w:bookmarkStart w:id="262" w:name="_Toc12335"/>
      <w:r>
        <w:rPr>
          <w:rFonts w:hint="eastAsia" w:ascii="Times New Roman" w:hAnsi="Times New Roman" w:eastAsia="宋体"/>
          <w:color w:val="auto"/>
          <w:highlight w:val="none"/>
        </w:rPr>
        <w:t>3.3.1 本项目污染源调查</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w:t>
      </w:r>
      <w:r>
        <w:rPr>
          <w:rFonts w:ascii="Times New Roman" w:hAnsi="Times New Roman" w:eastAsia="宋体" w:cs="Times New Roman"/>
          <w:color w:val="auto"/>
          <w:highlight w:val="none"/>
        </w:rPr>
        <w:t>项目新增污染源源强参数见表</w:t>
      </w:r>
      <w:r>
        <w:rPr>
          <w:rFonts w:hint="eastAsia" w:ascii="Times New Roman" w:hAnsi="Times New Roman" w:eastAsia="宋体" w:cs="Times New Roman"/>
          <w:color w:val="auto"/>
          <w:highlight w:val="none"/>
        </w:rPr>
        <w:t>3.3</w:t>
      </w:r>
      <w:r>
        <w:rPr>
          <w:rFonts w:ascii="Times New Roman" w:hAnsi="Times New Roman" w:eastAsia="宋体" w:cs="Times New Roman"/>
          <w:color w:val="auto"/>
          <w:highlight w:val="none"/>
        </w:rPr>
        <w:t>-1⁓表</w:t>
      </w:r>
      <w:r>
        <w:rPr>
          <w:rFonts w:hint="eastAsia" w:ascii="Times New Roman" w:hAnsi="Times New Roman" w:eastAsia="宋体" w:cs="Times New Roman"/>
          <w:color w:val="auto"/>
          <w:highlight w:val="none"/>
        </w:rPr>
        <w:t>3.3</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4</w:t>
      </w:r>
      <w:r>
        <w:rPr>
          <w:rFonts w:ascii="Times New Roman" w:hAnsi="Times New Roman" w:eastAsia="宋体" w:cs="Times New Roman"/>
          <w:color w:val="auto"/>
          <w:highlight w:val="none"/>
        </w:rPr>
        <w:t>。本项目为</w:t>
      </w:r>
      <w:r>
        <w:rPr>
          <w:rFonts w:hint="eastAsia" w:ascii="Times New Roman" w:hAnsi="Times New Roman" w:eastAsia="宋体" w:cs="Times New Roman"/>
          <w:color w:val="auto"/>
          <w:highlight w:val="none"/>
        </w:rPr>
        <w:t>矿山整合</w:t>
      </w:r>
      <w:r>
        <w:rPr>
          <w:rFonts w:ascii="Times New Roman" w:hAnsi="Times New Roman" w:eastAsia="宋体" w:cs="Times New Roman"/>
          <w:color w:val="auto"/>
          <w:highlight w:val="none"/>
        </w:rPr>
        <w:t>工程，其中</w:t>
      </w:r>
      <w:r>
        <w:rPr>
          <w:rFonts w:hint="eastAsia" w:ascii="Times New Roman" w:hAnsi="Times New Roman" w:eastAsia="宋体" w:cs="Times New Roman"/>
          <w:color w:val="auto"/>
          <w:highlight w:val="none"/>
        </w:rPr>
        <w:t>筛选</w:t>
      </w:r>
      <w:r>
        <w:rPr>
          <w:rFonts w:ascii="Times New Roman" w:hAnsi="Times New Roman" w:eastAsia="宋体" w:cs="Times New Roman"/>
          <w:color w:val="auto"/>
          <w:highlight w:val="none"/>
        </w:rPr>
        <w:t>破碎、</w:t>
      </w:r>
      <w:r>
        <w:rPr>
          <w:rFonts w:hint="eastAsia" w:ascii="Times New Roman" w:hAnsi="Times New Roman" w:eastAsia="宋体" w:cs="Times New Roman"/>
          <w:color w:val="auto"/>
          <w:highlight w:val="none"/>
        </w:rPr>
        <w:t>二级破碎筛分</w:t>
      </w:r>
      <w:r>
        <w:rPr>
          <w:rFonts w:ascii="Times New Roman" w:hAnsi="Times New Roman" w:eastAsia="宋体" w:cs="Times New Roman"/>
          <w:color w:val="auto"/>
          <w:highlight w:val="none"/>
        </w:rPr>
        <w:t>和</w:t>
      </w:r>
      <w:r>
        <w:rPr>
          <w:rFonts w:hint="eastAsia" w:ascii="Times New Roman" w:hAnsi="Times New Roman" w:eastAsia="宋体" w:cs="Times New Roman"/>
          <w:color w:val="auto"/>
          <w:highlight w:val="none"/>
        </w:rPr>
        <w:t>三级破碎筛分</w:t>
      </w:r>
      <w:r>
        <w:rPr>
          <w:rFonts w:ascii="Times New Roman" w:hAnsi="Times New Roman" w:eastAsia="宋体" w:cs="Times New Roman"/>
          <w:color w:val="auto"/>
          <w:highlight w:val="none"/>
        </w:rPr>
        <w:t>废气中的PM</w:t>
      </w:r>
      <w:r>
        <w:rPr>
          <w:rFonts w:ascii="Times New Roman" w:hAnsi="Times New Roman" w:eastAsia="宋体" w:cs="Times New Roman"/>
          <w:color w:val="auto"/>
          <w:highlight w:val="none"/>
          <w:vertAlign w:val="subscript"/>
        </w:rPr>
        <w:t>2.5</w:t>
      </w:r>
      <w:r>
        <w:rPr>
          <w:rFonts w:ascii="Times New Roman" w:hAnsi="Times New Roman" w:eastAsia="宋体" w:cs="Times New Roman"/>
          <w:color w:val="auto"/>
          <w:highlight w:val="none"/>
        </w:rPr>
        <w:t>参考文献《燃煤电厂除尘器分级效率测量及分析》（臧电宗等，中国电力2012年2月）中袋式除尘器出口各级粉尘质量分数的统计结果，按PM</w:t>
      </w:r>
      <w:r>
        <w:rPr>
          <w:rFonts w:ascii="Times New Roman" w:hAnsi="Times New Roman" w:eastAsia="宋体" w:cs="Times New Roman"/>
          <w:color w:val="auto"/>
          <w:highlight w:val="none"/>
          <w:vertAlign w:val="subscript"/>
        </w:rPr>
        <w:t>10</w:t>
      </w:r>
      <w:r>
        <w:rPr>
          <w:rFonts w:ascii="Times New Roman" w:hAnsi="Times New Roman" w:eastAsia="宋体" w:cs="Times New Roman"/>
          <w:color w:val="auto"/>
          <w:highlight w:val="none"/>
        </w:rPr>
        <w:t>的50%计算。</w:t>
      </w:r>
    </w:p>
    <w:p>
      <w:pPr>
        <w:pStyle w:val="87"/>
        <w:rPr>
          <w:rFonts w:ascii="Times New Roman" w:hAnsi="Times New Roman" w:eastAsia="宋体" w:cs="Times New Roman"/>
          <w:color w:val="auto"/>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87"/>
        <w:rPr>
          <w:rFonts w:ascii="Times New Roman" w:hAnsi="Times New Roman" w:eastAsia="宋体" w:cs="Times New Roman"/>
          <w:color w:val="auto"/>
          <w:highlight w:val="none"/>
        </w:rPr>
      </w:pPr>
      <w:r>
        <w:rPr>
          <w:rFonts w:ascii="Times New Roman" w:hAnsi="Times New Roman" w:eastAsia="宋体" w:cs="Times New Roman"/>
          <w:color w:val="auto"/>
          <w:highlight w:val="none"/>
        </w:rPr>
        <w:t>表</w:t>
      </w:r>
      <w:r>
        <w:rPr>
          <w:rFonts w:hint="eastAsia" w:ascii="Times New Roman" w:hAnsi="Times New Roman" w:eastAsia="宋体" w:cs="Times New Roman"/>
          <w:color w:val="auto"/>
          <w:highlight w:val="none"/>
        </w:rPr>
        <w:t>3.3-1</w:t>
      </w:r>
      <w:r>
        <w:rPr>
          <w:rFonts w:ascii="Times New Roman" w:hAnsi="Times New Roman" w:eastAsia="宋体" w:cs="Times New Roman"/>
          <w:color w:val="auto"/>
          <w:highlight w:val="none"/>
        </w:rPr>
        <w:t xml:space="preserve"> </w:t>
      </w:r>
      <w:r>
        <w:rPr>
          <w:rFonts w:ascii="Times New Roman" w:hAnsi="Times New Roman" w:eastAsia="宋体" w:cs="Times New Roman"/>
          <w:bCs/>
          <w:color w:val="auto"/>
          <w:highlight w:val="none"/>
        </w:rPr>
        <w:t>拟建项目</w:t>
      </w:r>
      <w:r>
        <w:rPr>
          <w:rFonts w:ascii="Times New Roman" w:hAnsi="Times New Roman" w:eastAsia="宋体" w:cs="Times New Roman"/>
          <w:color w:val="auto"/>
          <w:highlight w:val="none"/>
        </w:rPr>
        <w:t>正常工况下拟建项目有组织污染物源强及参数表</w:t>
      </w:r>
    </w:p>
    <w:tbl>
      <w:tblPr>
        <w:tblStyle w:val="48"/>
        <w:tblW w:w="14173"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974"/>
        <w:gridCol w:w="566"/>
        <w:gridCol w:w="784"/>
        <w:gridCol w:w="1100"/>
        <w:gridCol w:w="883"/>
        <w:gridCol w:w="1131"/>
        <w:gridCol w:w="1098"/>
        <w:gridCol w:w="936"/>
        <w:gridCol w:w="1116"/>
        <w:gridCol w:w="1238"/>
        <w:gridCol w:w="1370"/>
        <w:gridCol w:w="1371"/>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06"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编号</w:t>
            </w:r>
          </w:p>
        </w:tc>
        <w:tc>
          <w:tcPr>
            <w:tcW w:w="1974"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名称</w:t>
            </w:r>
          </w:p>
        </w:tc>
        <w:tc>
          <w:tcPr>
            <w:tcW w:w="1350" w:type="dxa"/>
            <w:gridSpan w:val="2"/>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排气筒底部中心坐标/m</w:t>
            </w:r>
          </w:p>
        </w:tc>
        <w:tc>
          <w:tcPr>
            <w:tcW w:w="1100"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排气筒底部海拔高度/m</w:t>
            </w:r>
          </w:p>
        </w:tc>
        <w:tc>
          <w:tcPr>
            <w:tcW w:w="883"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排气筒高度/m</w:t>
            </w:r>
          </w:p>
        </w:tc>
        <w:tc>
          <w:tcPr>
            <w:tcW w:w="1131"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排气筒出口内径/m</w:t>
            </w:r>
          </w:p>
        </w:tc>
        <w:tc>
          <w:tcPr>
            <w:tcW w:w="1098"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烟气流速/（m/s）</w:t>
            </w:r>
          </w:p>
        </w:tc>
        <w:tc>
          <w:tcPr>
            <w:tcW w:w="936"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烟气温度/℃</w:t>
            </w:r>
          </w:p>
        </w:tc>
        <w:tc>
          <w:tcPr>
            <w:tcW w:w="1116"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年排放小时数/h</w:t>
            </w:r>
          </w:p>
        </w:tc>
        <w:tc>
          <w:tcPr>
            <w:tcW w:w="1238"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排放工况</w:t>
            </w:r>
          </w:p>
        </w:tc>
        <w:tc>
          <w:tcPr>
            <w:tcW w:w="2741" w:type="dxa"/>
            <w:gridSpan w:val="2"/>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污染物排放速率/（kg/h）</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06" w:type="dxa"/>
            <w:vMerge w:val="continue"/>
            <w:noWrap w:val="0"/>
            <w:vAlign w:val="center"/>
          </w:tcPr>
          <w:p>
            <w:pPr>
              <w:spacing w:line="240" w:lineRule="auto"/>
              <w:ind w:firstLine="422"/>
              <w:jc w:val="left"/>
              <w:rPr>
                <w:rFonts w:ascii="Times New Roman" w:hAnsi="Times New Roman" w:eastAsia="宋体" w:cs="Times New Roman"/>
                <w:b/>
                <w:bCs/>
                <w:color w:val="auto"/>
                <w:sz w:val="21"/>
                <w:highlight w:val="none"/>
              </w:rPr>
            </w:pPr>
          </w:p>
        </w:tc>
        <w:tc>
          <w:tcPr>
            <w:tcW w:w="1974" w:type="dxa"/>
            <w:vMerge w:val="continue"/>
            <w:noWrap w:val="0"/>
            <w:vAlign w:val="center"/>
          </w:tcPr>
          <w:p>
            <w:pPr>
              <w:spacing w:line="240" w:lineRule="auto"/>
              <w:ind w:firstLine="422"/>
              <w:jc w:val="left"/>
              <w:rPr>
                <w:rFonts w:ascii="Times New Roman" w:hAnsi="Times New Roman" w:eastAsia="宋体" w:cs="Times New Roman"/>
                <w:b/>
                <w:bCs/>
                <w:color w:val="auto"/>
                <w:sz w:val="21"/>
                <w:highlight w:val="none"/>
              </w:rPr>
            </w:pPr>
          </w:p>
        </w:tc>
        <w:tc>
          <w:tcPr>
            <w:tcW w:w="566"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X</w:t>
            </w:r>
          </w:p>
        </w:tc>
        <w:tc>
          <w:tcPr>
            <w:tcW w:w="784"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Y</w:t>
            </w:r>
          </w:p>
        </w:tc>
        <w:tc>
          <w:tcPr>
            <w:tcW w:w="1100" w:type="dxa"/>
            <w:vMerge w:val="continue"/>
            <w:noWrap w:val="0"/>
            <w:vAlign w:val="center"/>
          </w:tcPr>
          <w:p>
            <w:pPr>
              <w:spacing w:line="240" w:lineRule="auto"/>
              <w:ind w:firstLine="422"/>
              <w:jc w:val="left"/>
              <w:rPr>
                <w:rFonts w:ascii="Times New Roman" w:hAnsi="Times New Roman" w:eastAsia="宋体" w:cs="Times New Roman"/>
                <w:b/>
                <w:bCs/>
                <w:color w:val="auto"/>
                <w:sz w:val="21"/>
                <w:highlight w:val="none"/>
              </w:rPr>
            </w:pPr>
          </w:p>
        </w:tc>
        <w:tc>
          <w:tcPr>
            <w:tcW w:w="883" w:type="dxa"/>
            <w:vMerge w:val="continue"/>
            <w:noWrap w:val="0"/>
            <w:vAlign w:val="center"/>
          </w:tcPr>
          <w:p>
            <w:pPr>
              <w:spacing w:line="240" w:lineRule="auto"/>
              <w:ind w:firstLine="422"/>
              <w:jc w:val="left"/>
              <w:rPr>
                <w:rFonts w:ascii="Times New Roman" w:hAnsi="Times New Roman" w:eastAsia="宋体" w:cs="Times New Roman"/>
                <w:b/>
                <w:bCs/>
                <w:color w:val="auto"/>
                <w:sz w:val="21"/>
                <w:highlight w:val="none"/>
              </w:rPr>
            </w:pPr>
          </w:p>
        </w:tc>
        <w:tc>
          <w:tcPr>
            <w:tcW w:w="1131" w:type="dxa"/>
            <w:vMerge w:val="continue"/>
            <w:noWrap w:val="0"/>
            <w:vAlign w:val="center"/>
          </w:tcPr>
          <w:p>
            <w:pPr>
              <w:spacing w:line="240" w:lineRule="auto"/>
              <w:ind w:firstLine="422"/>
              <w:jc w:val="left"/>
              <w:rPr>
                <w:rFonts w:ascii="Times New Roman" w:hAnsi="Times New Roman" w:eastAsia="宋体" w:cs="Times New Roman"/>
                <w:b/>
                <w:bCs/>
                <w:color w:val="auto"/>
                <w:sz w:val="21"/>
                <w:highlight w:val="none"/>
              </w:rPr>
            </w:pPr>
          </w:p>
        </w:tc>
        <w:tc>
          <w:tcPr>
            <w:tcW w:w="1098" w:type="dxa"/>
            <w:vMerge w:val="continue"/>
            <w:noWrap w:val="0"/>
            <w:vAlign w:val="center"/>
          </w:tcPr>
          <w:p>
            <w:pPr>
              <w:spacing w:line="240" w:lineRule="auto"/>
              <w:ind w:firstLine="422"/>
              <w:jc w:val="left"/>
              <w:rPr>
                <w:rFonts w:ascii="Times New Roman" w:hAnsi="Times New Roman" w:eastAsia="宋体" w:cs="Times New Roman"/>
                <w:b/>
                <w:bCs/>
                <w:color w:val="auto"/>
                <w:sz w:val="21"/>
                <w:highlight w:val="none"/>
              </w:rPr>
            </w:pPr>
          </w:p>
        </w:tc>
        <w:tc>
          <w:tcPr>
            <w:tcW w:w="936" w:type="dxa"/>
            <w:vMerge w:val="continue"/>
            <w:noWrap w:val="0"/>
            <w:vAlign w:val="center"/>
          </w:tcPr>
          <w:p>
            <w:pPr>
              <w:spacing w:line="240" w:lineRule="auto"/>
              <w:ind w:firstLine="422"/>
              <w:jc w:val="left"/>
              <w:rPr>
                <w:rFonts w:ascii="Times New Roman" w:hAnsi="Times New Roman" w:eastAsia="宋体" w:cs="Times New Roman"/>
                <w:b/>
                <w:bCs/>
                <w:color w:val="auto"/>
                <w:sz w:val="21"/>
                <w:highlight w:val="none"/>
              </w:rPr>
            </w:pPr>
          </w:p>
        </w:tc>
        <w:tc>
          <w:tcPr>
            <w:tcW w:w="1116" w:type="dxa"/>
            <w:vMerge w:val="continue"/>
            <w:noWrap w:val="0"/>
            <w:vAlign w:val="center"/>
          </w:tcPr>
          <w:p>
            <w:pPr>
              <w:spacing w:line="240" w:lineRule="auto"/>
              <w:ind w:firstLine="422"/>
              <w:jc w:val="left"/>
              <w:rPr>
                <w:rFonts w:ascii="Times New Roman" w:hAnsi="Times New Roman" w:eastAsia="宋体" w:cs="Times New Roman"/>
                <w:b/>
                <w:bCs/>
                <w:color w:val="auto"/>
                <w:sz w:val="21"/>
                <w:highlight w:val="none"/>
              </w:rPr>
            </w:pPr>
          </w:p>
        </w:tc>
        <w:tc>
          <w:tcPr>
            <w:tcW w:w="1238" w:type="dxa"/>
            <w:vMerge w:val="continue"/>
            <w:noWrap w:val="0"/>
            <w:vAlign w:val="center"/>
          </w:tcPr>
          <w:p>
            <w:pPr>
              <w:spacing w:line="240" w:lineRule="auto"/>
              <w:ind w:firstLine="422"/>
              <w:jc w:val="left"/>
              <w:rPr>
                <w:rFonts w:ascii="Times New Roman" w:hAnsi="Times New Roman" w:eastAsia="宋体" w:cs="Times New Roman"/>
                <w:b/>
                <w:bCs/>
                <w:color w:val="auto"/>
                <w:sz w:val="21"/>
                <w:highlight w:val="none"/>
              </w:rPr>
            </w:pPr>
          </w:p>
        </w:tc>
        <w:tc>
          <w:tcPr>
            <w:tcW w:w="1370"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PM</w:t>
            </w:r>
            <w:r>
              <w:rPr>
                <w:rFonts w:ascii="Times New Roman" w:hAnsi="Times New Roman" w:eastAsia="宋体" w:cs="Times New Roman"/>
                <w:b/>
                <w:bCs/>
                <w:color w:val="auto"/>
                <w:sz w:val="21"/>
                <w:highlight w:val="none"/>
                <w:vertAlign w:val="subscript"/>
              </w:rPr>
              <w:t>10</w:t>
            </w:r>
          </w:p>
        </w:tc>
        <w:tc>
          <w:tcPr>
            <w:tcW w:w="1371"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PM</w:t>
            </w:r>
            <w:r>
              <w:rPr>
                <w:rFonts w:ascii="Times New Roman" w:hAnsi="Times New Roman" w:eastAsia="宋体" w:cs="Times New Roman"/>
                <w:b/>
                <w:bCs/>
                <w:color w:val="auto"/>
                <w:sz w:val="21"/>
                <w:highlight w:val="none"/>
                <w:vertAlign w:val="subscript"/>
              </w:rPr>
              <w:t>2.5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0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97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w:t>
            </w:r>
            <w:r>
              <w:rPr>
                <w:rFonts w:ascii="Times New Roman" w:hAnsi="Times New Roman" w:eastAsia="宋体" w:cs="Times New Roman"/>
                <w:color w:val="auto"/>
                <w:sz w:val="21"/>
                <w:highlight w:val="none"/>
              </w:rPr>
              <w:t>破碎</w:t>
            </w:r>
            <w:r>
              <w:rPr>
                <w:rFonts w:hint="eastAsia" w:ascii="Times New Roman" w:hAnsi="Times New Roman" w:eastAsia="宋体"/>
                <w:color w:val="auto"/>
                <w:sz w:val="21"/>
                <w:highlight w:val="none"/>
              </w:rPr>
              <w:t>①</w:t>
            </w:r>
          </w:p>
        </w:tc>
        <w:tc>
          <w:tcPr>
            <w:tcW w:w="56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482</w:t>
            </w:r>
          </w:p>
        </w:tc>
        <w:tc>
          <w:tcPr>
            <w:tcW w:w="78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153</w:t>
            </w:r>
          </w:p>
        </w:tc>
        <w:tc>
          <w:tcPr>
            <w:tcW w:w="110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264</w:t>
            </w:r>
          </w:p>
        </w:tc>
        <w:tc>
          <w:tcPr>
            <w:tcW w:w="88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113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c>
          <w:tcPr>
            <w:tcW w:w="109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14.2</w:t>
            </w:r>
          </w:p>
        </w:tc>
        <w:tc>
          <w:tcPr>
            <w:tcW w:w="93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r>
              <w:rPr>
                <w:rFonts w:hint="eastAsia" w:ascii="Times New Roman" w:hAnsi="Times New Roman" w:eastAsia="宋体" w:cs="Times New Roman"/>
                <w:color w:val="auto"/>
                <w:sz w:val="21"/>
                <w:highlight w:val="none"/>
              </w:rPr>
              <w:t>5</w:t>
            </w:r>
          </w:p>
        </w:tc>
        <w:tc>
          <w:tcPr>
            <w:tcW w:w="111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2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137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07</w:t>
            </w:r>
          </w:p>
        </w:tc>
        <w:tc>
          <w:tcPr>
            <w:tcW w:w="137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035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0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197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二级破碎①</w:t>
            </w:r>
          </w:p>
        </w:tc>
        <w:tc>
          <w:tcPr>
            <w:tcW w:w="56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501</w:t>
            </w:r>
          </w:p>
        </w:tc>
        <w:tc>
          <w:tcPr>
            <w:tcW w:w="78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146</w:t>
            </w:r>
          </w:p>
        </w:tc>
        <w:tc>
          <w:tcPr>
            <w:tcW w:w="110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261</w:t>
            </w:r>
          </w:p>
        </w:tc>
        <w:tc>
          <w:tcPr>
            <w:tcW w:w="88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113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c>
          <w:tcPr>
            <w:tcW w:w="109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14.2</w:t>
            </w:r>
          </w:p>
        </w:tc>
        <w:tc>
          <w:tcPr>
            <w:tcW w:w="93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r>
              <w:rPr>
                <w:rFonts w:hint="eastAsia" w:ascii="Times New Roman" w:hAnsi="Times New Roman" w:eastAsia="宋体" w:cs="Times New Roman"/>
                <w:color w:val="auto"/>
                <w:sz w:val="21"/>
                <w:highlight w:val="none"/>
              </w:rPr>
              <w:t>5</w:t>
            </w:r>
          </w:p>
        </w:tc>
        <w:tc>
          <w:tcPr>
            <w:tcW w:w="111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2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137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14</w:t>
            </w:r>
          </w:p>
        </w:tc>
        <w:tc>
          <w:tcPr>
            <w:tcW w:w="137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0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197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①</w:t>
            </w:r>
          </w:p>
        </w:tc>
        <w:tc>
          <w:tcPr>
            <w:tcW w:w="56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500</w:t>
            </w:r>
          </w:p>
        </w:tc>
        <w:tc>
          <w:tcPr>
            <w:tcW w:w="78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118</w:t>
            </w:r>
          </w:p>
        </w:tc>
        <w:tc>
          <w:tcPr>
            <w:tcW w:w="110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252</w:t>
            </w:r>
          </w:p>
        </w:tc>
        <w:tc>
          <w:tcPr>
            <w:tcW w:w="88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113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c>
          <w:tcPr>
            <w:tcW w:w="109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14.2</w:t>
            </w:r>
          </w:p>
        </w:tc>
        <w:tc>
          <w:tcPr>
            <w:tcW w:w="93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r>
              <w:rPr>
                <w:rFonts w:hint="eastAsia" w:ascii="Times New Roman" w:hAnsi="Times New Roman" w:eastAsia="宋体" w:cs="Times New Roman"/>
                <w:color w:val="auto"/>
                <w:sz w:val="21"/>
                <w:highlight w:val="none"/>
              </w:rPr>
              <w:t>5</w:t>
            </w:r>
          </w:p>
        </w:tc>
        <w:tc>
          <w:tcPr>
            <w:tcW w:w="111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2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137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28</w:t>
            </w:r>
          </w:p>
        </w:tc>
        <w:tc>
          <w:tcPr>
            <w:tcW w:w="137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14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0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w:t>
            </w:r>
          </w:p>
        </w:tc>
        <w:tc>
          <w:tcPr>
            <w:tcW w:w="197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w:t>
            </w:r>
            <w:r>
              <w:rPr>
                <w:rFonts w:ascii="Times New Roman" w:hAnsi="Times New Roman" w:eastAsia="宋体" w:cs="Times New Roman"/>
                <w:color w:val="auto"/>
                <w:sz w:val="21"/>
                <w:highlight w:val="none"/>
              </w:rPr>
              <w:t>破碎</w:t>
            </w:r>
            <w:r>
              <w:rPr>
                <w:rFonts w:hint="eastAsia" w:ascii="Times New Roman" w:hAnsi="Times New Roman" w:eastAsia="宋体"/>
                <w:color w:val="auto"/>
                <w:sz w:val="21"/>
                <w:highlight w:val="none"/>
              </w:rPr>
              <w:t>②</w:t>
            </w:r>
          </w:p>
        </w:tc>
        <w:tc>
          <w:tcPr>
            <w:tcW w:w="56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78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w:t>
            </w:r>
          </w:p>
        </w:tc>
        <w:tc>
          <w:tcPr>
            <w:tcW w:w="110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233</w:t>
            </w:r>
          </w:p>
        </w:tc>
        <w:tc>
          <w:tcPr>
            <w:tcW w:w="88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113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c>
          <w:tcPr>
            <w:tcW w:w="109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14.2</w:t>
            </w:r>
          </w:p>
        </w:tc>
        <w:tc>
          <w:tcPr>
            <w:tcW w:w="93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r>
              <w:rPr>
                <w:rFonts w:hint="eastAsia" w:ascii="Times New Roman" w:hAnsi="Times New Roman" w:eastAsia="宋体" w:cs="Times New Roman"/>
                <w:color w:val="auto"/>
                <w:sz w:val="21"/>
                <w:highlight w:val="none"/>
              </w:rPr>
              <w:t>5</w:t>
            </w:r>
          </w:p>
        </w:tc>
        <w:tc>
          <w:tcPr>
            <w:tcW w:w="1116"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2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137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07</w:t>
            </w:r>
          </w:p>
        </w:tc>
        <w:tc>
          <w:tcPr>
            <w:tcW w:w="137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035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0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p>
        </w:tc>
        <w:tc>
          <w:tcPr>
            <w:tcW w:w="197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二级破碎筛分</w:t>
            </w:r>
            <w:r>
              <w:rPr>
                <w:rFonts w:hint="eastAsia" w:ascii="Times New Roman" w:hAnsi="Times New Roman" w:eastAsia="宋体"/>
                <w:color w:val="auto"/>
                <w:sz w:val="21"/>
                <w:highlight w:val="none"/>
              </w:rPr>
              <w:t>②</w:t>
            </w:r>
          </w:p>
        </w:tc>
        <w:tc>
          <w:tcPr>
            <w:tcW w:w="56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784"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10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230</w:t>
            </w:r>
          </w:p>
        </w:tc>
        <w:tc>
          <w:tcPr>
            <w:tcW w:w="88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113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c>
          <w:tcPr>
            <w:tcW w:w="109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14.2</w:t>
            </w:r>
          </w:p>
        </w:tc>
        <w:tc>
          <w:tcPr>
            <w:tcW w:w="93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r>
              <w:rPr>
                <w:rFonts w:hint="eastAsia" w:ascii="Times New Roman" w:hAnsi="Times New Roman" w:eastAsia="宋体" w:cs="Times New Roman"/>
                <w:color w:val="auto"/>
                <w:sz w:val="21"/>
                <w:highlight w:val="none"/>
              </w:rPr>
              <w:t>5</w:t>
            </w:r>
          </w:p>
        </w:tc>
        <w:tc>
          <w:tcPr>
            <w:tcW w:w="1116"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2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137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14</w:t>
            </w:r>
          </w:p>
        </w:tc>
        <w:tc>
          <w:tcPr>
            <w:tcW w:w="137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0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w:t>
            </w:r>
          </w:p>
        </w:tc>
        <w:tc>
          <w:tcPr>
            <w:tcW w:w="197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②</w:t>
            </w:r>
          </w:p>
        </w:tc>
        <w:tc>
          <w:tcPr>
            <w:tcW w:w="56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w:t>
            </w:r>
          </w:p>
        </w:tc>
        <w:tc>
          <w:tcPr>
            <w:tcW w:w="78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w:t>
            </w:r>
          </w:p>
        </w:tc>
        <w:tc>
          <w:tcPr>
            <w:tcW w:w="110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230</w:t>
            </w:r>
          </w:p>
        </w:tc>
        <w:tc>
          <w:tcPr>
            <w:tcW w:w="88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113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0.5</w:t>
            </w:r>
          </w:p>
        </w:tc>
        <w:tc>
          <w:tcPr>
            <w:tcW w:w="109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14.2</w:t>
            </w:r>
          </w:p>
        </w:tc>
        <w:tc>
          <w:tcPr>
            <w:tcW w:w="93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r>
              <w:rPr>
                <w:rFonts w:hint="eastAsia" w:ascii="Times New Roman" w:hAnsi="Times New Roman" w:eastAsia="宋体" w:cs="Times New Roman"/>
                <w:color w:val="auto"/>
                <w:sz w:val="21"/>
                <w:highlight w:val="none"/>
              </w:rPr>
              <w:t>5</w:t>
            </w:r>
          </w:p>
        </w:tc>
        <w:tc>
          <w:tcPr>
            <w:tcW w:w="1116"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2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137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028</w:t>
            </w:r>
          </w:p>
        </w:tc>
        <w:tc>
          <w:tcPr>
            <w:tcW w:w="1371"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14</w:t>
            </w:r>
          </w:p>
        </w:tc>
      </w:tr>
    </w:tbl>
    <w:p>
      <w:pPr>
        <w:snapToGrid w:val="0"/>
        <w:spacing w:line="240" w:lineRule="auto"/>
        <w:ind w:firstLine="0" w:firstLineChars="0"/>
        <w:jc w:val="center"/>
        <w:rPr>
          <w:rFonts w:ascii="Times New Roman" w:hAnsi="Times New Roman" w:eastAsia="宋体" w:cs="Times New Roman"/>
          <w:color w:val="auto"/>
          <w:highlight w:val="none"/>
        </w:rPr>
      </w:pPr>
    </w:p>
    <w:p>
      <w:pPr>
        <w:snapToGrid w:val="0"/>
        <w:spacing w:line="240" w:lineRule="auto"/>
        <w:ind w:firstLine="0" w:firstLineChars="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表</w:t>
      </w:r>
      <w:r>
        <w:rPr>
          <w:rFonts w:hint="eastAsia" w:ascii="Times New Roman" w:hAnsi="Times New Roman" w:eastAsia="宋体" w:cs="Times New Roman"/>
          <w:b/>
          <w:color w:val="auto"/>
          <w:szCs w:val="20"/>
          <w:highlight w:val="none"/>
        </w:rPr>
        <w:t>3.3-2</w:t>
      </w:r>
      <w:r>
        <w:rPr>
          <w:rFonts w:ascii="Times New Roman" w:hAnsi="Times New Roman" w:eastAsia="宋体" w:cs="Times New Roman"/>
          <w:b/>
          <w:color w:val="auto"/>
          <w:szCs w:val="20"/>
          <w:highlight w:val="none"/>
        </w:rPr>
        <w:t xml:space="preserve"> </w:t>
      </w:r>
      <w:r>
        <w:rPr>
          <w:rFonts w:ascii="Times New Roman" w:hAnsi="Times New Roman" w:eastAsia="宋体" w:cs="Times New Roman"/>
          <w:b/>
          <w:bCs/>
          <w:color w:val="auto"/>
          <w:highlight w:val="none"/>
        </w:rPr>
        <w:t>拟建项目</w:t>
      </w:r>
      <w:r>
        <w:rPr>
          <w:rFonts w:ascii="Times New Roman" w:hAnsi="Times New Roman" w:eastAsia="宋体" w:cs="Times New Roman"/>
          <w:b/>
          <w:color w:val="auto"/>
          <w:szCs w:val="20"/>
          <w:highlight w:val="none"/>
        </w:rPr>
        <w:t>非正常工况下有组织污染物源强及参数表</w:t>
      </w:r>
    </w:p>
    <w:tbl>
      <w:tblPr>
        <w:tblStyle w:val="48"/>
        <w:tblW w:w="14173"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854"/>
        <w:gridCol w:w="2324"/>
        <w:gridCol w:w="1851"/>
        <w:gridCol w:w="2578"/>
        <w:gridCol w:w="2307"/>
        <w:gridCol w:w="219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2" w:type="dxa"/>
            <w:noWrap w:val="0"/>
            <w:vAlign w:val="center"/>
          </w:tcPr>
          <w:p>
            <w:pPr>
              <w:pStyle w:val="29"/>
              <w:pBdr>
                <w:bottom w:val="none" w:color="auto" w:sz="0" w:space="0"/>
              </w:pBdr>
              <w:spacing w:line="240" w:lineRule="auto"/>
              <w:ind w:firstLine="0" w:firstLineChars="0"/>
              <w:rPr>
                <w:rFonts w:ascii="Times New Roman" w:hAnsi="Times New Roman" w:eastAsia="宋体"/>
                <w:b/>
                <w:bCs/>
                <w:color w:val="auto"/>
                <w:sz w:val="21"/>
                <w:szCs w:val="21"/>
                <w:highlight w:val="none"/>
                <w:lang w:val="en-US" w:eastAsia="zh-CN"/>
              </w:rPr>
            </w:pPr>
            <w:r>
              <w:rPr>
                <w:rFonts w:ascii="Times New Roman" w:hAnsi="Times New Roman" w:eastAsia="宋体"/>
                <w:b/>
                <w:bCs/>
                <w:color w:val="auto"/>
                <w:sz w:val="21"/>
                <w:szCs w:val="21"/>
                <w:highlight w:val="none"/>
                <w:lang w:val="en-US" w:eastAsia="zh-CN"/>
              </w:rPr>
              <w:t>序号</w:t>
            </w:r>
          </w:p>
        </w:tc>
        <w:tc>
          <w:tcPr>
            <w:tcW w:w="1854" w:type="dxa"/>
            <w:noWrap w:val="0"/>
            <w:vAlign w:val="center"/>
          </w:tcPr>
          <w:p>
            <w:pPr>
              <w:widowControl/>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非正常排放源</w:t>
            </w:r>
          </w:p>
        </w:tc>
        <w:tc>
          <w:tcPr>
            <w:tcW w:w="2324" w:type="dxa"/>
            <w:noWrap w:val="0"/>
            <w:vAlign w:val="center"/>
          </w:tcPr>
          <w:p>
            <w:pPr>
              <w:widowControl/>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非正常排放原因</w:t>
            </w:r>
          </w:p>
        </w:tc>
        <w:tc>
          <w:tcPr>
            <w:tcW w:w="1851" w:type="dxa"/>
            <w:noWrap w:val="0"/>
            <w:vAlign w:val="center"/>
          </w:tcPr>
          <w:p>
            <w:pPr>
              <w:pStyle w:val="29"/>
              <w:pBdr>
                <w:bottom w:val="none" w:color="auto" w:sz="0" w:space="0"/>
              </w:pBdr>
              <w:spacing w:line="240" w:lineRule="auto"/>
              <w:ind w:firstLine="0" w:firstLineChars="0"/>
              <w:rPr>
                <w:rFonts w:ascii="Times New Roman" w:hAnsi="Times New Roman" w:eastAsia="宋体"/>
                <w:b/>
                <w:bCs/>
                <w:color w:val="auto"/>
                <w:sz w:val="21"/>
                <w:szCs w:val="21"/>
                <w:highlight w:val="none"/>
                <w:lang w:val="en-US" w:eastAsia="zh-CN"/>
              </w:rPr>
            </w:pPr>
            <w:r>
              <w:rPr>
                <w:rFonts w:ascii="Times New Roman" w:hAnsi="Times New Roman" w:eastAsia="宋体"/>
                <w:b/>
                <w:bCs/>
                <w:color w:val="auto"/>
                <w:sz w:val="21"/>
                <w:szCs w:val="21"/>
                <w:highlight w:val="none"/>
                <w:lang w:val="en-US" w:eastAsia="zh-CN"/>
              </w:rPr>
              <w:t>污染物</w:t>
            </w:r>
          </w:p>
        </w:tc>
        <w:tc>
          <w:tcPr>
            <w:tcW w:w="2578" w:type="dxa"/>
            <w:noWrap w:val="0"/>
            <w:vAlign w:val="center"/>
          </w:tcPr>
          <w:p>
            <w:pPr>
              <w:widowControl/>
              <w:snapToGrid w:val="0"/>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排放速率（kg/h)</w:t>
            </w:r>
          </w:p>
        </w:tc>
        <w:tc>
          <w:tcPr>
            <w:tcW w:w="2307" w:type="dxa"/>
            <w:noWrap w:val="0"/>
            <w:vAlign w:val="center"/>
          </w:tcPr>
          <w:p>
            <w:pPr>
              <w:widowControl/>
              <w:snapToGrid w:val="0"/>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单次持续时间/h</w:t>
            </w:r>
          </w:p>
        </w:tc>
        <w:tc>
          <w:tcPr>
            <w:tcW w:w="2197" w:type="dxa"/>
            <w:noWrap w:val="0"/>
            <w:vAlign w:val="center"/>
          </w:tcPr>
          <w:p>
            <w:pPr>
              <w:widowControl/>
              <w:snapToGrid w:val="0"/>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年发生频次/次</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854"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①</w:t>
            </w:r>
          </w:p>
        </w:tc>
        <w:tc>
          <w:tcPr>
            <w:tcW w:w="232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废气处理设施故障</w:t>
            </w:r>
          </w:p>
        </w:tc>
        <w:tc>
          <w:tcPr>
            <w:tcW w:w="185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TSP</w:t>
            </w:r>
          </w:p>
        </w:tc>
        <w:tc>
          <w:tcPr>
            <w:tcW w:w="2578"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1.758</w:t>
            </w:r>
          </w:p>
        </w:tc>
        <w:tc>
          <w:tcPr>
            <w:tcW w:w="230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219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1854"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二级破碎①</w:t>
            </w:r>
          </w:p>
        </w:tc>
        <w:tc>
          <w:tcPr>
            <w:tcW w:w="232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废气处理设施故障</w:t>
            </w:r>
          </w:p>
        </w:tc>
        <w:tc>
          <w:tcPr>
            <w:tcW w:w="185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TSP</w:t>
            </w:r>
          </w:p>
        </w:tc>
        <w:tc>
          <w:tcPr>
            <w:tcW w:w="2578"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3.516</w:t>
            </w:r>
          </w:p>
        </w:tc>
        <w:tc>
          <w:tcPr>
            <w:tcW w:w="230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219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1854"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①</w:t>
            </w:r>
          </w:p>
        </w:tc>
        <w:tc>
          <w:tcPr>
            <w:tcW w:w="232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废气处理设施故障</w:t>
            </w:r>
          </w:p>
        </w:tc>
        <w:tc>
          <w:tcPr>
            <w:tcW w:w="185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TSP</w:t>
            </w:r>
          </w:p>
        </w:tc>
        <w:tc>
          <w:tcPr>
            <w:tcW w:w="2578"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7.031</w:t>
            </w:r>
          </w:p>
        </w:tc>
        <w:tc>
          <w:tcPr>
            <w:tcW w:w="230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219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2" w:type="dxa"/>
            <w:noWrap w:val="0"/>
            <w:vAlign w:val="center"/>
          </w:tcPr>
          <w:p>
            <w:pPr>
              <w:pStyle w:val="29"/>
              <w:pBdr>
                <w:bottom w:val="none" w:color="auto" w:sz="0" w:space="0"/>
              </w:pBdr>
              <w:snapToGrid/>
              <w:spacing w:line="240" w:lineRule="auto"/>
              <w:ind w:firstLine="0" w:firstLineChars="0"/>
              <w:rPr>
                <w:rFonts w:ascii="Times New Roman" w:hAnsi="Times New Roman" w:eastAsia="宋体"/>
                <w:color w:val="auto"/>
                <w:sz w:val="21"/>
                <w:highlight w:val="none"/>
                <w:lang w:val="en-US" w:eastAsia="zh-CN"/>
              </w:rPr>
            </w:pPr>
            <w:r>
              <w:rPr>
                <w:rFonts w:ascii="Times New Roman" w:hAnsi="Times New Roman" w:eastAsia="宋体"/>
                <w:color w:val="auto"/>
                <w:sz w:val="21"/>
                <w:szCs w:val="21"/>
                <w:highlight w:val="none"/>
                <w:lang w:val="en-US" w:eastAsia="zh-CN"/>
              </w:rPr>
              <w:t>4</w:t>
            </w:r>
          </w:p>
        </w:tc>
        <w:tc>
          <w:tcPr>
            <w:tcW w:w="1854"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②</w:t>
            </w:r>
          </w:p>
        </w:tc>
        <w:tc>
          <w:tcPr>
            <w:tcW w:w="232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废气处理设施故障</w:t>
            </w:r>
          </w:p>
        </w:tc>
        <w:tc>
          <w:tcPr>
            <w:tcW w:w="185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TSP</w:t>
            </w:r>
          </w:p>
        </w:tc>
        <w:tc>
          <w:tcPr>
            <w:tcW w:w="2578"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1.758</w:t>
            </w:r>
          </w:p>
        </w:tc>
        <w:tc>
          <w:tcPr>
            <w:tcW w:w="230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219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2" w:type="dxa"/>
            <w:noWrap w:val="0"/>
            <w:vAlign w:val="center"/>
          </w:tcPr>
          <w:p>
            <w:pPr>
              <w:pStyle w:val="29"/>
              <w:pBdr>
                <w:bottom w:val="none" w:color="auto" w:sz="0" w:space="0"/>
              </w:pBdr>
              <w:snapToGrid/>
              <w:spacing w:line="240" w:lineRule="auto"/>
              <w:ind w:firstLine="0" w:firstLineChars="0"/>
              <w:rPr>
                <w:rFonts w:ascii="Times New Roman" w:hAnsi="Times New Roman" w:eastAsia="宋体"/>
                <w:color w:val="auto"/>
                <w:sz w:val="21"/>
                <w:highlight w:val="none"/>
                <w:lang w:val="en-US" w:eastAsia="zh-CN"/>
              </w:rPr>
            </w:pPr>
            <w:r>
              <w:rPr>
                <w:rFonts w:ascii="Times New Roman" w:hAnsi="Times New Roman" w:eastAsia="宋体"/>
                <w:color w:val="auto"/>
                <w:sz w:val="21"/>
                <w:szCs w:val="21"/>
                <w:highlight w:val="none"/>
                <w:lang w:val="en-US" w:eastAsia="zh-CN"/>
              </w:rPr>
              <w:t>5</w:t>
            </w:r>
          </w:p>
        </w:tc>
        <w:tc>
          <w:tcPr>
            <w:tcW w:w="1854"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二级破碎筛分</w:t>
            </w:r>
            <w:r>
              <w:rPr>
                <w:rFonts w:hint="eastAsia" w:ascii="Times New Roman" w:hAnsi="Times New Roman" w:eastAsia="宋体"/>
                <w:color w:val="auto"/>
                <w:sz w:val="21"/>
                <w:highlight w:val="none"/>
              </w:rPr>
              <w:t>②</w:t>
            </w:r>
          </w:p>
        </w:tc>
        <w:tc>
          <w:tcPr>
            <w:tcW w:w="232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废气处理设施故障</w:t>
            </w:r>
          </w:p>
        </w:tc>
        <w:tc>
          <w:tcPr>
            <w:tcW w:w="185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TSP</w:t>
            </w:r>
          </w:p>
        </w:tc>
        <w:tc>
          <w:tcPr>
            <w:tcW w:w="2578"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3.516</w:t>
            </w:r>
          </w:p>
        </w:tc>
        <w:tc>
          <w:tcPr>
            <w:tcW w:w="230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219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2" w:type="dxa"/>
            <w:noWrap w:val="0"/>
            <w:vAlign w:val="center"/>
          </w:tcPr>
          <w:p>
            <w:pPr>
              <w:pStyle w:val="29"/>
              <w:pBdr>
                <w:bottom w:val="none" w:color="auto" w:sz="0" w:space="0"/>
              </w:pBdr>
              <w:snapToGrid/>
              <w:spacing w:line="240" w:lineRule="auto"/>
              <w:ind w:firstLine="0" w:firstLineChars="0"/>
              <w:rPr>
                <w:rFonts w:ascii="Times New Roman" w:hAnsi="Times New Roman" w:eastAsia="宋体"/>
                <w:color w:val="auto"/>
                <w:sz w:val="21"/>
                <w:highlight w:val="none"/>
                <w:lang w:val="en-US" w:eastAsia="zh-CN"/>
              </w:rPr>
            </w:pPr>
            <w:r>
              <w:rPr>
                <w:rFonts w:ascii="Times New Roman" w:hAnsi="Times New Roman" w:eastAsia="宋体"/>
                <w:color w:val="auto"/>
                <w:sz w:val="21"/>
                <w:szCs w:val="21"/>
                <w:highlight w:val="none"/>
                <w:lang w:val="en-US" w:eastAsia="zh-CN"/>
              </w:rPr>
              <w:t>6</w:t>
            </w:r>
          </w:p>
        </w:tc>
        <w:tc>
          <w:tcPr>
            <w:tcW w:w="1854"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②</w:t>
            </w:r>
          </w:p>
        </w:tc>
        <w:tc>
          <w:tcPr>
            <w:tcW w:w="232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废气处理设施故障</w:t>
            </w:r>
          </w:p>
        </w:tc>
        <w:tc>
          <w:tcPr>
            <w:tcW w:w="185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TSP</w:t>
            </w:r>
          </w:p>
        </w:tc>
        <w:tc>
          <w:tcPr>
            <w:tcW w:w="2578"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703</w:t>
            </w:r>
          </w:p>
        </w:tc>
        <w:tc>
          <w:tcPr>
            <w:tcW w:w="230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219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r>
    </w:tbl>
    <w:p>
      <w:pPr>
        <w:snapToGrid w:val="0"/>
        <w:spacing w:line="240" w:lineRule="auto"/>
        <w:ind w:firstLine="0" w:firstLineChars="0"/>
        <w:jc w:val="center"/>
        <w:rPr>
          <w:rFonts w:ascii="Times New Roman" w:hAnsi="Times New Roman" w:eastAsia="宋体" w:cs="Times New Roman"/>
          <w:b/>
          <w:bCs/>
          <w:color w:val="auto"/>
          <w:highlight w:val="none"/>
        </w:rPr>
      </w:pPr>
    </w:p>
    <w:p>
      <w:pPr>
        <w:snapToGrid w:val="0"/>
        <w:spacing w:line="240" w:lineRule="auto"/>
        <w:ind w:firstLine="0" w:firstLineChars="0"/>
        <w:jc w:val="center"/>
        <w:rPr>
          <w:rFonts w:ascii="Times New Roman" w:hAnsi="Times New Roman" w:eastAsia="宋体" w:cs="Times New Roman"/>
          <w:b/>
          <w:bCs/>
          <w:color w:val="auto"/>
          <w:highlight w:val="none"/>
        </w:rPr>
        <w:sectPr>
          <w:pgSz w:w="16838" w:h="11906" w:orient="landscape"/>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snapToGrid w:val="0"/>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w:t>
      </w:r>
      <w:r>
        <w:rPr>
          <w:rFonts w:hint="eastAsia" w:ascii="Times New Roman" w:hAnsi="Times New Roman" w:eastAsia="宋体" w:cs="Times New Roman"/>
          <w:b/>
          <w:bCs/>
          <w:color w:val="auto"/>
          <w:highlight w:val="none"/>
        </w:rPr>
        <w:t>3.3-3</w:t>
      </w:r>
      <w:r>
        <w:rPr>
          <w:rFonts w:ascii="Times New Roman" w:hAnsi="Times New Roman" w:eastAsia="宋体" w:cs="Times New Roman"/>
          <w:b/>
          <w:bCs/>
          <w:color w:val="auto"/>
          <w:highlight w:val="none"/>
        </w:rPr>
        <w:t xml:space="preserve"> 拟建项目无组织矩形面源参数表</w:t>
      </w:r>
    </w:p>
    <w:tbl>
      <w:tblPr>
        <w:tblStyle w:val="48"/>
        <w:tblW w:w="14174"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860"/>
        <w:gridCol w:w="570"/>
        <w:gridCol w:w="642"/>
        <w:gridCol w:w="1097"/>
        <w:gridCol w:w="900"/>
        <w:gridCol w:w="1000"/>
        <w:gridCol w:w="1366"/>
        <w:gridCol w:w="1334"/>
        <w:gridCol w:w="1150"/>
        <w:gridCol w:w="1133"/>
        <w:gridCol w:w="2672"/>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编号</w:t>
            </w:r>
          </w:p>
        </w:tc>
        <w:tc>
          <w:tcPr>
            <w:tcW w:w="1860"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名称</w:t>
            </w:r>
          </w:p>
        </w:tc>
        <w:tc>
          <w:tcPr>
            <w:tcW w:w="1212" w:type="dxa"/>
            <w:gridSpan w:val="2"/>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面源起点坐标/m</w:t>
            </w:r>
          </w:p>
        </w:tc>
        <w:tc>
          <w:tcPr>
            <w:tcW w:w="1097"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面源海拔高度/m</w:t>
            </w:r>
          </w:p>
        </w:tc>
        <w:tc>
          <w:tcPr>
            <w:tcW w:w="900"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面源长度/m</w:t>
            </w:r>
          </w:p>
        </w:tc>
        <w:tc>
          <w:tcPr>
            <w:tcW w:w="1000"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面源宽度/m</w:t>
            </w:r>
          </w:p>
        </w:tc>
        <w:tc>
          <w:tcPr>
            <w:tcW w:w="1366"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与正北向夹角/（°）</w:t>
            </w:r>
          </w:p>
        </w:tc>
        <w:tc>
          <w:tcPr>
            <w:tcW w:w="1334"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面源有效排放高度/m</w:t>
            </w:r>
          </w:p>
        </w:tc>
        <w:tc>
          <w:tcPr>
            <w:tcW w:w="1150"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年排放小时数/h</w:t>
            </w:r>
          </w:p>
        </w:tc>
        <w:tc>
          <w:tcPr>
            <w:tcW w:w="1133"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排放工况</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污染物排放速率/（kg/h）</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vMerge w:val="continue"/>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1860" w:type="dxa"/>
            <w:vMerge w:val="continue"/>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570"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X</w:t>
            </w:r>
          </w:p>
        </w:tc>
        <w:tc>
          <w:tcPr>
            <w:tcW w:w="642"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Y</w:t>
            </w:r>
          </w:p>
        </w:tc>
        <w:tc>
          <w:tcPr>
            <w:tcW w:w="1097" w:type="dxa"/>
            <w:vMerge w:val="continue"/>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900" w:type="dxa"/>
            <w:vMerge w:val="continue"/>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1000" w:type="dxa"/>
            <w:vMerge w:val="continue"/>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1366" w:type="dxa"/>
            <w:vMerge w:val="continue"/>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1334" w:type="dxa"/>
            <w:vMerge w:val="continue"/>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1150" w:type="dxa"/>
            <w:vMerge w:val="continue"/>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1133" w:type="dxa"/>
            <w:vMerge w:val="continue"/>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2672"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TSP</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86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凿岩钻孔</w:t>
            </w:r>
          </w:p>
        </w:tc>
        <w:tc>
          <w:tcPr>
            <w:tcW w:w="57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210</w:t>
            </w:r>
          </w:p>
        </w:tc>
        <w:tc>
          <w:tcPr>
            <w:tcW w:w="64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91</w:t>
            </w:r>
          </w:p>
        </w:tc>
        <w:tc>
          <w:tcPr>
            <w:tcW w:w="109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270</w:t>
            </w:r>
          </w:p>
        </w:tc>
        <w:tc>
          <w:tcPr>
            <w:tcW w:w="9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20</w:t>
            </w:r>
            <w:r>
              <w:rPr>
                <w:rFonts w:ascii="Times New Roman" w:hAnsi="Times New Roman" w:eastAsia="宋体" w:cs="Times New Roman"/>
                <w:color w:val="auto"/>
                <w:sz w:val="21"/>
                <w:highlight w:val="none"/>
              </w:rPr>
              <w:t>0</w:t>
            </w:r>
          </w:p>
        </w:tc>
        <w:tc>
          <w:tcPr>
            <w:tcW w:w="10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r>
              <w:rPr>
                <w:rFonts w:ascii="Times New Roman" w:hAnsi="Times New Roman" w:eastAsia="宋体" w:cs="Times New Roman"/>
                <w:color w:val="auto"/>
                <w:sz w:val="21"/>
                <w:highlight w:val="none"/>
              </w:rPr>
              <w:t>00</w:t>
            </w:r>
          </w:p>
        </w:tc>
        <w:tc>
          <w:tcPr>
            <w:tcW w:w="1366"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r>
              <w:rPr>
                <w:rFonts w:ascii="Times New Roman" w:hAnsi="Times New Roman" w:eastAsia="宋体" w:cs="Times New Roman"/>
                <w:color w:val="auto"/>
                <w:sz w:val="21"/>
                <w:highlight w:val="none"/>
              </w:rPr>
              <w:t>0</w:t>
            </w:r>
          </w:p>
        </w:tc>
        <w:tc>
          <w:tcPr>
            <w:tcW w:w="11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083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186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采装</w:t>
            </w:r>
          </w:p>
        </w:tc>
        <w:tc>
          <w:tcPr>
            <w:tcW w:w="57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236</w:t>
            </w:r>
          </w:p>
        </w:tc>
        <w:tc>
          <w:tcPr>
            <w:tcW w:w="64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108</w:t>
            </w:r>
          </w:p>
        </w:tc>
        <w:tc>
          <w:tcPr>
            <w:tcW w:w="109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260</w:t>
            </w:r>
          </w:p>
        </w:tc>
        <w:tc>
          <w:tcPr>
            <w:tcW w:w="9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30</w:t>
            </w:r>
            <w:r>
              <w:rPr>
                <w:rFonts w:ascii="Times New Roman" w:hAnsi="Times New Roman" w:eastAsia="宋体" w:cs="Times New Roman"/>
                <w:color w:val="auto"/>
                <w:sz w:val="21"/>
                <w:highlight w:val="none"/>
              </w:rPr>
              <w:t>0</w:t>
            </w:r>
          </w:p>
        </w:tc>
        <w:tc>
          <w:tcPr>
            <w:tcW w:w="10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r>
              <w:rPr>
                <w:rFonts w:ascii="Times New Roman" w:hAnsi="Times New Roman" w:eastAsia="宋体" w:cs="Times New Roman"/>
                <w:color w:val="auto"/>
                <w:sz w:val="21"/>
                <w:highlight w:val="none"/>
              </w:rPr>
              <w:t>00</w:t>
            </w:r>
          </w:p>
        </w:tc>
        <w:tc>
          <w:tcPr>
            <w:tcW w:w="1366"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w:t>
            </w:r>
          </w:p>
        </w:tc>
        <w:tc>
          <w:tcPr>
            <w:tcW w:w="11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0.625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186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落料</w:t>
            </w:r>
          </w:p>
        </w:tc>
        <w:tc>
          <w:tcPr>
            <w:tcW w:w="57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284</w:t>
            </w:r>
          </w:p>
        </w:tc>
        <w:tc>
          <w:tcPr>
            <w:tcW w:w="64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130</w:t>
            </w:r>
          </w:p>
        </w:tc>
        <w:tc>
          <w:tcPr>
            <w:tcW w:w="109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240</w:t>
            </w:r>
          </w:p>
        </w:tc>
        <w:tc>
          <w:tcPr>
            <w:tcW w:w="9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30</w:t>
            </w:r>
            <w:r>
              <w:rPr>
                <w:rFonts w:ascii="Times New Roman" w:hAnsi="Times New Roman" w:eastAsia="宋体" w:cs="Times New Roman"/>
                <w:color w:val="auto"/>
                <w:sz w:val="21"/>
                <w:highlight w:val="none"/>
              </w:rPr>
              <w:t>0</w:t>
            </w:r>
          </w:p>
        </w:tc>
        <w:tc>
          <w:tcPr>
            <w:tcW w:w="10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20</w:t>
            </w:r>
            <w:r>
              <w:rPr>
                <w:rFonts w:ascii="Times New Roman" w:hAnsi="Times New Roman" w:eastAsia="宋体" w:cs="Times New Roman"/>
                <w:color w:val="auto"/>
                <w:sz w:val="21"/>
                <w:highlight w:val="none"/>
              </w:rPr>
              <w:t>0</w:t>
            </w:r>
          </w:p>
        </w:tc>
        <w:tc>
          <w:tcPr>
            <w:tcW w:w="136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p>
        </w:tc>
        <w:tc>
          <w:tcPr>
            <w:tcW w:w="11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37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86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装卸</w:t>
            </w:r>
          </w:p>
        </w:tc>
        <w:tc>
          <w:tcPr>
            <w:tcW w:w="57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291</w:t>
            </w:r>
          </w:p>
        </w:tc>
        <w:tc>
          <w:tcPr>
            <w:tcW w:w="64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157</w:t>
            </w:r>
          </w:p>
        </w:tc>
        <w:tc>
          <w:tcPr>
            <w:tcW w:w="109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240</w:t>
            </w:r>
          </w:p>
        </w:tc>
        <w:tc>
          <w:tcPr>
            <w:tcW w:w="9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300</w:t>
            </w:r>
          </w:p>
        </w:tc>
        <w:tc>
          <w:tcPr>
            <w:tcW w:w="10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200</w:t>
            </w:r>
          </w:p>
        </w:tc>
        <w:tc>
          <w:tcPr>
            <w:tcW w:w="136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c>
          <w:tcPr>
            <w:tcW w:w="115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0.035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p>
        </w:tc>
        <w:tc>
          <w:tcPr>
            <w:tcW w:w="18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w:t>
            </w:r>
            <w:r>
              <w:rPr>
                <w:rFonts w:ascii="Times New Roman" w:hAnsi="Times New Roman" w:eastAsia="宋体" w:cs="Times New Roman"/>
                <w:color w:val="auto"/>
                <w:sz w:val="21"/>
                <w:highlight w:val="none"/>
              </w:rPr>
              <w:t>破碎</w:t>
            </w:r>
            <w:r>
              <w:rPr>
                <w:rFonts w:hint="eastAsia" w:ascii="Times New Roman" w:hAnsi="Times New Roman" w:eastAsia="宋体"/>
                <w:color w:val="auto"/>
                <w:sz w:val="21"/>
                <w:highlight w:val="none"/>
              </w:rPr>
              <w:t>①</w:t>
            </w:r>
          </w:p>
        </w:tc>
        <w:tc>
          <w:tcPr>
            <w:tcW w:w="5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482</w:t>
            </w:r>
          </w:p>
        </w:tc>
        <w:tc>
          <w:tcPr>
            <w:tcW w:w="6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153</w:t>
            </w:r>
          </w:p>
        </w:tc>
        <w:tc>
          <w:tcPr>
            <w:tcW w:w="109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264</w:t>
            </w:r>
          </w:p>
        </w:tc>
        <w:tc>
          <w:tcPr>
            <w:tcW w:w="9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0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366"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15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0.078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w:t>
            </w:r>
          </w:p>
        </w:tc>
        <w:tc>
          <w:tcPr>
            <w:tcW w:w="186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二级破碎①</w:t>
            </w:r>
          </w:p>
        </w:tc>
        <w:tc>
          <w:tcPr>
            <w:tcW w:w="5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501</w:t>
            </w:r>
          </w:p>
        </w:tc>
        <w:tc>
          <w:tcPr>
            <w:tcW w:w="6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146</w:t>
            </w:r>
          </w:p>
        </w:tc>
        <w:tc>
          <w:tcPr>
            <w:tcW w:w="109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261</w:t>
            </w:r>
          </w:p>
        </w:tc>
        <w:tc>
          <w:tcPr>
            <w:tcW w:w="90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00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366"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15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0.156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w:t>
            </w:r>
          </w:p>
        </w:tc>
        <w:tc>
          <w:tcPr>
            <w:tcW w:w="186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①</w:t>
            </w:r>
          </w:p>
        </w:tc>
        <w:tc>
          <w:tcPr>
            <w:tcW w:w="5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500</w:t>
            </w:r>
          </w:p>
        </w:tc>
        <w:tc>
          <w:tcPr>
            <w:tcW w:w="6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118</w:t>
            </w:r>
          </w:p>
        </w:tc>
        <w:tc>
          <w:tcPr>
            <w:tcW w:w="109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252</w:t>
            </w:r>
          </w:p>
        </w:tc>
        <w:tc>
          <w:tcPr>
            <w:tcW w:w="90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00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366"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15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0.312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w:t>
            </w:r>
          </w:p>
        </w:tc>
        <w:tc>
          <w:tcPr>
            <w:tcW w:w="186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w:t>
            </w:r>
            <w:r>
              <w:rPr>
                <w:rFonts w:ascii="Times New Roman" w:hAnsi="Times New Roman" w:eastAsia="宋体" w:cs="Times New Roman"/>
                <w:color w:val="auto"/>
                <w:sz w:val="21"/>
                <w:highlight w:val="none"/>
              </w:rPr>
              <w:t>破碎</w:t>
            </w:r>
            <w:r>
              <w:rPr>
                <w:rFonts w:hint="eastAsia" w:ascii="Times New Roman" w:hAnsi="Times New Roman" w:eastAsia="宋体"/>
                <w:color w:val="auto"/>
                <w:sz w:val="21"/>
                <w:highlight w:val="none"/>
              </w:rPr>
              <w:t>②</w:t>
            </w:r>
          </w:p>
        </w:tc>
        <w:tc>
          <w:tcPr>
            <w:tcW w:w="5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6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w:t>
            </w:r>
          </w:p>
        </w:tc>
        <w:tc>
          <w:tcPr>
            <w:tcW w:w="109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233</w:t>
            </w:r>
          </w:p>
        </w:tc>
        <w:tc>
          <w:tcPr>
            <w:tcW w:w="90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00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366"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15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0.078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w:t>
            </w:r>
          </w:p>
        </w:tc>
        <w:tc>
          <w:tcPr>
            <w:tcW w:w="186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二级破碎筛分</w:t>
            </w:r>
            <w:r>
              <w:rPr>
                <w:rFonts w:hint="eastAsia" w:ascii="Times New Roman" w:hAnsi="Times New Roman" w:eastAsia="宋体"/>
                <w:color w:val="auto"/>
                <w:sz w:val="21"/>
                <w:highlight w:val="none"/>
              </w:rPr>
              <w:t>②</w:t>
            </w:r>
          </w:p>
        </w:tc>
        <w:tc>
          <w:tcPr>
            <w:tcW w:w="5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6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09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230</w:t>
            </w:r>
          </w:p>
        </w:tc>
        <w:tc>
          <w:tcPr>
            <w:tcW w:w="90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00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366"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15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0.312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86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②</w:t>
            </w:r>
          </w:p>
        </w:tc>
        <w:tc>
          <w:tcPr>
            <w:tcW w:w="5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w:t>
            </w:r>
          </w:p>
        </w:tc>
        <w:tc>
          <w:tcPr>
            <w:tcW w:w="6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w:t>
            </w:r>
          </w:p>
        </w:tc>
        <w:tc>
          <w:tcPr>
            <w:tcW w:w="109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230</w:t>
            </w:r>
          </w:p>
        </w:tc>
        <w:tc>
          <w:tcPr>
            <w:tcW w:w="90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00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366"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w:t>
            </w:r>
          </w:p>
        </w:tc>
        <w:tc>
          <w:tcPr>
            <w:tcW w:w="115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0.031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11</w:t>
            </w:r>
          </w:p>
        </w:tc>
        <w:tc>
          <w:tcPr>
            <w:tcW w:w="186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临时排土场</w:t>
            </w:r>
            <w:r>
              <w:rPr>
                <w:rFonts w:hint="eastAsia" w:ascii="Times New Roman" w:hAnsi="Times New Roman" w:eastAsia="宋体"/>
                <w:color w:val="auto"/>
                <w:sz w:val="21"/>
                <w:highlight w:val="none"/>
              </w:rPr>
              <w:t>①</w:t>
            </w:r>
          </w:p>
        </w:tc>
        <w:tc>
          <w:tcPr>
            <w:tcW w:w="57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440</w:t>
            </w:r>
          </w:p>
        </w:tc>
        <w:tc>
          <w:tcPr>
            <w:tcW w:w="64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91</w:t>
            </w:r>
          </w:p>
        </w:tc>
        <w:tc>
          <w:tcPr>
            <w:tcW w:w="109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240</w:t>
            </w:r>
          </w:p>
        </w:tc>
        <w:tc>
          <w:tcPr>
            <w:tcW w:w="9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50</w:t>
            </w:r>
          </w:p>
        </w:tc>
        <w:tc>
          <w:tcPr>
            <w:tcW w:w="10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w:t>
            </w:r>
          </w:p>
        </w:tc>
        <w:tc>
          <w:tcPr>
            <w:tcW w:w="136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p>
        </w:tc>
        <w:tc>
          <w:tcPr>
            <w:tcW w:w="11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0417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5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12</w:t>
            </w:r>
          </w:p>
        </w:tc>
        <w:tc>
          <w:tcPr>
            <w:tcW w:w="186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临时排土场</w:t>
            </w:r>
            <w:r>
              <w:rPr>
                <w:rFonts w:hint="eastAsia" w:ascii="Times New Roman" w:hAnsi="Times New Roman" w:eastAsia="宋体"/>
                <w:color w:val="auto"/>
                <w:sz w:val="21"/>
                <w:highlight w:val="none"/>
              </w:rPr>
              <w:t>②</w:t>
            </w:r>
          </w:p>
        </w:tc>
        <w:tc>
          <w:tcPr>
            <w:tcW w:w="57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34</w:t>
            </w:r>
          </w:p>
        </w:tc>
        <w:tc>
          <w:tcPr>
            <w:tcW w:w="64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67</w:t>
            </w:r>
          </w:p>
        </w:tc>
        <w:tc>
          <w:tcPr>
            <w:tcW w:w="109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230</w:t>
            </w:r>
          </w:p>
        </w:tc>
        <w:tc>
          <w:tcPr>
            <w:tcW w:w="9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w:t>
            </w:r>
          </w:p>
        </w:tc>
        <w:tc>
          <w:tcPr>
            <w:tcW w:w="100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w:t>
            </w:r>
          </w:p>
        </w:tc>
        <w:tc>
          <w:tcPr>
            <w:tcW w:w="136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334"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p>
        </w:tc>
        <w:tc>
          <w:tcPr>
            <w:tcW w:w="115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13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6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0.0417</w:t>
            </w:r>
          </w:p>
        </w:tc>
      </w:tr>
    </w:tbl>
    <w:p>
      <w:pPr>
        <w:spacing w:line="240" w:lineRule="auto"/>
        <w:ind w:firstLine="480"/>
        <w:rPr>
          <w:rFonts w:ascii="Times New Roman" w:hAnsi="Times New Roman" w:eastAsia="宋体" w:cs="Times New Roman"/>
          <w:color w:val="auto"/>
          <w:highlight w:val="none"/>
        </w:rPr>
      </w:pPr>
    </w:p>
    <w:p>
      <w:pPr>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w:t>
      </w:r>
      <w:r>
        <w:rPr>
          <w:rFonts w:hint="eastAsia" w:ascii="Times New Roman" w:hAnsi="Times New Roman" w:eastAsia="宋体" w:cs="Times New Roman"/>
          <w:b/>
          <w:bCs/>
          <w:color w:val="auto"/>
          <w:highlight w:val="none"/>
        </w:rPr>
        <w:t>3.3-4</w:t>
      </w:r>
      <w:r>
        <w:rPr>
          <w:rFonts w:ascii="Times New Roman" w:hAnsi="Times New Roman" w:eastAsia="宋体" w:cs="Times New Roman"/>
          <w:b/>
          <w:bCs/>
          <w:color w:val="auto"/>
          <w:highlight w:val="none"/>
        </w:rPr>
        <w:t xml:space="preserve"> 拟建项目无组织（近）圆形面源参数表</w:t>
      </w:r>
    </w:p>
    <w:tbl>
      <w:tblPr>
        <w:tblStyle w:val="48"/>
        <w:tblW w:w="14175"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415"/>
        <w:gridCol w:w="709"/>
        <w:gridCol w:w="710"/>
        <w:gridCol w:w="1417"/>
        <w:gridCol w:w="1417"/>
        <w:gridCol w:w="1418"/>
        <w:gridCol w:w="1416"/>
        <w:gridCol w:w="1417"/>
        <w:gridCol w:w="2838"/>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418"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编号</w:t>
            </w:r>
          </w:p>
        </w:tc>
        <w:tc>
          <w:tcPr>
            <w:tcW w:w="1415"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名称</w:t>
            </w:r>
          </w:p>
        </w:tc>
        <w:tc>
          <w:tcPr>
            <w:tcW w:w="1419" w:type="dxa"/>
            <w:gridSpan w:val="2"/>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面源中心</w:t>
            </w:r>
          </w:p>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坐标/m</w:t>
            </w:r>
          </w:p>
        </w:tc>
        <w:tc>
          <w:tcPr>
            <w:tcW w:w="1417"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面源海拔高度/m</w:t>
            </w:r>
          </w:p>
        </w:tc>
        <w:tc>
          <w:tcPr>
            <w:tcW w:w="1417"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面源半径/m</w:t>
            </w:r>
          </w:p>
        </w:tc>
        <w:tc>
          <w:tcPr>
            <w:tcW w:w="1418"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面源有效排放高度/m</w:t>
            </w:r>
          </w:p>
        </w:tc>
        <w:tc>
          <w:tcPr>
            <w:tcW w:w="1416"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年排放小时数/h</w:t>
            </w:r>
          </w:p>
        </w:tc>
        <w:tc>
          <w:tcPr>
            <w:tcW w:w="1417" w:type="dxa"/>
            <w:vMerge w:val="restart"/>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排放工况</w:t>
            </w:r>
          </w:p>
        </w:tc>
        <w:tc>
          <w:tcPr>
            <w:tcW w:w="2838"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污染物排放速率/（kg/h）</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418" w:type="dxa"/>
            <w:vMerge w:val="continue"/>
            <w:noWrap w:val="0"/>
            <w:vAlign w:val="center"/>
          </w:tcPr>
          <w:p>
            <w:pPr>
              <w:snapToGrid w:val="0"/>
              <w:spacing w:line="240" w:lineRule="auto"/>
              <w:ind w:firstLine="422"/>
              <w:jc w:val="center"/>
              <w:rPr>
                <w:rFonts w:ascii="Times New Roman" w:hAnsi="Times New Roman" w:eastAsia="宋体" w:cs="Times New Roman"/>
                <w:b/>
                <w:bCs/>
                <w:color w:val="auto"/>
                <w:sz w:val="21"/>
                <w:highlight w:val="none"/>
              </w:rPr>
            </w:pPr>
          </w:p>
        </w:tc>
        <w:tc>
          <w:tcPr>
            <w:tcW w:w="1415" w:type="dxa"/>
            <w:vMerge w:val="continue"/>
            <w:noWrap w:val="0"/>
            <w:vAlign w:val="center"/>
          </w:tcPr>
          <w:p>
            <w:pPr>
              <w:snapToGrid w:val="0"/>
              <w:spacing w:line="240" w:lineRule="auto"/>
              <w:ind w:firstLine="422"/>
              <w:jc w:val="center"/>
              <w:rPr>
                <w:rFonts w:ascii="Times New Roman" w:hAnsi="Times New Roman" w:eastAsia="宋体" w:cs="Times New Roman"/>
                <w:b/>
                <w:bCs/>
                <w:color w:val="auto"/>
                <w:sz w:val="21"/>
                <w:highlight w:val="none"/>
              </w:rPr>
            </w:pPr>
          </w:p>
        </w:tc>
        <w:tc>
          <w:tcPr>
            <w:tcW w:w="709"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X</w:t>
            </w:r>
          </w:p>
        </w:tc>
        <w:tc>
          <w:tcPr>
            <w:tcW w:w="710"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Y</w:t>
            </w:r>
          </w:p>
        </w:tc>
        <w:tc>
          <w:tcPr>
            <w:tcW w:w="1417" w:type="dxa"/>
            <w:vMerge w:val="continue"/>
            <w:noWrap w:val="0"/>
            <w:vAlign w:val="center"/>
          </w:tcPr>
          <w:p>
            <w:pPr>
              <w:snapToGrid w:val="0"/>
              <w:spacing w:line="240" w:lineRule="auto"/>
              <w:ind w:firstLine="422"/>
              <w:jc w:val="center"/>
              <w:rPr>
                <w:rFonts w:ascii="Times New Roman" w:hAnsi="Times New Roman" w:eastAsia="宋体" w:cs="Times New Roman"/>
                <w:b/>
                <w:bCs/>
                <w:color w:val="auto"/>
                <w:sz w:val="21"/>
                <w:highlight w:val="none"/>
              </w:rPr>
            </w:pPr>
          </w:p>
        </w:tc>
        <w:tc>
          <w:tcPr>
            <w:tcW w:w="1417" w:type="dxa"/>
            <w:vMerge w:val="continue"/>
            <w:noWrap w:val="0"/>
            <w:vAlign w:val="center"/>
          </w:tcPr>
          <w:p>
            <w:pPr>
              <w:snapToGrid w:val="0"/>
              <w:spacing w:line="240" w:lineRule="auto"/>
              <w:ind w:firstLine="422"/>
              <w:jc w:val="center"/>
              <w:rPr>
                <w:rFonts w:ascii="Times New Roman" w:hAnsi="Times New Roman" w:eastAsia="宋体" w:cs="Times New Roman"/>
                <w:b/>
                <w:bCs/>
                <w:color w:val="auto"/>
                <w:sz w:val="21"/>
                <w:highlight w:val="none"/>
              </w:rPr>
            </w:pPr>
          </w:p>
        </w:tc>
        <w:tc>
          <w:tcPr>
            <w:tcW w:w="1418" w:type="dxa"/>
            <w:vMerge w:val="continue"/>
            <w:noWrap w:val="0"/>
            <w:vAlign w:val="center"/>
          </w:tcPr>
          <w:p>
            <w:pPr>
              <w:snapToGrid w:val="0"/>
              <w:spacing w:line="240" w:lineRule="auto"/>
              <w:ind w:firstLine="422"/>
              <w:jc w:val="center"/>
              <w:rPr>
                <w:rFonts w:ascii="Times New Roman" w:hAnsi="Times New Roman" w:eastAsia="宋体" w:cs="Times New Roman"/>
                <w:b/>
                <w:bCs/>
                <w:color w:val="auto"/>
                <w:sz w:val="21"/>
                <w:highlight w:val="none"/>
              </w:rPr>
            </w:pPr>
          </w:p>
        </w:tc>
        <w:tc>
          <w:tcPr>
            <w:tcW w:w="1416" w:type="dxa"/>
            <w:vMerge w:val="continue"/>
            <w:noWrap w:val="0"/>
            <w:vAlign w:val="center"/>
          </w:tcPr>
          <w:p>
            <w:pPr>
              <w:snapToGrid w:val="0"/>
              <w:spacing w:line="240" w:lineRule="auto"/>
              <w:ind w:firstLine="422"/>
              <w:jc w:val="center"/>
              <w:rPr>
                <w:rFonts w:ascii="Times New Roman" w:hAnsi="Times New Roman" w:eastAsia="宋体" w:cs="Times New Roman"/>
                <w:b/>
                <w:bCs/>
                <w:color w:val="auto"/>
                <w:sz w:val="21"/>
                <w:highlight w:val="none"/>
              </w:rPr>
            </w:pPr>
          </w:p>
        </w:tc>
        <w:tc>
          <w:tcPr>
            <w:tcW w:w="1417" w:type="dxa"/>
            <w:vMerge w:val="continue"/>
            <w:noWrap w:val="0"/>
            <w:vAlign w:val="center"/>
          </w:tcPr>
          <w:p>
            <w:pPr>
              <w:snapToGrid w:val="0"/>
              <w:spacing w:line="240" w:lineRule="auto"/>
              <w:ind w:firstLine="422"/>
              <w:jc w:val="center"/>
              <w:rPr>
                <w:rFonts w:ascii="Times New Roman" w:hAnsi="Times New Roman" w:eastAsia="宋体" w:cs="Times New Roman"/>
                <w:b/>
                <w:bCs/>
                <w:color w:val="auto"/>
                <w:sz w:val="21"/>
                <w:highlight w:val="none"/>
              </w:rPr>
            </w:pPr>
          </w:p>
        </w:tc>
        <w:tc>
          <w:tcPr>
            <w:tcW w:w="2838" w:type="dxa"/>
            <w:noWrap w:val="0"/>
            <w:vAlign w:val="center"/>
          </w:tcPr>
          <w:p>
            <w:pPr>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TSP</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41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41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堆料场①</w:t>
            </w:r>
          </w:p>
        </w:tc>
        <w:tc>
          <w:tcPr>
            <w:tcW w:w="70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545</w:t>
            </w:r>
          </w:p>
        </w:tc>
        <w:tc>
          <w:tcPr>
            <w:tcW w:w="71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62</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240</w:t>
            </w:r>
          </w:p>
        </w:tc>
        <w:tc>
          <w:tcPr>
            <w:tcW w:w="141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25.24</w:t>
            </w:r>
          </w:p>
        </w:tc>
        <w:tc>
          <w:tcPr>
            <w:tcW w:w="141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c>
          <w:tcPr>
            <w:tcW w:w="141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8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0417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41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141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堆料场②</w:t>
            </w:r>
          </w:p>
        </w:tc>
        <w:tc>
          <w:tcPr>
            <w:tcW w:w="70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519</w:t>
            </w:r>
          </w:p>
        </w:tc>
        <w:tc>
          <w:tcPr>
            <w:tcW w:w="71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49</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240</w:t>
            </w:r>
          </w:p>
        </w:tc>
        <w:tc>
          <w:tcPr>
            <w:tcW w:w="141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21.86</w:t>
            </w:r>
          </w:p>
        </w:tc>
        <w:tc>
          <w:tcPr>
            <w:tcW w:w="141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c>
          <w:tcPr>
            <w:tcW w:w="141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8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312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41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141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s="Times New Roman"/>
                <w:color w:val="auto"/>
                <w:sz w:val="21"/>
                <w:highlight w:val="none"/>
              </w:rPr>
              <w:t>③</w:t>
            </w:r>
          </w:p>
        </w:tc>
        <w:tc>
          <w:tcPr>
            <w:tcW w:w="70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494</w:t>
            </w:r>
          </w:p>
        </w:tc>
        <w:tc>
          <w:tcPr>
            <w:tcW w:w="71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38</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240</w:t>
            </w:r>
          </w:p>
        </w:tc>
        <w:tc>
          <w:tcPr>
            <w:tcW w:w="141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21.86</w:t>
            </w:r>
          </w:p>
        </w:tc>
        <w:tc>
          <w:tcPr>
            <w:tcW w:w="141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c>
          <w:tcPr>
            <w:tcW w:w="141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8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0.0312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41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41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④</w:t>
            </w:r>
          </w:p>
        </w:tc>
        <w:tc>
          <w:tcPr>
            <w:tcW w:w="70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443</w:t>
            </w:r>
          </w:p>
        </w:tc>
        <w:tc>
          <w:tcPr>
            <w:tcW w:w="71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52</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240</w:t>
            </w:r>
          </w:p>
        </w:tc>
        <w:tc>
          <w:tcPr>
            <w:tcW w:w="141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17.85</w:t>
            </w:r>
          </w:p>
        </w:tc>
        <w:tc>
          <w:tcPr>
            <w:tcW w:w="141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c>
          <w:tcPr>
            <w:tcW w:w="141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8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0.0208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41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p>
        </w:tc>
        <w:tc>
          <w:tcPr>
            <w:tcW w:w="141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⑤</w:t>
            </w:r>
          </w:p>
        </w:tc>
        <w:tc>
          <w:tcPr>
            <w:tcW w:w="70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-47</w:t>
            </w:r>
          </w:p>
        </w:tc>
        <w:tc>
          <w:tcPr>
            <w:tcW w:w="71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-107</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227</w:t>
            </w:r>
          </w:p>
        </w:tc>
        <w:tc>
          <w:tcPr>
            <w:tcW w:w="141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25.24</w:t>
            </w:r>
          </w:p>
        </w:tc>
        <w:tc>
          <w:tcPr>
            <w:tcW w:w="141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c>
          <w:tcPr>
            <w:tcW w:w="141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8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0417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41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w:t>
            </w:r>
          </w:p>
        </w:tc>
        <w:tc>
          <w:tcPr>
            <w:tcW w:w="141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⑥</w:t>
            </w:r>
          </w:p>
        </w:tc>
        <w:tc>
          <w:tcPr>
            <w:tcW w:w="70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-36</w:t>
            </w:r>
          </w:p>
        </w:tc>
        <w:tc>
          <w:tcPr>
            <w:tcW w:w="71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-64</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227</w:t>
            </w:r>
          </w:p>
        </w:tc>
        <w:tc>
          <w:tcPr>
            <w:tcW w:w="141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21.86</w:t>
            </w:r>
          </w:p>
        </w:tc>
        <w:tc>
          <w:tcPr>
            <w:tcW w:w="141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c>
          <w:tcPr>
            <w:tcW w:w="141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8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312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41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w:t>
            </w:r>
          </w:p>
        </w:tc>
        <w:tc>
          <w:tcPr>
            <w:tcW w:w="141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⑦</w:t>
            </w:r>
          </w:p>
        </w:tc>
        <w:tc>
          <w:tcPr>
            <w:tcW w:w="70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-46</w:t>
            </w:r>
          </w:p>
        </w:tc>
        <w:tc>
          <w:tcPr>
            <w:tcW w:w="71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-29</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227</w:t>
            </w:r>
          </w:p>
        </w:tc>
        <w:tc>
          <w:tcPr>
            <w:tcW w:w="141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21.86</w:t>
            </w:r>
          </w:p>
        </w:tc>
        <w:tc>
          <w:tcPr>
            <w:tcW w:w="141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c>
          <w:tcPr>
            <w:tcW w:w="141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8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0.0312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41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w:t>
            </w:r>
          </w:p>
        </w:tc>
        <w:tc>
          <w:tcPr>
            <w:tcW w:w="141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⑧</w:t>
            </w:r>
          </w:p>
        </w:tc>
        <w:tc>
          <w:tcPr>
            <w:tcW w:w="70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-66</w:t>
            </w:r>
          </w:p>
        </w:tc>
        <w:tc>
          <w:tcPr>
            <w:tcW w:w="710"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11</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227</w:t>
            </w:r>
          </w:p>
        </w:tc>
        <w:tc>
          <w:tcPr>
            <w:tcW w:w="141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17.85</w:t>
            </w:r>
          </w:p>
        </w:tc>
        <w:tc>
          <w:tcPr>
            <w:tcW w:w="141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c>
          <w:tcPr>
            <w:tcW w:w="1416"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r>
              <w:rPr>
                <w:rFonts w:ascii="Times New Roman" w:hAnsi="Times New Roman" w:eastAsia="宋体" w:cs="Times New Roman"/>
                <w:color w:val="auto"/>
                <w:sz w:val="21"/>
                <w:highlight w:val="none"/>
              </w:rPr>
              <w:t>00</w:t>
            </w:r>
          </w:p>
        </w:tc>
        <w:tc>
          <w:tcPr>
            <w:tcW w:w="1417"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2838"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0.0208</w:t>
            </w:r>
          </w:p>
        </w:tc>
      </w:tr>
    </w:tbl>
    <w:p>
      <w:pPr>
        <w:pStyle w:val="87"/>
        <w:rPr>
          <w:rFonts w:ascii="Times New Roman" w:hAnsi="Times New Roman" w:eastAsia="宋体" w:cs="Times New Roman"/>
          <w:color w:val="auto"/>
          <w:highlight w:val="none"/>
        </w:rPr>
        <w:sectPr>
          <w:pgSz w:w="16838" w:h="11906" w:orient="landscape"/>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5"/>
        <w:rPr>
          <w:rFonts w:hint="eastAsia" w:ascii="Times New Roman" w:hAnsi="Times New Roman" w:eastAsia="宋体"/>
          <w:color w:val="auto"/>
          <w:highlight w:val="none"/>
        </w:rPr>
      </w:pPr>
      <w:r>
        <w:rPr>
          <w:rFonts w:hint="eastAsia" w:ascii="Times New Roman" w:hAnsi="Times New Roman" w:eastAsia="宋体"/>
          <w:color w:val="auto"/>
          <w:highlight w:val="none"/>
        </w:rPr>
        <w:t>3.3.2 区域污染源调查</w:t>
      </w:r>
    </w:p>
    <w:p>
      <w:pPr>
        <w:ind w:firstLine="480"/>
        <w:rPr>
          <w:rFonts w:ascii="Times New Roman" w:hAnsi="Times New Roman" w:eastAsia="宋体" w:cs="Times New Roman"/>
          <w:color w:val="auto"/>
          <w:highlight w:val="none"/>
        </w:rPr>
      </w:pPr>
      <w:r>
        <w:rPr>
          <w:rFonts w:hint="eastAsia" w:ascii="Times New Roman" w:hAnsi="Times New Roman" w:eastAsia="宋体"/>
          <w:color w:val="auto"/>
          <w:highlight w:val="none"/>
        </w:rPr>
        <w:t>通过查阅柳州市行政审批局和柳州市三江生态环境局网站公布信息，并对项目所在区域进行走访调查，未发现项目评价范围内存在与评价项目排放污染物有关的其他在建项目、已批复环境影响评价文件的拟建项目等污染源。</w:t>
      </w:r>
    </w:p>
    <w:bookmarkEnd w:id="261"/>
    <w:bookmarkEnd w:id="262"/>
    <w:p>
      <w:pPr>
        <w:pStyle w:val="5"/>
        <w:rPr>
          <w:rFonts w:hint="eastAsia" w:ascii="Times New Roman" w:hAnsi="Times New Roman" w:eastAsia="宋体"/>
          <w:color w:val="auto"/>
          <w:highlight w:val="none"/>
        </w:rPr>
      </w:pPr>
      <w:bookmarkStart w:id="263" w:name="_Toc25771"/>
      <w:bookmarkStart w:id="264" w:name="_Toc5216"/>
      <w:bookmarkStart w:id="265" w:name="_Toc18136"/>
      <w:bookmarkStart w:id="266" w:name="_Toc13385"/>
      <w:bookmarkStart w:id="267" w:name="_Toc8323"/>
      <w:bookmarkStart w:id="268" w:name="_Toc14144"/>
      <w:bookmarkStart w:id="269" w:name="_Toc509"/>
      <w:bookmarkStart w:id="270" w:name="_Toc7451"/>
      <w:bookmarkStart w:id="271" w:name="_Toc17840"/>
      <w:bookmarkStart w:id="272" w:name="_Toc26264"/>
      <w:bookmarkStart w:id="273" w:name="_Toc245008276"/>
      <w:bookmarkStart w:id="274" w:name="_Toc21661"/>
      <w:bookmarkStart w:id="275" w:name="_Toc1126"/>
      <w:bookmarkStart w:id="276" w:name="_Toc264142433"/>
      <w:r>
        <w:rPr>
          <w:rFonts w:hint="eastAsia" w:ascii="Times New Roman" w:hAnsi="Times New Roman" w:eastAsia="宋体"/>
          <w:color w:val="auto"/>
          <w:highlight w:val="none"/>
        </w:rPr>
        <w:t>3.3.3 交通运输移动源废气</w:t>
      </w:r>
    </w:p>
    <w:p>
      <w:pPr>
        <w:pStyle w:val="100"/>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w:t>
      </w:r>
      <w:r>
        <w:rPr>
          <w:rFonts w:hint="eastAsia" w:ascii="Times New Roman" w:hAnsi="Times New Roman" w:eastAsia="宋体"/>
          <w:color w:val="auto"/>
          <w:highlight w:val="none"/>
          <w:lang w:val="en-US"/>
        </w:rPr>
        <w:t>新增的交通运输移动源为石料产品外运时产生的汽车尾气，</w:t>
      </w:r>
      <w:r>
        <w:rPr>
          <w:rFonts w:hint="eastAsia" w:ascii="Times New Roman" w:hAnsi="Times New Roman" w:eastAsia="宋体"/>
          <w:color w:val="auto"/>
          <w:highlight w:val="none"/>
        </w:rPr>
        <w:t>涉及的交通道路主要为</w:t>
      </w:r>
      <w:r>
        <w:rPr>
          <w:rFonts w:hint="eastAsia" w:ascii="Times New Roman" w:hAnsi="Times New Roman" w:eastAsia="宋体"/>
          <w:color w:val="auto"/>
          <w:highlight w:val="none"/>
          <w:lang w:val="en-US"/>
        </w:rPr>
        <w:t>G421国道</w:t>
      </w:r>
      <w:r>
        <w:rPr>
          <w:rFonts w:hint="eastAsia" w:ascii="Times New Roman" w:hAnsi="Times New Roman" w:eastAsia="宋体"/>
          <w:color w:val="auto"/>
          <w:highlight w:val="none"/>
        </w:rPr>
        <w:t>。汽车尾气的排放量与车型、车况和车辆数等有关，</w:t>
      </w:r>
      <w:r>
        <w:rPr>
          <w:rFonts w:hint="eastAsia" w:ascii="Times New Roman" w:hAnsi="Times New Roman" w:eastAsia="宋体"/>
          <w:color w:val="auto"/>
          <w:highlight w:val="none"/>
          <w:lang w:val="en-US"/>
        </w:rPr>
        <w:t>本项目主要使用的车型为重型货车，燃油类型为柴油，根据</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rPr>
        <w:t>道路机动车大气污染物排放清单编制技术指南（试行）</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rPr>
        <w:t>表6</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rPr>
        <w:t>重型货车使用柴油的综合基准排放系数</w:t>
      </w:r>
      <w:r>
        <w:rPr>
          <w:rFonts w:hint="eastAsia" w:ascii="Times New Roman" w:hAnsi="Times New Roman" w:eastAsia="宋体"/>
          <w:color w:val="auto"/>
          <w:highlight w:val="none"/>
        </w:rPr>
        <w:t>见表3.</w:t>
      </w:r>
      <w:r>
        <w:rPr>
          <w:rFonts w:hint="eastAsia" w:ascii="Times New Roman" w:hAnsi="Times New Roman" w:eastAsia="宋体"/>
          <w:color w:val="auto"/>
          <w:highlight w:val="none"/>
          <w:lang w:val="en-US"/>
        </w:rPr>
        <w:t>3</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rPr>
        <w:t>5</w:t>
      </w:r>
      <w:r>
        <w:rPr>
          <w:rFonts w:hint="eastAsia" w:ascii="Times New Roman" w:hAnsi="Times New Roman" w:eastAsia="宋体"/>
          <w:color w:val="auto"/>
          <w:highlight w:val="none"/>
        </w:rPr>
        <w:t>。</w:t>
      </w:r>
    </w:p>
    <w:p>
      <w:pPr>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w:t>
      </w:r>
      <w:r>
        <w:rPr>
          <w:rFonts w:hint="eastAsia" w:ascii="Times New Roman" w:hAnsi="Times New Roman" w:eastAsia="宋体" w:cs="Times New Roman"/>
          <w:b/>
          <w:bCs/>
          <w:color w:val="auto"/>
          <w:highlight w:val="none"/>
        </w:rPr>
        <w:t>3.3-5</w:t>
      </w:r>
      <w:r>
        <w:rPr>
          <w:rFonts w:ascii="Times New Roman" w:hAnsi="Times New Roman" w:eastAsia="宋体" w:cs="Times New Roman"/>
          <w:b/>
          <w:bCs/>
          <w:color w:val="auto"/>
          <w:highlight w:val="none"/>
        </w:rPr>
        <w:t xml:space="preserve">  </w:t>
      </w:r>
      <w:r>
        <w:rPr>
          <w:rFonts w:hint="eastAsia" w:ascii="Times New Roman" w:hAnsi="Times New Roman" w:eastAsia="宋体" w:cs="Times New Roman"/>
          <w:b/>
          <w:bCs/>
          <w:color w:val="auto"/>
          <w:highlight w:val="none"/>
        </w:rPr>
        <w:t>柴油车各车型综合基准排放系数</w:t>
      </w:r>
    </w:p>
    <w:tbl>
      <w:tblPr>
        <w:tblStyle w:val="48"/>
        <w:tblW w:w="907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
      <w:tblGrid>
        <w:gridCol w:w="1101"/>
        <w:gridCol w:w="1170"/>
        <w:gridCol w:w="1350"/>
        <w:gridCol w:w="1245"/>
        <w:gridCol w:w="1365"/>
        <w:gridCol w:w="1395"/>
        <w:gridCol w:w="14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239" w:hRule="atLeast"/>
          <w:jc w:val="center"/>
        </w:trPr>
        <w:tc>
          <w:tcPr>
            <w:tcW w:w="2271" w:type="dxa"/>
            <w:gridSpan w:val="2"/>
            <w:vMerge w:val="restart"/>
            <w:noWrap w:val="0"/>
            <w:vAlign w:val="center"/>
          </w:tcPr>
          <w:p>
            <w:pPr>
              <w:pStyle w:val="86"/>
              <w:rPr>
                <w:rFonts w:hint="eastAsia" w:ascii="Times New Roman" w:hAnsi="Times New Roman" w:eastAsia="宋体"/>
                <w:color w:val="auto"/>
                <w:highlight w:val="none"/>
              </w:rPr>
            </w:pPr>
            <w:r>
              <w:rPr>
                <w:rFonts w:hint="eastAsia" w:ascii="Times New Roman" w:hAnsi="Times New Roman" w:eastAsia="宋体"/>
                <w:color w:val="auto"/>
                <w:highlight w:val="none"/>
              </w:rPr>
              <w:t>机动车类型</w:t>
            </w:r>
          </w:p>
        </w:tc>
        <w:tc>
          <w:tcPr>
            <w:tcW w:w="6800" w:type="dxa"/>
            <w:gridSpan w:val="5"/>
            <w:noWrap w:val="0"/>
            <w:vAlign w:val="center"/>
          </w:tcPr>
          <w:p>
            <w:pPr>
              <w:pStyle w:val="86"/>
              <w:rPr>
                <w:rFonts w:ascii="Times New Roman" w:hAnsi="Times New Roman" w:eastAsia="宋体"/>
                <w:color w:val="auto"/>
                <w:highlight w:val="none"/>
                <w:lang w:eastAsia="en-US"/>
              </w:rPr>
            </w:pPr>
            <w:r>
              <w:rPr>
                <w:rFonts w:hint="eastAsia" w:ascii="Times New Roman" w:hAnsi="Times New Roman" w:eastAsia="宋体"/>
                <w:color w:val="auto"/>
                <w:highlight w:val="none"/>
                <w:lang w:eastAsia="en-US"/>
              </w:rPr>
              <w:t>污染物排放情况（g/km）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2271" w:type="dxa"/>
            <w:gridSpan w:val="2"/>
            <w:vMerge w:val="continue"/>
            <w:noWrap w:val="0"/>
            <w:vAlign w:val="center"/>
          </w:tcPr>
          <w:p>
            <w:pPr>
              <w:pStyle w:val="86"/>
              <w:rPr>
                <w:rFonts w:ascii="Times New Roman" w:hAnsi="Times New Roman" w:eastAsia="宋体"/>
                <w:color w:val="auto"/>
                <w:highlight w:val="none"/>
              </w:rPr>
            </w:pPr>
          </w:p>
        </w:tc>
        <w:tc>
          <w:tcPr>
            <w:tcW w:w="1350" w:type="dxa"/>
            <w:noWrap w:val="0"/>
            <w:vAlign w:val="center"/>
          </w:tcPr>
          <w:p>
            <w:pPr>
              <w:pStyle w:val="86"/>
              <w:rPr>
                <w:rFonts w:hint="eastAsia" w:ascii="Times New Roman" w:hAnsi="Times New Roman" w:eastAsia="宋体"/>
                <w:color w:val="auto"/>
                <w:highlight w:val="none"/>
              </w:rPr>
            </w:pPr>
            <w:r>
              <w:rPr>
                <w:rFonts w:hint="eastAsia" w:ascii="Times New Roman" w:hAnsi="Times New Roman" w:eastAsia="宋体"/>
                <w:color w:val="auto"/>
                <w:highlight w:val="none"/>
              </w:rPr>
              <w:t>CO</w:t>
            </w:r>
          </w:p>
        </w:tc>
        <w:tc>
          <w:tcPr>
            <w:tcW w:w="1245" w:type="dxa"/>
            <w:noWrap w:val="0"/>
            <w:vAlign w:val="center"/>
          </w:tcPr>
          <w:p>
            <w:pPr>
              <w:pStyle w:val="86"/>
              <w:rPr>
                <w:rFonts w:hint="eastAsia" w:ascii="Times New Roman" w:hAnsi="Times New Roman" w:eastAsia="宋体"/>
                <w:color w:val="auto"/>
                <w:highlight w:val="none"/>
              </w:rPr>
            </w:pPr>
            <w:r>
              <w:rPr>
                <w:rFonts w:hint="eastAsia" w:ascii="Times New Roman" w:hAnsi="Times New Roman" w:eastAsia="宋体"/>
                <w:color w:val="auto"/>
                <w:highlight w:val="none"/>
              </w:rPr>
              <w:t>HC</w:t>
            </w:r>
          </w:p>
        </w:tc>
        <w:tc>
          <w:tcPr>
            <w:tcW w:w="1365" w:type="dxa"/>
            <w:noWrap w:val="0"/>
            <w:vAlign w:val="center"/>
          </w:tcPr>
          <w:p>
            <w:pPr>
              <w:pStyle w:val="86"/>
              <w:rPr>
                <w:rFonts w:ascii="Times New Roman" w:hAnsi="Times New Roman" w:eastAsia="宋体"/>
                <w:color w:val="auto"/>
                <w:highlight w:val="none"/>
                <w:lang w:eastAsia="en-US"/>
              </w:rPr>
            </w:pPr>
            <w:r>
              <w:rPr>
                <w:rFonts w:hint="eastAsia" w:ascii="Times New Roman" w:hAnsi="Times New Roman" w:eastAsia="宋体"/>
                <w:snapToGrid w:val="0"/>
                <w:color w:val="auto"/>
                <w:highlight w:val="none"/>
              </w:rPr>
              <w:t>NO</w:t>
            </w:r>
            <w:r>
              <w:rPr>
                <w:rFonts w:hint="eastAsia" w:ascii="Times New Roman" w:hAnsi="Times New Roman" w:eastAsia="宋体"/>
                <w:snapToGrid w:val="0"/>
                <w:color w:val="auto"/>
                <w:highlight w:val="none"/>
                <w:vertAlign w:val="subscript"/>
              </w:rPr>
              <w:t>x</w:t>
            </w:r>
          </w:p>
        </w:tc>
        <w:tc>
          <w:tcPr>
            <w:tcW w:w="1395" w:type="dxa"/>
            <w:noWrap w:val="0"/>
            <w:vAlign w:val="center"/>
          </w:tcPr>
          <w:p>
            <w:pPr>
              <w:pStyle w:val="86"/>
              <w:rPr>
                <w:rFonts w:ascii="Times New Roman" w:hAnsi="Times New Roman" w:eastAsia="宋体"/>
                <w:color w:val="auto"/>
                <w:highlight w:val="none"/>
              </w:rPr>
            </w:pPr>
            <w:r>
              <w:rPr>
                <w:rFonts w:hint="eastAsia" w:ascii="Times New Roman" w:hAnsi="Times New Roman" w:eastAsia="宋体"/>
                <w:snapToGrid w:val="0"/>
                <w:color w:val="auto"/>
                <w:highlight w:val="none"/>
              </w:rPr>
              <w:t>PM</w:t>
            </w:r>
            <w:r>
              <w:rPr>
                <w:rFonts w:hint="eastAsia" w:ascii="Times New Roman" w:hAnsi="Times New Roman" w:eastAsia="宋体"/>
                <w:snapToGrid w:val="0"/>
                <w:color w:val="auto"/>
                <w:highlight w:val="none"/>
                <w:vertAlign w:val="subscript"/>
              </w:rPr>
              <w:t>2.5</w:t>
            </w:r>
          </w:p>
        </w:tc>
        <w:tc>
          <w:tcPr>
            <w:tcW w:w="1445" w:type="dxa"/>
            <w:noWrap w:val="0"/>
            <w:vAlign w:val="center"/>
          </w:tcPr>
          <w:p>
            <w:pPr>
              <w:pStyle w:val="86"/>
              <w:rPr>
                <w:rFonts w:ascii="Times New Roman" w:hAnsi="Times New Roman" w:eastAsia="宋体"/>
                <w:color w:val="auto"/>
                <w:highlight w:val="none"/>
              </w:rPr>
            </w:pPr>
            <w:r>
              <w:rPr>
                <w:rFonts w:hint="eastAsia" w:ascii="Times New Roman" w:hAnsi="Times New Roman" w:eastAsia="宋体"/>
                <w:snapToGrid w:val="0"/>
                <w:color w:val="auto"/>
                <w:highlight w:val="none"/>
              </w:rPr>
              <w:t>PM</w:t>
            </w:r>
            <w:r>
              <w:rPr>
                <w:rFonts w:hint="eastAsia" w:ascii="Times New Roman" w:hAnsi="Times New Roman" w:eastAsia="宋体"/>
                <w:snapToGrid w:val="0"/>
                <w:color w:val="auto"/>
                <w:highlight w:val="none"/>
                <w:vertAlign w:val="subscript"/>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1101" w:type="dxa"/>
            <w:noWrap w:val="0"/>
            <w:vAlign w:val="center"/>
          </w:tcPr>
          <w:p>
            <w:pPr>
              <w:pStyle w:val="86"/>
              <w:rPr>
                <w:rFonts w:ascii="Times New Roman" w:hAnsi="Times New Roman" w:eastAsia="宋体"/>
                <w:b w:val="0"/>
                <w:bCs/>
                <w:color w:val="auto"/>
                <w:highlight w:val="none"/>
              </w:rPr>
            </w:pPr>
            <w:r>
              <w:rPr>
                <w:rFonts w:hint="eastAsia" w:ascii="Times New Roman" w:hAnsi="Times New Roman" w:eastAsia="宋体"/>
                <w:b w:val="0"/>
                <w:bCs/>
                <w:color w:val="auto"/>
                <w:highlight w:val="none"/>
              </w:rPr>
              <w:t>重型货车</w:t>
            </w:r>
          </w:p>
        </w:tc>
        <w:tc>
          <w:tcPr>
            <w:tcW w:w="1170" w:type="dxa"/>
            <w:noWrap w:val="0"/>
            <w:vAlign w:val="center"/>
          </w:tcPr>
          <w:p>
            <w:pPr>
              <w:pStyle w:val="86"/>
              <w:rPr>
                <w:rFonts w:hint="eastAsia" w:ascii="Times New Roman" w:hAnsi="Times New Roman" w:eastAsia="宋体"/>
                <w:b w:val="0"/>
                <w:bCs/>
                <w:color w:val="auto"/>
                <w:highlight w:val="none"/>
              </w:rPr>
            </w:pPr>
            <w:r>
              <w:rPr>
                <w:rFonts w:hint="eastAsia" w:ascii="Times New Roman" w:hAnsi="Times New Roman" w:eastAsia="宋体"/>
                <w:b w:val="0"/>
                <w:bCs/>
                <w:color w:val="auto"/>
                <w:highlight w:val="none"/>
              </w:rPr>
              <w:t>国五</w:t>
            </w:r>
          </w:p>
        </w:tc>
        <w:tc>
          <w:tcPr>
            <w:tcW w:w="1350" w:type="dxa"/>
            <w:noWrap w:val="0"/>
            <w:vAlign w:val="center"/>
          </w:tcPr>
          <w:p>
            <w:pPr>
              <w:pStyle w:val="86"/>
              <w:rPr>
                <w:rFonts w:ascii="Times New Roman" w:hAnsi="Times New Roman" w:eastAsia="宋体"/>
                <w:b w:val="0"/>
                <w:bCs/>
                <w:color w:val="auto"/>
                <w:highlight w:val="none"/>
              </w:rPr>
            </w:pPr>
            <w:r>
              <w:rPr>
                <w:rFonts w:hint="eastAsia" w:ascii="Times New Roman" w:hAnsi="Times New Roman" w:eastAsia="宋体"/>
                <w:b w:val="0"/>
                <w:bCs/>
                <w:color w:val="auto"/>
                <w:highlight w:val="none"/>
              </w:rPr>
              <w:t>2.20</w:t>
            </w:r>
          </w:p>
        </w:tc>
        <w:tc>
          <w:tcPr>
            <w:tcW w:w="1245" w:type="dxa"/>
            <w:noWrap w:val="0"/>
            <w:vAlign w:val="center"/>
          </w:tcPr>
          <w:p>
            <w:pPr>
              <w:pStyle w:val="86"/>
              <w:rPr>
                <w:rFonts w:ascii="Times New Roman" w:hAnsi="Times New Roman" w:eastAsia="宋体"/>
                <w:b w:val="0"/>
                <w:bCs/>
                <w:color w:val="auto"/>
                <w:highlight w:val="none"/>
              </w:rPr>
            </w:pPr>
            <w:r>
              <w:rPr>
                <w:rFonts w:hint="eastAsia" w:ascii="Times New Roman" w:hAnsi="Times New Roman" w:eastAsia="宋体"/>
                <w:b w:val="0"/>
                <w:bCs/>
                <w:color w:val="auto"/>
                <w:highlight w:val="none"/>
              </w:rPr>
              <w:t>0.129</w:t>
            </w:r>
          </w:p>
        </w:tc>
        <w:tc>
          <w:tcPr>
            <w:tcW w:w="1365" w:type="dxa"/>
            <w:noWrap w:val="0"/>
            <w:vAlign w:val="center"/>
          </w:tcPr>
          <w:p>
            <w:pPr>
              <w:pStyle w:val="86"/>
              <w:rPr>
                <w:rFonts w:ascii="Times New Roman" w:hAnsi="Times New Roman" w:eastAsia="宋体"/>
                <w:b w:val="0"/>
                <w:bCs/>
                <w:snapToGrid w:val="0"/>
                <w:color w:val="auto"/>
                <w:highlight w:val="none"/>
              </w:rPr>
            </w:pPr>
            <w:r>
              <w:rPr>
                <w:rFonts w:hint="eastAsia" w:ascii="Times New Roman" w:hAnsi="Times New Roman" w:eastAsia="宋体"/>
                <w:b w:val="0"/>
                <w:bCs/>
                <w:snapToGrid w:val="0"/>
                <w:color w:val="auto"/>
                <w:highlight w:val="none"/>
              </w:rPr>
              <w:t>4.721</w:t>
            </w:r>
          </w:p>
        </w:tc>
        <w:tc>
          <w:tcPr>
            <w:tcW w:w="1395" w:type="dxa"/>
            <w:noWrap w:val="0"/>
            <w:vAlign w:val="center"/>
          </w:tcPr>
          <w:p>
            <w:pPr>
              <w:pStyle w:val="86"/>
              <w:rPr>
                <w:rFonts w:ascii="Times New Roman" w:hAnsi="Times New Roman" w:eastAsia="宋体"/>
                <w:b w:val="0"/>
                <w:bCs/>
                <w:snapToGrid w:val="0"/>
                <w:color w:val="auto"/>
                <w:highlight w:val="none"/>
              </w:rPr>
            </w:pPr>
            <w:r>
              <w:rPr>
                <w:rFonts w:hint="eastAsia" w:ascii="Times New Roman" w:hAnsi="Times New Roman" w:eastAsia="宋体"/>
                <w:b w:val="0"/>
                <w:bCs/>
                <w:snapToGrid w:val="0"/>
                <w:color w:val="auto"/>
                <w:highlight w:val="none"/>
              </w:rPr>
              <w:t>0.027</w:t>
            </w:r>
          </w:p>
        </w:tc>
        <w:tc>
          <w:tcPr>
            <w:tcW w:w="1445" w:type="dxa"/>
            <w:noWrap w:val="0"/>
            <w:vAlign w:val="center"/>
          </w:tcPr>
          <w:p>
            <w:pPr>
              <w:pStyle w:val="86"/>
              <w:rPr>
                <w:rFonts w:ascii="Times New Roman" w:hAnsi="Times New Roman" w:eastAsia="宋体"/>
                <w:b w:val="0"/>
                <w:bCs/>
                <w:snapToGrid w:val="0"/>
                <w:color w:val="auto"/>
                <w:highlight w:val="none"/>
              </w:rPr>
            </w:pPr>
            <w:r>
              <w:rPr>
                <w:rFonts w:hint="eastAsia" w:ascii="Times New Roman" w:hAnsi="Times New Roman" w:eastAsia="宋体"/>
                <w:b w:val="0"/>
                <w:bCs/>
                <w:snapToGrid w:val="0"/>
                <w:color w:val="auto"/>
                <w:highlight w:val="none"/>
              </w:rPr>
              <w:t>0.030</w:t>
            </w:r>
          </w:p>
        </w:tc>
      </w:tr>
    </w:tbl>
    <w:p>
      <w:pPr>
        <w:pStyle w:val="100"/>
        <w:ind w:firstLine="480"/>
        <w:rPr>
          <w:rFonts w:ascii="Times New Roman" w:hAnsi="Times New Roman" w:eastAsia="宋体"/>
          <w:color w:val="auto"/>
          <w:highlight w:val="none"/>
        </w:rPr>
      </w:pPr>
      <w:r>
        <w:rPr>
          <w:rFonts w:hint="eastAsia" w:ascii="Times New Roman" w:hAnsi="Times New Roman" w:eastAsia="宋体"/>
          <w:color w:val="auto"/>
          <w:highlight w:val="none"/>
        </w:rPr>
        <w:t>项目</w:t>
      </w:r>
      <w:r>
        <w:rPr>
          <w:rFonts w:hint="eastAsia" w:ascii="Times New Roman" w:hAnsi="Times New Roman" w:eastAsia="宋体"/>
          <w:color w:val="auto"/>
          <w:highlight w:val="none"/>
          <w:lang w:val="en-US" w:eastAsia="zh-CN"/>
        </w:rPr>
        <w:t>整合</w:t>
      </w:r>
      <w:r>
        <w:rPr>
          <w:rFonts w:hint="eastAsia" w:ascii="Times New Roman" w:hAnsi="Times New Roman" w:eastAsia="宋体"/>
          <w:color w:val="auto"/>
          <w:highlight w:val="none"/>
          <w:lang w:val="en-US"/>
        </w:rPr>
        <w:t>后新增运输</w:t>
      </w:r>
      <w:r>
        <w:rPr>
          <w:rFonts w:hint="eastAsia" w:ascii="Times New Roman" w:hAnsi="Times New Roman" w:eastAsia="宋体"/>
          <w:color w:val="auto"/>
          <w:highlight w:val="none"/>
        </w:rPr>
        <w:t>车辆预计为</w:t>
      </w:r>
      <w:r>
        <w:rPr>
          <w:rFonts w:hint="eastAsia" w:ascii="Times New Roman" w:hAnsi="Times New Roman" w:eastAsia="宋体"/>
          <w:color w:val="auto"/>
          <w:highlight w:val="none"/>
          <w:lang w:val="en-US"/>
        </w:rPr>
        <w:t>15</w:t>
      </w:r>
      <w:r>
        <w:rPr>
          <w:rFonts w:hint="eastAsia" w:ascii="Times New Roman" w:hAnsi="Times New Roman" w:eastAsia="宋体"/>
          <w:color w:val="auto"/>
          <w:highlight w:val="none"/>
        </w:rPr>
        <w:t>辆，则新增车辆运输时产生的交通运输移动源排放情况见表3</w:t>
      </w:r>
      <w:r>
        <w:rPr>
          <w:rFonts w:hint="eastAsia" w:ascii="Times New Roman" w:hAnsi="Times New Roman" w:eastAsia="宋体"/>
          <w:color w:val="auto"/>
          <w:highlight w:val="none"/>
          <w:lang w:val="en-US"/>
        </w:rPr>
        <w:t>.3-6</w:t>
      </w:r>
      <w:r>
        <w:rPr>
          <w:rFonts w:hint="eastAsia" w:ascii="Times New Roman" w:hAnsi="Times New Roman" w:eastAsia="宋体"/>
          <w:color w:val="auto"/>
          <w:highlight w:val="none"/>
        </w:rPr>
        <w:t>。</w:t>
      </w:r>
    </w:p>
    <w:p>
      <w:pPr>
        <w:spacing w:line="240" w:lineRule="auto"/>
        <w:ind w:firstLine="0" w:firstLineChars="0"/>
        <w:jc w:val="center"/>
        <w:rPr>
          <w:rFonts w:hint="eastAsia"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表3.3-6 项目交通运输移动源排放情况</w:t>
      </w:r>
    </w:p>
    <w:tbl>
      <w:tblPr>
        <w:tblStyle w:val="48"/>
        <w:tblW w:w="916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
      <w:tblGrid>
        <w:gridCol w:w="1776"/>
        <w:gridCol w:w="1080"/>
        <w:gridCol w:w="1260"/>
        <w:gridCol w:w="1020"/>
        <w:gridCol w:w="960"/>
        <w:gridCol w:w="1050"/>
        <w:gridCol w:w="1050"/>
        <w:gridCol w:w="9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239" w:hRule="atLeast"/>
          <w:jc w:val="center"/>
        </w:trPr>
        <w:tc>
          <w:tcPr>
            <w:tcW w:w="2856" w:type="dxa"/>
            <w:gridSpan w:val="2"/>
            <w:vMerge w:val="restart"/>
            <w:noWrap w:val="0"/>
            <w:vAlign w:val="center"/>
          </w:tcPr>
          <w:p>
            <w:pPr>
              <w:pStyle w:val="86"/>
              <w:rPr>
                <w:rFonts w:hint="eastAsia" w:ascii="Times New Roman" w:hAnsi="Times New Roman" w:eastAsia="宋体"/>
                <w:color w:val="auto"/>
                <w:highlight w:val="none"/>
              </w:rPr>
            </w:pPr>
            <w:r>
              <w:rPr>
                <w:rFonts w:hint="eastAsia" w:ascii="Times New Roman" w:hAnsi="Times New Roman" w:eastAsia="宋体"/>
                <w:color w:val="auto"/>
                <w:highlight w:val="none"/>
              </w:rPr>
              <w:t>运输方式</w:t>
            </w:r>
          </w:p>
        </w:tc>
        <w:tc>
          <w:tcPr>
            <w:tcW w:w="1260" w:type="dxa"/>
            <w:vMerge w:val="restart"/>
            <w:noWrap w:val="0"/>
            <w:vAlign w:val="center"/>
          </w:tcPr>
          <w:p>
            <w:pPr>
              <w:pStyle w:val="86"/>
              <w:rPr>
                <w:rFonts w:hint="eastAsia" w:ascii="Times New Roman" w:hAnsi="Times New Roman" w:eastAsia="宋体"/>
                <w:color w:val="auto"/>
                <w:highlight w:val="none"/>
              </w:rPr>
            </w:pPr>
            <w:r>
              <w:rPr>
                <w:rFonts w:hint="eastAsia" w:ascii="Times New Roman" w:hAnsi="Times New Roman" w:eastAsia="宋体"/>
                <w:snapToGrid w:val="0"/>
                <w:color w:val="auto"/>
                <w:highlight w:val="none"/>
              </w:rPr>
              <w:t>新增交通量</w:t>
            </w:r>
          </w:p>
        </w:tc>
        <w:tc>
          <w:tcPr>
            <w:tcW w:w="5045" w:type="dxa"/>
            <w:gridSpan w:val="5"/>
            <w:noWrap w:val="0"/>
            <w:vAlign w:val="center"/>
          </w:tcPr>
          <w:p>
            <w:pPr>
              <w:pStyle w:val="86"/>
              <w:rPr>
                <w:rFonts w:ascii="Times New Roman" w:hAnsi="Times New Roman" w:eastAsia="宋体"/>
                <w:color w:val="auto"/>
                <w:highlight w:val="none"/>
                <w:lang w:eastAsia="en-US"/>
              </w:rPr>
            </w:pPr>
            <w:r>
              <w:rPr>
                <w:rFonts w:hint="eastAsia" w:ascii="Times New Roman" w:hAnsi="Times New Roman" w:eastAsia="宋体"/>
                <w:color w:val="auto"/>
                <w:highlight w:val="none"/>
                <w:lang w:eastAsia="en-US"/>
              </w:rPr>
              <w:t>污染物排放情况（g/km）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2856" w:type="dxa"/>
            <w:gridSpan w:val="2"/>
            <w:vMerge w:val="continue"/>
            <w:noWrap w:val="0"/>
            <w:vAlign w:val="center"/>
          </w:tcPr>
          <w:p>
            <w:pPr>
              <w:pStyle w:val="86"/>
              <w:rPr>
                <w:rFonts w:ascii="Times New Roman" w:hAnsi="Times New Roman" w:eastAsia="宋体"/>
                <w:color w:val="auto"/>
                <w:highlight w:val="none"/>
              </w:rPr>
            </w:pPr>
          </w:p>
        </w:tc>
        <w:tc>
          <w:tcPr>
            <w:tcW w:w="1260" w:type="dxa"/>
            <w:vMerge w:val="continue"/>
            <w:noWrap w:val="0"/>
            <w:vAlign w:val="center"/>
          </w:tcPr>
          <w:p>
            <w:pPr>
              <w:pStyle w:val="86"/>
              <w:rPr>
                <w:rFonts w:ascii="Times New Roman" w:hAnsi="Times New Roman" w:eastAsia="宋体"/>
                <w:color w:val="auto"/>
                <w:highlight w:val="none"/>
              </w:rPr>
            </w:pPr>
          </w:p>
        </w:tc>
        <w:tc>
          <w:tcPr>
            <w:tcW w:w="1020" w:type="dxa"/>
            <w:noWrap w:val="0"/>
            <w:vAlign w:val="center"/>
          </w:tcPr>
          <w:p>
            <w:pPr>
              <w:pStyle w:val="86"/>
              <w:rPr>
                <w:rFonts w:hint="eastAsia" w:ascii="Times New Roman" w:hAnsi="Times New Roman" w:eastAsia="宋体"/>
                <w:color w:val="auto"/>
                <w:highlight w:val="none"/>
              </w:rPr>
            </w:pPr>
            <w:r>
              <w:rPr>
                <w:rFonts w:hint="eastAsia" w:ascii="Times New Roman" w:hAnsi="Times New Roman" w:eastAsia="宋体"/>
                <w:color w:val="auto"/>
                <w:highlight w:val="none"/>
              </w:rPr>
              <w:t>CO</w:t>
            </w:r>
          </w:p>
        </w:tc>
        <w:tc>
          <w:tcPr>
            <w:tcW w:w="960" w:type="dxa"/>
            <w:noWrap w:val="0"/>
            <w:vAlign w:val="center"/>
          </w:tcPr>
          <w:p>
            <w:pPr>
              <w:pStyle w:val="86"/>
              <w:rPr>
                <w:rFonts w:hint="eastAsia" w:ascii="Times New Roman" w:hAnsi="Times New Roman" w:eastAsia="宋体"/>
                <w:color w:val="auto"/>
                <w:highlight w:val="none"/>
              </w:rPr>
            </w:pPr>
            <w:r>
              <w:rPr>
                <w:rFonts w:hint="eastAsia" w:ascii="Times New Roman" w:hAnsi="Times New Roman" w:eastAsia="宋体"/>
                <w:color w:val="auto"/>
                <w:highlight w:val="none"/>
              </w:rPr>
              <w:t>HC</w:t>
            </w:r>
          </w:p>
        </w:tc>
        <w:tc>
          <w:tcPr>
            <w:tcW w:w="1050" w:type="dxa"/>
            <w:noWrap w:val="0"/>
            <w:vAlign w:val="center"/>
          </w:tcPr>
          <w:p>
            <w:pPr>
              <w:pStyle w:val="86"/>
              <w:rPr>
                <w:rFonts w:ascii="Times New Roman" w:hAnsi="Times New Roman" w:eastAsia="宋体"/>
                <w:color w:val="auto"/>
                <w:highlight w:val="none"/>
                <w:lang w:eastAsia="en-US"/>
              </w:rPr>
            </w:pPr>
            <w:r>
              <w:rPr>
                <w:rFonts w:hint="eastAsia" w:ascii="Times New Roman" w:hAnsi="Times New Roman" w:eastAsia="宋体"/>
                <w:snapToGrid w:val="0"/>
                <w:color w:val="auto"/>
                <w:highlight w:val="none"/>
              </w:rPr>
              <w:t>NO</w:t>
            </w:r>
            <w:r>
              <w:rPr>
                <w:rFonts w:hint="eastAsia" w:ascii="Times New Roman" w:hAnsi="Times New Roman" w:eastAsia="宋体"/>
                <w:snapToGrid w:val="0"/>
                <w:color w:val="auto"/>
                <w:highlight w:val="none"/>
                <w:vertAlign w:val="subscript"/>
              </w:rPr>
              <w:t>x</w:t>
            </w:r>
          </w:p>
        </w:tc>
        <w:tc>
          <w:tcPr>
            <w:tcW w:w="1050" w:type="dxa"/>
            <w:noWrap w:val="0"/>
            <w:vAlign w:val="center"/>
          </w:tcPr>
          <w:p>
            <w:pPr>
              <w:pStyle w:val="86"/>
              <w:rPr>
                <w:rFonts w:ascii="Times New Roman" w:hAnsi="Times New Roman" w:eastAsia="宋体"/>
                <w:color w:val="auto"/>
                <w:highlight w:val="none"/>
              </w:rPr>
            </w:pPr>
            <w:r>
              <w:rPr>
                <w:rFonts w:hint="eastAsia" w:ascii="Times New Roman" w:hAnsi="Times New Roman" w:eastAsia="宋体"/>
                <w:snapToGrid w:val="0"/>
                <w:color w:val="auto"/>
                <w:highlight w:val="none"/>
              </w:rPr>
              <w:t>PM</w:t>
            </w:r>
            <w:r>
              <w:rPr>
                <w:rFonts w:hint="eastAsia" w:ascii="Times New Roman" w:hAnsi="Times New Roman" w:eastAsia="宋体"/>
                <w:snapToGrid w:val="0"/>
                <w:color w:val="auto"/>
                <w:highlight w:val="none"/>
                <w:vertAlign w:val="subscript"/>
              </w:rPr>
              <w:t>2.5</w:t>
            </w:r>
          </w:p>
        </w:tc>
        <w:tc>
          <w:tcPr>
            <w:tcW w:w="965" w:type="dxa"/>
            <w:noWrap w:val="0"/>
            <w:vAlign w:val="center"/>
          </w:tcPr>
          <w:p>
            <w:pPr>
              <w:pStyle w:val="86"/>
              <w:rPr>
                <w:rFonts w:ascii="Times New Roman" w:hAnsi="Times New Roman" w:eastAsia="宋体"/>
                <w:color w:val="auto"/>
                <w:highlight w:val="none"/>
              </w:rPr>
            </w:pPr>
            <w:r>
              <w:rPr>
                <w:rFonts w:hint="eastAsia" w:ascii="Times New Roman" w:hAnsi="Times New Roman" w:eastAsia="宋体"/>
                <w:snapToGrid w:val="0"/>
                <w:color w:val="auto"/>
                <w:highlight w:val="none"/>
              </w:rPr>
              <w:t>PM</w:t>
            </w:r>
            <w:r>
              <w:rPr>
                <w:rFonts w:hint="eastAsia" w:ascii="Times New Roman" w:hAnsi="Times New Roman" w:eastAsia="宋体"/>
                <w:snapToGrid w:val="0"/>
                <w:color w:val="auto"/>
                <w:highlight w:val="none"/>
                <w:vertAlign w:val="subscript"/>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1776" w:type="dxa"/>
            <w:noWrap w:val="0"/>
            <w:vAlign w:val="center"/>
          </w:tcPr>
          <w:p>
            <w:pPr>
              <w:pStyle w:val="86"/>
              <w:rPr>
                <w:rFonts w:ascii="Times New Roman" w:hAnsi="Times New Roman" w:eastAsia="宋体"/>
                <w:b w:val="0"/>
                <w:bCs/>
                <w:color w:val="auto"/>
                <w:highlight w:val="none"/>
              </w:rPr>
            </w:pPr>
            <w:r>
              <w:rPr>
                <w:rFonts w:hint="eastAsia" w:ascii="Times New Roman" w:hAnsi="Times New Roman" w:eastAsia="宋体"/>
                <w:b w:val="0"/>
                <w:bCs/>
                <w:color w:val="auto"/>
                <w:highlight w:val="none"/>
              </w:rPr>
              <w:t>交通运输移动源</w:t>
            </w:r>
          </w:p>
        </w:tc>
        <w:tc>
          <w:tcPr>
            <w:tcW w:w="1080" w:type="dxa"/>
            <w:noWrap w:val="0"/>
            <w:vAlign w:val="center"/>
          </w:tcPr>
          <w:p>
            <w:pPr>
              <w:pStyle w:val="86"/>
              <w:rPr>
                <w:rFonts w:hint="eastAsia" w:ascii="Times New Roman" w:hAnsi="Times New Roman" w:eastAsia="宋体"/>
                <w:b w:val="0"/>
                <w:bCs/>
                <w:color w:val="auto"/>
                <w:highlight w:val="none"/>
              </w:rPr>
            </w:pPr>
            <w:r>
              <w:rPr>
                <w:rFonts w:hint="eastAsia" w:ascii="Times New Roman" w:hAnsi="Times New Roman" w:eastAsia="宋体"/>
                <w:b w:val="0"/>
                <w:bCs/>
                <w:color w:val="auto"/>
                <w:highlight w:val="none"/>
              </w:rPr>
              <w:t>车辆运输</w:t>
            </w:r>
          </w:p>
        </w:tc>
        <w:tc>
          <w:tcPr>
            <w:tcW w:w="1260" w:type="dxa"/>
            <w:noWrap w:val="0"/>
            <w:vAlign w:val="center"/>
          </w:tcPr>
          <w:p>
            <w:pPr>
              <w:pStyle w:val="86"/>
              <w:rPr>
                <w:rFonts w:hint="eastAsia" w:ascii="Times New Roman" w:hAnsi="Times New Roman" w:eastAsia="宋体"/>
                <w:b w:val="0"/>
                <w:bCs/>
                <w:color w:val="auto"/>
                <w:highlight w:val="none"/>
              </w:rPr>
            </w:pPr>
            <w:r>
              <w:rPr>
                <w:rFonts w:hint="eastAsia" w:ascii="Times New Roman" w:hAnsi="Times New Roman" w:eastAsia="宋体"/>
                <w:b w:val="0"/>
                <w:bCs/>
                <w:color w:val="auto"/>
                <w:highlight w:val="none"/>
              </w:rPr>
              <w:t>15辆/a</w:t>
            </w:r>
          </w:p>
        </w:tc>
        <w:tc>
          <w:tcPr>
            <w:tcW w:w="1020" w:type="dxa"/>
            <w:noWrap w:val="0"/>
            <w:vAlign w:val="center"/>
          </w:tcPr>
          <w:p>
            <w:pPr>
              <w:pStyle w:val="86"/>
              <w:rPr>
                <w:rFonts w:ascii="Times New Roman" w:hAnsi="Times New Roman" w:eastAsia="宋体"/>
                <w:b w:val="0"/>
                <w:bCs/>
                <w:color w:val="auto"/>
                <w:highlight w:val="none"/>
              </w:rPr>
            </w:pPr>
            <w:r>
              <w:rPr>
                <w:rFonts w:hint="eastAsia" w:ascii="Times New Roman" w:hAnsi="Times New Roman" w:eastAsia="宋体"/>
                <w:b w:val="0"/>
                <w:bCs/>
                <w:color w:val="auto"/>
                <w:highlight w:val="none"/>
              </w:rPr>
              <w:t>33</w:t>
            </w:r>
          </w:p>
        </w:tc>
        <w:tc>
          <w:tcPr>
            <w:tcW w:w="960" w:type="dxa"/>
            <w:noWrap w:val="0"/>
            <w:vAlign w:val="center"/>
          </w:tcPr>
          <w:p>
            <w:pPr>
              <w:pStyle w:val="86"/>
              <w:rPr>
                <w:rFonts w:ascii="Times New Roman" w:hAnsi="Times New Roman" w:eastAsia="宋体"/>
                <w:b w:val="0"/>
                <w:bCs/>
                <w:color w:val="auto"/>
                <w:highlight w:val="none"/>
              </w:rPr>
            </w:pPr>
            <w:r>
              <w:rPr>
                <w:rFonts w:hint="eastAsia" w:ascii="Times New Roman" w:hAnsi="Times New Roman" w:eastAsia="宋体"/>
                <w:b w:val="0"/>
                <w:bCs/>
                <w:color w:val="auto"/>
                <w:highlight w:val="none"/>
              </w:rPr>
              <w:t>1.935</w:t>
            </w:r>
          </w:p>
        </w:tc>
        <w:tc>
          <w:tcPr>
            <w:tcW w:w="1050" w:type="dxa"/>
            <w:noWrap w:val="0"/>
            <w:vAlign w:val="center"/>
          </w:tcPr>
          <w:p>
            <w:pPr>
              <w:pStyle w:val="86"/>
              <w:rPr>
                <w:rFonts w:ascii="Times New Roman" w:hAnsi="Times New Roman" w:eastAsia="宋体"/>
                <w:b w:val="0"/>
                <w:bCs/>
                <w:snapToGrid w:val="0"/>
                <w:color w:val="auto"/>
                <w:highlight w:val="none"/>
              </w:rPr>
            </w:pPr>
            <w:r>
              <w:rPr>
                <w:rFonts w:hint="eastAsia" w:ascii="Times New Roman" w:hAnsi="Times New Roman" w:eastAsia="宋体"/>
                <w:b w:val="0"/>
                <w:bCs/>
                <w:snapToGrid w:val="0"/>
                <w:color w:val="auto"/>
                <w:highlight w:val="none"/>
              </w:rPr>
              <w:t>70.815</w:t>
            </w:r>
          </w:p>
        </w:tc>
        <w:tc>
          <w:tcPr>
            <w:tcW w:w="1050" w:type="dxa"/>
            <w:noWrap w:val="0"/>
            <w:vAlign w:val="center"/>
          </w:tcPr>
          <w:p>
            <w:pPr>
              <w:pStyle w:val="86"/>
              <w:rPr>
                <w:rFonts w:ascii="Times New Roman" w:hAnsi="Times New Roman" w:eastAsia="宋体"/>
                <w:b w:val="0"/>
                <w:bCs/>
                <w:snapToGrid w:val="0"/>
                <w:color w:val="auto"/>
                <w:highlight w:val="none"/>
              </w:rPr>
            </w:pPr>
            <w:r>
              <w:rPr>
                <w:rFonts w:hint="eastAsia" w:ascii="Times New Roman" w:hAnsi="Times New Roman" w:eastAsia="宋体"/>
                <w:b w:val="0"/>
                <w:bCs/>
                <w:snapToGrid w:val="0"/>
                <w:color w:val="auto"/>
                <w:highlight w:val="none"/>
              </w:rPr>
              <w:t>0.405</w:t>
            </w:r>
          </w:p>
        </w:tc>
        <w:tc>
          <w:tcPr>
            <w:tcW w:w="965" w:type="dxa"/>
            <w:noWrap w:val="0"/>
            <w:vAlign w:val="center"/>
          </w:tcPr>
          <w:p>
            <w:pPr>
              <w:pStyle w:val="86"/>
              <w:rPr>
                <w:rFonts w:ascii="Times New Roman" w:hAnsi="Times New Roman" w:eastAsia="宋体"/>
                <w:b w:val="0"/>
                <w:bCs/>
                <w:snapToGrid w:val="0"/>
                <w:color w:val="auto"/>
                <w:highlight w:val="none"/>
              </w:rPr>
            </w:pPr>
            <w:r>
              <w:rPr>
                <w:rFonts w:hint="eastAsia" w:ascii="Times New Roman" w:hAnsi="Times New Roman" w:eastAsia="宋体"/>
                <w:b w:val="0"/>
                <w:bCs/>
                <w:snapToGrid w:val="0"/>
                <w:color w:val="auto"/>
                <w:highlight w:val="none"/>
              </w:rPr>
              <w:t>0.45</w:t>
            </w:r>
          </w:p>
        </w:tc>
      </w:tr>
    </w:tbl>
    <w:p>
      <w:pPr>
        <w:ind w:firstLine="480"/>
        <w:rPr>
          <w:rFonts w:ascii="Times New Roman" w:hAnsi="Times New Roman" w:eastAsia="宋体"/>
          <w:color w:val="auto"/>
          <w:highlight w:val="none"/>
        </w:rPr>
        <w:sectPr>
          <w:pgSz w:w="11900" w:h="16838"/>
          <w:pgMar w:top="1440" w:right="1440" w:bottom="1440" w:left="1440" w:header="850" w:footer="992" w:gutter="0"/>
          <w:pgBorders>
            <w:top w:val="none" w:sz="0" w:space="0"/>
            <w:left w:val="none" w:sz="0" w:space="0"/>
            <w:bottom w:val="none" w:sz="0" w:space="0"/>
            <w:right w:val="none" w:sz="0" w:space="0"/>
          </w:pgBorders>
          <w:cols w:space="720" w:num="1"/>
        </w:sectPr>
      </w:pPr>
    </w:p>
    <w:p>
      <w:pPr>
        <w:pStyle w:val="2"/>
        <w:rPr>
          <w:rFonts w:ascii="Times New Roman" w:hAnsi="Times New Roman" w:eastAsia="宋体"/>
          <w:color w:val="auto"/>
          <w:highlight w:val="none"/>
        </w:rPr>
      </w:pPr>
      <w:bookmarkStart w:id="277" w:name="_Toc10404"/>
      <w:r>
        <w:rPr>
          <w:rFonts w:ascii="Times New Roman" w:hAnsi="Times New Roman" w:eastAsia="宋体"/>
          <w:color w:val="auto"/>
          <w:highlight w:val="none"/>
        </w:rPr>
        <w:t>4 环境影响预测与评价</w:t>
      </w:r>
      <w:bookmarkEnd w:id="263"/>
      <w:bookmarkEnd w:id="264"/>
      <w:bookmarkEnd w:id="265"/>
      <w:bookmarkEnd w:id="266"/>
      <w:bookmarkEnd w:id="267"/>
      <w:bookmarkEnd w:id="277"/>
    </w:p>
    <w:p>
      <w:pPr>
        <w:pStyle w:val="4"/>
        <w:rPr>
          <w:rFonts w:ascii="Times New Roman" w:hAnsi="Times New Roman" w:eastAsia="宋体"/>
          <w:color w:val="auto"/>
          <w:highlight w:val="none"/>
        </w:rPr>
      </w:pPr>
      <w:bookmarkStart w:id="278" w:name="_Toc3297"/>
      <w:bookmarkStart w:id="279" w:name="_Toc7966"/>
      <w:bookmarkStart w:id="280" w:name="_Toc7799"/>
      <w:bookmarkStart w:id="281" w:name="_Toc28028"/>
      <w:bookmarkStart w:id="282" w:name="_Toc14571"/>
      <w:bookmarkStart w:id="283" w:name="_Toc25328"/>
      <w:r>
        <w:rPr>
          <w:rFonts w:ascii="Times New Roman" w:hAnsi="Times New Roman" w:eastAsia="宋体"/>
          <w:color w:val="auto"/>
          <w:highlight w:val="none"/>
        </w:rPr>
        <w:t xml:space="preserve">4.1 </w:t>
      </w:r>
      <w:bookmarkEnd w:id="268"/>
      <w:bookmarkEnd w:id="269"/>
      <w:bookmarkEnd w:id="270"/>
      <w:bookmarkEnd w:id="271"/>
      <w:bookmarkEnd w:id="272"/>
      <w:bookmarkEnd w:id="273"/>
      <w:bookmarkEnd w:id="274"/>
      <w:bookmarkEnd w:id="275"/>
      <w:bookmarkEnd w:id="276"/>
      <w:bookmarkEnd w:id="278"/>
      <w:bookmarkEnd w:id="279"/>
      <w:bookmarkEnd w:id="280"/>
      <w:bookmarkEnd w:id="281"/>
      <w:bookmarkEnd w:id="282"/>
      <w:r>
        <w:rPr>
          <w:rFonts w:ascii="Times New Roman" w:hAnsi="Times New Roman" w:eastAsia="宋体"/>
          <w:color w:val="auto"/>
          <w:highlight w:val="none"/>
        </w:rPr>
        <w:t>施工期环境影响分析与评价</w:t>
      </w:r>
      <w:bookmarkEnd w:id="283"/>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项目施工期建设内容主要包括安装除尘设备、完善开拓运输道路、开挖截排水沟以及各种生产配套设施设备的建设。施工期主要污染为扬尘、废水、噪声、固体废物及生态环境影响。</w:t>
      </w:r>
    </w:p>
    <w:p>
      <w:pPr>
        <w:pStyle w:val="5"/>
        <w:rPr>
          <w:rFonts w:ascii="Times New Roman" w:hAnsi="Times New Roman" w:eastAsia="宋体"/>
          <w:color w:val="auto"/>
          <w:highlight w:val="none"/>
        </w:rPr>
      </w:pPr>
      <w:bookmarkStart w:id="284" w:name="_Toc21208"/>
      <w:bookmarkStart w:id="285" w:name="_Toc26771"/>
      <w:bookmarkStart w:id="286" w:name="_Toc4592"/>
      <w:bookmarkStart w:id="287" w:name="_Toc31137"/>
      <w:bookmarkStart w:id="288" w:name="_Toc17950"/>
      <w:bookmarkStart w:id="289" w:name="_Toc22326"/>
      <w:r>
        <w:rPr>
          <w:rFonts w:ascii="Times New Roman" w:hAnsi="Times New Roman" w:eastAsia="宋体"/>
          <w:color w:val="auto"/>
          <w:highlight w:val="none"/>
        </w:rPr>
        <w:t>4.1.1 施工期大气环境影响评价</w:t>
      </w:r>
      <w:bookmarkEnd w:id="284"/>
      <w:bookmarkEnd w:id="285"/>
      <w:bookmarkEnd w:id="286"/>
      <w:bookmarkEnd w:id="287"/>
      <w:bookmarkEnd w:id="288"/>
      <w:bookmarkEnd w:id="289"/>
    </w:p>
    <w:p>
      <w:pPr>
        <w:pStyle w:val="6"/>
        <w:tabs>
          <w:tab w:val="left" w:pos="360"/>
          <w:tab w:val="left" w:pos="1390"/>
        </w:tabs>
        <w:rPr>
          <w:rFonts w:ascii="Times New Roman" w:hAnsi="Times New Roman" w:eastAsia="宋体"/>
          <w:color w:val="auto"/>
          <w:highlight w:val="none"/>
        </w:rPr>
      </w:pPr>
      <w:bookmarkStart w:id="290" w:name="_Toc4700"/>
      <w:bookmarkStart w:id="291" w:name="_Toc6254"/>
      <w:bookmarkStart w:id="292" w:name="_Toc120694769"/>
      <w:r>
        <w:rPr>
          <w:rFonts w:ascii="Times New Roman" w:hAnsi="Times New Roman" w:eastAsia="宋体"/>
          <w:color w:val="auto"/>
          <w:highlight w:val="none"/>
        </w:rPr>
        <w:t>4.1.1.1 施工扬尘影响分析</w:t>
      </w:r>
      <w:bookmarkEnd w:id="290"/>
      <w:bookmarkEnd w:id="291"/>
      <w:bookmarkEnd w:id="292"/>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szCs w:val="24"/>
          <w:highlight w:val="none"/>
        </w:rPr>
        <w:t>施工期大气污染主要为施工</w:t>
      </w:r>
      <w:r>
        <w:rPr>
          <w:rFonts w:hint="eastAsia" w:ascii="Times New Roman" w:hAnsi="Times New Roman" w:eastAsia="宋体" w:cs="Times New Roman"/>
          <w:color w:val="auto"/>
          <w:szCs w:val="24"/>
          <w:highlight w:val="none"/>
        </w:rPr>
        <w:t>颗粒物</w:t>
      </w:r>
      <w:r>
        <w:rPr>
          <w:rFonts w:ascii="Times New Roman" w:hAnsi="Times New Roman" w:eastAsia="宋体" w:cs="Times New Roman"/>
          <w:color w:val="auto"/>
          <w:szCs w:val="24"/>
          <w:highlight w:val="none"/>
        </w:rPr>
        <w:t>，主要来自有</w:t>
      </w:r>
      <w:r>
        <w:rPr>
          <w:rFonts w:hint="eastAsia" w:ascii="Times New Roman" w:hAnsi="Times New Roman" w:eastAsia="宋体" w:cs="Times New Roman"/>
          <w:color w:val="auto"/>
          <w:szCs w:val="24"/>
          <w:highlight w:val="none"/>
        </w:rPr>
        <w:t>安装除尘</w:t>
      </w:r>
      <w:r>
        <w:rPr>
          <w:rFonts w:ascii="Times New Roman" w:hAnsi="Times New Roman" w:eastAsia="宋体" w:cs="Times New Roman"/>
          <w:color w:val="auto"/>
          <w:szCs w:val="24"/>
          <w:highlight w:val="none"/>
        </w:rPr>
        <w:t>设备、对矿区运输道路进行硬化处理、修建截排水沟及</w:t>
      </w:r>
      <w:r>
        <w:rPr>
          <w:rFonts w:hint="eastAsia" w:ascii="Times New Roman" w:hAnsi="Times New Roman" w:eastAsia="宋体" w:cs="Times New Roman"/>
          <w:color w:val="auto"/>
          <w:szCs w:val="24"/>
          <w:highlight w:val="none"/>
        </w:rPr>
        <w:t>沉砂池</w:t>
      </w:r>
      <w:r>
        <w:rPr>
          <w:rFonts w:ascii="Times New Roman" w:hAnsi="Times New Roman" w:eastAsia="宋体" w:cs="Times New Roman"/>
          <w:color w:val="auto"/>
          <w:szCs w:val="24"/>
          <w:highlight w:val="none"/>
        </w:rPr>
        <w:t>等施工过程产生的</w:t>
      </w:r>
      <w:r>
        <w:rPr>
          <w:rFonts w:hint="eastAsia" w:ascii="Times New Roman" w:hAnsi="Times New Roman" w:eastAsia="宋体" w:cs="Times New Roman"/>
          <w:color w:val="auto"/>
          <w:szCs w:val="24"/>
          <w:highlight w:val="none"/>
        </w:rPr>
        <w:t>颗粒物</w:t>
      </w:r>
      <w:r>
        <w:rPr>
          <w:rFonts w:ascii="Times New Roman" w:hAnsi="Times New Roman" w:eastAsia="宋体" w:cs="Times New Roman"/>
          <w:color w:val="auto"/>
          <w:szCs w:val="24"/>
          <w:highlight w:val="none"/>
        </w:rPr>
        <w:t xml:space="preserve">，均为无组织产生及排放。 </w:t>
      </w:r>
    </w:p>
    <w:p>
      <w:pPr>
        <w:autoSpaceDE w:val="0"/>
        <w:autoSpaceDN w:val="0"/>
        <w:adjustRightIn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据类比调查，在干燥季节大风天气条件下，未采取措施的情况下，施工现场下风向1m处扬尘浓度可达3mg/m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以上，20m处为1.303mg/m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，50m处为0.722mg/m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，100m处为0.40mg/m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，下风向150m范围内扬尘影响较大。施工场地下风向约50m处，扬尘达到《大气污染物综合排放标准》（GB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16297-1996）中无组织排放标准，施工场地下风向150m处，扬尘达到《环境空气质量标准》（GB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3095-2012）及其修改单二级标准。</w:t>
      </w:r>
    </w:p>
    <w:p>
      <w:pPr>
        <w:adjustRightIn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施工期间，在对施工场地进行洒水的情况下，空气中颗粒物量可减少70%左右，预计施工现场下风向10m处扬尘浓度达到《大气污染物综合排放标准》（GB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16297-1996）二级排放标准，对周围环境影响小。项目矿区周边为山地，距离项目拟建地最近居民点为东面</w:t>
      </w:r>
      <w:r>
        <w:rPr>
          <w:rFonts w:hint="eastAsia" w:ascii="Times New Roman" w:hAnsi="Times New Roman" w:eastAsia="宋体" w:cs="Times New Roman"/>
          <w:color w:val="auto"/>
          <w:highlight w:val="none"/>
        </w:rPr>
        <w:t>5</w:t>
      </w:r>
      <w:r>
        <w:rPr>
          <w:rFonts w:ascii="Times New Roman" w:hAnsi="Times New Roman" w:eastAsia="宋体" w:cs="Times New Roman"/>
          <w:color w:val="auto"/>
          <w:highlight w:val="none"/>
        </w:rPr>
        <w:t>00m的</w:t>
      </w:r>
      <w:r>
        <w:rPr>
          <w:rFonts w:hint="eastAsia" w:ascii="Times New Roman" w:hAnsi="Times New Roman" w:eastAsia="宋体" w:cs="Times New Roman"/>
          <w:color w:val="auto"/>
          <w:highlight w:val="none"/>
        </w:rPr>
        <w:t>东恒</w:t>
      </w:r>
      <w:r>
        <w:rPr>
          <w:rFonts w:ascii="Times New Roman" w:hAnsi="Times New Roman" w:eastAsia="宋体" w:cs="Times New Roman"/>
          <w:color w:val="auto"/>
          <w:highlight w:val="none"/>
        </w:rPr>
        <w:t>屯，距离项目较远，经采取措施后，施工扬尘对本项目环境保护目标的影响不大。</w:t>
      </w:r>
    </w:p>
    <w:p>
      <w:pPr>
        <w:adjustRightIn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扬尘主要影响表现为运输道路扬尘对沿线敏感点的影响。项目施工期土石方不外运，运输车辆主要运输建筑材料，项目修建的建筑物不多，因此运输量不大。项目建筑材料的外运道路为从堆矿场运送到县级公路，运输道路两旁无敏感点。因此，企业应妥善安排施工计划，采取减速行驶、运输车辆采用篷布遮盖等措施。</w:t>
      </w:r>
    </w:p>
    <w:p>
      <w:pPr>
        <w:adjustRightIn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项目施工规模小，采取以上措施后，施工期扬尘对周边环境影响不大。</w:t>
      </w:r>
    </w:p>
    <w:p>
      <w:pPr>
        <w:pStyle w:val="6"/>
        <w:rPr>
          <w:rFonts w:ascii="Times New Roman" w:hAnsi="Times New Roman" w:eastAsia="宋体"/>
          <w:color w:val="auto"/>
          <w:highlight w:val="none"/>
        </w:rPr>
      </w:pPr>
      <w:bookmarkStart w:id="293" w:name="_Toc5932"/>
      <w:bookmarkStart w:id="294" w:name="_Toc17362"/>
      <w:r>
        <w:rPr>
          <w:rFonts w:ascii="Times New Roman" w:hAnsi="Times New Roman" w:eastAsia="宋体"/>
          <w:color w:val="auto"/>
          <w:highlight w:val="none"/>
        </w:rPr>
        <w:t>4.1.1.2 机动车尾气影响分析</w:t>
      </w:r>
      <w:bookmarkEnd w:id="293"/>
      <w:bookmarkEnd w:id="294"/>
    </w:p>
    <w:p>
      <w:pPr>
        <w:ind w:firstLine="480"/>
        <w:rPr>
          <w:rFonts w:ascii="Times New Roman" w:hAnsi="Times New Roman" w:eastAsia="宋体" w:cs="Times New Roman"/>
          <w:color w:val="auto"/>
          <w:sz w:val="2"/>
          <w:szCs w:val="2"/>
          <w:highlight w:val="none"/>
        </w:rPr>
      </w:pPr>
      <w:r>
        <w:rPr>
          <w:rFonts w:ascii="Times New Roman" w:hAnsi="Times New Roman" w:eastAsia="宋体" w:cs="Times New Roman"/>
          <w:color w:val="auto"/>
          <w:highlight w:val="none"/>
        </w:rPr>
        <w:t>机动车尾气主要为施工机械废气和运输车辆尾气，主要污染物为CO、NO</w:t>
      </w:r>
      <w:r>
        <w:rPr>
          <w:rFonts w:ascii="Times New Roman" w:hAnsi="Times New Roman" w:eastAsia="宋体" w:cs="Times New Roman"/>
          <w:color w:val="auto"/>
          <w:sz w:val="16"/>
          <w:szCs w:val="16"/>
          <w:highlight w:val="none"/>
        </w:rPr>
        <w:t>2</w:t>
      </w:r>
      <w:r>
        <w:rPr>
          <w:rFonts w:ascii="Times New Roman" w:hAnsi="Times New Roman" w:eastAsia="宋体" w:cs="Times New Roman"/>
          <w:color w:val="auto"/>
          <w:highlight w:val="none"/>
        </w:rPr>
        <w:t>、SO</w:t>
      </w:r>
      <w:r>
        <w:rPr>
          <w:rFonts w:ascii="Times New Roman" w:hAnsi="Times New Roman" w:eastAsia="宋体" w:cs="Times New Roman"/>
          <w:color w:val="auto"/>
          <w:sz w:val="16"/>
          <w:szCs w:val="16"/>
          <w:highlight w:val="none"/>
        </w:rPr>
        <w:t>2</w:t>
      </w:r>
      <w:r>
        <w:rPr>
          <w:rFonts w:ascii="Times New Roman" w:hAnsi="Times New Roman" w:eastAsia="宋体" w:cs="Times New Roman"/>
          <w:color w:val="auto"/>
          <w:highlight w:val="none"/>
        </w:rPr>
        <w:t>、HC等。项目的施工期较短，不涉及基础建筑建设，主要是完善开拓运输道路、修建截排水沟及沉砂池等，施工机械和施工车辆使用量少，排放的尾气少，为间断排放。在施工过程中必须使用污染物排放符合国家标准的运输车辆和施工设备，加强设备、车辆的维护保养，使机械、车辆处于良好工作状态，严禁使用报废车辆和淘汰设备等，对周围环境影响不大。</w:t>
      </w:r>
    </w:p>
    <w:p>
      <w:pPr>
        <w:pStyle w:val="5"/>
        <w:rPr>
          <w:rFonts w:ascii="Times New Roman" w:hAnsi="Times New Roman" w:eastAsia="宋体"/>
          <w:color w:val="auto"/>
          <w:highlight w:val="none"/>
        </w:rPr>
      </w:pPr>
      <w:bookmarkStart w:id="295" w:name="_Toc23711"/>
      <w:bookmarkStart w:id="296" w:name="_Toc8054"/>
      <w:bookmarkStart w:id="297" w:name="_Toc1375"/>
      <w:bookmarkStart w:id="298" w:name="_Toc209"/>
      <w:bookmarkStart w:id="299" w:name="_Toc19341"/>
      <w:bookmarkStart w:id="300" w:name="_Toc16987"/>
      <w:bookmarkStart w:id="301" w:name="_Toc7475"/>
      <w:bookmarkStart w:id="302" w:name="_Toc16602"/>
      <w:r>
        <w:rPr>
          <w:rFonts w:ascii="Times New Roman" w:hAnsi="Times New Roman" w:eastAsia="宋体"/>
          <w:color w:val="auto"/>
          <w:highlight w:val="none"/>
        </w:rPr>
        <w:t>4.1.2 施工期水环境影响分析</w:t>
      </w:r>
      <w:bookmarkEnd w:id="295"/>
      <w:bookmarkEnd w:id="296"/>
      <w:bookmarkEnd w:id="297"/>
      <w:bookmarkEnd w:id="298"/>
      <w:bookmarkEnd w:id="299"/>
      <w:bookmarkEnd w:id="300"/>
      <w:bookmarkEnd w:id="301"/>
      <w:bookmarkEnd w:id="302"/>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施工期废水主要为施工人员的生活污水和施工废水。</w:t>
      </w:r>
    </w:p>
    <w:p>
      <w:pPr>
        <w:pStyle w:val="6"/>
        <w:rPr>
          <w:rFonts w:ascii="Times New Roman" w:hAnsi="Times New Roman" w:eastAsia="宋体"/>
          <w:color w:val="auto"/>
          <w:highlight w:val="none"/>
        </w:rPr>
      </w:pPr>
      <w:bookmarkStart w:id="303" w:name="_Toc12468"/>
      <w:r>
        <w:rPr>
          <w:rFonts w:ascii="Times New Roman" w:hAnsi="Times New Roman" w:eastAsia="宋体"/>
          <w:color w:val="auto"/>
          <w:highlight w:val="none"/>
        </w:rPr>
        <w:t>4.1.2.1 施工废水</w:t>
      </w:r>
      <w:bookmarkEnd w:id="303"/>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施工期场地废水主要来源于大气降雨在矿区汇集而形成的含泥废水，废水量较少，主要污染物为SS。</w:t>
      </w:r>
      <w:r>
        <w:rPr>
          <w:rFonts w:ascii="Times New Roman" w:hAnsi="Times New Roman" w:eastAsia="宋体" w:cs="Times New Roman"/>
          <w:color w:val="auto"/>
          <w:kern w:val="0"/>
          <w:highlight w:val="none"/>
        </w:rPr>
        <w:t>施工废水通过沟渠排入沉砂池，用于场地洒水降尘，对环境的影响较小。</w:t>
      </w:r>
    </w:p>
    <w:p>
      <w:pPr>
        <w:pStyle w:val="6"/>
        <w:rPr>
          <w:rFonts w:ascii="Times New Roman" w:hAnsi="Times New Roman" w:eastAsia="宋体"/>
          <w:color w:val="auto"/>
          <w:highlight w:val="none"/>
        </w:rPr>
      </w:pPr>
      <w:bookmarkStart w:id="304" w:name="_Toc27995"/>
      <w:r>
        <w:rPr>
          <w:rFonts w:ascii="Times New Roman" w:hAnsi="Times New Roman" w:eastAsia="宋体"/>
          <w:color w:val="auto"/>
          <w:highlight w:val="none"/>
        </w:rPr>
        <w:t>4.1.2.2 生活污水</w:t>
      </w:r>
      <w:bookmarkEnd w:id="304"/>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项目施工人员约</w:t>
      </w:r>
      <w:r>
        <w:rPr>
          <w:rFonts w:hint="eastAsia" w:ascii="Times New Roman" w:hAnsi="Times New Roman" w:eastAsia="宋体" w:cs="Times New Roman"/>
          <w:color w:val="auto"/>
          <w:highlight w:val="none"/>
        </w:rPr>
        <w:t>4</w:t>
      </w:r>
      <w:r>
        <w:rPr>
          <w:rFonts w:ascii="Times New Roman" w:hAnsi="Times New Roman" w:eastAsia="宋体" w:cs="Times New Roman"/>
          <w:color w:val="auto"/>
          <w:highlight w:val="none"/>
        </w:rPr>
        <w:t>0人，借用厂内职工宿舍居住，根据《城镇生活用水定额》（DB45/T 679-2017）中的用水定额标准，城镇居民食宿</w:t>
      </w:r>
      <w:r>
        <w:rPr>
          <w:rFonts w:ascii="Times New Roman" w:hAnsi="Times New Roman" w:eastAsia="宋体" w:cs="Times New Roman"/>
          <w:bCs/>
          <w:color w:val="auto"/>
          <w:highlight w:val="none"/>
        </w:rPr>
        <w:t>用水定额为150 L/人·d，</w:t>
      </w:r>
      <w:r>
        <w:rPr>
          <w:rFonts w:ascii="Times New Roman" w:hAnsi="Times New Roman" w:eastAsia="宋体" w:cs="Times New Roman"/>
          <w:color w:val="auto"/>
          <w:highlight w:val="none"/>
        </w:rPr>
        <w:t>则施工人员用水量</w:t>
      </w:r>
      <w:r>
        <w:rPr>
          <w:rFonts w:hint="eastAsia" w:ascii="Times New Roman" w:hAnsi="Times New Roman" w:eastAsia="宋体" w:cs="Times New Roman"/>
          <w:color w:val="auto"/>
          <w:highlight w:val="none"/>
        </w:rPr>
        <w:t>6.0</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/d，排水量按80%计算，施工人员生活污水产生量</w:t>
      </w:r>
      <w:r>
        <w:rPr>
          <w:rFonts w:hint="eastAsia" w:ascii="Times New Roman" w:hAnsi="Times New Roman" w:eastAsia="宋体" w:cs="Times New Roman"/>
          <w:color w:val="auto"/>
          <w:highlight w:val="none"/>
        </w:rPr>
        <w:t>4.8</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/d。</w:t>
      </w:r>
      <w:r>
        <w:rPr>
          <w:rFonts w:ascii="Times New Roman" w:hAnsi="Times New Roman" w:eastAsia="宋体" w:cs="Times New Roman"/>
          <w:bCs/>
          <w:color w:val="auto"/>
          <w:highlight w:val="none"/>
        </w:rPr>
        <w:t>生活污水</w:t>
      </w:r>
      <w:r>
        <w:rPr>
          <w:rFonts w:ascii="Times New Roman" w:hAnsi="Times New Roman" w:eastAsia="宋体" w:cs="Times New Roman"/>
          <w:color w:val="auto"/>
          <w:highlight w:val="none"/>
        </w:rPr>
        <w:t>中主要污染物为COD、BOD</w:t>
      </w:r>
      <w:r>
        <w:rPr>
          <w:rFonts w:ascii="Times New Roman" w:hAnsi="Times New Roman" w:eastAsia="宋体" w:cs="Times New Roman"/>
          <w:color w:val="auto"/>
          <w:highlight w:val="none"/>
          <w:vertAlign w:val="subscript"/>
        </w:rPr>
        <w:t>5</w:t>
      </w:r>
      <w:r>
        <w:rPr>
          <w:rFonts w:ascii="Times New Roman" w:hAnsi="Times New Roman" w:eastAsia="宋体" w:cs="Times New Roman"/>
          <w:color w:val="auto"/>
          <w:highlight w:val="none"/>
        </w:rPr>
        <w:t>、NH</w:t>
      </w:r>
      <w:r>
        <w:rPr>
          <w:rFonts w:ascii="Times New Roman" w:hAnsi="Times New Roman" w:eastAsia="宋体" w:cs="Times New Roman"/>
          <w:color w:val="auto"/>
          <w:highlight w:val="none"/>
          <w:vertAlign w:val="subscript"/>
        </w:rPr>
        <w:t>3</w:t>
      </w:r>
      <w:r>
        <w:rPr>
          <w:rFonts w:ascii="Times New Roman" w:hAnsi="Times New Roman" w:eastAsia="宋体" w:cs="Times New Roman"/>
          <w:color w:val="auto"/>
          <w:highlight w:val="none"/>
        </w:rPr>
        <w:t>-N、SS，生活污水经化粪池处理后</w:t>
      </w:r>
      <w:bookmarkStart w:id="305" w:name="_Toc17677"/>
      <w:bookmarkStart w:id="306" w:name="_Toc19986"/>
      <w:bookmarkStart w:id="307" w:name="_Toc2460"/>
      <w:bookmarkStart w:id="308" w:name="_Toc5033"/>
      <w:r>
        <w:rPr>
          <w:rFonts w:ascii="Times New Roman" w:hAnsi="Times New Roman" w:eastAsia="宋体" w:cs="Times New Roman"/>
          <w:bCs/>
          <w:color w:val="auto"/>
          <w:highlight w:val="none"/>
        </w:rPr>
        <w:t>，</w:t>
      </w:r>
      <w:r>
        <w:rPr>
          <w:rFonts w:ascii="Times New Roman" w:hAnsi="Times New Roman" w:eastAsia="宋体" w:cs="Times New Roman"/>
          <w:color w:val="auto"/>
          <w:highlight w:val="none"/>
        </w:rPr>
        <w:t>用于周边旱地施肥，不外排。对周围环境影响较小。</w:t>
      </w:r>
    </w:p>
    <w:p>
      <w:pPr>
        <w:pStyle w:val="5"/>
        <w:rPr>
          <w:rFonts w:ascii="Times New Roman" w:hAnsi="Times New Roman" w:eastAsia="宋体"/>
          <w:color w:val="auto"/>
          <w:highlight w:val="none"/>
        </w:rPr>
      </w:pPr>
      <w:bookmarkStart w:id="309" w:name="_Toc4147"/>
      <w:bookmarkStart w:id="310" w:name="_Toc23012"/>
      <w:bookmarkStart w:id="311" w:name="_Toc23072"/>
      <w:bookmarkStart w:id="312" w:name="_Toc19002"/>
      <w:r>
        <w:rPr>
          <w:rFonts w:ascii="Times New Roman" w:hAnsi="Times New Roman" w:eastAsia="宋体"/>
          <w:color w:val="auto"/>
          <w:highlight w:val="none"/>
        </w:rPr>
        <w:t>4.1.3 施工期声环境影响分析</w:t>
      </w:r>
      <w:bookmarkEnd w:id="305"/>
      <w:bookmarkEnd w:id="306"/>
      <w:bookmarkEnd w:id="307"/>
      <w:bookmarkEnd w:id="308"/>
      <w:bookmarkEnd w:id="309"/>
      <w:bookmarkEnd w:id="310"/>
      <w:bookmarkEnd w:id="311"/>
      <w:bookmarkEnd w:id="312"/>
      <w:bookmarkStart w:id="313" w:name="_Toc12056"/>
    </w:p>
    <w:bookmarkEnd w:id="313"/>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施工期的噪声主要来源于施工现场的挖掘机、搅拌机、运输车辆等各类机械设备和物料运输的交通噪声，源强在85dB(A)~90dB(A)之间。开挖产生的噪声经过周围山体阻挡、距离衰减后，到达项目厂界的噪声可达到《建筑施工场界环境噪声排放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12523-2011）中的排放限值要求。</w:t>
      </w:r>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项目矿区周边为山地，距离项目拟建地最近居民点为东面</w:t>
      </w:r>
      <w:r>
        <w:rPr>
          <w:rFonts w:hint="eastAsia" w:ascii="Times New Roman" w:hAnsi="Times New Roman" w:eastAsia="宋体" w:cs="Times New Roman"/>
          <w:color w:val="auto"/>
          <w:highlight w:val="none"/>
        </w:rPr>
        <w:t>5</w:t>
      </w:r>
      <w:r>
        <w:rPr>
          <w:rFonts w:ascii="Times New Roman" w:hAnsi="Times New Roman" w:eastAsia="宋体" w:cs="Times New Roman"/>
          <w:color w:val="auto"/>
          <w:highlight w:val="none"/>
        </w:rPr>
        <w:t>00m的</w:t>
      </w:r>
      <w:r>
        <w:rPr>
          <w:rFonts w:hint="eastAsia" w:ascii="Times New Roman" w:hAnsi="Times New Roman" w:eastAsia="宋体" w:cs="Times New Roman"/>
          <w:color w:val="auto"/>
          <w:highlight w:val="none"/>
        </w:rPr>
        <w:t>东恒</w:t>
      </w:r>
      <w:r>
        <w:rPr>
          <w:rFonts w:ascii="Times New Roman" w:hAnsi="Times New Roman" w:eastAsia="宋体" w:cs="Times New Roman"/>
          <w:color w:val="auto"/>
          <w:highlight w:val="none"/>
        </w:rPr>
        <w:t>屯，距施工地点超过200m，施工机械噪声对</w:t>
      </w:r>
      <w:r>
        <w:rPr>
          <w:rFonts w:hint="eastAsia" w:ascii="Times New Roman" w:hAnsi="Times New Roman" w:eastAsia="宋体" w:cs="Times New Roman"/>
          <w:color w:val="auto"/>
          <w:highlight w:val="none"/>
        </w:rPr>
        <w:t>东恒</w:t>
      </w:r>
      <w:r>
        <w:rPr>
          <w:rFonts w:ascii="Times New Roman" w:hAnsi="Times New Roman" w:eastAsia="宋体" w:cs="Times New Roman"/>
          <w:color w:val="auto"/>
          <w:highlight w:val="none"/>
        </w:rPr>
        <w:t>屯的影响很小。</w:t>
      </w:r>
      <w:bookmarkStart w:id="314" w:name="_Toc1634"/>
    </w:p>
    <w:bookmarkEnd w:id="314"/>
    <w:p>
      <w:pPr>
        <w:pStyle w:val="5"/>
        <w:rPr>
          <w:rFonts w:ascii="Times New Roman" w:hAnsi="Times New Roman" w:eastAsia="宋体"/>
          <w:color w:val="auto"/>
          <w:highlight w:val="none"/>
        </w:rPr>
      </w:pPr>
      <w:bookmarkStart w:id="315" w:name="_Toc26298"/>
      <w:bookmarkStart w:id="316" w:name="_Toc31192"/>
      <w:bookmarkStart w:id="317" w:name="_Toc24642"/>
      <w:bookmarkStart w:id="318" w:name="_Toc20376"/>
      <w:bookmarkStart w:id="319" w:name="_Toc18089"/>
      <w:bookmarkStart w:id="320" w:name="_Toc2761"/>
      <w:r>
        <w:rPr>
          <w:rFonts w:ascii="Times New Roman" w:hAnsi="Times New Roman" w:eastAsia="宋体"/>
          <w:color w:val="auto"/>
          <w:highlight w:val="none"/>
        </w:rPr>
        <w:t>4.1.4 施工期固体废物环境影响分析</w:t>
      </w:r>
      <w:bookmarkEnd w:id="315"/>
      <w:bookmarkEnd w:id="316"/>
      <w:bookmarkEnd w:id="317"/>
      <w:bookmarkEnd w:id="318"/>
      <w:bookmarkEnd w:id="319"/>
      <w:bookmarkEnd w:id="320"/>
    </w:p>
    <w:p>
      <w:pPr>
        <w:pStyle w:val="6"/>
        <w:tabs>
          <w:tab w:val="left" w:pos="360"/>
          <w:tab w:val="left" w:pos="1390"/>
        </w:tabs>
        <w:ind w:left="482" w:hanging="482" w:hangingChars="200"/>
        <w:rPr>
          <w:rFonts w:ascii="Times New Roman" w:hAnsi="Times New Roman" w:eastAsia="宋体"/>
          <w:b w:val="0"/>
          <w:color w:val="auto"/>
          <w:highlight w:val="none"/>
        </w:rPr>
      </w:pPr>
      <w:bookmarkStart w:id="321" w:name="_Toc4104"/>
      <w:r>
        <w:rPr>
          <w:rFonts w:ascii="Times New Roman" w:hAnsi="Times New Roman" w:eastAsia="宋体"/>
          <w:color w:val="auto"/>
          <w:highlight w:val="none"/>
        </w:rPr>
        <w:t>4.1.4.1 建筑垃圾环境影响分析</w:t>
      </w:r>
      <w:bookmarkEnd w:id="321"/>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建筑垃圾主要来自拆除破旧设备、安装除尘设备等过程产生的残砖、废弃混凝土、废旧设备等，产生量约为</w:t>
      </w:r>
      <w:r>
        <w:rPr>
          <w:rFonts w:hint="eastAsia" w:ascii="Times New Roman" w:hAnsi="Times New Roman" w:eastAsia="宋体" w:cs="Times New Roman"/>
          <w:color w:val="auto"/>
          <w:highlight w:val="none"/>
        </w:rPr>
        <w:t>7</w:t>
      </w:r>
      <w:r>
        <w:rPr>
          <w:rFonts w:ascii="Times New Roman" w:hAnsi="Times New Roman" w:eastAsia="宋体" w:cs="Times New Roman"/>
          <w:color w:val="auto"/>
          <w:highlight w:val="none"/>
        </w:rPr>
        <w:t>5t。根据资源综合利用的原则，残砖、废弃混凝土全部用于进场道路的建设，废旧设备收集后外卖，对环境影响较小。</w:t>
      </w:r>
    </w:p>
    <w:p>
      <w:pPr>
        <w:pStyle w:val="6"/>
        <w:rPr>
          <w:rFonts w:ascii="Times New Roman" w:hAnsi="Times New Roman" w:eastAsia="宋体"/>
          <w:color w:val="auto"/>
          <w:highlight w:val="none"/>
        </w:rPr>
      </w:pPr>
      <w:r>
        <w:rPr>
          <w:rFonts w:ascii="Times New Roman" w:hAnsi="Times New Roman" w:eastAsia="宋体"/>
          <w:color w:val="auto"/>
          <w:highlight w:val="none"/>
        </w:rPr>
        <w:t>4.1.4.2 生活垃圾环境影响分析</w:t>
      </w:r>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szCs w:val="20"/>
          <w:highlight w:val="none"/>
        </w:rPr>
        <w:t>施工期施工人员生活垃圾产生量约为</w:t>
      </w:r>
      <w:r>
        <w:rPr>
          <w:rFonts w:hint="eastAsia" w:ascii="Times New Roman" w:hAnsi="Times New Roman" w:eastAsia="宋体" w:cs="Times New Roman"/>
          <w:color w:val="auto"/>
          <w:szCs w:val="20"/>
          <w:highlight w:val="none"/>
        </w:rPr>
        <w:t>4</w:t>
      </w:r>
      <w:r>
        <w:rPr>
          <w:rFonts w:ascii="Times New Roman" w:hAnsi="Times New Roman" w:eastAsia="宋体" w:cs="Times New Roman"/>
          <w:color w:val="auto"/>
          <w:szCs w:val="20"/>
          <w:highlight w:val="none"/>
        </w:rPr>
        <w:t>0kg/d。生活垃圾</w:t>
      </w:r>
      <w:r>
        <w:rPr>
          <w:rFonts w:ascii="Times New Roman" w:hAnsi="Times New Roman" w:eastAsia="宋体" w:cs="Times New Roman"/>
          <w:color w:val="auto"/>
          <w:highlight w:val="none"/>
        </w:rPr>
        <w:t>收集后由环卫部门处理</w:t>
      </w:r>
      <w:r>
        <w:rPr>
          <w:rFonts w:ascii="Times New Roman" w:hAnsi="Times New Roman" w:eastAsia="宋体" w:cs="Times New Roman"/>
          <w:color w:val="auto"/>
          <w:szCs w:val="20"/>
          <w:highlight w:val="none"/>
        </w:rPr>
        <w:t>。</w:t>
      </w:r>
      <w:r>
        <w:rPr>
          <w:rFonts w:ascii="Times New Roman" w:hAnsi="Times New Roman" w:eastAsia="宋体" w:cs="Times New Roman"/>
          <w:color w:val="auto"/>
          <w:highlight w:val="none"/>
        </w:rPr>
        <w:t>对环境影响较小。</w:t>
      </w:r>
    </w:p>
    <w:p>
      <w:pPr>
        <w:pStyle w:val="5"/>
        <w:rPr>
          <w:rFonts w:ascii="Times New Roman" w:hAnsi="Times New Roman" w:eastAsia="宋体"/>
          <w:color w:val="auto"/>
          <w:szCs w:val="24"/>
          <w:highlight w:val="none"/>
        </w:rPr>
      </w:pPr>
      <w:bookmarkStart w:id="322" w:name="_Toc16785"/>
      <w:bookmarkStart w:id="323" w:name="_Toc30930"/>
      <w:bookmarkStart w:id="324" w:name="_Toc22996"/>
      <w:bookmarkStart w:id="325" w:name="_Toc30364"/>
      <w:bookmarkStart w:id="326" w:name="_Toc23222"/>
      <w:bookmarkStart w:id="327" w:name="_Toc7640"/>
      <w:bookmarkStart w:id="328" w:name="_Toc30458"/>
      <w:bookmarkStart w:id="329" w:name="_Toc12187"/>
      <w:r>
        <w:rPr>
          <w:rFonts w:ascii="Times New Roman" w:hAnsi="Times New Roman" w:eastAsia="宋体"/>
          <w:color w:val="auto"/>
          <w:highlight w:val="none"/>
        </w:rPr>
        <w:t>4.1.5 施工期生态环境影响分析</w:t>
      </w:r>
      <w:bookmarkEnd w:id="322"/>
      <w:bookmarkEnd w:id="323"/>
      <w:bookmarkEnd w:id="324"/>
      <w:bookmarkEnd w:id="325"/>
      <w:bookmarkEnd w:id="326"/>
      <w:bookmarkEnd w:id="327"/>
      <w:bookmarkEnd w:id="328"/>
      <w:bookmarkEnd w:id="329"/>
    </w:p>
    <w:p>
      <w:pPr>
        <w:pStyle w:val="6"/>
        <w:tabs>
          <w:tab w:val="left" w:pos="1390"/>
        </w:tabs>
        <w:rPr>
          <w:rFonts w:ascii="Times New Roman" w:hAnsi="Times New Roman" w:eastAsia="宋体"/>
          <w:color w:val="auto"/>
          <w:highlight w:val="none"/>
        </w:rPr>
      </w:pPr>
      <w:bookmarkStart w:id="330" w:name="_Toc9197"/>
      <w:r>
        <w:rPr>
          <w:rFonts w:ascii="Times New Roman" w:hAnsi="Times New Roman" w:eastAsia="宋体"/>
          <w:color w:val="auto"/>
          <w:highlight w:val="none"/>
        </w:rPr>
        <w:t>4.1.5.1 现状采空区生态环境影响</w:t>
      </w:r>
      <w:bookmarkEnd w:id="330"/>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根据现场调查，项目矿山内各堆场尚未做土地复垦工作，无有效生态环境防护措施，其在起风情况下产生的扬尘对大气环境产生一定的影响，原有矿区的开采形成的采空区、裸露的矿体边坡</w:t>
      </w:r>
      <w:r>
        <w:rPr>
          <w:rFonts w:hint="eastAsia" w:ascii="Times New Roman" w:hAnsi="Times New Roman" w:eastAsia="宋体" w:cs="Times New Roman"/>
          <w:color w:val="auto"/>
          <w:highlight w:val="none"/>
        </w:rPr>
        <w:t>可能</w:t>
      </w:r>
      <w:r>
        <w:rPr>
          <w:rFonts w:ascii="Times New Roman" w:hAnsi="Times New Roman" w:eastAsia="宋体" w:cs="Times New Roman"/>
          <w:color w:val="auto"/>
          <w:highlight w:val="none"/>
        </w:rPr>
        <w:t>诱发地质灾害，裸露地表对区域景观产生一定的影响。经过对收集到的矿区相关资料进行分析和现场的实地调查，评估区内未发现滑坡、泥石流和岩溶地面塌陷等地质灾害。采场开采已形成</w:t>
      </w:r>
      <w:r>
        <w:rPr>
          <w:rFonts w:hint="eastAsia" w:ascii="Times New Roman" w:hAnsi="Times New Roman" w:eastAsia="宋体" w:cs="Times New Roman"/>
          <w:color w:val="auto"/>
          <w:highlight w:val="none"/>
        </w:rPr>
        <w:t>2个开采面</w:t>
      </w:r>
      <w:r>
        <w:rPr>
          <w:rFonts w:ascii="Times New Roman" w:hAnsi="Times New Roman" w:eastAsia="宋体" w:cs="Times New Roman"/>
          <w:color w:val="auto"/>
          <w:highlight w:val="none"/>
        </w:rPr>
        <w:t>，但调查时未见有危岩崩塌地质灾害，因此现状地质灾害弱发育，危险性小。</w:t>
      </w:r>
    </w:p>
    <w:p>
      <w:pPr>
        <w:pStyle w:val="6"/>
        <w:tabs>
          <w:tab w:val="left" w:pos="1390"/>
        </w:tabs>
        <w:rPr>
          <w:rFonts w:ascii="Times New Roman" w:hAnsi="Times New Roman" w:eastAsia="宋体"/>
          <w:color w:val="auto"/>
          <w:highlight w:val="none"/>
        </w:rPr>
      </w:pPr>
      <w:bookmarkStart w:id="331" w:name="_Toc11462"/>
      <w:r>
        <w:rPr>
          <w:rFonts w:ascii="Times New Roman" w:hAnsi="Times New Roman" w:eastAsia="宋体"/>
          <w:color w:val="auto"/>
          <w:highlight w:val="none"/>
        </w:rPr>
        <w:t>4.1.5.2 本项目对生态环境的影响</w:t>
      </w:r>
      <w:bookmarkEnd w:id="331"/>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建设过程中将导致地表暂时的大面积裸露，在雨水和地表径流作用下将产生一定程度的水土流失，当地表径流携带泥沙沿着附近排水沟进入附近水体后，容易造成对水体的污染和溪沟堵塞。施工场地地面的开挖、土地的利用，易使土壤结构破坏，凝聚力降低，产生新的水土流失。由于人为的不断压实以及建筑施工使砖瓦、石砾、灰渣砾等大量侵入土壤，改变了土壤原有的结构和理化性质。土壤孔隙率下降，保水保肥能力降低，通气性能变差，施工地面裸露，导致水土流失增加。</w:t>
      </w:r>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施工将暂时或永久占用土地，使土地上原有植被消失。建设项目所在地域属于低山丘陵地貌，用地范围主要是灌木林地、其他草地、果园等，无基本农田保护区。项目建设将使区域的生物量有所下降，但不会导致区域物种数量减少。</w:t>
      </w:r>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本项目建设期主要生态保护措施如下：</w:t>
      </w:r>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 xml:space="preserve"> 合理规划施工区域，尽量减少土地挖损和压占区域；</w:t>
      </w:r>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2 </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科学安排作业时序，尽量减少土地重复扰动次数；</w:t>
      </w:r>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 xml:space="preserve"> 合理、科学地进行施工组织设计，及时复垦、复绿，减少裸露面暴露时间；</w:t>
      </w:r>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4 </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先进行挡渣工程等水土保持工程措施，避免或减轻水土流失；</w:t>
      </w:r>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5 </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开挖场地过程中应合理调配土方，以挖作填减少开挖、回填裸露面，避免土方移动和堆放中产生风蚀扬尘和水土流失；</w:t>
      </w:r>
    </w:p>
    <w:p>
      <w:pPr>
        <w:snapToGri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6、</w:t>
      </w:r>
      <w:r>
        <w:rPr>
          <w:rFonts w:ascii="Times New Roman" w:hAnsi="Times New Roman" w:eastAsia="宋体" w:cs="Times New Roman"/>
          <w:color w:val="auto"/>
          <w:highlight w:val="none"/>
        </w:rPr>
        <w:t xml:space="preserve"> 施工期应尽量避开雨季，以减少因地表破坏造成的水土流失；</w:t>
      </w:r>
    </w:p>
    <w:p>
      <w:pPr>
        <w:snapToGri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7、</w:t>
      </w:r>
      <w:r>
        <w:rPr>
          <w:rFonts w:ascii="Times New Roman" w:hAnsi="Times New Roman" w:eastAsia="宋体" w:cs="Times New Roman"/>
          <w:color w:val="auto"/>
          <w:highlight w:val="none"/>
        </w:rPr>
        <w:t xml:space="preserve"> 加强对施工人员的管理，尽量避免对作业区和周边野生生物造成伤害。</w:t>
      </w:r>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采取以上措施后，本项目建设期对区域生态环境影响较小。</w:t>
      </w:r>
    </w:p>
    <w:p>
      <w:pPr>
        <w:pStyle w:val="4"/>
        <w:rPr>
          <w:rFonts w:ascii="Times New Roman" w:hAnsi="Times New Roman" w:eastAsia="宋体"/>
          <w:color w:val="auto"/>
          <w:highlight w:val="none"/>
        </w:rPr>
      </w:pPr>
      <w:bookmarkStart w:id="332" w:name="_Toc17723"/>
      <w:bookmarkStart w:id="333" w:name="_Toc16168"/>
      <w:bookmarkStart w:id="334" w:name="_Toc8019"/>
      <w:bookmarkStart w:id="335" w:name="_Toc10945"/>
      <w:bookmarkStart w:id="336" w:name="_Toc17103"/>
      <w:bookmarkStart w:id="337" w:name="_Toc3659"/>
      <w:bookmarkStart w:id="338" w:name="_Toc1023"/>
      <w:bookmarkStart w:id="339" w:name="_Toc18962"/>
      <w:r>
        <w:rPr>
          <w:rFonts w:ascii="Times New Roman" w:hAnsi="Times New Roman" w:eastAsia="宋体"/>
          <w:color w:val="auto"/>
          <w:highlight w:val="none"/>
        </w:rPr>
        <w:t>4.2 运营期环境影响</w:t>
      </w:r>
      <w:bookmarkEnd w:id="332"/>
      <w:bookmarkEnd w:id="333"/>
      <w:bookmarkEnd w:id="334"/>
      <w:r>
        <w:rPr>
          <w:rFonts w:ascii="Times New Roman" w:hAnsi="Times New Roman" w:eastAsia="宋体"/>
          <w:color w:val="auto"/>
          <w:highlight w:val="none"/>
        </w:rPr>
        <w:t>预测与评价</w:t>
      </w:r>
      <w:bookmarkEnd w:id="335"/>
      <w:bookmarkEnd w:id="336"/>
      <w:bookmarkEnd w:id="337"/>
      <w:bookmarkEnd w:id="338"/>
      <w:bookmarkEnd w:id="339"/>
    </w:p>
    <w:p>
      <w:pPr>
        <w:pStyle w:val="5"/>
        <w:rPr>
          <w:rFonts w:ascii="Times New Roman" w:hAnsi="Times New Roman" w:eastAsia="宋体"/>
          <w:color w:val="auto"/>
          <w:highlight w:val="none"/>
        </w:rPr>
      </w:pPr>
      <w:bookmarkStart w:id="340" w:name="_Toc11776"/>
      <w:bookmarkStart w:id="341" w:name="_Toc17740"/>
      <w:bookmarkStart w:id="342" w:name="_Toc1109"/>
      <w:bookmarkStart w:id="343" w:name="_Toc32634"/>
      <w:bookmarkStart w:id="344" w:name="_Toc19413"/>
      <w:bookmarkStart w:id="345" w:name="_Toc11451"/>
      <w:r>
        <w:rPr>
          <w:rFonts w:ascii="Times New Roman" w:hAnsi="Times New Roman" w:eastAsia="宋体"/>
          <w:color w:val="auto"/>
          <w:highlight w:val="none"/>
        </w:rPr>
        <w:t xml:space="preserve">4.2.1 </w:t>
      </w:r>
      <w:bookmarkEnd w:id="340"/>
      <w:bookmarkEnd w:id="341"/>
      <w:r>
        <w:rPr>
          <w:rFonts w:ascii="Times New Roman" w:hAnsi="Times New Roman" w:eastAsia="宋体"/>
          <w:color w:val="auto"/>
          <w:highlight w:val="none"/>
        </w:rPr>
        <w:t>运营期环境空气影响预测与评价</w:t>
      </w:r>
      <w:bookmarkEnd w:id="342"/>
      <w:bookmarkEnd w:id="343"/>
      <w:bookmarkEnd w:id="344"/>
      <w:bookmarkEnd w:id="345"/>
    </w:p>
    <w:p>
      <w:pPr>
        <w:pStyle w:val="6"/>
        <w:rPr>
          <w:rFonts w:ascii="Times New Roman" w:hAnsi="Times New Roman" w:eastAsia="宋体"/>
          <w:color w:val="auto"/>
          <w:highlight w:val="none"/>
        </w:rPr>
      </w:pPr>
      <w:bookmarkStart w:id="346" w:name="_Toc17986"/>
      <w:r>
        <w:rPr>
          <w:rFonts w:ascii="Times New Roman" w:hAnsi="Times New Roman" w:eastAsia="宋体"/>
          <w:color w:val="auto"/>
          <w:highlight w:val="none"/>
        </w:rPr>
        <w:t>4.2.1.1 气象资料统计分析</w:t>
      </w:r>
    </w:p>
    <w:bookmarkEnd w:id="346"/>
    <w:p>
      <w:pPr>
        <w:adjustRightInd w:val="0"/>
        <w:snapToGrid w:val="0"/>
        <w:ind w:firstLine="480"/>
        <w:jc w:val="left"/>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本项目评价采用的是</w:t>
      </w:r>
      <w:r>
        <w:rPr>
          <w:rFonts w:hint="eastAsia" w:ascii="Times New Roman" w:hAnsi="Times New Roman" w:eastAsia="宋体" w:cs="Times New Roman"/>
          <w:color w:val="auto"/>
          <w:kern w:val="0"/>
          <w:szCs w:val="24"/>
          <w:highlight w:val="none"/>
        </w:rPr>
        <w:t>三江</w:t>
      </w:r>
      <w:r>
        <w:rPr>
          <w:rFonts w:ascii="Times New Roman" w:hAnsi="Times New Roman" w:eastAsia="宋体" w:cs="Times New Roman"/>
          <w:color w:val="auto"/>
          <w:kern w:val="0"/>
          <w:szCs w:val="24"/>
          <w:highlight w:val="none"/>
        </w:rPr>
        <w:t>气象站（5</w:t>
      </w:r>
      <w:r>
        <w:rPr>
          <w:rFonts w:hint="eastAsia" w:ascii="Times New Roman" w:hAnsi="Times New Roman" w:eastAsia="宋体" w:cs="Times New Roman"/>
          <w:color w:val="auto"/>
          <w:kern w:val="0"/>
          <w:szCs w:val="24"/>
          <w:highlight w:val="none"/>
        </w:rPr>
        <w:t>7941</w:t>
      </w:r>
      <w:r>
        <w:rPr>
          <w:rFonts w:ascii="Times New Roman" w:hAnsi="Times New Roman" w:eastAsia="宋体" w:cs="Times New Roman"/>
          <w:color w:val="auto"/>
          <w:kern w:val="0"/>
          <w:szCs w:val="24"/>
          <w:highlight w:val="none"/>
        </w:rPr>
        <w:t>）资料，</w:t>
      </w:r>
      <w:r>
        <w:rPr>
          <w:rFonts w:hint="eastAsia" w:ascii="Times New Roman" w:hAnsi="Times New Roman" w:eastAsia="宋体" w:cs="Times New Roman"/>
          <w:color w:val="auto"/>
          <w:kern w:val="0"/>
          <w:szCs w:val="24"/>
          <w:highlight w:val="none"/>
        </w:rPr>
        <w:t>气象站位于广西壮族自治区柳州市三江县，地理坐标为东经109.6028度，北纬25.7894度，海拔高度197.3米。气象站始建于1948 年，1948 年正式进行气象观测。三江气象站距项目11.32km，是距项目最近的国家气象站，拥有长期的气象观测资料。三江</w:t>
      </w:r>
      <w:r>
        <w:rPr>
          <w:rFonts w:ascii="Times New Roman" w:hAnsi="Times New Roman" w:eastAsia="宋体" w:cs="Times New Roman"/>
          <w:color w:val="auto"/>
          <w:kern w:val="0"/>
          <w:szCs w:val="24"/>
          <w:highlight w:val="none"/>
        </w:rPr>
        <w:t>气象站及本项目气象数据信息见下表4.2-1和表4.2-2。</w:t>
      </w:r>
    </w:p>
    <w:p>
      <w:pPr>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表4.2-1  观测气象数据信息</w:t>
      </w:r>
    </w:p>
    <w:tbl>
      <w:tblPr>
        <w:tblStyle w:val="48"/>
        <w:tblW w:w="9242"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937"/>
        <w:gridCol w:w="905"/>
        <w:gridCol w:w="915"/>
        <w:gridCol w:w="825"/>
        <w:gridCol w:w="810"/>
        <w:gridCol w:w="945"/>
        <w:gridCol w:w="945"/>
        <w:gridCol w:w="720"/>
        <w:gridCol w:w="2240"/>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29" w:hRule="atLeast"/>
          <w:tblHeader/>
          <w:jc w:val="center"/>
        </w:trPr>
        <w:tc>
          <w:tcPr>
            <w:tcW w:w="937" w:type="dxa"/>
            <w:vMerge w:val="restart"/>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气象站名称</w:t>
            </w:r>
          </w:p>
        </w:tc>
        <w:tc>
          <w:tcPr>
            <w:tcW w:w="905" w:type="dxa"/>
            <w:vMerge w:val="restart"/>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气象站编号</w:t>
            </w:r>
          </w:p>
        </w:tc>
        <w:tc>
          <w:tcPr>
            <w:tcW w:w="915" w:type="dxa"/>
            <w:vMerge w:val="restart"/>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气象站</w:t>
            </w:r>
          </w:p>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等级</w:t>
            </w:r>
          </w:p>
        </w:tc>
        <w:tc>
          <w:tcPr>
            <w:tcW w:w="1635" w:type="dxa"/>
            <w:gridSpan w:val="2"/>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气象站坐标/m</w:t>
            </w:r>
          </w:p>
        </w:tc>
        <w:tc>
          <w:tcPr>
            <w:tcW w:w="945" w:type="dxa"/>
            <w:vMerge w:val="restart"/>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相对距离/km</w:t>
            </w:r>
          </w:p>
        </w:tc>
        <w:tc>
          <w:tcPr>
            <w:tcW w:w="945" w:type="dxa"/>
            <w:vMerge w:val="restart"/>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海拔高度/m</w:t>
            </w:r>
          </w:p>
        </w:tc>
        <w:tc>
          <w:tcPr>
            <w:tcW w:w="720" w:type="dxa"/>
            <w:vMerge w:val="restart"/>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数据</w:t>
            </w:r>
          </w:p>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年份</w:t>
            </w:r>
          </w:p>
        </w:tc>
        <w:tc>
          <w:tcPr>
            <w:tcW w:w="2240" w:type="dxa"/>
            <w:vMerge w:val="restart"/>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气象要素</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tblHeader/>
          <w:jc w:val="center"/>
        </w:trPr>
        <w:tc>
          <w:tcPr>
            <w:tcW w:w="937" w:type="dxa"/>
            <w:vMerge w:val="continue"/>
            <w:noWrap w:val="0"/>
            <w:vAlign w:val="center"/>
          </w:tcPr>
          <w:p>
            <w:pPr>
              <w:pStyle w:val="81"/>
              <w:jc w:val="center"/>
              <w:rPr>
                <w:rFonts w:ascii="Times New Roman" w:hAnsi="Times New Roman" w:eastAsia="宋体"/>
                <w:b/>
                <w:bCs/>
                <w:color w:val="auto"/>
                <w:szCs w:val="21"/>
                <w:highlight w:val="none"/>
                <w:lang w:val="en-US" w:eastAsia="zh-CN"/>
              </w:rPr>
            </w:pPr>
          </w:p>
        </w:tc>
        <w:tc>
          <w:tcPr>
            <w:tcW w:w="905" w:type="dxa"/>
            <w:vMerge w:val="continue"/>
            <w:noWrap w:val="0"/>
            <w:vAlign w:val="center"/>
          </w:tcPr>
          <w:p>
            <w:pPr>
              <w:pStyle w:val="81"/>
              <w:jc w:val="center"/>
              <w:rPr>
                <w:rFonts w:ascii="Times New Roman" w:hAnsi="Times New Roman" w:eastAsia="宋体"/>
                <w:b/>
                <w:bCs/>
                <w:color w:val="auto"/>
                <w:szCs w:val="21"/>
                <w:highlight w:val="none"/>
                <w:lang w:val="en-US" w:eastAsia="zh-CN"/>
              </w:rPr>
            </w:pPr>
          </w:p>
        </w:tc>
        <w:tc>
          <w:tcPr>
            <w:tcW w:w="915" w:type="dxa"/>
            <w:vMerge w:val="continue"/>
            <w:noWrap w:val="0"/>
            <w:vAlign w:val="center"/>
          </w:tcPr>
          <w:p>
            <w:pPr>
              <w:pStyle w:val="81"/>
              <w:jc w:val="center"/>
              <w:rPr>
                <w:rFonts w:ascii="Times New Roman" w:hAnsi="Times New Roman" w:eastAsia="宋体"/>
                <w:b/>
                <w:bCs/>
                <w:color w:val="auto"/>
                <w:szCs w:val="21"/>
                <w:highlight w:val="none"/>
                <w:lang w:val="en-US" w:eastAsia="zh-CN"/>
              </w:rPr>
            </w:pPr>
          </w:p>
        </w:tc>
        <w:tc>
          <w:tcPr>
            <w:tcW w:w="825" w:type="dxa"/>
            <w:noWrap w:val="0"/>
            <w:vAlign w:val="center"/>
          </w:tcPr>
          <w:p>
            <w:pPr>
              <w:pStyle w:val="81"/>
              <w:jc w:val="center"/>
              <w:rPr>
                <w:rFonts w:ascii="Times New Roman" w:hAnsi="Times New Roman" w:eastAsia="宋体"/>
                <w:b/>
                <w:bCs/>
                <w:color w:val="auto"/>
                <w:szCs w:val="21"/>
                <w:highlight w:val="none"/>
                <w:lang w:val="en-US" w:eastAsia="zh-CN"/>
              </w:rPr>
            </w:pPr>
            <w:r>
              <w:rPr>
                <w:rFonts w:hint="eastAsia" w:ascii="Times New Roman" w:hAnsi="Times New Roman" w:eastAsia="宋体"/>
                <w:b/>
                <w:bCs/>
                <w:color w:val="auto"/>
                <w:highlight w:val="none"/>
                <w:lang w:val="en-US" w:eastAsia="zh-CN"/>
              </w:rPr>
              <w:t>经度</w:t>
            </w:r>
          </w:p>
        </w:tc>
        <w:tc>
          <w:tcPr>
            <w:tcW w:w="810" w:type="dxa"/>
            <w:noWrap w:val="0"/>
            <w:vAlign w:val="center"/>
          </w:tcPr>
          <w:p>
            <w:pPr>
              <w:pStyle w:val="81"/>
              <w:jc w:val="center"/>
              <w:rPr>
                <w:rFonts w:ascii="Times New Roman" w:hAnsi="Times New Roman" w:eastAsia="宋体"/>
                <w:b/>
                <w:bCs/>
                <w:color w:val="auto"/>
                <w:szCs w:val="21"/>
                <w:highlight w:val="none"/>
                <w:lang w:val="en-US" w:eastAsia="zh-CN"/>
              </w:rPr>
            </w:pPr>
            <w:r>
              <w:rPr>
                <w:rFonts w:hint="eastAsia" w:ascii="Times New Roman" w:hAnsi="Times New Roman" w:eastAsia="宋体"/>
                <w:b/>
                <w:bCs/>
                <w:color w:val="auto"/>
                <w:highlight w:val="none"/>
                <w:lang w:val="en-US" w:eastAsia="zh-CN"/>
              </w:rPr>
              <w:t>纬度</w:t>
            </w:r>
          </w:p>
        </w:tc>
        <w:tc>
          <w:tcPr>
            <w:tcW w:w="945" w:type="dxa"/>
            <w:vMerge w:val="continue"/>
            <w:noWrap w:val="0"/>
            <w:vAlign w:val="center"/>
          </w:tcPr>
          <w:p>
            <w:pPr>
              <w:pStyle w:val="81"/>
              <w:jc w:val="center"/>
              <w:rPr>
                <w:rFonts w:ascii="Times New Roman" w:hAnsi="Times New Roman" w:eastAsia="宋体"/>
                <w:color w:val="auto"/>
                <w:szCs w:val="21"/>
                <w:highlight w:val="none"/>
                <w:lang w:val="en-US" w:eastAsia="zh-CN"/>
              </w:rPr>
            </w:pPr>
          </w:p>
        </w:tc>
        <w:tc>
          <w:tcPr>
            <w:tcW w:w="945" w:type="dxa"/>
            <w:vMerge w:val="continue"/>
            <w:noWrap w:val="0"/>
            <w:vAlign w:val="center"/>
          </w:tcPr>
          <w:p>
            <w:pPr>
              <w:pStyle w:val="81"/>
              <w:jc w:val="center"/>
              <w:rPr>
                <w:rFonts w:ascii="Times New Roman" w:hAnsi="Times New Roman" w:eastAsia="宋体"/>
                <w:color w:val="auto"/>
                <w:szCs w:val="21"/>
                <w:highlight w:val="none"/>
                <w:lang w:val="en-US" w:eastAsia="zh-CN"/>
              </w:rPr>
            </w:pPr>
          </w:p>
        </w:tc>
        <w:tc>
          <w:tcPr>
            <w:tcW w:w="720" w:type="dxa"/>
            <w:vMerge w:val="continue"/>
            <w:noWrap w:val="0"/>
            <w:vAlign w:val="center"/>
          </w:tcPr>
          <w:p>
            <w:pPr>
              <w:pStyle w:val="81"/>
              <w:jc w:val="center"/>
              <w:rPr>
                <w:rFonts w:ascii="Times New Roman" w:hAnsi="Times New Roman" w:eastAsia="宋体"/>
                <w:color w:val="auto"/>
                <w:szCs w:val="21"/>
                <w:highlight w:val="none"/>
                <w:lang w:val="en-US" w:eastAsia="zh-CN"/>
              </w:rPr>
            </w:pPr>
          </w:p>
        </w:tc>
        <w:tc>
          <w:tcPr>
            <w:tcW w:w="2240" w:type="dxa"/>
            <w:vMerge w:val="continue"/>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937" w:type="dxa"/>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kern w:val="0"/>
                <w:szCs w:val="21"/>
                <w:highlight w:val="none"/>
                <w:lang w:val="en-US" w:eastAsia="zh-CN"/>
              </w:rPr>
              <w:t>三江</w:t>
            </w:r>
            <w:r>
              <w:rPr>
                <w:rFonts w:ascii="Times New Roman" w:hAnsi="Times New Roman" w:eastAsia="宋体"/>
                <w:color w:val="auto"/>
                <w:kern w:val="0"/>
                <w:szCs w:val="21"/>
                <w:highlight w:val="none"/>
                <w:lang w:val="en-US" w:eastAsia="zh-CN"/>
              </w:rPr>
              <w:t>气象站</w:t>
            </w:r>
          </w:p>
        </w:tc>
        <w:tc>
          <w:tcPr>
            <w:tcW w:w="905"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kern w:val="0"/>
                <w:szCs w:val="21"/>
                <w:highlight w:val="none"/>
                <w:lang w:val="en-US" w:eastAsia="zh-CN"/>
              </w:rPr>
              <w:t>5</w:t>
            </w:r>
            <w:r>
              <w:rPr>
                <w:rFonts w:hint="eastAsia" w:ascii="Times New Roman" w:hAnsi="Times New Roman" w:eastAsia="宋体"/>
                <w:color w:val="auto"/>
                <w:kern w:val="0"/>
                <w:szCs w:val="21"/>
                <w:highlight w:val="none"/>
                <w:lang w:val="en-US" w:eastAsia="zh-CN"/>
              </w:rPr>
              <w:t>7941</w:t>
            </w:r>
          </w:p>
        </w:tc>
        <w:tc>
          <w:tcPr>
            <w:tcW w:w="915"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市级站</w:t>
            </w:r>
          </w:p>
        </w:tc>
        <w:tc>
          <w:tcPr>
            <w:tcW w:w="825" w:type="dxa"/>
            <w:noWrap w:val="0"/>
            <w:vAlign w:val="center"/>
          </w:tcPr>
          <w:p>
            <w:pPr>
              <w:pStyle w:val="81"/>
              <w:jc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kern w:val="0"/>
                <w:szCs w:val="24"/>
                <w:highlight w:val="none"/>
                <w:lang w:val="en-US" w:eastAsia="zh-CN"/>
              </w:rPr>
              <w:t>109.6028E</w:t>
            </w:r>
          </w:p>
        </w:tc>
        <w:tc>
          <w:tcPr>
            <w:tcW w:w="810" w:type="dxa"/>
            <w:noWrap w:val="0"/>
            <w:vAlign w:val="center"/>
          </w:tcPr>
          <w:p>
            <w:pPr>
              <w:pStyle w:val="81"/>
              <w:jc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kern w:val="0"/>
                <w:szCs w:val="24"/>
                <w:highlight w:val="none"/>
                <w:lang w:val="en-US" w:eastAsia="zh-CN"/>
              </w:rPr>
              <w:t>25.7894N</w:t>
            </w:r>
          </w:p>
        </w:tc>
        <w:tc>
          <w:tcPr>
            <w:tcW w:w="945"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w:t>
            </w:r>
            <w:r>
              <w:rPr>
                <w:rFonts w:hint="eastAsia" w:ascii="Times New Roman" w:hAnsi="Times New Roman" w:eastAsia="宋体"/>
                <w:color w:val="auto"/>
                <w:szCs w:val="21"/>
                <w:highlight w:val="none"/>
                <w:lang w:val="en-US" w:eastAsia="zh-CN"/>
              </w:rPr>
              <w:t>1.32</w:t>
            </w:r>
          </w:p>
        </w:tc>
        <w:tc>
          <w:tcPr>
            <w:tcW w:w="945" w:type="dxa"/>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197.3</w:t>
            </w:r>
          </w:p>
        </w:tc>
        <w:tc>
          <w:tcPr>
            <w:tcW w:w="720"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2018</w:t>
            </w:r>
          </w:p>
        </w:tc>
        <w:tc>
          <w:tcPr>
            <w:tcW w:w="2240" w:type="dxa"/>
            <w:noWrap w:val="0"/>
            <w:vAlign w:val="center"/>
          </w:tcPr>
          <w:p>
            <w:pPr>
              <w:pStyle w:val="81"/>
              <w:jc w:val="left"/>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风速、风向、总云量、低云量、干球温度</w:t>
            </w:r>
          </w:p>
        </w:tc>
      </w:tr>
    </w:tbl>
    <w:p>
      <w:pPr>
        <w:spacing w:line="240" w:lineRule="auto"/>
        <w:ind w:firstLine="0" w:firstLineChars="0"/>
        <w:jc w:val="center"/>
        <w:rPr>
          <w:rFonts w:ascii="Times New Roman" w:hAnsi="Times New Roman" w:eastAsia="宋体" w:cs="Times New Roman"/>
          <w:b/>
          <w:bCs/>
          <w:color w:val="auto"/>
          <w:highlight w:val="none"/>
        </w:rPr>
      </w:pPr>
    </w:p>
    <w:p>
      <w:pPr>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表4.2-2  模拟气象数据信息</w:t>
      </w:r>
    </w:p>
    <w:tbl>
      <w:tblPr>
        <w:tblStyle w:val="48"/>
        <w:tblW w:w="9071"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1096"/>
        <w:gridCol w:w="1096"/>
        <w:gridCol w:w="990"/>
        <w:gridCol w:w="765"/>
        <w:gridCol w:w="3000"/>
        <w:gridCol w:w="2124"/>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blHeader/>
          <w:jc w:val="center"/>
        </w:trPr>
        <w:tc>
          <w:tcPr>
            <w:tcW w:w="2192" w:type="dxa"/>
            <w:gridSpan w:val="2"/>
            <w:noWrap w:val="0"/>
            <w:vAlign w:val="center"/>
          </w:tcPr>
          <w:p>
            <w:pPr>
              <w:pStyle w:val="81"/>
              <w:jc w:val="center"/>
              <w:rPr>
                <w:rFonts w:ascii="Times New Roman" w:hAnsi="Times New Roman" w:eastAsia="宋体"/>
                <w:b/>
                <w:bCs/>
                <w:color w:val="auto"/>
                <w:highlight w:val="none"/>
                <w:lang w:val="en-US" w:eastAsia="zh-CN"/>
              </w:rPr>
            </w:pPr>
            <w:r>
              <w:rPr>
                <w:rFonts w:ascii="Times New Roman" w:hAnsi="Times New Roman" w:eastAsia="宋体"/>
                <w:b/>
                <w:bCs/>
                <w:color w:val="auto"/>
                <w:highlight w:val="none"/>
                <w:lang w:val="en-US" w:eastAsia="zh-CN"/>
              </w:rPr>
              <w:t>模拟点坐标/m</w:t>
            </w:r>
          </w:p>
        </w:tc>
        <w:tc>
          <w:tcPr>
            <w:tcW w:w="990" w:type="dxa"/>
            <w:vMerge w:val="restart"/>
            <w:noWrap w:val="0"/>
            <w:vAlign w:val="center"/>
          </w:tcPr>
          <w:p>
            <w:pPr>
              <w:pStyle w:val="81"/>
              <w:jc w:val="center"/>
              <w:rPr>
                <w:rFonts w:ascii="Times New Roman" w:hAnsi="Times New Roman" w:eastAsia="宋体"/>
                <w:b/>
                <w:bCs/>
                <w:color w:val="auto"/>
                <w:highlight w:val="none"/>
                <w:lang w:val="en-US" w:eastAsia="zh-CN"/>
              </w:rPr>
            </w:pPr>
            <w:r>
              <w:rPr>
                <w:rFonts w:ascii="Times New Roman" w:hAnsi="Times New Roman" w:eastAsia="宋体"/>
                <w:b/>
                <w:bCs/>
                <w:color w:val="auto"/>
                <w:highlight w:val="none"/>
                <w:lang w:val="en-US" w:eastAsia="zh-CN"/>
              </w:rPr>
              <w:t>相对距离/km</w:t>
            </w:r>
          </w:p>
        </w:tc>
        <w:tc>
          <w:tcPr>
            <w:tcW w:w="765" w:type="dxa"/>
            <w:vMerge w:val="restart"/>
            <w:noWrap w:val="0"/>
            <w:vAlign w:val="center"/>
          </w:tcPr>
          <w:p>
            <w:pPr>
              <w:pStyle w:val="81"/>
              <w:jc w:val="center"/>
              <w:rPr>
                <w:rFonts w:ascii="Times New Roman" w:hAnsi="Times New Roman" w:eastAsia="宋体"/>
                <w:b/>
                <w:bCs/>
                <w:color w:val="auto"/>
                <w:highlight w:val="none"/>
                <w:lang w:val="en-US" w:eastAsia="zh-CN"/>
              </w:rPr>
            </w:pPr>
            <w:r>
              <w:rPr>
                <w:rFonts w:ascii="Times New Roman" w:hAnsi="Times New Roman" w:eastAsia="宋体"/>
                <w:b/>
                <w:bCs/>
                <w:color w:val="auto"/>
                <w:highlight w:val="none"/>
                <w:lang w:val="en-US" w:eastAsia="zh-CN"/>
              </w:rPr>
              <w:t>数据年份</w:t>
            </w:r>
          </w:p>
        </w:tc>
        <w:tc>
          <w:tcPr>
            <w:tcW w:w="3000" w:type="dxa"/>
            <w:vMerge w:val="restart"/>
            <w:noWrap w:val="0"/>
            <w:vAlign w:val="center"/>
          </w:tcPr>
          <w:p>
            <w:pPr>
              <w:pStyle w:val="81"/>
              <w:jc w:val="center"/>
              <w:rPr>
                <w:rFonts w:ascii="Times New Roman" w:hAnsi="Times New Roman" w:eastAsia="宋体"/>
                <w:b/>
                <w:bCs/>
                <w:color w:val="auto"/>
                <w:highlight w:val="none"/>
                <w:lang w:val="en-US" w:eastAsia="zh-CN"/>
              </w:rPr>
            </w:pPr>
            <w:r>
              <w:rPr>
                <w:rFonts w:ascii="Times New Roman" w:hAnsi="Times New Roman" w:eastAsia="宋体"/>
                <w:b/>
                <w:bCs/>
                <w:color w:val="auto"/>
                <w:highlight w:val="none"/>
                <w:lang w:val="en-US" w:eastAsia="zh-CN"/>
              </w:rPr>
              <w:t>模拟气象要素</w:t>
            </w:r>
          </w:p>
        </w:tc>
        <w:tc>
          <w:tcPr>
            <w:tcW w:w="2124" w:type="dxa"/>
            <w:vMerge w:val="restart"/>
            <w:noWrap w:val="0"/>
            <w:vAlign w:val="center"/>
          </w:tcPr>
          <w:p>
            <w:pPr>
              <w:pStyle w:val="81"/>
              <w:jc w:val="center"/>
              <w:rPr>
                <w:rFonts w:ascii="Times New Roman" w:hAnsi="Times New Roman" w:eastAsia="宋体"/>
                <w:b/>
                <w:bCs/>
                <w:color w:val="auto"/>
                <w:highlight w:val="none"/>
                <w:lang w:val="en-US" w:eastAsia="zh-CN"/>
              </w:rPr>
            </w:pPr>
            <w:r>
              <w:rPr>
                <w:rFonts w:ascii="Times New Roman" w:hAnsi="Times New Roman" w:eastAsia="宋体"/>
                <w:b/>
                <w:bCs/>
                <w:color w:val="auto"/>
                <w:highlight w:val="none"/>
                <w:lang w:val="en-US" w:eastAsia="zh-CN"/>
              </w:rPr>
              <w:t>模拟方式</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blHeader/>
          <w:jc w:val="center"/>
        </w:trPr>
        <w:tc>
          <w:tcPr>
            <w:tcW w:w="1096" w:type="dxa"/>
            <w:noWrap w:val="0"/>
            <w:vAlign w:val="center"/>
          </w:tcPr>
          <w:p>
            <w:pPr>
              <w:pStyle w:val="81"/>
              <w:jc w:val="center"/>
              <w:rPr>
                <w:rFonts w:hint="eastAsia"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经度</w:t>
            </w:r>
          </w:p>
        </w:tc>
        <w:tc>
          <w:tcPr>
            <w:tcW w:w="1096" w:type="dxa"/>
            <w:noWrap w:val="0"/>
            <w:vAlign w:val="center"/>
          </w:tcPr>
          <w:p>
            <w:pPr>
              <w:pStyle w:val="81"/>
              <w:jc w:val="center"/>
              <w:rPr>
                <w:rFonts w:hint="eastAsia"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纬度</w:t>
            </w:r>
          </w:p>
        </w:tc>
        <w:tc>
          <w:tcPr>
            <w:tcW w:w="990" w:type="dxa"/>
            <w:vMerge w:val="continue"/>
            <w:noWrap w:val="0"/>
            <w:vAlign w:val="center"/>
          </w:tcPr>
          <w:p>
            <w:pPr>
              <w:pStyle w:val="81"/>
              <w:jc w:val="center"/>
              <w:rPr>
                <w:rFonts w:ascii="Times New Roman" w:hAnsi="Times New Roman" w:eastAsia="宋体"/>
                <w:color w:val="auto"/>
                <w:highlight w:val="none"/>
                <w:lang w:val="en-US" w:eastAsia="zh-CN"/>
              </w:rPr>
            </w:pPr>
          </w:p>
        </w:tc>
        <w:tc>
          <w:tcPr>
            <w:tcW w:w="765" w:type="dxa"/>
            <w:vMerge w:val="continue"/>
            <w:noWrap w:val="0"/>
            <w:vAlign w:val="center"/>
          </w:tcPr>
          <w:p>
            <w:pPr>
              <w:pStyle w:val="81"/>
              <w:jc w:val="center"/>
              <w:rPr>
                <w:rFonts w:ascii="Times New Roman" w:hAnsi="Times New Roman" w:eastAsia="宋体"/>
                <w:color w:val="auto"/>
                <w:highlight w:val="none"/>
                <w:lang w:val="en-US" w:eastAsia="zh-CN"/>
              </w:rPr>
            </w:pPr>
          </w:p>
        </w:tc>
        <w:tc>
          <w:tcPr>
            <w:tcW w:w="3000" w:type="dxa"/>
            <w:vMerge w:val="continue"/>
            <w:noWrap w:val="0"/>
            <w:vAlign w:val="center"/>
          </w:tcPr>
          <w:p>
            <w:pPr>
              <w:pStyle w:val="81"/>
              <w:jc w:val="center"/>
              <w:rPr>
                <w:rFonts w:ascii="Times New Roman" w:hAnsi="Times New Roman" w:eastAsia="宋体"/>
                <w:color w:val="auto"/>
                <w:highlight w:val="none"/>
                <w:lang w:val="en-US" w:eastAsia="zh-CN"/>
              </w:rPr>
            </w:pPr>
          </w:p>
        </w:tc>
        <w:tc>
          <w:tcPr>
            <w:tcW w:w="2124" w:type="dxa"/>
            <w:vMerge w:val="continue"/>
            <w:noWrap w:val="0"/>
            <w:vAlign w:val="center"/>
          </w:tcPr>
          <w:p>
            <w:pPr>
              <w:pStyle w:val="81"/>
              <w:jc w:val="center"/>
              <w:rPr>
                <w:rFonts w:ascii="Times New Roman" w:hAnsi="Times New Roman" w:eastAsia="宋体"/>
                <w:color w:val="auto"/>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96" w:type="dxa"/>
            <w:noWrap w:val="0"/>
            <w:vAlign w:val="center"/>
          </w:tcPr>
          <w:p>
            <w:pPr>
              <w:pStyle w:val="81"/>
              <w:jc w:val="center"/>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109.704875E</w:t>
            </w:r>
          </w:p>
        </w:tc>
        <w:tc>
          <w:tcPr>
            <w:tcW w:w="1096" w:type="dxa"/>
            <w:noWrap w:val="0"/>
            <w:vAlign w:val="center"/>
          </w:tcPr>
          <w:p>
            <w:pPr>
              <w:pStyle w:val="81"/>
              <w:jc w:val="center"/>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25.757735N</w:t>
            </w:r>
          </w:p>
        </w:tc>
        <w:tc>
          <w:tcPr>
            <w:tcW w:w="990" w:type="dxa"/>
            <w:noWrap w:val="0"/>
            <w:vAlign w:val="center"/>
          </w:tcPr>
          <w:p>
            <w:pPr>
              <w:pStyle w:val="81"/>
              <w:jc w:val="center"/>
              <w:rPr>
                <w:rFonts w:ascii="Times New Roman" w:hAnsi="Times New Roman" w:eastAsia="宋体"/>
                <w:color w:val="auto"/>
                <w:highlight w:val="none"/>
                <w:lang w:val="en-US" w:eastAsia="zh-CN"/>
              </w:rPr>
            </w:pPr>
            <w:r>
              <w:rPr>
                <w:rFonts w:hint="eastAsia" w:ascii="Times New Roman" w:hAnsi="Times New Roman" w:eastAsia="宋体"/>
                <w:bCs/>
                <w:color w:val="auto"/>
                <w:highlight w:val="none"/>
                <w:lang w:val="en-US" w:eastAsia="zh-CN"/>
              </w:rPr>
              <w:t>11.32</w:t>
            </w:r>
          </w:p>
        </w:tc>
        <w:tc>
          <w:tcPr>
            <w:tcW w:w="765" w:type="dxa"/>
            <w:noWrap w:val="0"/>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2018</w:t>
            </w:r>
          </w:p>
        </w:tc>
        <w:tc>
          <w:tcPr>
            <w:tcW w:w="3000" w:type="dxa"/>
            <w:noWrap w:val="0"/>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气压、离地高度、干球温度</w:t>
            </w:r>
          </w:p>
        </w:tc>
        <w:tc>
          <w:tcPr>
            <w:tcW w:w="2124" w:type="dxa"/>
            <w:noWrap w:val="0"/>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数值模式WRF模拟</w:t>
            </w:r>
          </w:p>
        </w:tc>
      </w:tr>
    </w:tbl>
    <w:p>
      <w:pPr>
        <w:ind w:firstLine="480"/>
        <w:rPr>
          <w:rFonts w:ascii="Times New Roman" w:hAnsi="Times New Roman" w:eastAsia="宋体"/>
          <w:color w:val="auto"/>
          <w:highlight w:val="none"/>
        </w:rPr>
      </w:pPr>
      <w:bookmarkStart w:id="347" w:name="_Toc20525"/>
    </w:p>
    <w:p>
      <w:pPr>
        <w:ind w:firstLine="480"/>
        <w:rPr>
          <w:rFonts w:ascii="Times New Roman" w:hAnsi="Times New Roman" w:eastAsia="宋体"/>
          <w:color w:val="auto"/>
          <w:highlight w:val="none"/>
        </w:rPr>
      </w:pPr>
      <w:r>
        <w:rPr>
          <w:rFonts w:ascii="Times New Roman" w:hAnsi="Times New Roman" w:eastAsia="宋体"/>
          <w:color w:val="auto"/>
          <w:highlight w:val="none"/>
        </w:rPr>
        <w:drawing>
          <wp:inline distT="0" distB="0" distL="114300" distR="114300">
            <wp:extent cx="5314950" cy="7439025"/>
            <wp:effectExtent l="0" t="0" r="0" b="9525"/>
            <wp:docPr id="57"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88"/>
                    <pic:cNvPicPr>
                      <a:picLocks noChangeAspect="1"/>
                    </pic:cNvPicPr>
                  </pic:nvPicPr>
                  <pic:blipFill>
                    <a:blip r:embed="rId79"/>
                    <a:stretch>
                      <a:fillRect/>
                    </a:stretch>
                  </pic:blipFill>
                  <pic:spPr>
                    <a:xfrm>
                      <a:off x="0" y="0"/>
                      <a:ext cx="5314950" cy="7439025"/>
                    </a:xfrm>
                    <a:prstGeom prst="rect">
                      <a:avLst/>
                    </a:prstGeom>
                    <a:noFill/>
                    <a:ln>
                      <a:noFill/>
                    </a:ln>
                  </pic:spPr>
                </pic:pic>
              </a:graphicData>
            </a:graphic>
          </wp:inline>
        </w:drawing>
      </w:r>
    </w:p>
    <w:p>
      <w:pPr>
        <w:pStyle w:val="13"/>
        <w:rPr>
          <w:rFonts w:ascii="Times New Roman" w:hAnsi="Times New Roman" w:eastAsia="宋体"/>
          <w:color w:val="auto"/>
          <w:highlight w:val="none"/>
        </w:rPr>
      </w:pPr>
      <w:r>
        <w:rPr>
          <w:rFonts w:ascii="Times New Roman" w:hAnsi="Times New Roman" w:eastAsia="宋体"/>
          <w:color w:val="auto"/>
          <w:highlight w:val="none"/>
        </w:rPr>
        <w:t>图4.2-1 评价基准年（2018年）三江县风频玫瑰图</w:t>
      </w:r>
    </w:p>
    <w:bookmarkEnd w:id="347"/>
    <w:p>
      <w:pPr>
        <w:pStyle w:val="6"/>
        <w:rPr>
          <w:rFonts w:ascii="Times New Roman" w:hAnsi="Times New Roman" w:eastAsia="宋体"/>
          <w:color w:val="auto"/>
          <w:highlight w:val="none"/>
        </w:rPr>
      </w:pPr>
      <w:bookmarkStart w:id="348" w:name="_Toc30813"/>
      <w:r>
        <w:rPr>
          <w:rFonts w:ascii="Times New Roman" w:hAnsi="Times New Roman" w:eastAsia="宋体"/>
          <w:color w:val="auto"/>
          <w:highlight w:val="none"/>
        </w:rPr>
        <w:t>4.</w:t>
      </w:r>
      <w:r>
        <w:rPr>
          <w:rFonts w:hint="eastAsia" w:ascii="Times New Roman" w:hAnsi="Times New Roman" w:eastAsia="宋体"/>
          <w:color w:val="auto"/>
          <w:highlight w:val="none"/>
        </w:rPr>
        <w:t>2.1.2</w:t>
      </w:r>
      <w:r>
        <w:rPr>
          <w:rFonts w:ascii="Times New Roman" w:hAnsi="Times New Roman" w:eastAsia="宋体"/>
          <w:color w:val="auto"/>
          <w:highlight w:val="none"/>
        </w:rPr>
        <w:t xml:space="preserve"> 预测源强及参数</w:t>
      </w:r>
    </w:p>
    <w:p>
      <w:pPr>
        <w:ind w:firstLine="482"/>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1、污染源及污染物参数</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项目污染源源强参数见</w:t>
      </w:r>
      <w:r>
        <w:rPr>
          <w:rFonts w:hint="eastAsia" w:ascii="Times New Roman" w:hAnsi="Times New Roman" w:eastAsia="宋体" w:cs="Times New Roman"/>
          <w:color w:val="auto"/>
          <w:highlight w:val="none"/>
        </w:rPr>
        <w:t>本报告第3.3节污染源调查章节</w:t>
      </w:r>
      <w:r>
        <w:rPr>
          <w:rFonts w:ascii="Times New Roman" w:hAnsi="Times New Roman" w:eastAsia="宋体" w:cs="Times New Roman"/>
          <w:color w:val="auto"/>
          <w:highlight w:val="none"/>
        </w:rPr>
        <w:t>。</w:t>
      </w:r>
    </w:p>
    <w:p>
      <w:pPr>
        <w:ind w:firstLine="482"/>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2、预测因子及标准</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根据工程分析，选择TSP、PM</w:t>
      </w:r>
      <w:r>
        <w:rPr>
          <w:rFonts w:ascii="Times New Roman" w:hAnsi="Times New Roman" w:eastAsia="宋体" w:cs="Times New Roman"/>
          <w:color w:val="auto"/>
          <w:highlight w:val="none"/>
          <w:vertAlign w:val="subscript"/>
        </w:rPr>
        <w:t>10</w:t>
      </w:r>
      <w:r>
        <w:rPr>
          <w:rFonts w:ascii="Times New Roman" w:hAnsi="Times New Roman" w:eastAsia="宋体" w:cs="Times New Roman"/>
          <w:color w:val="auto"/>
          <w:highlight w:val="none"/>
        </w:rPr>
        <w:t>、PM</w:t>
      </w:r>
      <w:r>
        <w:rPr>
          <w:rFonts w:ascii="Times New Roman" w:hAnsi="Times New Roman" w:eastAsia="宋体" w:cs="Times New Roman"/>
          <w:color w:val="auto"/>
          <w:highlight w:val="none"/>
          <w:vertAlign w:val="subscript"/>
        </w:rPr>
        <w:t>2.5</w:t>
      </w:r>
      <w:r>
        <w:rPr>
          <w:rFonts w:ascii="Times New Roman" w:hAnsi="Times New Roman" w:eastAsia="宋体" w:cs="Times New Roman"/>
          <w:color w:val="auto"/>
          <w:highlight w:val="none"/>
        </w:rPr>
        <w:t>作为预测因子。评价标准见1.4.1节环境质量标准。</w:t>
      </w:r>
    </w:p>
    <w:p>
      <w:pPr>
        <w:ind w:firstLine="482"/>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3、预测范围及预测周期</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以项目矿区红线范围为中心区域，评价范围边长取5.0km的</w:t>
      </w:r>
      <w:r>
        <w:rPr>
          <w:rFonts w:hint="eastAsia" w:ascii="Times New Roman" w:hAnsi="Times New Roman" w:eastAsia="宋体" w:cs="Times New Roman"/>
          <w:color w:val="auto"/>
          <w:szCs w:val="24"/>
          <w:highlight w:val="none"/>
        </w:rPr>
        <w:t>矩形区域</w:t>
      </w:r>
      <w:r>
        <w:rPr>
          <w:rFonts w:ascii="Times New Roman" w:hAnsi="Times New Roman" w:eastAsia="宋体" w:cs="Times New Roman"/>
          <w:color w:val="auto"/>
          <w:szCs w:val="24"/>
          <w:highlight w:val="none"/>
        </w:rPr>
        <w:t>。</w:t>
      </w:r>
    </w:p>
    <w:p>
      <w:pPr>
        <w:adjustRightInd w:val="0"/>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选取评价基准年2018年作为预测周期，预测时段取连续1年。</w:t>
      </w:r>
    </w:p>
    <w:p>
      <w:pPr>
        <w:adjustRightInd w:val="0"/>
        <w:snapToGrid w:val="0"/>
        <w:ind w:firstLine="482"/>
        <w:rPr>
          <w:rFonts w:ascii="Times New Roman" w:hAnsi="Times New Roman" w:eastAsia="宋体" w:cs="Times New Roman"/>
          <w:b/>
          <w:color w:val="auto"/>
          <w:kern w:val="0"/>
          <w:szCs w:val="24"/>
          <w:highlight w:val="none"/>
        </w:rPr>
      </w:pPr>
      <w:r>
        <w:rPr>
          <w:rFonts w:ascii="Times New Roman" w:hAnsi="Times New Roman" w:eastAsia="宋体" w:cs="Times New Roman"/>
          <w:b/>
          <w:color w:val="auto"/>
          <w:kern w:val="0"/>
          <w:szCs w:val="24"/>
          <w:highlight w:val="none"/>
        </w:rPr>
        <w:t>4、环境空气预测点</w:t>
      </w:r>
    </w:p>
    <w:p>
      <w:pPr>
        <w:adjustRightInd w:val="0"/>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本项目环境空气预测点主要为项目周边环境空气保护目标和预测范围内网格点。本项目环境空气保护目标见</w:t>
      </w:r>
      <w:r>
        <w:rPr>
          <w:rFonts w:hint="eastAsia" w:ascii="Times New Roman" w:hAnsi="Times New Roman" w:eastAsia="宋体" w:cs="Times New Roman"/>
          <w:color w:val="auto"/>
          <w:highlight w:val="none"/>
        </w:rPr>
        <w:t>本报告第1.6节相关内容</w:t>
      </w:r>
      <w:r>
        <w:rPr>
          <w:rFonts w:ascii="Times New Roman" w:hAnsi="Times New Roman" w:eastAsia="宋体" w:cs="Times New Roman"/>
          <w:color w:val="auto"/>
          <w:highlight w:val="none"/>
        </w:rPr>
        <w:t>。</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网格点设置采用采用直角坐标网格、近密远疏法，预测范围（-3000，3000）内每100m布设一个点。预测计算点数总计3729个。</w:t>
      </w:r>
      <w:r>
        <w:rPr>
          <w:rFonts w:hint="eastAsia" w:ascii="Times New Roman" w:hAnsi="Times New Roman" w:eastAsia="宋体" w:cs="Times New Roman"/>
          <w:color w:val="auto"/>
          <w:highlight w:val="none"/>
        </w:rPr>
        <w:t>大气防护距离预测计算采用</w:t>
      </w:r>
      <w:r>
        <w:rPr>
          <w:rFonts w:ascii="Times New Roman" w:hAnsi="Times New Roman" w:eastAsia="宋体" w:cs="Times New Roman"/>
          <w:color w:val="auto"/>
          <w:highlight w:val="none"/>
        </w:rPr>
        <w:t>直角坐标网格、近密远疏法，预测范围（-</w:t>
      </w:r>
      <w:r>
        <w:rPr>
          <w:rFonts w:hint="eastAsia" w:ascii="Times New Roman" w:hAnsi="Times New Roman" w:eastAsia="宋体" w:cs="Times New Roman"/>
          <w:color w:val="auto"/>
          <w:highlight w:val="none"/>
        </w:rPr>
        <w:t>5</w:t>
      </w:r>
      <w:r>
        <w:rPr>
          <w:rFonts w:ascii="Times New Roman" w:hAnsi="Times New Roman" w:eastAsia="宋体" w:cs="Times New Roman"/>
          <w:color w:val="auto"/>
          <w:highlight w:val="none"/>
        </w:rPr>
        <w:t>00，</w:t>
      </w:r>
      <w:r>
        <w:rPr>
          <w:rFonts w:hint="eastAsia" w:ascii="Times New Roman" w:hAnsi="Times New Roman" w:eastAsia="宋体" w:cs="Times New Roman"/>
          <w:color w:val="auto"/>
          <w:highlight w:val="none"/>
        </w:rPr>
        <w:t>5</w:t>
      </w:r>
      <w:r>
        <w:rPr>
          <w:rFonts w:ascii="Times New Roman" w:hAnsi="Times New Roman" w:eastAsia="宋体" w:cs="Times New Roman"/>
          <w:color w:val="auto"/>
          <w:highlight w:val="none"/>
        </w:rPr>
        <w:t>00）内每</w:t>
      </w:r>
      <w:r>
        <w:rPr>
          <w:rFonts w:hint="eastAsia" w:ascii="Times New Roman" w:hAnsi="Times New Roman" w:eastAsia="宋体" w:cs="Times New Roman"/>
          <w:color w:val="auto"/>
          <w:highlight w:val="none"/>
        </w:rPr>
        <w:t>5</w:t>
      </w:r>
      <w:r>
        <w:rPr>
          <w:rFonts w:ascii="Times New Roman" w:hAnsi="Times New Roman" w:eastAsia="宋体" w:cs="Times New Roman"/>
          <w:color w:val="auto"/>
          <w:highlight w:val="none"/>
        </w:rPr>
        <w:t>0m布设一个点</w:t>
      </w:r>
      <w:r>
        <w:rPr>
          <w:rFonts w:hint="eastAsia" w:ascii="Times New Roman" w:hAnsi="Times New Roman" w:eastAsia="宋体" w:cs="Times New Roman"/>
          <w:color w:val="auto"/>
          <w:highlight w:val="none"/>
        </w:rPr>
        <w:t>，包括四面厂界，</w:t>
      </w:r>
      <w:r>
        <w:rPr>
          <w:rFonts w:ascii="Times New Roman" w:hAnsi="Times New Roman" w:eastAsia="宋体" w:cs="Times New Roman"/>
          <w:color w:val="auto"/>
          <w:highlight w:val="none"/>
        </w:rPr>
        <w:t>预测</w:t>
      </w:r>
      <w:r>
        <w:rPr>
          <w:rFonts w:hint="eastAsia" w:ascii="Times New Roman" w:hAnsi="Times New Roman" w:eastAsia="宋体" w:cs="Times New Roman"/>
          <w:color w:val="auto"/>
          <w:highlight w:val="none"/>
        </w:rPr>
        <w:t>网</w:t>
      </w:r>
      <w:r>
        <w:rPr>
          <w:rFonts w:ascii="Times New Roman" w:hAnsi="Times New Roman" w:eastAsia="宋体" w:cs="Times New Roman"/>
          <w:color w:val="auto"/>
          <w:highlight w:val="none"/>
        </w:rPr>
        <w:t>格点数总计445个。</w:t>
      </w:r>
    </w:p>
    <w:p>
      <w:pPr>
        <w:topLinePunct/>
        <w:adjustRightInd w:val="0"/>
        <w:snapToGrid w:val="0"/>
        <w:ind w:firstLine="480"/>
        <w:textAlignment w:val="baseline"/>
        <w:rPr>
          <w:rFonts w:ascii="Times New Roman" w:hAnsi="Times New Roman" w:eastAsia="宋体" w:cs="Times New Roman"/>
          <w:bCs/>
          <w:snapToGrid w:val="0"/>
          <w:color w:val="auto"/>
          <w:highlight w:val="none"/>
        </w:rPr>
      </w:pPr>
      <w:r>
        <w:rPr>
          <w:rFonts w:ascii="Times New Roman" w:hAnsi="Times New Roman" w:eastAsia="宋体" w:cs="Times New Roman"/>
          <w:bCs/>
          <w:snapToGrid w:val="0"/>
          <w:color w:val="auto"/>
          <w:highlight w:val="none"/>
        </w:rPr>
        <w:t>项目预测网格设置见表4.2-3。</w:t>
      </w:r>
    </w:p>
    <w:p>
      <w:pPr>
        <w:adjustRightInd w:val="0"/>
        <w:snapToGrid w:val="0"/>
        <w:spacing w:line="240" w:lineRule="auto"/>
        <w:ind w:firstLine="0" w:firstLineChars="0"/>
        <w:jc w:val="center"/>
        <w:rPr>
          <w:rFonts w:ascii="Times New Roman" w:hAnsi="Times New Roman" w:eastAsia="宋体" w:cs="Times New Roman"/>
          <w:b/>
          <w:color w:val="auto"/>
          <w:kern w:val="0"/>
          <w:szCs w:val="24"/>
          <w:highlight w:val="none"/>
        </w:rPr>
      </w:pPr>
      <w:r>
        <w:rPr>
          <w:rFonts w:ascii="Times New Roman" w:hAnsi="Times New Roman" w:eastAsia="宋体" w:cs="Times New Roman"/>
          <w:b/>
          <w:color w:val="auto"/>
          <w:kern w:val="0"/>
          <w:szCs w:val="24"/>
          <w:highlight w:val="none"/>
        </w:rPr>
        <w:t>表4.2-3  网格点选取</w:t>
      </w:r>
    </w:p>
    <w:tbl>
      <w:tblPr>
        <w:tblStyle w:val="48"/>
        <w:tblW w:w="907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37"/>
        <w:gridCol w:w="2555"/>
        <w:gridCol w:w="45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92" w:type="dxa"/>
            <w:gridSpan w:val="2"/>
            <w:noWrap w:val="0"/>
            <w:vAlign w:val="center"/>
          </w:tcPr>
          <w:p>
            <w:pPr>
              <w:spacing w:line="240" w:lineRule="auto"/>
              <w:ind w:firstLine="0" w:firstLineChars="0"/>
              <w:jc w:val="center"/>
              <w:rPr>
                <w:rFonts w:ascii="Times New Roman" w:hAnsi="Times New Roman" w:eastAsia="宋体" w:cs="Times New Roman"/>
                <w:b/>
                <w:snapToGrid w:val="0"/>
                <w:color w:val="auto"/>
                <w:sz w:val="21"/>
                <w:szCs w:val="20"/>
                <w:highlight w:val="none"/>
              </w:rPr>
            </w:pPr>
            <w:r>
              <w:rPr>
                <w:rFonts w:ascii="Times New Roman" w:hAnsi="Times New Roman" w:eastAsia="宋体" w:cs="Times New Roman"/>
                <w:b/>
                <w:snapToGrid w:val="0"/>
                <w:color w:val="auto"/>
                <w:sz w:val="21"/>
                <w:highlight w:val="none"/>
              </w:rPr>
              <w:t>预测网格设置方法</w:t>
            </w:r>
          </w:p>
        </w:tc>
        <w:tc>
          <w:tcPr>
            <w:tcW w:w="4579" w:type="dxa"/>
            <w:noWrap w:val="0"/>
            <w:vAlign w:val="center"/>
          </w:tcPr>
          <w:p>
            <w:pPr>
              <w:spacing w:line="240" w:lineRule="auto"/>
              <w:ind w:firstLine="0" w:firstLineChars="0"/>
              <w:jc w:val="center"/>
              <w:rPr>
                <w:rFonts w:ascii="Times New Roman" w:hAnsi="Times New Roman" w:eastAsia="宋体" w:cs="Times New Roman"/>
                <w:b/>
                <w:snapToGrid w:val="0"/>
                <w:color w:val="auto"/>
                <w:sz w:val="21"/>
                <w:highlight w:val="none"/>
              </w:rPr>
            </w:pPr>
            <w:r>
              <w:rPr>
                <w:rFonts w:ascii="Times New Roman" w:hAnsi="Times New Roman" w:eastAsia="宋体" w:cs="Times New Roman"/>
                <w:b/>
                <w:snapToGrid w:val="0"/>
                <w:color w:val="auto"/>
                <w:sz w:val="21"/>
                <w:highlight w:val="none"/>
              </w:rPr>
              <w:t>直角坐标网格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92" w:type="dxa"/>
            <w:gridSpan w:val="2"/>
            <w:noWrap w:val="0"/>
            <w:vAlign w:val="center"/>
          </w:tcPr>
          <w:p>
            <w:pPr>
              <w:spacing w:line="240" w:lineRule="auto"/>
              <w:ind w:firstLine="0" w:firstLineChars="0"/>
              <w:jc w:val="center"/>
              <w:rPr>
                <w:rFonts w:ascii="Times New Roman" w:hAnsi="Times New Roman" w:eastAsia="宋体" w:cs="Times New Roman"/>
                <w:snapToGrid w:val="0"/>
                <w:color w:val="auto"/>
                <w:sz w:val="21"/>
                <w:highlight w:val="none"/>
              </w:rPr>
            </w:pPr>
            <w:r>
              <w:rPr>
                <w:rFonts w:ascii="Times New Roman" w:hAnsi="Times New Roman" w:eastAsia="宋体" w:cs="Times New Roman"/>
                <w:snapToGrid w:val="0"/>
                <w:color w:val="auto"/>
                <w:sz w:val="21"/>
                <w:highlight w:val="none"/>
              </w:rPr>
              <w:t>布点原则</w:t>
            </w:r>
          </w:p>
        </w:tc>
        <w:tc>
          <w:tcPr>
            <w:tcW w:w="4579" w:type="dxa"/>
            <w:noWrap w:val="0"/>
            <w:vAlign w:val="center"/>
          </w:tcPr>
          <w:p>
            <w:pPr>
              <w:spacing w:line="240" w:lineRule="auto"/>
              <w:ind w:firstLine="0" w:firstLineChars="0"/>
              <w:jc w:val="center"/>
              <w:rPr>
                <w:rFonts w:ascii="Times New Roman" w:hAnsi="Times New Roman" w:eastAsia="宋体" w:cs="Times New Roman"/>
                <w:snapToGrid w:val="0"/>
                <w:color w:val="auto"/>
                <w:sz w:val="21"/>
                <w:highlight w:val="none"/>
              </w:rPr>
            </w:pPr>
            <w:r>
              <w:rPr>
                <w:rFonts w:ascii="Times New Roman" w:hAnsi="Times New Roman" w:eastAsia="宋体" w:cs="Times New Roman"/>
                <w:snapToGrid w:val="0"/>
                <w:color w:val="auto"/>
                <w:sz w:val="21"/>
                <w:highlight w:val="none"/>
              </w:rPr>
              <w:t>网格等间距或近密远疏法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1937" w:type="dxa"/>
            <w:vMerge w:val="restart"/>
            <w:noWrap w:val="0"/>
            <w:vAlign w:val="center"/>
          </w:tcPr>
          <w:p>
            <w:pPr>
              <w:spacing w:line="240" w:lineRule="auto"/>
              <w:ind w:firstLine="0" w:firstLineChars="0"/>
              <w:jc w:val="center"/>
              <w:rPr>
                <w:rFonts w:ascii="Times New Roman" w:hAnsi="Times New Roman" w:eastAsia="宋体" w:cs="Times New Roman"/>
                <w:snapToGrid w:val="0"/>
                <w:color w:val="auto"/>
                <w:sz w:val="21"/>
                <w:highlight w:val="none"/>
              </w:rPr>
            </w:pPr>
            <w:r>
              <w:rPr>
                <w:rFonts w:ascii="Times New Roman" w:hAnsi="Times New Roman" w:eastAsia="宋体" w:cs="Times New Roman"/>
                <w:snapToGrid w:val="0"/>
                <w:color w:val="auto"/>
                <w:sz w:val="21"/>
                <w:highlight w:val="none"/>
              </w:rPr>
              <w:t>预测网格点网格距</w:t>
            </w:r>
          </w:p>
        </w:tc>
        <w:tc>
          <w:tcPr>
            <w:tcW w:w="2555" w:type="dxa"/>
            <w:noWrap w:val="0"/>
            <w:vAlign w:val="center"/>
          </w:tcPr>
          <w:p>
            <w:pPr>
              <w:spacing w:line="240" w:lineRule="auto"/>
              <w:ind w:firstLine="0" w:firstLineChars="0"/>
              <w:jc w:val="center"/>
              <w:rPr>
                <w:rFonts w:ascii="Times New Roman" w:hAnsi="Times New Roman" w:eastAsia="宋体" w:cs="Times New Roman"/>
                <w:snapToGrid w:val="0"/>
                <w:color w:val="auto"/>
                <w:sz w:val="21"/>
                <w:highlight w:val="none"/>
              </w:rPr>
            </w:pPr>
            <w:r>
              <w:rPr>
                <w:rFonts w:ascii="Times New Roman" w:hAnsi="Times New Roman" w:eastAsia="宋体" w:cs="Times New Roman"/>
                <w:snapToGrid w:val="0"/>
                <w:color w:val="auto"/>
                <w:sz w:val="21"/>
                <w:highlight w:val="none"/>
              </w:rPr>
              <w:t>X（-3000，3000）</w:t>
            </w:r>
          </w:p>
        </w:tc>
        <w:tc>
          <w:tcPr>
            <w:tcW w:w="4579" w:type="dxa"/>
            <w:noWrap w:val="0"/>
            <w:vAlign w:val="center"/>
          </w:tcPr>
          <w:p>
            <w:pPr>
              <w:spacing w:line="240" w:lineRule="auto"/>
              <w:ind w:firstLine="0" w:firstLineChars="0"/>
              <w:jc w:val="center"/>
              <w:rPr>
                <w:rFonts w:ascii="Times New Roman" w:hAnsi="Times New Roman" w:eastAsia="宋体" w:cs="Times New Roman"/>
                <w:snapToGrid w:val="0"/>
                <w:color w:val="auto"/>
                <w:sz w:val="21"/>
                <w:highlight w:val="none"/>
              </w:rPr>
            </w:pPr>
            <w:r>
              <w:rPr>
                <w:rFonts w:ascii="Times New Roman" w:hAnsi="Times New Roman" w:eastAsia="宋体" w:cs="Times New Roman"/>
                <w:snapToGrid w:val="0"/>
                <w:color w:val="auto"/>
                <w:sz w:val="21"/>
                <w:highlight w:val="none"/>
              </w:rPr>
              <w:t>100m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1937" w:type="dxa"/>
            <w:vMerge w:val="continue"/>
            <w:noWrap w:val="0"/>
            <w:vAlign w:val="center"/>
          </w:tcPr>
          <w:p>
            <w:pPr>
              <w:spacing w:line="240" w:lineRule="auto"/>
              <w:ind w:firstLine="0" w:firstLineChars="0"/>
              <w:jc w:val="center"/>
              <w:rPr>
                <w:rFonts w:ascii="Times New Roman" w:hAnsi="Times New Roman" w:eastAsia="宋体" w:cs="Times New Roman"/>
                <w:snapToGrid w:val="0"/>
                <w:color w:val="auto"/>
                <w:sz w:val="21"/>
                <w:highlight w:val="none"/>
              </w:rPr>
            </w:pPr>
          </w:p>
        </w:tc>
        <w:tc>
          <w:tcPr>
            <w:tcW w:w="2555" w:type="dxa"/>
            <w:noWrap w:val="0"/>
            <w:vAlign w:val="center"/>
          </w:tcPr>
          <w:p>
            <w:pPr>
              <w:spacing w:line="240" w:lineRule="auto"/>
              <w:ind w:firstLine="0" w:firstLineChars="0"/>
              <w:jc w:val="center"/>
              <w:rPr>
                <w:rFonts w:ascii="Times New Roman" w:hAnsi="Times New Roman" w:eastAsia="宋体" w:cs="Times New Roman"/>
                <w:snapToGrid w:val="0"/>
                <w:color w:val="auto"/>
                <w:sz w:val="21"/>
                <w:highlight w:val="none"/>
              </w:rPr>
            </w:pPr>
            <w:r>
              <w:rPr>
                <w:rFonts w:ascii="Times New Roman" w:hAnsi="Times New Roman" w:eastAsia="宋体" w:cs="Times New Roman"/>
                <w:snapToGrid w:val="0"/>
                <w:color w:val="auto"/>
                <w:sz w:val="21"/>
                <w:highlight w:val="none"/>
              </w:rPr>
              <w:t>Y（-3000，3000）</w:t>
            </w:r>
          </w:p>
        </w:tc>
        <w:tc>
          <w:tcPr>
            <w:tcW w:w="4579" w:type="dxa"/>
            <w:noWrap w:val="0"/>
            <w:vAlign w:val="center"/>
          </w:tcPr>
          <w:p>
            <w:pPr>
              <w:spacing w:line="240" w:lineRule="auto"/>
              <w:ind w:firstLine="0" w:firstLineChars="0"/>
              <w:jc w:val="center"/>
              <w:rPr>
                <w:rFonts w:ascii="Times New Roman" w:hAnsi="Times New Roman" w:eastAsia="宋体" w:cs="Times New Roman"/>
                <w:snapToGrid w:val="0"/>
                <w:color w:val="auto"/>
                <w:sz w:val="21"/>
                <w:highlight w:val="none"/>
              </w:rPr>
            </w:pPr>
            <w:r>
              <w:rPr>
                <w:rFonts w:ascii="Times New Roman" w:hAnsi="Times New Roman" w:eastAsia="宋体" w:cs="Times New Roman"/>
                <w:snapToGrid w:val="0"/>
                <w:color w:val="auto"/>
                <w:sz w:val="21"/>
                <w:highlight w:val="none"/>
              </w:rPr>
              <w:t>100m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1937" w:type="dxa"/>
            <w:vMerge w:val="restart"/>
            <w:noWrap w:val="0"/>
            <w:vAlign w:val="center"/>
          </w:tcPr>
          <w:p>
            <w:pPr>
              <w:spacing w:line="240" w:lineRule="auto"/>
              <w:ind w:firstLine="0" w:firstLineChars="0"/>
              <w:jc w:val="left"/>
              <w:rPr>
                <w:rFonts w:ascii="Times New Roman" w:hAnsi="Times New Roman" w:eastAsia="宋体" w:cs="Times New Roman"/>
                <w:snapToGrid w:val="0"/>
                <w:color w:val="auto"/>
                <w:sz w:val="21"/>
                <w:highlight w:val="none"/>
              </w:rPr>
            </w:pPr>
            <w:r>
              <w:rPr>
                <w:rFonts w:ascii="Times New Roman" w:hAnsi="Times New Roman" w:eastAsia="宋体" w:cs="Times New Roman"/>
                <w:snapToGrid w:val="0"/>
                <w:color w:val="auto"/>
                <w:sz w:val="21"/>
                <w:highlight w:val="none"/>
              </w:rPr>
              <w:t>大气防护距离网格点网格距</w:t>
            </w:r>
          </w:p>
        </w:tc>
        <w:tc>
          <w:tcPr>
            <w:tcW w:w="2555" w:type="dxa"/>
            <w:noWrap w:val="0"/>
            <w:vAlign w:val="center"/>
          </w:tcPr>
          <w:p>
            <w:pPr>
              <w:spacing w:line="240" w:lineRule="auto"/>
              <w:ind w:firstLine="0" w:firstLineChars="0"/>
              <w:jc w:val="center"/>
              <w:rPr>
                <w:rFonts w:ascii="Times New Roman" w:hAnsi="Times New Roman" w:eastAsia="宋体" w:cs="Times New Roman"/>
                <w:snapToGrid w:val="0"/>
                <w:color w:val="auto"/>
                <w:sz w:val="21"/>
                <w:highlight w:val="none"/>
              </w:rPr>
            </w:pPr>
            <w:r>
              <w:rPr>
                <w:rFonts w:ascii="Times New Roman" w:hAnsi="Times New Roman" w:eastAsia="宋体" w:cs="Times New Roman"/>
                <w:snapToGrid w:val="0"/>
                <w:color w:val="auto"/>
                <w:sz w:val="21"/>
                <w:highlight w:val="none"/>
              </w:rPr>
              <w:t>X（-500，500）</w:t>
            </w:r>
          </w:p>
        </w:tc>
        <w:tc>
          <w:tcPr>
            <w:tcW w:w="4579" w:type="dxa"/>
            <w:noWrap w:val="0"/>
            <w:vAlign w:val="center"/>
          </w:tcPr>
          <w:p>
            <w:pPr>
              <w:spacing w:line="240" w:lineRule="auto"/>
              <w:ind w:firstLine="0" w:firstLineChars="0"/>
              <w:jc w:val="center"/>
              <w:rPr>
                <w:rFonts w:ascii="Times New Roman" w:hAnsi="Times New Roman" w:eastAsia="宋体" w:cs="Times New Roman"/>
                <w:snapToGrid w:val="0"/>
                <w:color w:val="auto"/>
                <w:sz w:val="21"/>
                <w:highlight w:val="none"/>
              </w:rPr>
            </w:pPr>
            <w:r>
              <w:rPr>
                <w:rFonts w:ascii="Times New Roman" w:hAnsi="Times New Roman" w:eastAsia="宋体" w:cs="Times New Roman"/>
                <w:snapToGrid w:val="0"/>
                <w:color w:val="auto"/>
                <w:sz w:val="21"/>
                <w:highlight w:val="none"/>
              </w:rPr>
              <w:t>50m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1937" w:type="dxa"/>
            <w:vMerge w:val="continue"/>
            <w:noWrap w:val="0"/>
            <w:vAlign w:val="center"/>
          </w:tcPr>
          <w:p>
            <w:pPr>
              <w:spacing w:line="240" w:lineRule="auto"/>
              <w:ind w:firstLine="0" w:firstLineChars="0"/>
              <w:jc w:val="center"/>
              <w:rPr>
                <w:rFonts w:ascii="Times New Roman" w:hAnsi="Times New Roman" w:eastAsia="宋体" w:cs="Times New Roman"/>
                <w:snapToGrid w:val="0"/>
                <w:color w:val="auto"/>
                <w:sz w:val="21"/>
                <w:highlight w:val="none"/>
              </w:rPr>
            </w:pPr>
          </w:p>
        </w:tc>
        <w:tc>
          <w:tcPr>
            <w:tcW w:w="2555" w:type="dxa"/>
            <w:noWrap w:val="0"/>
            <w:vAlign w:val="center"/>
          </w:tcPr>
          <w:p>
            <w:pPr>
              <w:spacing w:line="240" w:lineRule="auto"/>
              <w:ind w:firstLine="0" w:firstLineChars="0"/>
              <w:jc w:val="center"/>
              <w:rPr>
                <w:rFonts w:ascii="Times New Roman" w:hAnsi="Times New Roman" w:eastAsia="宋体" w:cs="Times New Roman"/>
                <w:snapToGrid w:val="0"/>
                <w:color w:val="auto"/>
                <w:sz w:val="21"/>
                <w:highlight w:val="none"/>
              </w:rPr>
            </w:pPr>
            <w:r>
              <w:rPr>
                <w:rFonts w:ascii="Times New Roman" w:hAnsi="Times New Roman" w:eastAsia="宋体" w:cs="Times New Roman"/>
                <w:snapToGrid w:val="0"/>
                <w:color w:val="auto"/>
                <w:sz w:val="21"/>
                <w:highlight w:val="none"/>
              </w:rPr>
              <w:t>Y（-500，500）</w:t>
            </w:r>
          </w:p>
        </w:tc>
        <w:tc>
          <w:tcPr>
            <w:tcW w:w="4579" w:type="dxa"/>
            <w:noWrap w:val="0"/>
            <w:vAlign w:val="center"/>
          </w:tcPr>
          <w:p>
            <w:pPr>
              <w:spacing w:line="240" w:lineRule="auto"/>
              <w:ind w:firstLine="0" w:firstLineChars="0"/>
              <w:jc w:val="center"/>
              <w:rPr>
                <w:rFonts w:ascii="Times New Roman" w:hAnsi="Times New Roman" w:eastAsia="宋体" w:cs="Times New Roman"/>
                <w:snapToGrid w:val="0"/>
                <w:color w:val="auto"/>
                <w:sz w:val="21"/>
                <w:highlight w:val="none"/>
              </w:rPr>
            </w:pPr>
            <w:r>
              <w:rPr>
                <w:rFonts w:ascii="Times New Roman" w:hAnsi="Times New Roman" w:eastAsia="宋体" w:cs="Times New Roman"/>
                <w:snapToGrid w:val="0"/>
                <w:color w:val="auto"/>
                <w:sz w:val="21"/>
                <w:highlight w:val="none"/>
              </w:rPr>
              <w:t>50m</w:t>
            </w:r>
          </w:p>
        </w:tc>
      </w:tr>
    </w:tbl>
    <w:p>
      <w:pPr>
        <w:ind w:firstLine="482"/>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5、预测模式</w:t>
      </w:r>
    </w:p>
    <w:p>
      <w:pPr>
        <w:ind w:firstLine="480"/>
        <w:rPr>
          <w:rFonts w:ascii="Times New Roman" w:hAnsi="Times New Roman" w:eastAsia="宋体" w:cs="Times New Roman"/>
          <w:color w:val="auto"/>
          <w:kern w:val="0"/>
          <w:szCs w:val="24"/>
          <w:highlight w:val="none"/>
        </w:rPr>
      </w:pPr>
      <w:r>
        <w:rPr>
          <w:rFonts w:ascii="Times New Roman" w:hAnsi="Times New Roman" w:eastAsia="宋体" w:cs="Times New Roman"/>
          <w:color w:val="auto"/>
          <w:szCs w:val="24"/>
          <w:highlight w:val="none"/>
        </w:rPr>
        <w:t>本项目大气环境为一级评价，根据《环境影响评价技术导则 大气环境》（HJ</w:t>
      </w:r>
      <w:r>
        <w:rPr>
          <w:rFonts w:hint="eastAsia" w:ascii="Times New Roman" w:hAnsi="Times New Roman" w:eastAsia="宋体" w:cs="Times New Roman"/>
          <w:color w:val="auto"/>
          <w:szCs w:val="24"/>
          <w:highlight w:val="none"/>
          <w:lang w:val="en-US" w:eastAsia="zh-CN"/>
        </w:rPr>
        <w:t xml:space="preserve"> </w:t>
      </w:r>
      <w:r>
        <w:rPr>
          <w:rFonts w:ascii="Times New Roman" w:hAnsi="Times New Roman" w:eastAsia="宋体" w:cs="Times New Roman"/>
          <w:color w:val="auto"/>
          <w:szCs w:val="24"/>
          <w:highlight w:val="none"/>
        </w:rPr>
        <w:t>2.2-2018），</w:t>
      </w:r>
      <w:r>
        <w:rPr>
          <w:rFonts w:ascii="Times New Roman" w:hAnsi="Times New Roman" w:eastAsia="宋体" w:cs="Times New Roman"/>
          <w:color w:val="auto"/>
          <w:kern w:val="0"/>
          <w:szCs w:val="24"/>
          <w:highlight w:val="none"/>
        </w:rPr>
        <w:t>其预测计算采用</w:t>
      </w:r>
      <w:r>
        <w:rPr>
          <w:rFonts w:ascii="Times New Roman" w:hAnsi="Times New Roman" w:eastAsia="宋体" w:cs="Times New Roman"/>
          <w:color w:val="auto"/>
          <w:szCs w:val="24"/>
          <w:highlight w:val="none"/>
        </w:rPr>
        <w:t>附录A推荐的</w:t>
      </w:r>
      <w:r>
        <w:rPr>
          <w:rFonts w:ascii="Times New Roman" w:hAnsi="Times New Roman" w:eastAsia="宋体" w:cs="Times New Roman"/>
          <w:color w:val="auto"/>
          <w:kern w:val="0"/>
          <w:szCs w:val="24"/>
          <w:highlight w:val="none"/>
        </w:rPr>
        <w:t>AERMOD模式，计算各网格点的环境空气地面浓度值，并对各环境空气敏感点进行特定的计算。</w:t>
      </w:r>
    </w:p>
    <w:p>
      <w:pPr>
        <w:ind w:firstLine="482"/>
        <w:rPr>
          <w:rFonts w:ascii="Times New Roman" w:hAnsi="Times New Roman" w:eastAsia="宋体" w:cs="Times New Roman"/>
          <w:b/>
          <w:color w:val="auto"/>
          <w:kern w:val="0"/>
          <w:szCs w:val="24"/>
          <w:highlight w:val="none"/>
          <w:lang w:val="zh-CN"/>
        </w:rPr>
      </w:pPr>
      <w:r>
        <w:rPr>
          <w:rFonts w:ascii="Times New Roman" w:hAnsi="Times New Roman" w:eastAsia="宋体" w:cs="Times New Roman"/>
          <w:b/>
          <w:color w:val="auto"/>
          <w:kern w:val="0"/>
          <w:szCs w:val="24"/>
          <w:highlight w:val="none"/>
          <w:lang w:val="zh-CN"/>
        </w:rPr>
        <w:t>6、预测内容</w:t>
      </w:r>
    </w:p>
    <w:p>
      <w:pPr>
        <w:autoSpaceDE w:val="0"/>
        <w:autoSpaceDN w:val="0"/>
        <w:ind w:firstLine="480"/>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本项目预测内容包括以下几个方面：</w:t>
      </w:r>
    </w:p>
    <w:p>
      <w:pPr>
        <w:autoSpaceDE w:val="0"/>
        <w:autoSpaceDN w:val="0"/>
        <w:ind w:firstLine="480"/>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（1）正常排放情况下，预测环境空气保护目标和网格点主要污染物的短期浓度和长期浓度贡献值，评价其最大浓度占标率。</w:t>
      </w:r>
    </w:p>
    <w:p>
      <w:pPr>
        <w:topLinePunct/>
        <w:adjustRightInd w:val="0"/>
        <w:snapToGrid w:val="0"/>
        <w:ind w:firstLine="480"/>
        <w:textAlignment w:val="baseline"/>
        <w:rPr>
          <w:rFonts w:ascii="Times New Roman" w:hAnsi="Times New Roman" w:eastAsia="宋体" w:cs="Times New Roman"/>
          <w:bCs/>
          <w:snapToGrid w:val="0"/>
          <w:color w:val="auto"/>
          <w:highlight w:val="none"/>
        </w:rPr>
      </w:pPr>
      <w:r>
        <w:rPr>
          <w:rFonts w:ascii="Times New Roman" w:hAnsi="Times New Roman" w:eastAsia="宋体" w:cs="Times New Roman"/>
          <w:color w:val="auto"/>
          <w:kern w:val="0"/>
          <w:highlight w:val="none"/>
        </w:rPr>
        <w:t>（2）正常排放条件下，</w:t>
      </w:r>
      <w:r>
        <w:rPr>
          <w:rFonts w:ascii="Times New Roman" w:hAnsi="Times New Roman" w:eastAsia="宋体" w:cs="Times New Roman"/>
          <w:bCs/>
          <w:snapToGrid w:val="0"/>
          <w:color w:val="auto"/>
          <w:highlight w:val="none"/>
        </w:rPr>
        <w:t>预测评价叠加环境质量现状浓度+新增污染源后，环境空气保护目标和网格点主要污染物保证率日平均质量浓度和年平均质量浓度的达标情况，或</w:t>
      </w:r>
      <w:r>
        <w:rPr>
          <w:rFonts w:ascii="Times New Roman" w:hAnsi="Times New Roman" w:eastAsia="宋体" w:cs="Times New Roman"/>
          <w:color w:val="auto"/>
          <w:highlight w:val="none"/>
        </w:rPr>
        <w:t>短期浓度达标情况</w:t>
      </w:r>
      <w:r>
        <w:rPr>
          <w:rFonts w:ascii="Times New Roman" w:hAnsi="Times New Roman" w:eastAsia="宋体" w:cs="Times New Roman"/>
          <w:bCs/>
          <w:snapToGrid w:val="0"/>
          <w:color w:val="auto"/>
          <w:highlight w:val="none"/>
        </w:rPr>
        <w:t>。</w:t>
      </w:r>
    </w:p>
    <w:p>
      <w:pPr>
        <w:ind w:firstLine="480"/>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（3）非正常情况下，预测环境空气保护目标和网格点主要污染物的1h浓度最大浓度贡献值，评价其最大浓度占标率。</w:t>
      </w:r>
    </w:p>
    <w:p>
      <w:pPr>
        <w:autoSpaceDE w:val="0"/>
        <w:autoSpaceDN w:val="0"/>
        <w:ind w:firstLine="480"/>
        <w:rPr>
          <w:rFonts w:ascii="Times New Roman" w:hAnsi="Times New Roman" w:eastAsia="宋体" w:cs="Times New Roman"/>
          <w:bCs/>
          <w:color w:val="auto"/>
          <w:kern w:val="0"/>
          <w:szCs w:val="24"/>
          <w:highlight w:val="none"/>
        </w:rPr>
      </w:pPr>
      <w:r>
        <w:rPr>
          <w:rFonts w:ascii="Times New Roman" w:hAnsi="Times New Roman" w:eastAsia="宋体" w:cs="Times New Roman"/>
          <w:bCs/>
          <w:color w:val="auto"/>
          <w:kern w:val="0"/>
          <w:szCs w:val="24"/>
          <w:highlight w:val="none"/>
        </w:rPr>
        <w:t>（4）</w:t>
      </w:r>
      <w:r>
        <w:rPr>
          <w:rFonts w:ascii="Times New Roman" w:hAnsi="Times New Roman" w:eastAsia="宋体" w:cs="Times New Roman"/>
          <w:color w:val="auto"/>
          <w:kern w:val="0"/>
          <w:highlight w:val="none"/>
        </w:rPr>
        <w:t>正常排放情况下，预测项目大气环境防护距离。</w:t>
      </w:r>
    </w:p>
    <w:p>
      <w:pPr>
        <w:autoSpaceDE w:val="0"/>
        <w:autoSpaceDN w:val="0"/>
        <w:ind w:firstLine="480"/>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szCs w:val="24"/>
          <w:highlight w:val="none"/>
        </w:rPr>
        <w:t>预测内容和评价要求</w:t>
      </w:r>
      <w:r>
        <w:rPr>
          <w:rFonts w:ascii="Times New Roman" w:hAnsi="Times New Roman" w:eastAsia="宋体" w:cs="Times New Roman"/>
          <w:bCs/>
          <w:color w:val="auto"/>
          <w:kern w:val="0"/>
          <w:highlight w:val="none"/>
        </w:rPr>
        <w:t>见表4.2-</w:t>
      </w:r>
      <w:r>
        <w:rPr>
          <w:rFonts w:hint="eastAsia" w:ascii="Times New Roman" w:hAnsi="Times New Roman" w:eastAsia="宋体" w:cs="Times New Roman"/>
          <w:bCs/>
          <w:color w:val="auto"/>
          <w:kern w:val="0"/>
          <w:highlight w:val="none"/>
        </w:rPr>
        <w:t>4</w:t>
      </w:r>
      <w:r>
        <w:rPr>
          <w:rFonts w:ascii="Times New Roman" w:hAnsi="Times New Roman" w:eastAsia="宋体" w:cs="Times New Roman"/>
          <w:bCs/>
          <w:color w:val="auto"/>
          <w:kern w:val="0"/>
          <w:highlight w:val="none"/>
        </w:rPr>
        <w:t>。</w:t>
      </w:r>
    </w:p>
    <w:p>
      <w:pPr>
        <w:adjustRightInd w:val="0"/>
        <w:snapToGrid w:val="0"/>
        <w:spacing w:line="240" w:lineRule="auto"/>
        <w:ind w:firstLine="0" w:firstLineChars="0"/>
        <w:jc w:val="center"/>
        <w:rPr>
          <w:rFonts w:ascii="Times New Roman" w:hAnsi="Times New Roman" w:eastAsia="宋体" w:cs="Times New Roman"/>
          <w:b/>
          <w:color w:val="auto"/>
          <w:kern w:val="0"/>
          <w:szCs w:val="24"/>
          <w:highlight w:val="none"/>
        </w:rPr>
      </w:pPr>
      <w:r>
        <w:rPr>
          <w:rFonts w:ascii="Times New Roman" w:hAnsi="Times New Roman" w:eastAsia="宋体" w:cs="Times New Roman"/>
          <w:b/>
          <w:color w:val="auto"/>
          <w:kern w:val="0"/>
          <w:szCs w:val="24"/>
          <w:highlight w:val="none"/>
        </w:rPr>
        <w:t>表4.2-</w:t>
      </w:r>
      <w:r>
        <w:rPr>
          <w:rFonts w:hint="eastAsia" w:ascii="Times New Roman" w:hAnsi="Times New Roman" w:eastAsia="宋体" w:cs="Times New Roman"/>
          <w:b/>
          <w:color w:val="auto"/>
          <w:kern w:val="0"/>
          <w:szCs w:val="24"/>
          <w:highlight w:val="none"/>
        </w:rPr>
        <w:t>4</w:t>
      </w:r>
      <w:r>
        <w:rPr>
          <w:rFonts w:ascii="Times New Roman" w:hAnsi="Times New Roman" w:eastAsia="宋体" w:cs="Times New Roman"/>
          <w:b/>
          <w:color w:val="auto"/>
          <w:kern w:val="0"/>
          <w:szCs w:val="24"/>
          <w:highlight w:val="none"/>
        </w:rPr>
        <w:t xml:space="preserve"> 预测内容和评价要求表</w:t>
      </w:r>
    </w:p>
    <w:tbl>
      <w:tblPr>
        <w:tblStyle w:val="48"/>
        <w:tblW w:w="9203"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844"/>
        <w:gridCol w:w="2050"/>
        <w:gridCol w:w="1258"/>
        <w:gridCol w:w="1235"/>
        <w:gridCol w:w="1173"/>
        <w:gridCol w:w="2643"/>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844"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评价</w:t>
            </w:r>
          </w:p>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对象</w:t>
            </w:r>
          </w:p>
        </w:tc>
        <w:tc>
          <w:tcPr>
            <w:tcW w:w="205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污染源</w:t>
            </w:r>
          </w:p>
        </w:tc>
        <w:tc>
          <w:tcPr>
            <w:tcW w:w="1258"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污染源</w:t>
            </w:r>
          </w:p>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排放形式</w:t>
            </w:r>
          </w:p>
        </w:tc>
        <w:tc>
          <w:tcPr>
            <w:tcW w:w="1235"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预测因子</w:t>
            </w:r>
          </w:p>
        </w:tc>
        <w:tc>
          <w:tcPr>
            <w:tcW w:w="1173"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预测内容</w:t>
            </w:r>
          </w:p>
        </w:tc>
        <w:tc>
          <w:tcPr>
            <w:tcW w:w="2643"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评价内容</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844" w:type="dxa"/>
            <w:vMerge w:val="restart"/>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达标区评价项目</w:t>
            </w:r>
          </w:p>
        </w:tc>
        <w:tc>
          <w:tcPr>
            <w:tcW w:w="205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新增污染源</w:t>
            </w:r>
          </w:p>
        </w:tc>
        <w:tc>
          <w:tcPr>
            <w:tcW w:w="1258"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1235"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TSP、PM</w:t>
            </w:r>
            <w:r>
              <w:rPr>
                <w:rFonts w:ascii="Times New Roman" w:hAnsi="Times New Roman" w:eastAsia="宋体" w:cs="Times New Roman"/>
                <w:color w:val="auto"/>
                <w:sz w:val="21"/>
                <w:highlight w:val="none"/>
                <w:vertAlign w:val="subscript"/>
              </w:rPr>
              <w:t>10</w:t>
            </w:r>
            <w:r>
              <w:rPr>
                <w:rFonts w:ascii="Times New Roman" w:hAnsi="Times New Roman" w:eastAsia="宋体" w:cs="Times New Roman"/>
                <w:color w:val="auto"/>
                <w:sz w:val="21"/>
                <w:highlight w:val="none"/>
              </w:rPr>
              <w:t>、PM</w:t>
            </w:r>
            <w:r>
              <w:rPr>
                <w:rFonts w:ascii="Times New Roman" w:hAnsi="Times New Roman" w:eastAsia="宋体" w:cs="Times New Roman"/>
                <w:color w:val="auto"/>
                <w:sz w:val="21"/>
                <w:highlight w:val="none"/>
                <w:vertAlign w:val="subscript"/>
              </w:rPr>
              <w:t>2.5</w:t>
            </w:r>
          </w:p>
        </w:tc>
        <w:tc>
          <w:tcPr>
            <w:tcW w:w="1173"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短期浓度</w:t>
            </w:r>
          </w:p>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长期浓度</w:t>
            </w:r>
          </w:p>
        </w:tc>
        <w:tc>
          <w:tcPr>
            <w:tcW w:w="2643"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最大浓度占标率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844" w:type="dxa"/>
            <w:vMerge w:val="continue"/>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2050" w:type="dxa"/>
            <w:vMerge w:val="restart"/>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新增污染源</w:t>
            </w:r>
          </w:p>
        </w:tc>
        <w:tc>
          <w:tcPr>
            <w:tcW w:w="1258" w:type="dxa"/>
            <w:vMerge w:val="restart"/>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1235"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TSP</w:t>
            </w:r>
          </w:p>
        </w:tc>
        <w:tc>
          <w:tcPr>
            <w:tcW w:w="1173" w:type="dxa"/>
            <w:vMerge w:val="restart"/>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短期浓度</w:t>
            </w:r>
          </w:p>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长期浓度</w:t>
            </w:r>
          </w:p>
        </w:tc>
        <w:tc>
          <w:tcPr>
            <w:tcW w:w="2643"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叠加环境质量现状浓度后的短期浓度达标情况</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1046" w:hRule="atLeast"/>
          <w:jc w:val="center"/>
        </w:trPr>
        <w:tc>
          <w:tcPr>
            <w:tcW w:w="844" w:type="dxa"/>
            <w:vMerge w:val="continue"/>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2050" w:type="dxa"/>
            <w:vMerge w:val="continue"/>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58" w:type="dxa"/>
            <w:vMerge w:val="continue"/>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35"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PM</w:t>
            </w:r>
            <w:r>
              <w:rPr>
                <w:rFonts w:ascii="Times New Roman" w:hAnsi="Times New Roman" w:eastAsia="宋体" w:cs="Times New Roman"/>
                <w:color w:val="auto"/>
                <w:sz w:val="21"/>
                <w:highlight w:val="none"/>
                <w:vertAlign w:val="subscript"/>
              </w:rPr>
              <w:t>10</w:t>
            </w: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PM</w:t>
            </w:r>
            <w:r>
              <w:rPr>
                <w:rFonts w:ascii="Times New Roman" w:hAnsi="Times New Roman" w:eastAsia="宋体" w:cs="Times New Roman"/>
                <w:color w:val="auto"/>
                <w:sz w:val="21"/>
                <w:highlight w:val="none"/>
                <w:vertAlign w:val="subscript"/>
              </w:rPr>
              <w:t>2.5</w:t>
            </w:r>
          </w:p>
        </w:tc>
        <w:tc>
          <w:tcPr>
            <w:tcW w:w="1173" w:type="dxa"/>
            <w:vMerge w:val="continue"/>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kern w:val="0"/>
                <w:sz w:val="21"/>
                <w:highlight w:val="none"/>
              </w:rPr>
            </w:pPr>
          </w:p>
        </w:tc>
        <w:tc>
          <w:tcPr>
            <w:tcW w:w="2643"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叠加环境质量现状浓度后的保证率日平均质量浓度和年平均质量浓度的占标率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844" w:type="dxa"/>
            <w:vMerge w:val="continue"/>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205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新增污染源</w:t>
            </w:r>
          </w:p>
        </w:tc>
        <w:tc>
          <w:tcPr>
            <w:tcW w:w="1258"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非正常排放</w:t>
            </w:r>
          </w:p>
        </w:tc>
        <w:tc>
          <w:tcPr>
            <w:tcW w:w="1235"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TSP</w:t>
            </w:r>
          </w:p>
        </w:tc>
        <w:tc>
          <w:tcPr>
            <w:tcW w:w="1173"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1h平均质量浓度</w:t>
            </w:r>
          </w:p>
        </w:tc>
        <w:tc>
          <w:tcPr>
            <w:tcW w:w="2643"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最大浓度占标率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844"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大气环境防护距离</w:t>
            </w:r>
          </w:p>
        </w:tc>
        <w:tc>
          <w:tcPr>
            <w:tcW w:w="2050"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新增污染源</w:t>
            </w:r>
          </w:p>
        </w:tc>
        <w:tc>
          <w:tcPr>
            <w:tcW w:w="1258"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正常排放</w:t>
            </w:r>
          </w:p>
        </w:tc>
        <w:tc>
          <w:tcPr>
            <w:tcW w:w="1235"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TSP、PM</w:t>
            </w:r>
            <w:r>
              <w:rPr>
                <w:rFonts w:ascii="Times New Roman" w:hAnsi="Times New Roman" w:eastAsia="宋体" w:cs="Times New Roman"/>
                <w:color w:val="auto"/>
                <w:sz w:val="21"/>
                <w:highlight w:val="none"/>
                <w:vertAlign w:val="subscript"/>
              </w:rPr>
              <w:t>10</w:t>
            </w:r>
            <w:r>
              <w:rPr>
                <w:rFonts w:ascii="Times New Roman" w:hAnsi="Times New Roman" w:eastAsia="宋体" w:cs="Times New Roman"/>
                <w:color w:val="auto"/>
                <w:sz w:val="21"/>
                <w:highlight w:val="none"/>
              </w:rPr>
              <w:t>、PM</w:t>
            </w:r>
            <w:r>
              <w:rPr>
                <w:rFonts w:ascii="Times New Roman" w:hAnsi="Times New Roman" w:eastAsia="宋体" w:cs="Times New Roman"/>
                <w:color w:val="auto"/>
                <w:sz w:val="21"/>
                <w:highlight w:val="none"/>
                <w:vertAlign w:val="subscript"/>
              </w:rPr>
              <w:t>2.5</w:t>
            </w:r>
          </w:p>
        </w:tc>
        <w:tc>
          <w:tcPr>
            <w:tcW w:w="1173"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短期浓度</w:t>
            </w:r>
          </w:p>
        </w:tc>
        <w:tc>
          <w:tcPr>
            <w:tcW w:w="2643" w:type="dxa"/>
            <w:noWrap w:val="0"/>
            <w:tcMar>
              <w:top w:w="0" w:type="dxa"/>
              <w:left w:w="57" w:type="dxa"/>
              <w:bottom w:w="0" w:type="dxa"/>
              <w:right w:w="57" w:type="dxa"/>
            </w:tcMar>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大气环境防护距离</w:t>
            </w:r>
          </w:p>
        </w:tc>
      </w:tr>
    </w:tbl>
    <w:p>
      <w:pPr>
        <w:adjustRightInd w:val="0"/>
        <w:snapToGrid w:val="0"/>
        <w:ind w:firstLine="482"/>
        <w:jc w:val="left"/>
        <w:rPr>
          <w:rFonts w:ascii="Times New Roman" w:hAnsi="Times New Roman" w:eastAsia="宋体" w:cs="Times New Roman"/>
          <w:b/>
          <w:color w:val="auto"/>
          <w:kern w:val="0"/>
          <w:szCs w:val="24"/>
          <w:highlight w:val="none"/>
          <w:lang w:val="zh-CN"/>
        </w:rPr>
      </w:pPr>
      <w:r>
        <w:rPr>
          <w:rFonts w:hint="eastAsia" w:ascii="Times New Roman" w:hAnsi="Times New Roman" w:eastAsia="宋体" w:cs="Times New Roman"/>
          <w:b/>
          <w:color w:val="auto"/>
          <w:kern w:val="0"/>
          <w:szCs w:val="24"/>
          <w:highlight w:val="none"/>
        </w:rPr>
        <w:t>7</w:t>
      </w:r>
      <w:r>
        <w:rPr>
          <w:rFonts w:ascii="Times New Roman" w:hAnsi="Times New Roman" w:eastAsia="宋体" w:cs="Times New Roman"/>
          <w:b/>
          <w:color w:val="auto"/>
          <w:kern w:val="0"/>
          <w:szCs w:val="24"/>
          <w:highlight w:val="none"/>
          <w:lang w:val="zh-CN"/>
        </w:rPr>
        <w:t>、预测模式中的相关参数</w:t>
      </w:r>
    </w:p>
    <w:p>
      <w:pPr>
        <w:autoSpaceDE w:val="0"/>
        <w:autoSpaceDN w:val="0"/>
        <w:adjustRightInd w:val="0"/>
        <w:ind w:firstLine="480"/>
        <w:jc w:val="left"/>
        <w:rPr>
          <w:rFonts w:ascii="Times New Roman" w:hAnsi="Times New Roman" w:eastAsia="宋体" w:cs="Times New Roman"/>
          <w:color w:val="auto"/>
          <w:kern w:val="0"/>
          <w:highlight w:val="none"/>
        </w:rPr>
      </w:pPr>
      <w:r>
        <w:rPr>
          <w:rFonts w:ascii="Times New Roman" w:hAnsi="Times New Roman" w:eastAsia="宋体" w:cs="Times New Roman"/>
          <w:bCs/>
          <w:snapToGrid w:val="0"/>
          <w:color w:val="auto"/>
          <w:highlight w:val="none"/>
        </w:rPr>
        <w:t>根据项目所处地理环境，</w:t>
      </w:r>
      <w:r>
        <w:rPr>
          <w:rFonts w:ascii="Times New Roman" w:hAnsi="Times New Roman" w:eastAsia="宋体" w:cs="Times New Roman"/>
          <w:snapToGrid w:val="0"/>
          <w:color w:val="auto"/>
          <w:szCs w:val="22"/>
          <w:highlight w:val="none"/>
        </w:rPr>
        <w:t>项目周边主要为农作地，地表湿度根据中国干湿地区划分属于潮湿气候，地面时间周期按一年进行计算，评价区地面特征参数见表4.2-</w:t>
      </w:r>
      <w:r>
        <w:rPr>
          <w:rFonts w:hint="eastAsia" w:ascii="Times New Roman" w:hAnsi="Times New Roman" w:eastAsia="宋体" w:cs="Times New Roman"/>
          <w:snapToGrid w:val="0"/>
          <w:color w:val="auto"/>
          <w:szCs w:val="22"/>
          <w:highlight w:val="none"/>
        </w:rPr>
        <w:t>5</w:t>
      </w:r>
      <w:r>
        <w:rPr>
          <w:rFonts w:ascii="Times New Roman" w:hAnsi="Times New Roman" w:eastAsia="宋体" w:cs="Times New Roman"/>
          <w:snapToGrid w:val="0"/>
          <w:color w:val="auto"/>
          <w:szCs w:val="22"/>
          <w:highlight w:val="none"/>
        </w:rPr>
        <w:t>。</w:t>
      </w:r>
    </w:p>
    <w:p>
      <w:pPr>
        <w:adjustRightInd w:val="0"/>
        <w:snapToGrid w:val="0"/>
        <w:spacing w:line="240" w:lineRule="auto"/>
        <w:ind w:firstLine="0" w:firstLineChars="0"/>
        <w:jc w:val="center"/>
        <w:rPr>
          <w:rFonts w:ascii="Times New Roman" w:hAnsi="Times New Roman" w:eastAsia="宋体" w:cs="Times New Roman"/>
          <w:b/>
          <w:color w:val="auto"/>
          <w:kern w:val="0"/>
          <w:szCs w:val="24"/>
          <w:highlight w:val="none"/>
        </w:rPr>
      </w:pPr>
      <w:r>
        <w:rPr>
          <w:rFonts w:ascii="Times New Roman" w:hAnsi="Times New Roman" w:eastAsia="宋体" w:cs="Times New Roman"/>
          <w:b/>
          <w:color w:val="auto"/>
          <w:kern w:val="0"/>
          <w:szCs w:val="24"/>
          <w:highlight w:val="none"/>
        </w:rPr>
        <w:t>表4.2-</w:t>
      </w:r>
      <w:r>
        <w:rPr>
          <w:rFonts w:hint="eastAsia" w:ascii="Times New Roman" w:hAnsi="Times New Roman" w:eastAsia="宋体" w:cs="Times New Roman"/>
          <w:b/>
          <w:color w:val="auto"/>
          <w:kern w:val="0"/>
          <w:szCs w:val="24"/>
          <w:highlight w:val="none"/>
        </w:rPr>
        <w:t>5</w:t>
      </w:r>
      <w:r>
        <w:rPr>
          <w:rFonts w:ascii="Times New Roman" w:hAnsi="Times New Roman" w:eastAsia="宋体" w:cs="Times New Roman"/>
          <w:b/>
          <w:color w:val="auto"/>
          <w:kern w:val="0"/>
          <w:szCs w:val="24"/>
          <w:highlight w:val="none"/>
        </w:rPr>
        <w:t xml:space="preserve"> 预测模式所需参数表</w:t>
      </w:r>
    </w:p>
    <w:tbl>
      <w:tblPr>
        <w:tblStyle w:val="48"/>
        <w:tblW w:w="9206"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29"/>
        <w:gridCol w:w="1185"/>
        <w:gridCol w:w="2367"/>
        <w:gridCol w:w="1544"/>
        <w:gridCol w:w="1552"/>
        <w:gridCol w:w="152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06" w:hRule="atLeast"/>
          <w:jc w:val="center"/>
        </w:trPr>
        <w:tc>
          <w:tcPr>
            <w:tcW w:w="1029"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序号</w:t>
            </w:r>
          </w:p>
        </w:tc>
        <w:tc>
          <w:tcPr>
            <w:tcW w:w="1185"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扇区</w:t>
            </w:r>
          </w:p>
        </w:tc>
        <w:tc>
          <w:tcPr>
            <w:tcW w:w="2367"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时段</w:t>
            </w:r>
          </w:p>
        </w:tc>
        <w:tc>
          <w:tcPr>
            <w:tcW w:w="1544"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正午</w:t>
            </w:r>
            <w:r>
              <w:rPr>
                <w:rFonts w:ascii="Times New Roman" w:hAnsi="Times New Roman" w:eastAsia="宋体" w:cs="Times New Roman"/>
                <w:b/>
                <w:bCs/>
                <w:color w:val="auto"/>
                <w:sz w:val="21"/>
                <w:highlight w:val="none"/>
              </w:rPr>
              <w:t>反照率</w:t>
            </w:r>
          </w:p>
        </w:tc>
        <w:tc>
          <w:tcPr>
            <w:tcW w:w="1552"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BOWEN</w:t>
            </w:r>
          </w:p>
        </w:tc>
        <w:tc>
          <w:tcPr>
            <w:tcW w:w="1529"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粗糙度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1" w:hRule="atLeast"/>
          <w:jc w:val="center"/>
        </w:trPr>
        <w:tc>
          <w:tcPr>
            <w:tcW w:w="102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18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360</w:t>
            </w:r>
          </w:p>
        </w:tc>
        <w:tc>
          <w:tcPr>
            <w:tcW w:w="236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冬季（12、1、2月）</w:t>
            </w:r>
          </w:p>
        </w:tc>
        <w:tc>
          <w:tcPr>
            <w:tcW w:w="154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0.6</w:t>
            </w:r>
          </w:p>
        </w:tc>
        <w:tc>
          <w:tcPr>
            <w:tcW w:w="155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0.5</w:t>
            </w:r>
          </w:p>
        </w:tc>
        <w:tc>
          <w:tcPr>
            <w:tcW w:w="152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06" w:hRule="atLeast"/>
          <w:jc w:val="center"/>
        </w:trPr>
        <w:tc>
          <w:tcPr>
            <w:tcW w:w="102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p>
        </w:tc>
        <w:tc>
          <w:tcPr>
            <w:tcW w:w="118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360</w:t>
            </w:r>
          </w:p>
        </w:tc>
        <w:tc>
          <w:tcPr>
            <w:tcW w:w="236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春季（3、4、5月）</w:t>
            </w:r>
          </w:p>
        </w:tc>
        <w:tc>
          <w:tcPr>
            <w:tcW w:w="154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0.14</w:t>
            </w:r>
          </w:p>
        </w:tc>
        <w:tc>
          <w:tcPr>
            <w:tcW w:w="155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w:t>
            </w:r>
          </w:p>
        </w:tc>
        <w:tc>
          <w:tcPr>
            <w:tcW w:w="152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06" w:hRule="atLeast"/>
          <w:jc w:val="center"/>
        </w:trPr>
        <w:tc>
          <w:tcPr>
            <w:tcW w:w="102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w:t>
            </w:r>
          </w:p>
        </w:tc>
        <w:tc>
          <w:tcPr>
            <w:tcW w:w="118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360</w:t>
            </w:r>
          </w:p>
        </w:tc>
        <w:tc>
          <w:tcPr>
            <w:tcW w:w="236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夏季（6、7、8月）</w:t>
            </w:r>
          </w:p>
        </w:tc>
        <w:tc>
          <w:tcPr>
            <w:tcW w:w="154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w:t>
            </w:r>
          </w:p>
        </w:tc>
        <w:tc>
          <w:tcPr>
            <w:tcW w:w="155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w:t>
            </w:r>
          </w:p>
        </w:tc>
        <w:tc>
          <w:tcPr>
            <w:tcW w:w="152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06" w:hRule="atLeast"/>
          <w:jc w:val="center"/>
        </w:trPr>
        <w:tc>
          <w:tcPr>
            <w:tcW w:w="102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w:t>
            </w:r>
          </w:p>
        </w:tc>
        <w:tc>
          <w:tcPr>
            <w:tcW w:w="118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360</w:t>
            </w:r>
          </w:p>
        </w:tc>
        <w:tc>
          <w:tcPr>
            <w:tcW w:w="236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秋季（9、10、11月）</w:t>
            </w:r>
          </w:p>
        </w:tc>
        <w:tc>
          <w:tcPr>
            <w:tcW w:w="154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0.18</w:t>
            </w:r>
          </w:p>
        </w:tc>
        <w:tc>
          <w:tcPr>
            <w:tcW w:w="155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0.4</w:t>
            </w:r>
          </w:p>
        </w:tc>
        <w:tc>
          <w:tcPr>
            <w:tcW w:w="152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0.05</w:t>
            </w:r>
          </w:p>
        </w:tc>
      </w:tr>
    </w:tbl>
    <w:p>
      <w:pPr>
        <w:ind w:firstLine="480"/>
        <w:rPr>
          <w:rFonts w:ascii="Times New Roman" w:hAnsi="Times New Roman" w:eastAsia="宋体" w:cs="Times New Roman"/>
          <w:color w:val="auto"/>
          <w:highlight w:val="none"/>
        </w:rPr>
      </w:pPr>
      <w:r>
        <w:rPr>
          <w:rFonts w:ascii="Times New Roman" w:hAnsi="Times New Roman" w:eastAsia="宋体" w:cs="Times New Roman"/>
          <w:snapToGrid w:val="0"/>
          <w:color w:val="auto"/>
          <w:szCs w:val="22"/>
          <w:highlight w:val="none"/>
        </w:rPr>
        <w:t>评价范围内的地形数据采用外部DEM文件，并采用AERMAP运行计算得出评价范围内各网格及敏感点的地形数据。构建评价范围的预测网格时，采用直角坐标的方式，即坐标形式为（X，Y），</w:t>
      </w:r>
      <w:r>
        <w:rPr>
          <w:rFonts w:ascii="Times New Roman" w:hAnsi="Times New Roman" w:eastAsia="宋体" w:cs="Times New Roman"/>
          <w:color w:val="auto"/>
          <w:highlight w:val="none"/>
        </w:rPr>
        <w:t>东西向为X坐标轴，南北向为Y坐标轴，以矿区红线范围中心坐标</w:t>
      </w:r>
      <w:r>
        <w:rPr>
          <w:rFonts w:hint="eastAsia" w:ascii="Times New Roman" w:hAnsi="Times New Roman" w:eastAsia="宋体" w:cs="Times New Roman"/>
          <w:color w:val="auto"/>
          <w:highlight w:val="none"/>
        </w:rPr>
        <w:t>109.704875</w:t>
      </w:r>
      <w:r>
        <w:rPr>
          <w:rFonts w:ascii="Times New Roman" w:hAnsi="Times New Roman" w:eastAsia="宋体" w:cs="Times New Roman"/>
          <w:color w:val="auto"/>
          <w:highlight w:val="none"/>
        </w:rPr>
        <w:t>°E，</w:t>
      </w:r>
      <w:r>
        <w:rPr>
          <w:rFonts w:hint="eastAsia" w:ascii="Times New Roman" w:hAnsi="Times New Roman" w:eastAsia="宋体" w:cs="Times New Roman"/>
          <w:color w:val="auto"/>
          <w:highlight w:val="none"/>
        </w:rPr>
        <w:t>25.757735</w:t>
      </w:r>
      <w:r>
        <w:rPr>
          <w:rFonts w:ascii="Times New Roman" w:hAnsi="Times New Roman" w:eastAsia="宋体" w:cs="Times New Roman"/>
          <w:color w:val="auto"/>
          <w:highlight w:val="none"/>
        </w:rPr>
        <w:t>°N为原点（X=0，Y=0）</w:t>
      </w:r>
      <w:r>
        <w:rPr>
          <w:rFonts w:ascii="Times New Roman" w:hAnsi="Times New Roman" w:eastAsia="宋体" w:cs="Times New Roman"/>
          <w:snapToGrid w:val="0"/>
          <w:color w:val="auto"/>
          <w:szCs w:val="22"/>
          <w:highlight w:val="none"/>
        </w:rPr>
        <w:t>。</w:t>
      </w:r>
    </w:p>
    <w:p>
      <w:pPr>
        <w:pStyle w:val="6"/>
        <w:rPr>
          <w:rFonts w:ascii="Times New Roman" w:hAnsi="Times New Roman" w:eastAsia="宋体"/>
          <w:color w:val="auto"/>
          <w:highlight w:val="none"/>
        </w:rPr>
      </w:pPr>
      <w:r>
        <w:rPr>
          <w:rFonts w:ascii="Times New Roman" w:hAnsi="Times New Roman" w:eastAsia="宋体"/>
          <w:color w:val="auto"/>
          <w:highlight w:val="none"/>
        </w:rPr>
        <w:t xml:space="preserve">4.2.1.3 </w:t>
      </w:r>
      <w:r>
        <w:rPr>
          <w:rFonts w:ascii="Times New Roman" w:hAnsi="Times New Roman" w:eastAsia="宋体"/>
          <w:color w:val="auto"/>
          <w:highlight w:val="none"/>
          <w:lang w:val="zh-CN"/>
        </w:rPr>
        <w:t>预测结果与评价</w:t>
      </w:r>
    </w:p>
    <w:bookmarkEnd w:id="348"/>
    <w:p>
      <w:pPr>
        <w:ind w:firstLine="482"/>
        <w:rPr>
          <w:rFonts w:ascii="Times New Roman" w:hAnsi="Times New Roman" w:eastAsia="宋体" w:cs="Times New Roman"/>
          <w:b/>
          <w:bCs/>
          <w:snapToGrid w:val="0"/>
          <w:color w:val="auto"/>
          <w:kern w:val="0"/>
          <w:highlight w:val="none"/>
        </w:rPr>
      </w:pPr>
      <w:r>
        <w:rPr>
          <w:rFonts w:ascii="Times New Roman" w:hAnsi="Times New Roman" w:eastAsia="宋体" w:cs="Times New Roman"/>
          <w:b/>
          <w:bCs/>
          <w:snapToGrid w:val="0"/>
          <w:color w:val="auto"/>
          <w:kern w:val="0"/>
          <w:highlight w:val="none"/>
        </w:rPr>
        <w:t>1、正常排放预测</w:t>
      </w:r>
      <w:r>
        <w:rPr>
          <w:rFonts w:ascii="Times New Roman" w:hAnsi="Times New Roman" w:eastAsia="宋体" w:cs="Times New Roman"/>
          <w:b/>
          <w:color w:val="auto"/>
          <w:highlight w:val="none"/>
        </w:rPr>
        <w:t>结果与评价</w:t>
      </w:r>
    </w:p>
    <w:p>
      <w:pPr>
        <w:adjustRightInd w:val="0"/>
        <w:snapToGrid w:val="0"/>
        <w:ind w:firstLine="480"/>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（1）项目新增污染源贡献浓度预测结果与评价</w:t>
      </w:r>
    </w:p>
    <w:p>
      <w:pPr>
        <w:adjustRightInd w:val="0"/>
        <w:snapToGrid w:val="0"/>
        <w:ind w:firstLine="480"/>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①TSP预测结果与评价</w:t>
      </w:r>
    </w:p>
    <w:p>
      <w:pPr>
        <w:autoSpaceDE w:val="0"/>
        <w:autoSpaceDN w:val="0"/>
        <w:adjustRightInd w:val="0"/>
        <w:ind w:firstLine="480"/>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正常排放情况下，TSP预测结果见表4.2-</w:t>
      </w:r>
      <w:r>
        <w:rPr>
          <w:rFonts w:hint="eastAsia" w:ascii="Times New Roman" w:hAnsi="Times New Roman" w:eastAsia="宋体" w:cs="Times New Roman"/>
          <w:color w:val="auto"/>
          <w:kern w:val="0"/>
          <w:highlight w:val="none"/>
        </w:rPr>
        <w:t>6</w:t>
      </w:r>
      <w:r>
        <w:rPr>
          <w:rFonts w:ascii="Times New Roman" w:hAnsi="Times New Roman" w:eastAsia="宋体" w:cs="Times New Roman"/>
          <w:color w:val="auto"/>
          <w:kern w:val="0"/>
          <w:highlight w:val="none"/>
        </w:rPr>
        <w:t>。</w:t>
      </w:r>
    </w:p>
    <w:p>
      <w:pPr>
        <w:autoSpaceDE w:val="0"/>
        <w:autoSpaceDN w:val="0"/>
        <w:adjustRightInd w:val="0"/>
        <w:ind w:firstLine="480"/>
        <w:rPr>
          <w:rFonts w:ascii="Times New Roman" w:hAnsi="Times New Roman" w:eastAsia="宋体" w:cs="Times New Roman"/>
          <w:color w:val="auto"/>
          <w:highlight w:val="none"/>
        </w:rPr>
      </w:pPr>
      <w:r>
        <w:rPr>
          <w:rFonts w:ascii="Times New Roman" w:hAnsi="Times New Roman" w:eastAsia="宋体" w:cs="Times New Roman"/>
          <w:color w:val="auto"/>
          <w:kern w:val="0"/>
          <w:szCs w:val="24"/>
          <w:highlight w:val="none"/>
        </w:rPr>
        <w:t>拟建项目新增TSP在</w:t>
      </w:r>
      <w:r>
        <w:rPr>
          <w:rFonts w:ascii="Times New Roman" w:hAnsi="Times New Roman" w:eastAsia="宋体" w:cs="Times New Roman"/>
          <w:color w:val="auto"/>
          <w:kern w:val="0"/>
          <w:highlight w:val="none"/>
        </w:rPr>
        <w:t>各敏感点的</w:t>
      </w:r>
      <w:r>
        <w:rPr>
          <w:rFonts w:ascii="Times New Roman" w:hAnsi="Times New Roman" w:eastAsia="宋体" w:cs="Times New Roman"/>
          <w:color w:val="auto"/>
          <w:highlight w:val="none"/>
        </w:rPr>
        <w:t>日平均和年平均浓度贡献值满足《环境空气质量标准》（GB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3095-2012）</w:t>
      </w:r>
      <w:r>
        <w:rPr>
          <w:rFonts w:ascii="Times New Roman" w:hAnsi="Times New Roman" w:eastAsia="宋体" w:cs="Times New Roman"/>
          <w:color w:val="auto"/>
          <w:szCs w:val="24"/>
          <w:highlight w:val="none"/>
        </w:rPr>
        <w:t>及其修改单二级标准</w:t>
      </w:r>
      <w:r>
        <w:rPr>
          <w:rFonts w:ascii="Times New Roman" w:hAnsi="Times New Roman" w:eastAsia="宋体" w:cs="Times New Roman"/>
          <w:color w:val="auto"/>
          <w:highlight w:val="none"/>
        </w:rPr>
        <w:t>。</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区域新增</w:t>
      </w:r>
      <w:r>
        <w:rPr>
          <w:rFonts w:ascii="Times New Roman" w:hAnsi="Times New Roman" w:eastAsia="宋体" w:cs="Times New Roman"/>
          <w:color w:val="auto"/>
          <w:kern w:val="0"/>
          <w:szCs w:val="24"/>
          <w:highlight w:val="none"/>
        </w:rPr>
        <w:t>TSP</w:t>
      </w:r>
      <w:r>
        <w:rPr>
          <w:rFonts w:ascii="Times New Roman" w:hAnsi="Times New Roman" w:eastAsia="宋体" w:cs="Times New Roman"/>
          <w:color w:val="auto"/>
          <w:highlight w:val="none"/>
        </w:rPr>
        <w:t>日均浓度、全年浓度增量均达标。其中日均区域最大浓度点坐标为（</w:t>
      </w:r>
      <w:r>
        <w:rPr>
          <w:rFonts w:hint="eastAsia" w:ascii="Times New Roman" w:hAnsi="Times New Roman" w:eastAsia="宋体" w:cs="Times New Roman"/>
          <w:color w:val="auto"/>
          <w:highlight w:val="none"/>
        </w:rPr>
        <w:t>5</w:t>
      </w:r>
      <w:r>
        <w:rPr>
          <w:rFonts w:ascii="Times New Roman" w:hAnsi="Times New Roman" w:eastAsia="宋体" w:cs="Times New Roman"/>
          <w:color w:val="auto"/>
          <w:highlight w:val="none"/>
        </w:rPr>
        <w:t>00,</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100），浓度增量0.</w:t>
      </w:r>
      <w:r>
        <w:rPr>
          <w:rFonts w:hint="eastAsia" w:ascii="Times New Roman" w:hAnsi="Times New Roman" w:eastAsia="宋体" w:cs="Times New Roman"/>
          <w:color w:val="auto"/>
          <w:highlight w:val="none"/>
        </w:rPr>
        <w:t>078</w:t>
      </w:r>
      <w:r>
        <w:rPr>
          <w:rFonts w:ascii="Times New Roman" w:hAnsi="Times New Roman" w:eastAsia="宋体" w:cs="Times New Roman"/>
          <w:color w:val="auto"/>
          <w:highlight w:val="none"/>
        </w:rPr>
        <w:t>mg/m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，占标率</w:t>
      </w:r>
      <w:r>
        <w:rPr>
          <w:rFonts w:hint="eastAsia" w:ascii="Times New Roman" w:hAnsi="Times New Roman" w:eastAsia="宋体" w:cs="Times New Roman"/>
          <w:color w:val="auto"/>
          <w:highlight w:val="none"/>
        </w:rPr>
        <w:t>26.0</w:t>
      </w:r>
      <w:r>
        <w:rPr>
          <w:rFonts w:ascii="Times New Roman" w:hAnsi="Times New Roman" w:eastAsia="宋体" w:cs="Times New Roman"/>
          <w:color w:val="auto"/>
          <w:highlight w:val="none"/>
        </w:rPr>
        <w:t>%，出现时间为2018年</w:t>
      </w:r>
      <w:r>
        <w:rPr>
          <w:rFonts w:hint="eastAsia" w:ascii="Times New Roman" w:hAnsi="Times New Roman" w:eastAsia="宋体" w:cs="Times New Roman"/>
          <w:color w:val="auto"/>
          <w:highlight w:val="none"/>
        </w:rPr>
        <w:t>03</w:t>
      </w:r>
      <w:r>
        <w:rPr>
          <w:rFonts w:ascii="Times New Roman" w:hAnsi="Times New Roman" w:eastAsia="宋体" w:cs="Times New Roman"/>
          <w:color w:val="auto"/>
          <w:highlight w:val="none"/>
        </w:rPr>
        <w:t>月</w:t>
      </w:r>
      <w:r>
        <w:rPr>
          <w:rFonts w:hint="eastAsia" w:ascii="Times New Roman" w:hAnsi="Times New Roman" w:eastAsia="宋体" w:cs="Times New Roman"/>
          <w:color w:val="auto"/>
          <w:highlight w:val="none"/>
        </w:rPr>
        <w:t>29</w:t>
      </w:r>
      <w:r>
        <w:rPr>
          <w:rFonts w:ascii="Times New Roman" w:hAnsi="Times New Roman" w:eastAsia="宋体" w:cs="Times New Roman"/>
          <w:color w:val="auto"/>
          <w:highlight w:val="none"/>
        </w:rPr>
        <w:t>日；全时段区域最大浓度点坐标为（</w:t>
      </w:r>
      <w:r>
        <w:rPr>
          <w:rFonts w:hint="eastAsia" w:ascii="Times New Roman" w:hAnsi="Times New Roman" w:eastAsia="宋体" w:cs="Times New Roman"/>
          <w:color w:val="auto"/>
          <w:highlight w:val="none"/>
        </w:rPr>
        <w:t>5</w:t>
      </w:r>
      <w:r>
        <w:rPr>
          <w:rFonts w:ascii="Times New Roman" w:hAnsi="Times New Roman" w:eastAsia="宋体" w:cs="Times New Roman"/>
          <w:color w:val="auto"/>
          <w:highlight w:val="none"/>
        </w:rPr>
        <w:t>00,0），浓度增量0.0</w:t>
      </w:r>
      <w:r>
        <w:rPr>
          <w:rFonts w:hint="eastAsia" w:ascii="Times New Roman" w:hAnsi="Times New Roman" w:eastAsia="宋体" w:cs="Times New Roman"/>
          <w:color w:val="auto"/>
          <w:highlight w:val="none"/>
        </w:rPr>
        <w:t>168</w:t>
      </w:r>
      <w:r>
        <w:rPr>
          <w:rFonts w:ascii="Times New Roman" w:hAnsi="Times New Roman" w:eastAsia="宋体" w:cs="Times New Roman"/>
          <w:color w:val="auto"/>
          <w:highlight w:val="none"/>
        </w:rPr>
        <w:t>mg/m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，占标率</w:t>
      </w:r>
      <w:r>
        <w:rPr>
          <w:rFonts w:hint="eastAsia" w:ascii="Times New Roman" w:hAnsi="Times New Roman" w:eastAsia="宋体" w:cs="Times New Roman"/>
          <w:color w:val="auto"/>
          <w:highlight w:val="none"/>
        </w:rPr>
        <w:t>8.4</w:t>
      </w:r>
      <w:r>
        <w:rPr>
          <w:rFonts w:hint="eastAsia" w:cs="Times New Roman"/>
          <w:color w:val="auto"/>
          <w:highlight w:val="none"/>
          <w:lang w:val="en-US" w:eastAsia="zh-CN"/>
        </w:rPr>
        <w:t>2</w:t>
      </w:r>
      <w:r>
        <w:rPr>
          <w:rFonts w:ascii="Times New Roman" w:hAnsi="Times New Roman" w:eastAsia="宋体" w:cs="Times New Roman"/>
          <w:color w:val="auto"/>
          <w:highlight w:val="none"/>
        </w:rPr>
        <w:t>%。</w:t>
      </w:r>
    </w:p>
    <w:p>
      <w:pPr>
        <w:pStyle w:val="87"/>
        <w:rPr>
          <w:rFonts w:ascii="Times New Roman" w:hAnsi="Times New Roman" w:eastAsia="宋体" w:cs="Times New Roman"/>
          <w:color w:val="auto"/>
          <w:highlight w:val="none"/>
        </w:rPr>
      </w:pPr>
      <w:r>
        <w:rPr>
          <w:rFonts w:ascii="Times New Roman" w:hAnsi="Times New Roman" w:eastAsia="宋体" w:cs="Times New Roman"/>
          <w:color w:val="auto"/>
          <w:highlight w:val="none"/>
        </w:rPr>
        <w:t>表4.2-</w:t>
      </w:r>
      <w:r>
        <w:rPr>
          <w:rFonts w:hint="eastAsia" w:ascii="Times New Roman" w:hAnsi="Times New Roman" w:eastAsia="宋体" w:cs="Times New Roman"/>
          <w:color w:val="auto"/>
          <w:highlight w:val="none"/>
        </w:rPr>
        <w:t>6</w:t>
      </w:r>
      <w:r>
        <w:rPr>
          <w:rFonts w:ascii="Times New Roman" w:hAnsi="Times New Roman" w:eastAsia="宋体" w:cs="Times New Roman"/>
          <w:color w:val="auto"/>
          <w:highlight w:val="none"/>
        </w:rPr>
        <w:t xml:space="preserve">  TSP贡献质量浓度预测结果表</w:t>
      </w:r>
    </w:p>
    <w:tbl>
      <w:tblPr>
        <w:tblStyle w:val="48"/>
        <w:tblW w:w="9071"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480"/>
        <w:gridCol w:w="1739"/>
        <w:gridCol w:w="1260"/>
        <w:gridCol w:w="1200"/>
        <w:gridCol w:w="1331"/>
        <w:gridCol w:w="1133"/>
        <w:gridCol w:w="1053"/>
        <w:gridCol w:w="875"/>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序号</w:t>
            </w:r>
          </w:p>
        </w:tc>
        <w:tc>
          <w:tcPr>
            <w:tcW w:w="1739"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预测点</w:t>
            </w:r>
          </w:p>
        </w:tc>
        <w:tc>
          <w:tcPr>
            <w:tcW w:w="1260" w:type="dxa"/>
            <w:noWrap w:val="0"/>
            <w:vAlign w:val="center"/>
          </w:tcPr>
          <w:p>
            <w:pPr>
              <w:spacing w:line="240" w:lineRule="auto"/>
              <w:ind w:firstLine="0" w:firstLineChars="0"/>
              <w:jc w:val="center"/>
              <w:rPr>
                <w:rFonts w:hint="eastAsia"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浓度</w:t>
            </w:r>
          </w:p>
          <w:p>
            <w:pPr>
              <w:spacing w:line="240" w:lineRule="auto"/>
              <w:ind w:firstLine="0" w:firstLineChars="0"/>
              <w:jc w:val="center"/>
              <w:rPr>
                <w:rFonts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类型</w:t>
            </w:r>
          </w:p>
        </w:tc>
        <w:tc>
          <w:tcPr>
            <w:tcW w:w="1200"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浓度增量</w:t>
            </w:r>
            <w:r>
              <w:rPr>
                <w:rFonts w:ascii="Times New Roman" w:hAnsi="Times New Roman" w:eastAsia="宋体" w:cs="Times New Roman"/>
                <w:b/>
                <w:color w:val="auto"/>
                <w:sz w:val="21"/>
                <w:highlight w:val="none"/>
              </w:rPr>
              <w:t>(mg/m</w:t>
            </w:r>
            <w:r>
              <w:rPr>
                <w:rFonts w:ascii="Times New Roman" w:hAnsi="Times New Roman" w:eastAsia="宋体" w:cs="Times New Roman"/>
                <w:b/>
                <w:color w:val="auto"/>
                <w:sz w:val="21"/>
                <w:highlight w:val="none"/>
                <w:vertAlign w:val="superscript"/>
              </w:rPr>
              <w:t>3</w:t>
            </w:r>
            <w:r>
              <w:rPr>
                <w:rFonts w:ascii="Times New Roman" w:hAnsi="Times New Roman" w:eastAsia="宋体" w:cs="Times New Roman"/>
                <w:b/>
                <w:color w:val="auto"/>
                <w:sz w:val="21"/>
                <w:highlight w:val="none"/>
              </w:rPr>
              <w:t>)</w:t>
            </w:r>
          </w:p>
        </w:tc>
        <w:tc>
          <w:tcPr>
            <w:tcW w:w="1331"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出现时间</w:t>
            </w:r>
          </w:p>
        </w:tc>
        <w:tc>
          <w:tcPr>
            <w:tcW w:w="1133"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评价标准(mg/m</w:t>
            </w:r>
            <w:r>
              <w:rPr>
                <w:rFonts w:ascii="Times New Roman" w:hAnsi="Times New Roman" w:eastAsia="宋体" w:cs="Times New Roman"/>
                <w:b/>
                <w:color w:val="auto"/>
                <w:sz w:val="21"/>
                <w:highlight w:val="none"/>
                <w:vertAlign w:val="superscript"/>
              </w:rPr>
              <w:t>3</w:t>
            </w:r>
            <w:r>
              <w:rPr>
                <w:rFonts w:ascii="Times New Roman" w:hAnsi="Times New Roman" w:eastAsia="宋体" w:cs="Times New Roman"/>
                <w:b/>
                <w:color w:val="auto"/>
                <w:sz w:val="21"/>
                <w:highlight w:val="none"/>
              </w:rPr>
              <w:t>)</w:t>
            </w:r>
          </w:p>
        </w:tc>
        <w:tc>
          <w:tcPr>
            <w:tcW w:w="1053"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占标率（%）</w:t>
            </w:r>
          </w:p>
        </w:tc>
        <w:tc>
          <w:tcPr>
            <w:tcW w:w="875"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达标</w:t>
            </w:r>
          </w:p>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情况</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739"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东恒屯</w:t>
            </w:r>
          </w:p>
        </w:tc>
        <w:tc>
          <w:tcPr>
            <w:tcW w:w="12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1.47E-02</w:t>
            </w:r>
          </w:p>
        </w:tc>
        <w:tc>
          <w:tcPr>
            <w:tcW w:w="1331"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181017</w:t>
            </w:r>
          </w:p>
        </w:tc>
        <w:tc>
          <w:tcPr>
            <w:tcW w:w="113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w:t>
            </w:r>
          </w:p>
        </w:tc>
        <w:tc>
          <w:tcPr>
            <w:tcW w:w="105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4.91</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73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3.05E-03</w:t>
            </w:r>
          </w:p>
        </w:tc>
        <w:tc>
          <w:tcPr>
            <w:tcW w:w="1331"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w:t>
            </w:r>
          </w:p>
        </w:tc>
        <w:tc>
          <w:tcPr>
            <w:tcW w:w="105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1.53</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1739"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东坪村</w:t>
            </w:r>
          </w:p>
        </w:tc>
        <w:tc>
          <w:tcPr>
            <w:tcW w:w="12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1.25E-03</w:t>
            </w:r>
          </w:p>
        </w:tc>
        <w:tc>
          <w:tcPr>
            <w:tcW w:w="1331"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180829</w:t>
            </w:r>
          </w:p>
        </w:tc>
        <w:tc>
          <w:tcPr>
            <w:tcW w:w="113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w:t>
            </w:r>
          </w:p>
        </w:tc>
        <w:tc>
          <w:tcPr>
            <w:tcW w:w="105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0.42</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73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7.09E-05</w:t>
            </w:r>
          </w:p>
        </w:tc>
        <w:tc>
          <w:tcPr>
            <w:tcW w:w="1331"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w:t>
            </w:r>
          </w:p>
        </w:tc>
        <w:tc>
          <w:tcPr>
            <w:tcW w:w="105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0.04</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1739"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坡滚屯</w:t>
            </w:r>
          </w:p>
        </w:tc>
        <w:tc>
          <w:tcPr>
            <w:tcW w:w="12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1.63E-02</w:t>
            </w:r>
          </w:p>
        </w:tc>
        <w:tc>
          <w:tcPr>
            <w:tcW w:w="1331"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181024</w:t>
            </w:r>
          </w:p>
        </w:tc>
        <w:tc>
          <w:tcPr>
            <w:tcW w:w="113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w:t>
            </w:r>
          </w:p>
        </w:tc>
        <w:tc>
          <w:tcPr>
            <w:tcW w:w="105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5.44</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73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1.16E-03</w:t>
            </w:r>
          </w:p>
        </w:tc>
        <w:tc>
          <w:tcPr>
            <w:tcW w:w="1331"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w:t>
            </w:r>
          </w:p>
        </w:tc>
        <w:tc>
          <w:tcPr>
            <w:tcW w:w="105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0.58</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739"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拉决屯</w:t>
            </w:r>
          </w:p>
        </w:tc>
        <w:tc>
          <w:tcPr>
            <w:tcW w:w="12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4.93E-03</w:t>
            </w:r>
          </w:p>
        </w:tc>
        <w:tc>
          <w:tcPr>
            <w:tcW w:w="1331"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180118</w:t>
            </w:r>
          </w:p>
        </w:tc>
        <w:tc>
          <w:tcPr>
            <w:tcW w:w="113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w:t>
            </w:r>
          </w:p>
        </w:tc>
        <w:tc>
          <w:tcPr>
            <w:tcW w:w="105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1.64</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73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4.62E-04</w:t>
            </w:r>
          </w:p>
        </w:tc>
        <w:tc>
          <w:tcPr>
            <w:tcW w:w="1331"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w:t>
            </w:r>
          </w:p>
        </w:tc>
        <w:tc>
          <w:tcPr>
            <w:tcW w:w="105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0.23</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w:t>
            </w:r>
          </w:p>
        </w:tc>
        <w:tc>
          <w:tcPr>
            <w:tcW w:w="1739"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江口屯</w:t>
            </w:r>
          </w:p>
        </w:tc>
        <w:tc>
          <w:tcPr>
            <w:tcW w:w="12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5.88E-03</w:t>
            </w:r>
          </w:p>
        </w:tc>
        <w:tc>
          <w:tcPr>
            <w:tcW w:w="1331"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180413</w:t>
            </w:r>
          </w:p>
        </w:tc>
        <w:tc>
          <w:tcPr>
            <w:tcW w:w="113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w:t>
            </w:r>
          </w:p>
        </w:tc>
        <w:tc>
          <w:tcPr>
            <w:tcW w:w="105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1.96</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73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4.01E-04</w:t>
            </w:r>
          </w:p>
        </w:tc>
        <w:tc>
          <w:tcPr>
            <w:tcW w:w="1331"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w:t>
            </w:r>
          </w:p>
        </w:tc>
        <w:tc>
          <w:tcPr>
            <w:tcW w:w="105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0.20</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w:t>
            </w:r>
          </w:p>
        </w:tc>
        <w:tc>
          <w:tcPr>
            <w:tcW w:w="1739"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大湴屯</w:t>
            </w:r>
          </w:p>
        </w:tc>
        <w:tc>
          <w:tcPr>
            <w:tcW w:w="12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5.59E-03</w:t>
            </w:r>
          </w:p>
        </w:tc>
        <w:tc>
          <w:tcPr>
            <w:tcW w:w="1331"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181026</w:t>
            </w:r>
          </w:p>
        </w:tc>
        <w:tc>
          <w:tcPr>
            <w:tcW w:w="113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w:t>
            </w:r>
          </w:p>
        </w:tc>
        <w:tc>
          <w:tcPr>
            <w:tcW w:w="105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1.86</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73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3.27E-04</w:t>
            </w:r>
          </w:p>
        </w:tc>
        <w:tc>
          <w:tcPr>
            <w:tcW w:w="1331"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w:t>
            </w:r>
          </w:p>
        </w:tc>
        <w:tc>
          <w:tcPr>
            <w:tcW w:w="105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0.16</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w:t>
            </w:r>
          </w:p>
        </w:tc>
        <w:tc>
          <w:tcPr>
            <w:tcW w:w="1739"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斗江镇</w:t>
            </w:r>
          </w:p>
        </w:tc>
        <w:tc>
          <w:tcPr>
            <w:tcW w:w="12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2.90E-03</w:t>
            </w:r>
          </w:p>
        </w:tc>
        <w:tc>
          <w:tcPr>
            <w:tcW w:w="1331"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180210</w:t>
            </w:r>
          </w:p>
        </w:tc>
        <w:tc>
          <w:tcPr>
            <w:tcW w:w="113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w:t>
            </w:r>
          </w:p>
        </w:tc>
        <w:tc>
          <w:tcPr>
            <w:tcW w:w="105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0.97</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73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1.19E-04</w:t>
            </w:r>
          </w:p>
        </w:tc>
        <w:tc>
          <w:tcPr>
            <w:tcW w:w="1331"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w:t>
            </w:r>
          </w:p>
        </w:tc>
        <w:tc>
          <w:tcPr>
            <w:tcW w:w="105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0.06</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w:t>
            </w:r>
          </w:p>
        </w:tc>
        <w:tc>
          <w:tcPr>
            <w:tcW w:w="1739"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木洞屯</w:t>
            </w:r>
          </w:p>
        </w:tc>
        <w:tc>
          <w:tcPr>
            <w:tcW w:w="12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1.46E-03</w:t>
            </w:r>
          </w:p>
        </w:tc>
        <w:tc>
          <w:tcPr>
            <w:tcW w:w="1331"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180311</w:t>
            </w:r>
          </w:p>
        </w:tc>
        <w:tc>
          <w:tcPr>
            <w:tcW w:w="113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w:t>
            </w:r>
          </w:p>
        </w:tc>
        <w:tc>
          <w:tcPr>
            <w:tcW w:w="105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0.49</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73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4.95E-05</w:t>
            </w:r>
          </w:p>
        </w:tc>
        <w:tc>
          <w:tcPr>
            <w:tcW w:w="1331"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w:t>
            </w:r>
          </w:p>
        </w:tc>
        <w:tc>
          <w:tcPr>
            <w:tcW w:w="105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0.02</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w:t>
            </w:r>
          </w:p>
        </w:tc>
        <w:tc>
          <w:tcPr>
            <w:tcW w:w="173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网格点（</w:t>
            </w:r>
            <w:r>
              <w:rPr>
                <w:rFonts w:hint="eastAsia" w:ascii="Times New Roman" w:hAnsi="Times New Roman" w:eastAsia="宋体" w:cs="Times New Roman"/>
                <w:color w:val="auto"/>
                <w:sz w:val="21"/>
                <w:highlight w:val="none"/>
              </w:rPr>
              <w:t>5</w:t>
            </w: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w:t>
            </w:r>
            <w:r>
              <w:rPr>
                <w:rFonts w:ascii="Times New Roman" w:hAnsi="Times New Roman" w:eastAsia="宋体" w:cs="Times New Roman"/>
                <w:color w:val="auto"/>
                <w:sz w:val="21"/>
                <w:highlight w:val="none"/>
              </w:rPr>
              <w:t>100）</w:t>
            </w:r>
          </w:p>
        </w:tc>
        <w:tc>
          <w:tcPr>
            <w:tcW w:w="12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7.80E-02</w:t>
            </w:r>
          </w:p>
        </w:tc>
        <w:tc>
          <w:tcPr>
            <w:tcW w:w="1331"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180329</w:t>
            </w:r>
          </w:p>
        </w:tc>
        <w:tc>
          <w:tcPr>
            <w:tcW w:w="113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w:t>
            </w:r>
          </w:p>
        </w:tc>
        <w:tc>
          <w:tcPr>
            <w:tcW w:w="105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26.00</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73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网格点（</w:t>
            </w:r>
            <w:r>
              <w:rPr>
                <w:rFonts w:hint="eastAsia" w:ascii="Times New Roman" w:hAnsi="Times New Roman" w:eastAsia="宋体" w:cs="Times New Roman"/>
                <w:color w:val="auto"/>
                <w:sz w:val="21"/>
                <w:highlight w:val="none"/>
              </w:rPr>
              <w:t>5</w:t>
            </w:r>
            <w:r>
              <w:rPr>
                <w:rFonts w:ascii="Times New Roman" w:hAnsi="Times New Roman" w:eastAsia="宋体" w:cs="Times New Roman"/>
                <w:color w:val="auto"/>
                <w:sz w:val="21"/>
                <w:highlight w:val="none"/>
              </w:rPr>
              <w:t>00,0）</w:t>
            </w:r>
          </w:p>
        </w:tc>
        <w:tc>
          <w:tcPr>
            <w:tcW w:w="126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1.68E-02</w:t>
            </w:r>
          </w:p>
        </w:tc>
        <w:tc>
          <w:tcPr>
            <w:tcW w:w="1331"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w:t>
            </w:r>
          </w:p>
        </w:tc>
        <w:tc>
          <w:tcPr>
            <w:tcW w:w="105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8.42</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bl>
    <w:p>
      <w:pPr>
        <w:ind w:firstLine="0" w:firstLineChars="0"/>
        <w:rPr>
          <w:rFonts w:ascii="Times New Roman" w:hAnsi="Times New Roman" w:eastAsia="宋体" w:cs="Times New Roman"/>
          <w:color w:val="auto"/>
          <w:kern w:val="0"/>
          <w:highlight w:val="none"/>
        </w:rPr>
      </w:pPr>
    </w:p>
    <w:p>
      <w:pPr>
        <w:ind w:firstLine="480"/>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②PM</w:t>
      </w:r>
      <w:r>
        <w:rPr>
          <w:rFonts w:ascii="Times New Roman" w:hAnsi="Times New Roman" w:eastAsia="宋体" w:cs="Times New Roman"/>
          <w:color w:val="auto"/>
          <w:kern w:val="0"/>
          <w:highlight w:val="none"/>
          <w:vertAlign w:val="subscript"/>
        </w:rPr>
        <w:t>10</w:t>
      </w:r>
      <w:r>
        <w:rPr>
          <w:rFonts w:ascii="Times New Roman" w:hAnsi="Times New Roman" w:eastAsia="宋体" w:cs="Times New Roman"/>
          <w:color w:val="auto"/>
          <w:kern w:val="0"/>
          <w:highlight w:val="none"/>
        </w:rPr>
        <w:t>预测结果与评价</w:t>
      </w:r>
    </w:p>
    <w:p>
      <w:pPr>
        <w:autoSpaceDE w:val="0"/>
        <w:autoSpaceDN w:val="0"/>
        <w:adjustRightInd w:val="0"/>
        <w:ind w:firstLine="480"/>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正常排放情况下，PM</w:t>
      </w:r>
      <w:r>
        <w:rPr>
          <w:rFonts w:ascii="Times New Roman" w:hAnsi="Times New Roman" w:eastAsia="宋体" w:cs="Times New Roman"/>
          <w:color w:val="auto"/>
          <w:kern w:val="0"/>
          <w:highlight w:val="none"/>
          <w:vertAlign w:val="subscript"/>
        </w:rPr>
        <w:t>10</w:t>
      </w:r>
      <w:r>
        <w:rPr>
          <w:rFonts w:ascii="Times New Roman" w:hAnsi="Times New Roman" w:eastAsia="宋体" w:cs="Times New Roman"/>
          <w:color w:val="auto"/>
          <w:kern w:val="0"/>
          <w:highlight w:val="none"/>
        </w:rPr>
        <w:t>预测结果见表4.2-</w:t>
      </w:r>
      <w:r>
        <w:rPr>
          <w:rFonts w:hint="eastAsia" w:ascii="Times New Roman" w:hAnsi="Times New Roman" w:eastAsia="宋体" w:cs="Times New Roman"/>
          <w:color w:val="auto"/>
          <w:kern w:val="0"/>
          <w:highlight w:val="none"/>
        </w:rPr>
        <w:t>7</w:t>
      </w:r>
      <w:r>
        <w:rPr>
          <w:rFonts w:ascii="Times New Roman" w:hAnsi="Times New Roman" w:eastAsia="宋体" w:cs="Times New Roman"/>
          <w:color w:val="auto"/>
          <w:kern w:val="0"/>
          <w:highlight w:val="none"/>
        </w:rPr>
        <w:t>。</w:t>
      </w:r>
    </w:p>
    <w:p>
      <w:pPr>
        <w:autoSpaceDE w:val="0"/>
        <w:autoSpaceDN w:val="0"/>
        <w:adjustRightInd w:val="0"/>
        <w:ind w:firstLine="480"/>
        <w:rPr>
          <w:rFonts w:ascii="Times New Roman" w:hAnsi="Times New Roman" w:eastAsia="宋体" w:cs="Times New Roman"/>
          <w:color w:val="auto"/>
          <w:highlight w:val="none"/>
        </w:rPr>
      </w:pPr>
      <w:r>
        <w:rPr>
          <w:rFonts w:ascii="Times New Roman" w:hAnsi="Times New Roman" w:eastAsia="宋体" w:cs="Times New Roman"/>
          <w:color w:val="auto"/>
          <w:kern w:val="0"/>
          <w:szCs w:val="24"/>
          <w:highlight w:val="none"/>
        </w:rPr>
        <w:t>拟建项目新增</w:t>
      </w:r>
      <w:r>
        <w:rPr>
          <w:rFonts w:ascii="Times New Roman" w:hAnsi="Times New Roman" w:eastAsia="宋体" w:cs="Times New Roman"/>
          <w:color w:val="auto"/>
          <w:highlight w:val="none"/>
        </w:rPr>
        <w:t>PM</w:t>
      </w:r>
      <w:r>
        <w:rPr>
          <w:rFonts w:ascii="Times New Roman" w:hAnsi="Times New Roman" w:eastAsia="宋体" w:cs="Times New Roman"/>
          <w:color w:val="auto"/>
          <w:highlight w:val="none"/>
          <w:vertAlign w:val="subscript"/>
        </w:rPr>
        <w:t>10</w:t>
      </w:r>
      <w:r>
        <w:rPr>
          <w:rFonts w:ascii="Times New Roman" w:hAnsi="Times New Roman" w:eastAsia="宋体" w:cs="Times New Roman"/>
          <w:color w:val="auto"/>
          <w:kern w:val="0"/>
          <w:szCs w:val="24"/>
          <w:highlight w:val="none"/>
        </w:rPr>
        <w:t>在</w:t>
      </w:r>
      <w:r>
        <w:rPr>
          <w:rFonts w:ascii="Times New Roman" w:hAnsi="Times New Roman" w:eastAsia="宋体" w:cs="Times New Roman"/>
          <w:color w:val="auto"/>
          <w:kern w:val="0"/>
          <w:highlight w:val="none"/>
        </w:rPr>
        <w:t>各敏感点的</w:t>
      </w:r>
      <w:r>
        <w:rPr>
          <w:rFonts w:ascii="Times New Roman" w:hAnsi="Times New Roman" w:eastAsia="宋体" w:cs="Times New Roman"/>
          <w:color w:val="auto"/>
          <w:highlight w:val="none"/>
        </w:rPr>
        <w:t>日平均和年平均浓度贡献值满足《环境空气质量标准》（GB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3095-2012）</w:t>
      </w:r>
      <w:r>
        <w:rPr>
          <w:rFonts w:ascii="Times New Roman" w:hAnsi="Times New Roman" w:eastAsia="宋体" w:cs="Times New Roman"/>
          <w:color w:val="auto"/>
          <w:szCs w:val="24"/>
          <w:highlight w:val="none"/>
        </w:rPr>
        <w:t>及其修改单二级标准</w:t>
      </w:r>
      <w:r>
        <w:rPr>
          <w:rFonts w:ascii="Times New Roman" w:hAnsi="Times New Roman" w:eastAsia="宋体" w:cs="Times New Roman"/>
          <w:color w:val="auto"/>
          <w:highlight w:val="none"/>
        </w:rPr>
        <w:t>。</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区域新增PM</w:t>
      </w:r>
      <w:r>
        <w:rPr>
          <w:rFonts w:ascii="Times New Roman" w:hAnsi="Times New Roman" w:eastAsia="宋体" w:cs="Times New Roman"/>
          <w:color w:val="auto"/>
          <w:highlight w:val="none"/>
          <w:vertAlign w:val="subscript"/>
        </w:rPr>
        <w:t>10</w:t>
      </w:r>
      <w:r>
        <w:rPr>
          <w:rFonts w:ascii="Times New Roman" w:hAnsi="Times New Roman" w:eastAsia="宋体" w:cs="Times New Roman"/>
          <w:color w:val="auto"/>
          <w:highlight w:val="none"/>
        </w:rPr>
        <w:t>日均浓度、全年浓度增量均达标。其中日均区域最大浓度点坐标为（</w:t>
      </w:r>
      <w:r>
        <w:rPr>
          <w:rFonts w:hint="eastAsia" w:ascii="Times New Roman" w:hAnsi="Times New Roman" w:eastAsia="宋体" w:cs="Times New Roman"/>
          <w:color w:val="auto"/>
          <w:highlight w:val="none"/>
        </w:rPr>
        <w:t>4</w:t>
      </w:r>
      <w:r>
        <w:rPr>
          <w:rFonts w:ascii="Times New Roman" w:hAnsi="Times New Roman" w:eastAsia="宋体" w:cs="Times New Roman"/>
          <w:color w:val="auto"/>
          <w:highlight w:val="none"/>
        </w:rPr>
        <w:t>00,0），浓度增量0.0</w:t>
      </w:r>
      <w:r>
        <w:rPr>
          <w:rFonts w:hint="eastAsia" w:ascii="Times New Roman" w:hAnsi="Times New Roman" w:eastAsia="宋体" w:cs="Times New Roman"/>
          <w:color w:val="auto"/>
          <w:highlight w:val="none"/>
        </w:rPr>
        <w:t>218</w:t>
      </w:r>
      <w:r>
        <w:rPr>
          <w:rFonts w:ascii="Times New Roman" w:hAnsi="Times New Roman" w:eastAsia="宋体" w:cs="Times New Roman"/>
          <w:color w:val="auto"/>
          <w:highlight w:val="none"/>
        </w:rPr>
        <w:t>mg/m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，占标率</w:t>
      </w:r>
      <w:r>
        <w:rPr>
          <w:rFonts w:hint="eastAsia" w:ascii="Times New Roman" w:hAnsi="Times New Roman" w:eastAsia="宋体" w:cs="Times New Roman"/>
          <w:color w:val="auto"/>
          <w:highlight w:val="none"/>
        </w:rPr>
        <w:t>14.55</w:t>
      </w:r>
      <w:r>
        <w:rPr>
          <w:rFonts w:ascii="Times New Roman" w:hAnsi="Times New Roman" w:eastAsia="宋体" w:cs="Times New Roman"/>
          <w:color w:val="auto"/>
          <w:highlight w:val="none"/>
        </w:rPr>
        <w:t>%，出现时间为2018年0</w:t>
      </w:r>
      <w:r>
        <w:rPr>
          <w:rFonts w:hint="eastAsia" w:ascii="Times New Roman" w:hAnsi="Times New Roman" w:eastAsia="宋体" w:cs="Times New Roman"/>
          <w:color w:val="auto"/>
          <w:highlight w:val="none"/>
        </w:rPr>
        <w:t>1</w:t>
      </w:r>
      <w:r>
        <w:rPr>
          <w:rFonts w:ascii="Times New Roman" w:hAnsi="Times New Roman" w:eastAsia="宋体" w:cs="Times New Roman"/>
          <w:color w:val="auto"/>
          <w:highlight w:val="none"/>
        </w:rPr>
        <w:t>月</w:t>
      </w:r>
      <w:r>
        <w:rPr>
          <w:rFonts w:hint="eastAsia" w:ascii="Times New Roman" w:hAnsi="Times New Roman" w:eastAsia="宋体" w:cs="Times New Roman"/>
          <w:color w:val="auto"/>
          <w:highlight w:val="none"/>
        </w:rPr>
        <w:t>15</w:t>
      </w:r>
      <w:r>
        <w:rPr>
          <w:rFonts w:ascii="Times New Roman" w:hAnsi="Times New Roman" w:eastAsia="宋体" w:cs="Times New Roman"/>
          <w:color w:val="auto"/>
          <w:highlight w:val="none"/>
        </w:rPr>
        <w:t>日；全时段区域最大浓度点坐标为（</w:t>
      </w:r>
      <w:r>
        <w:rPr>
          <w:rFonts w:hint="eastAsia" w:ascii="Times New Roman" w:hAnsi="Times New Roman" w:eastAsia="宋体" w:cs="Times New Roman"/>
          <w:color w:val="auto"/>
          <w:highlight w:val="none"/>
        </w:rPr>
        <w:t>4</w:t>
      </w:r>
      <w:r>
        <w:rPr>
          <w:rFonts w:ascii="Times New Roman" w:hAnsi="Times New Roman" w:eastAsia="宋体" w:cs="Times New Roman"/>
          <w:color w:val="auto"/>
          <w:highlight w:val="none"/>
        </w:rPr>
        <w:t>00,0），浓度增量0.0</w:t>
      </w:r>
      <w:r>
        <w:rPr>
          <w:rFonts w:hint="eastAsia" w:ascii="Times New Roman" w:hAnsi="Times New Roman" w:eastAsia="宋体" w:cs="Times New Roman"/>
          <w:color w:val="auto"/>
          <w:highlight w:val="none"/>
        </w:rPr>
        <w:t>0498</w:t>
      </w:r>
      <w:r>
        <w:rPr>
          <w:rFonts w:ascii="Times New Roman" w:hAnsi="Times New Roman" w:eastAsia="宋体" w:cs="Times New Roman"/>
          <w:color w:val="auto"/>
          <w:highlight w:val="none"/>
        </w:rPr>
        <w:t>mg/m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，占标率</w:t>
      </w:r>
      <w:r>
        <w:rPr>
          <w:rFonts w:hint="eastAsia" w:ascii="Times New Roman" w:hAnsi="Times New Roman" w:eastAsia="宋体" w:cs="Times New Roman"/>
          <w:color w:val="auto"/>
          <w:highlight w:val="none"/>
        </w:rPr>
        <w:t>7.11</w:t>
      </w:r>
      <w:r>
        <w:rPr>
          <w:rFonts w:ascii="Times New Roman" w:hAnsi="Times New Roman" w:eastAsia="宋体" w:cs="Times New Roman"/>
          <w:color w:val="auto"/>
          <w:highlight w:val="none"/>
        </w:rPr>
        <w:t>%。</w:t>
      </w:r>
    </w:p>
    <w:p>
      <w:pPr>
        <w:pStyle w:val="87"/>
        <w:rPr>
          <w:rFonts w:ascii="Times New Roman" w:hAnsi="Times New Roman" w:eastAsia="宋体" w:cs="Times New Roman"/>
          <w:color w:val="auto"/>
          <w:highlight w:val="none"/>
        </w:rPr>
      </w:pPr>
      <w:r>
        <w:rPr>
          <w:rFonts w:ascii="Times New Roman" w:hAnsi="Times New Roman" w:eastAsia="宋体" w:cs="Times New Roman"/>
          <w:color w:val="auto"/>
          <w:highlight w:val="none"/>
        </w:rPr>
        <w:t>表4.2-</w:t>
      </w:r>
      <w:r>
        <w:rPr>
          <w:rFonts w:hint="eastAsia" w:ascii="Times New Roman" w:hAnsi="Times New Roman" w:eastAsia="宋体" w:cs="Times New Roman"/>
          <w:color w:val="auto"/>
          <w:highlight w:val="none"/>
        </w:rPr>
        <w:t xml:space="preserve">7 </w:t>
      </w:r>
      <w:r>
        <w:rPr>
          <w:rFonts w:ascii="Times New Roman" w:hAnsi="Times New Roman" w:eastAsia="宋体" w:cs="Times New Roman"/>
          <w:color w:val="auto"/>
          <w:highlight w:val="none"/>
        </w:rPr>
        <w:t xml:space="preserve"> PM</w:t>
      </w:r>
      <w:r>
        <w:rPr>
          <w:rFonts w:ascii="Times New Roman" w:hAnsi="Times New Roman" w:eastAsia="宋体" w:cs="Times New Roman"/>
          <w:color w:val="auto"/>
          <w:highlight w:val="none"/>
          <w:vertAlign w:val="subscript"/>
        </w:rPr>
        <w:t>10</w:t>
      </w:r>
      <w:r>
        <w:rPr>
          <w:rFonts w:ascii="Times New Roman" w:hAnsi="Times New Roman" w:eastAsia="宋体" w:cs="Times New Roman"/>
          <w:color w:val="auto"/>
          <w:highlight w:val="none"/>
        </w:rPr>
        <w:t>贡献质量浓度预测结果表</w:t>
      </w:r>
    </w:p>
    <w:tbl>
      <w:tblPr>
        <w:tblStyle w:val="48"/>
        <w:tblW w:w="9071"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480"/>
        <w:gridCol w:w="1295"/>
        <w:gridCol w:w="1278"/>
        <w:gridCol w:w="1242"/>
        <w:gridCol w:w="1715"/>
        <w:gridCol w:w="1133"/>
        <w:gridCol w:w="1053"/>
        <w:gridCol w:w="875"/>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序号</w:t>
            </w:r>
          </w:p>
        </w:tc>
        <w:tc>
          <w:tcPr>
            <w:tcW w:w="1295"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预测点</w:t>
            </w:r>
          </w:p>
        </w:tc>
        <w:tc>
          <w:tcPr>
            <w:tcW w:w="1278" w:type="dxa"/>
            <w:noWrap w:val="0"/>
            <w:vAlign w:val="center"/>
          </w:tcPr>
          <w:p>
            <w:pPr>
              <w:spacing w:line="240" w:lineRule="auto"/>
              <w:ind w:firstLine="0" w:firstLineChars="0"/>
              <w:jc w:val="center"/>
              <w:rPr>
                <w:rFonts w:hint="eastAsia"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浓度</w:t>
            </w:r>
          </w:p>
          <w:p>
            <w:pPr>
              <w:spacing w:line="240" w:lineRule="auto"/>
              <w:ind w:firstLine="0" w:firstLineChars="0"/>
              <w:jc w:val="center"/>
              <w:rPr>
                <w:rFonts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类型</w:t>
            </w:r>
          </w:p>
        </w:tc>
        <w:tc>
          <w:tcPr>
            <w:tcW w:w="1242"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浓度增量</w:t>
            </w:r>
            <w:r>
              <w:rPr>
                <w:rFonts w:ascii="Times New Roman" w:hAnsi="Times New Roman" w:eastAsia="宋体" w:cs="Times New Roman"/>
                <w:b/>
                <w:color w:val="auto"/>
                <w:sz w:val="21"/>
                <w:highlight w:val="none"/>
              </w:rPr>
              <w:t>(mg/m</w:t>
            </w:r>
            <w:r>
              <w:rPr>
                <w:rFonts w:ascii="Times New Roman" w:hAnsi="Times New Roman" w:eastAsia="宋体" w:cs="Times New Roman"/>
                <w:b/>
                <w:color w:val="auto"/>
                <w:sz w:val="21"/>
                <w:highlight w:val="none"/>
                <w:vertAlign w:val="superscript"/>
              </w:rPr>
              <w:t>3</w:t>
            </w:r>
            <w:r>
              <w:rPr>
                <w:rFonts w:ascii="Times New Roman" w:hAnsi="Times New Roman" w:eastAsia="宋体" w:cs="Times New Roman"/>
                <w:b/>
                <w:color w:val="auto"/>
                <w:sz w:val="21"/>
                <w:highlight w:val="none"/>
              </w:rPr>
              <w:t>)</w:t>
            </w:r>
          </w:p>
        </w:tc>
        <w:tc>
          <w:tcPr>
            <w:tcW w:w="1715"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出现时间</w:t>
            </w:r>
          </w:p>
        </w:tc>
        <w:tc>
          <w:tcPr>
            <w:tcW w:w="1133"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评价标准(mg/m</w:t>
            </w:r>
            <w:r>
              <w:rPr>
                <w:rFonts w:ascii="Times New Roman" w:hAnsi="Times New Roman" w:eastAsia="宋体" w:cs="Times New Roman"/>
                <w:b/>
                <w:color w:val="auto"/>
                <w:sz w:val="21"/>
                <w:highlight w:val="none"/>
                <w:vertAlign w:val="superscript"/>
              </w:rPr>
              <w:t>3</w:t>
            </w:r>
            <w:r>
              <w:rPr>
                <w:rFonts w:ascii="Times New Roman" w:hAnsi="Times New Roman" w:eastAsia="宋体" w:cs="Times New Roman"/>
                <w:b/>
                <w:color w:val="auto"/>
                <w:sz w:val="21"/>
                <w:highlight w:val="none"/>
              </w:rPr>
              <w:t>)</w:t>
            </w:r>
          </w:p>
        </w:tc>
        <w:tc>
          <w:tcPr>
            <w:tcW w:w="1053"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占标率（%）</w:t>
            </w:r>
          </w:p>
        </w:tc>
        <w:tc>
          <w:tcPr>
            <w:tcW w:w="875"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达标</w:t>
            </w:r>
          </w:p>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情况</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295"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东恒屯</w:t>
            </w: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2.06E-03</w:t>
            </w:r>
          </w:p>
        </w:tc>
        <w:tc>
          <w:tcPr>
            <w:tcW w:w="17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180829</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1.37</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1.15E-04</w:t>
            </w:r>
          </w:p>
        </w:tc>
        <w:tc>
          <w:tcPr>
            <w:tcW w:w="17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0.07</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0.16</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1295"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东坪村</w:t>
            </w: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4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2.66E-03</w:t>
            </w:r>
          </w:p>
        </w:tc>
        <w:tc>
          <w:tcPr>
            <w:tcW w:w="171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181024</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1.77</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4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2.44E-04</w:t>
            </w:r>
          </w:p>
        </w:tc>
        <w:tc>
          <w:tcPr>
            <w:tcW w:w="171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0.07</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0.35</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1295"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坡滚屯</w:t>
            </w: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4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2.28E-03</w:t>
            </w:r>
          </w:p>
        </w:tc>
        <w:tc>
          <w:tcPr>
            <w:tcW w:w="171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180829</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1.52</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4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2.22E-04</w:t>
            </w:r>
          </w:p>
        </w:tc>
        <w:tc>
          <w:tcPr>
            <w:tcW w:w="171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0.07</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0.32</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295"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拉决屯</w:t>
            </w: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4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9.55E-04</w:t>
            </w:r>
          </w:p>
        </w:tc>
        <w:tc>
          <w:tcPr>
            <w:tcW w:w="171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180821</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0.64</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4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5.79E-05</w:t>
            </w:r>
          </w:p>
        </w:tc>
        <w:tc>
          <w:tcPr>
            <w:tcW w:w="171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0.07</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0.08</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w:t>
            </w:r>
          </w:p>
        </w:tc>
        <w:tc>
          <w:tcPr>
            <w:tcW w:w="1295"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江口屯</w:t>
            </w: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4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1.12E-03</w:t>
            </w:r>
          </w:p>
        </w:tc>
        <w:tc>
          <w:tcPr>
            <w:tcW w:w="171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180706</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0.75</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4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4.58E-05</w:t>
            </w:r>
          </w:p>
        </w:tc>
        <w:tc>
          <w:tcPr>
            <w:tcW w:w="171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0.07</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0.07</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w:t>
            </w:r>
          </w:p>
        </w:tc>
        <w:tc>
          <w:tcPr>
            <w:tcW w:w="1295"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大湴屯</w:t>
            </w: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4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6.79E-04</w:t>
            </w:r>
          </w:p>
        </w:tc>
        <w:tc>
          <w:tcPr>
            <w:tcW w:w="171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180630</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0.45</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4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3.19E-05</w:t>
            </w:r>
          </w:p>
        </w:tc>
        <w:tc>
          <w:tcPr>
            <w:tcW w:w="171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0.07</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0.05</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w:t>
            </w:r>
          </w:p>
        </w:tc>
        <w:tc>
          <w:tcPr>
            <w:tcW w:w="1295"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斗江镇</w:t>
            </w: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4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7.61E-04</w:t>
            </w:r>
          </w:p>
        </w:tc>
        <w:tc>
          <w:tcPr>
            <w:tcW w:w="171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180805</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0.51</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1.53E-05</w:t>
            </w:r>
          </w:p>
        </w:tc>
        <w:tc>
          <w:tcPr>
            <w:tcW w:w="17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0.07</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0.02</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w:t>
            </w:r>
          </w:p>
        </w:tc>
        <w:tc>
          <w:tcPr>
            <w:tcW w:w="1295"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木洞屯</w:t>
            </w: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3.45E-04</w:t>
            </w:r>
          </w:p>
        </w:tc>
        <w:tc>
          <w:tcPr>
            <w:tcW w:w="17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180622</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0.23</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5.55E-06</w:t>
            </w:r>
          </w:p>
        </w:tc>
        <w:tc>
          <w:tcPr>
            <w:tcW w:w="17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0.07</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0.01</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w:t>
            </w:r>
          </w:p>
        </w:tc>
        <w:tc>
          <w:tcPr>
            <w:tcW w:w="1295"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网格点（</w:t>
            </w:r>
            <w:r>
              <w:rPr>
                <w:rFonts w:hint="eastAsia" w:ascii="Times New Roman" w:hAnsi="Times New Roman" w:eastAsia="宋体" w:cs="Times New Roman"/>
                <w:color w:val="auto"/>
                <w:sz w:val="21"/>
                <w:highlight w:val="none"/>
              </w:rPr>
              <w:t>4</w:t>
            </w:r>
            <w:r>
              <w:rPr>
                <w:rFonts w:ascii="Times New Roman" w:hAnsi="Times New Roman" w:eastAsia="宋体" w:cs="Times New Roman"/>
                <w:color w:val="auto"/>
                <w:sz w:val="21"/>
                <w:highlight w:val="none"/>
              </w:rPr>
              <w:t>00,0）</w:t>
            </w: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2.18E-02</w:t>
            </w:r>
          </w:p>
        </w:tc>
        <w:tc>
          <w:tcPr>
            <w:tcW w:w="17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180115</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14.55</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4.98E-03</w:t>
            </w:r>
          </w:p>
        </w:tc>
        <w:tc>
          <w:tcPr>
            <w:tcW w:w="17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0.07</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7.11</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bl>
    <w:p>
      <w:pPr>
        <w:ind w:firstLine="480"/>
        <w:rPr>
          <w:rFonts w:ascii="Times New Roman" w:hAnsi="Times New Roman" w:eastAsia="宋体" w:cs="Times New Roman"/>
          <w:color w:val="auto"/>
          <w:highlight w:val="none"/>
        </w:rPr>
      </w:pPr>
    </w:p>
    <w:p>
      <w:pPr>
        <w:adjustRightInd w:val="0"/>
        <w:snapToGrid w:val="0"/>
        <w:ind w:firstLine="480"/>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③PM</w:t>
      </w:r>
      <w:r>
        <w:rPr>
          <w:rFonts w:ascii="Times New Roman" w:hAnsi="Times New Roman" w:eastAsia="宋体" w:cs="Times New Roman"/>
          <w:color w:val="auto"/>
          <w:kern w:val="0"/>
          <w:highlight w:val="none"/>
          <w:vertAlign w:val="subscript"/>
        </w:rPr>
        <w:t>2.5</w:t>
      </w:r>
      <w:r>
        <w:rPr>
          <w:rFonts w:ascii="Times New Roman" w:hAnsi="Times New Roman" w:eastAsia="宋体" w:cs="Times New Roman"/>
          <w:color w:val="auto"/>
          <w:kern w:val="0"/>
          <w:highlight w:val="none"/>
        </w:rPr>
        <w:t>预测结果与评价</w:t>
      </w:r>
    </w:p>
    <w:p>
      <w:pPr>
        <w:autoSpaceDE w:val="0"/>
        <w:autoSpaceDN w:val="0"/>
        <w:adjustRightInd w:val="0"/>
        <w:ind w:firstLine="480"/>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正常排放情况下，PM</w:t>
      </w:r>
      <w:r>
        <w:rPr>
          <w:rFonts w:ascii="Times New Roman" w:hAnsi="Times New Roman" w:eastAsia="宋体" w:cs="Times New Roman"/>
          <w:color w:val="auto"/>
          <w:kern w:val="0"/>
          <w:highlight w:val="none"/>
          <w:vertAlign w:val="subscript"/>
        </w:rPr>
        <w:t>2.5</w:t>
      </w:r>
      <w:r>
        <w:rPr>
          <w:rFonts w:ascii="Times New Roman" w:hAnsi="Times New Roman" w:eastAsia="宋体" w:cs="Times New Roman"/>
          <w:color w:val="auto"/>
          <w:kern w:val="0"/>
          <w:highlight w:val="none"/>
        </w:rPr>
        <w:t>预测结果见表4.2-</w:t>
      </w:r>
      <w:r>
        <w:rPr>
          <w:rFonts w:hint="eastAsia" w:ascii="Times New Roman" w:hAnsi="Times New Roman" w:eastAsia="宋体" w:cs="Times New Roman"/>
          <w:color w:val="auto"/>
          <w:kern w:val="0"/>
          <w:highlight w:val="none"/>
        </w:rPr>
        <w:t>8</w:t>
      </w:r>
      <w:r>
        <w:rPr>
          <w:rFonts w:ascii="Times New Roman" w:hAnsi="Times New Roman" w:eastAsia="宋体" w:cs="Times New Roman"/>
          <w:color w:val="auto"/>
          <w:kern w:val="0"/>
          <w:highlight w:val="none"/>
        </w:rPr>
        <w:t>。</w:t>
      </w:r>
    </w:p>
    <w:p>
      <w:pPr>
        <w:autoSpaceDE w:val="0"/>
        <w:autoSpaceDN w:val="0"/>
        <w:adjustRightInd w:val="0"/>
        <w:ind w:firstLine="480"/>
        <w:rPr>
          <w:rFonts w:ascii="Times New Roman" w:hAnsi="Times New Roman" w:eastAsia="宋体" w:cs="Times New Roman"/>
          <w:color w:val="auto"/>
          <w:highlight w:val="none"/>
        </w:rPr>
      </w:pPr>
      <w:r>
        <w:rPr>
          <w:rFonts w:ascii="Times New Roman" w:hAnsi="Times New Roman" w:eastAsia="宋体" w:cs="Times New Roman"/>
          <w:color w:val="auto"/>
          <w:kern w:val="0"/>
          <w:szCs w:val="24"/>
          <w:highlight w:val="none"/>
        </w:rPr>
        <w:t>拟建项目新增</w:t>
      </w:r>
      <w:r>
        <w:rPr>
          <w:rFonts w:ascii="Times New Roman" w:hAnsi="Times New Roman" w:eastAsia="宋体" w:cs="Times New Roman"/>
          <w:color w:val="auto"/>
          <w:kern w:val="0"/>
          <w:highlight w:val="none"/>
        </w:rPr>
        <w:t>PM</w:t>
      </w:r>
      <w:r>
        <w:rPr>
          <w:rFonts w:ascii="Times New Roman" w:hAnsi="Times New Roman" w:eastAsia="宋体" w:cs="Times New Roman"/>
          <w:color w:val="auto"/>
          <w:kern w:val="0"/>
          <w:highlight w:val="none"/>
          <w:vertAlign w:val="subscript"/>
        </w:rPr>
        <w:t>2.5</w:t>
      </w:r>
      <w:r>
        <w:rPr>
          <w:rFonts w:ascii="Times New Roman" w:hAnsi="Times New Roman" w:eastAsia="宋体" w:cs="Times New Roman"/>
          <w:color w:val="auto"/>
          <w:kern w:val="0"/>
          <w:szCs w:val="24"/>
          <w:highlight w:val="none"/>
        </w:rPr>
        <w:t>在</w:t>
      </w:r>
      <w:r>
        <w:rPr>
          <w:rFonts w:ascii="Times New Roman" w:hAnsi="Times New Roman" w:eastAsia="宋体" w:cs="Times New Roman"/>
          <w:color w:val="auto"/>
          <w:kern w:val="0"/>
          <w:highlight w:val="none"/>
        </w:rPr>
        <w:t>各敏感点的</w:t>
      </w:r>
      <w:r>
        <w:rPr>
          <w:rFonts w:ascii="Times New Roman" w:hAnsi="Times New Roman" w:eastAsia="宋体" w:cs="Times New Roman"/>
          <w:color w:val="auto"/>
          <w:highlight w:val="none"/>
        </w:rPr>
        <w:t>日平均和年平均浓度贡献值满足《环境空气质量标准》（GB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3095-2012）</w:t>
      </w:r>
      <w:r>
        <w:rPr>
          <w:rFonts w:ascii="Times New Roman" w:hAnsi="Times New Roman" w:eastAsia="宋体" w:cs="Times New Roman"/>
          <w:color w:val="auto"/>
          <w:szCs w:val="24"/>
          <w:highlight w:val="none"/>
        </w:rPr>
        <w:t>及其修改单二级标准</w:t>
      </w:r>
      <w:r>
        <w:rPr>
          <w:rFonts w:ascii="Times New Roman" w:hAnsi="Times New Roman" w:eastAsia="宋体" w:cs="Times New Roman"/>
          <w:color w:val="auto"/>
          <w:highlight w:val="none"/>
        </w:rPr>
        <w:t>。</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区域新增</w:t>
      </w:r>
      <w:r>
        <w:rPr>
          <w:rFonts w:ascii="Times New Roman" w:hAnsi="Times New Roman" w:eastAsia="宋体" w:cs="Times New Roman"/>
          <w:color w:val="auto"/>
          <w:kern w:val="0"/>
          <w:highlight w:val="none"/>
        </w:rPr>
        <w:t>PM</w:t>
      </w:r>
      <w:r>
        <w:rPr>
          <w:rFonts w:ascii="Times New Roman" w:hAnsi="Times New Roman" w:eastAsia="宋体" w:cs="Times New Roman"/>
          <w:color w:val="auto"/>
          <w:kern w:val="0"/>
          <w:highlight w:val="none"/>
          <w:vertAlign w:val="subscript"/>
        </w:rPr>
        <w:t>2.5</w:t>
      </w:r>
      <w:r>
        <w:rPr>
          <w:rFonts w:ascii="Times New Roman" w:hAnsi="Times New Roman" w:eastAsia="宋体" w:cs="Times New Roman"/>
          <w:color w:val="auto"/>
          <w:highlight w:val="none"/>
        </w:rPr>
        <w:t>日均浓度、全年浓度增量均达标。其中日均区域最大浓度点坐标为（</w:t>
      </w:r>
      <w:r>
        <w:rPr>
          <w:rFonts w:hint="eastAsia" w:ascii="Times New Roman" w:hAnsi="Times New Roman" w:eastAsia="宋体" w:cs="Times New Roman"/>
          <w:color w:val="auto"/>
          <w:highlight w:val="none"/>
        </w:rPr>
        <w:t>4</w:t>
      </w:r>
      <w:r>
        <w:rPr>
          <w:rFonts w:ascii="Times New Roman" w:hAnsi="Times New Roman" w:eastAsia="宋体" w:cs="Times New Roman"/>
          <w:color w:val="auto"/>
          <w:highlight w:val="none"/>
        </w:rPr>
        <w:t>00,0），浓度增量0.0</w:t>
      </w:r>
      <w:r>
        <w:rPr>
          <w:rFonts w:hint="eastAsia" w:ascii="Times New Roman" w:hAnsi="Times New Roman" w:eastAsia="宋体" w:cs="Times New Roman"/>
          <w:color w:val="auto"/>
          <w:highlight w:val="none"/>
        </w:rPr>
        <w:t>112</w:t>
      </w:r>
      <w:r>
        <w:rPr>
          <w:rFonts w:ascii="Times New Roman" w:hAnsi="Times New Roman" w:eastAsia="宋体" w:cs="Times New Roman"/>
          <w:color w:val="auto"/>
          <w:highlight w:val="none"/>
        </w:rPr>
        <w:t>mg/m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，占标率</w:t>
      </w:r>
      <w:r>
        <w:rPr>
          <w:rFonts w:hint="eastAsia" w:ascii="Times New Roman" w:hAnsi="Times New Roman" w:eastAsia="宋体" w:cs="Times New Roman"/>
          <w:color w:val="auto"/>
          <w:highlight w:val="none"/>
        </w:rPr>
        <w:t>14.89</w:t>
      </w:r>
      <w:r>
        <w:rPr>
          <w:rFonts w:ascii="Times New Roman" w:hAnsi="Times New Roman" w:eastAsia="宋体" w:cs="Times New Roman"/>
          <w:color w:val="auto"/>
          <w:highlight w:val="none"/>
        </w:rPr>
        <w:t>%，出现时间为2018年0</w:t>
      </w:r>
      <w:r>
        <w:rPr>
          <w:rFonts w:hint="eastAsia" w:ascii="Times New Roman" w:hAnsi="Times New Roman" w:eastAsia="宋体" w:cs="Times New Roman"/>
          <w:color w:val="auto"/>
          <w:highlight w:val="none"/>
        </w:rPr>
        <w:t>1</w:t>
      </w:r>
      <w:r>
        <w:rPr>
          <w:rFonts w:ascii="Times New Roman" w:hAnsi="Times New Roman" w:eastAsia="宋体" w:cs="Times New Roman"/>
          <w:color w:val="auto"/>
          <w:highlight w:val="none"/>
        </w:rPr>
        <w:t>月</w:t>
      </w:r>
      <w:r>
        <w:rPr>
          <w:rFonts w:hint="eastAsia" w:ascii="Times New Roman" w:hAnsi="Times New Roman" w:eastAsia="宋体" w:cs="Times New Roman"/>
          <w:color w:val="auto"/>
          <w:highlight w:val="none"/>
        </w:rPr>
        <w:t>15</w:t>
      </w:r>
      <w:r>
        <w:rPr>
          <w:rFonts w:ascii="Times New Roman" w:hAnsi="Times New Roman" w:eastAsia="宋体" w:cs="Times New Roman"/>
          <w:color w:val="auto"/>
          <w:highlight w:val="none"/>
        </w:rPr>
        <w:t>日；全年区域最大浓度点坐标为（</w:t>
      </w:r>
      <w:r>
        <w:rPr>
          <w:rFonts w:hint="eastAsia" w:ascii="Times New Roman" w:hAnsi="Times New Roman" w:eastAsia="宋体" w:cs="Times New Roman"/>
          <w:color w:val="auto"/>
          <w:highlight w:val="none"/>
        </w:rPr>
        <w:t>4</w:t>
      </w:r>
      <w:r>
        <w:rPr>
          <w:rFonts w:ascii="Times New Roman" w:hAnsi="Times New Roman" w:eastAsia="宋体" w:cs="Times New Roman"/>
          <w:color w:val="auto"/>
          <w:highlight w:val="none"/>
        </w:rPr>
        <w:t>00,0），浓度增量0.00</w:t>
      </w:r>
      <w:r>
        <w:rPr>
          <w:rFonts w:hint="eastAsia" w:ascii="Times New Roman" w:hAnsi="Times New Roman" w:eastAsia="宋体" w:cs="Times New Roman"/>
          <w:color w:val="auto"/>
          <w:highlight w:val="none"/>
        </w:rPr>
        <w:t>252</w:t>
      </w:r>
      <w:r>
        <w:rPr>
          <w:rFonts w:ascii="Times New Roman" w:hAnsi="Times New Roman" w:eastAsia="宋体" w:cs="Times New Roman"/>
          <w:color w:val="auto"/>
          <w:highlight w:val="none"/>
        </w:rPr>
        <w:t>mg/m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，占标率</w:t>
      </w:r>
      <w:r>
        <w:rPr>
          <w:rFonts w:hint="eastAsia" w:ascii="Times New Roman" w:hAnsi="Times New Roman" w:eastAsia="宋体" w:cs="Times New Roman"/>
          <w:color w:val="auto"/>
          <w:highlight w:val="none"/>
        </w:rPr>
        <w:t>7.21</w:t>
      </w:r>
      <w:r>
        <w:rPr>
          <w:rFonts w:ascii="Times New Roman" w:hAnsi="Times New Roman" w:eastAsia="宋体" w:cs="Times New Roman"/>
          <w:color w:val="auto"/>
          <w:highlight w:val="none"/>
        </w:rPr>
        <w:t>%。</w:t>
      </w:r>
    </w:p>
    <w:p>
      <w:pPr>
        <w:pStyle w:val="87"/>
        <w:rPr>
          <w:rFonts w:ascii="Times New Roman" w:hAnsi="Times New Roman" w:eastAsia="宋体" w:cs="Times New Roman"/>
          <w:color w:val="auto"/>
          <w:highlight w:val="none"/>
        </w:rPr>
        <w:sectPr>
          <w:headerReference r:id="rId17" w:type="default"/>
          <w:pgSz w:w="11900" w:h="16838"/>
          <w:pgMar w:top="1417" w:right="1417" w:bottom="1417" w:left="1417" w:header="850" w:footer="992" w:gutter="0"/>
          <w:pgBorders>
            <w:top w:val="none" w:sz="0" w:space="0"/>
            <w:left w:val="none" w:sz="0" w:space="0"/>
            <w:bottom w:val="none" w:sz="0" w:space="0"/>
            <w:right w:val="none" w:sz="0" w:space="0"/>
          </w:pgBorders>
          <w:cols w:space="720" w:num="1"/>
          <w:docGrid w:linePitch="326" w:charSpace="0"/>
        </w:sectPr>
      </w:pPr>
    </w:p>
    <w:p>
      <w:pPr>
        <w:pStyle w:val="87"/>
        <w:rPr>
          <w:rFonts w:ascii="Times New Roman" w:hAnsi="Times New Roman" w:eastAsia="宋体" w:cs="Times New Roman"/>
          <w:color w:val="auto"/>
          <w:highlight w:val="none"/>
        </w:rPr>
      </w:pPr>
      <w:r>
        <w:rPr>
          <w:rFonts w:ascii="Times New Roman" w:hAnsi="Times New Roman" w:eastAsia="宋体" w:cs="Times New Roman"/>
          <w:color w:val="auto"/>
          <w:highlight w:val="none"/>
        </w:rPr>
        <w:t>表4.2-</w:t>
      </w:r>
      <w:r>
        <w:rPr>
          <w:rFonts w:hint="eastAsia" w:ascii="Times New Roman" w:hAnsi="Times New Roman" w:eastAsia="宋体" w:cs="Times New Roman"/>
          <w:color w:val="auto"/>
          <w:highlight w:val="none"/>
        </w:rPr>
        <w:t xml:space="preserve">8 </w:t>
      </w:r>
      <w:r>
        <w:rPr>
          <w:rFonts w:ascii="Times New Roman" w:hAnsi="Times New Roman" w:eastAsia="宋体" w:cs="Times New Roman"/>
          <w:color w:val="auto"/>
          <w:highlight w:val="none"/>
        </w:rPr>
        <w:t xml:space="preserve"> </w:t>
      </w:r>
      <w:r>
        <w:rPr>
          <w:rFonts w:ascii="Times New Roman" w:hAnsi="Times New Roman" w:eastAsia="宋体" w:cs="Times New Roman"/>
          <w:color w:val="auto"/>
          <w:kern w:val="0"/>
          <w:highlight w:val="none"/>
        </w:rPr>
        <w:t>PM</w:t>
      </w:r>
      <w:r>
        <w:rPr>
          <w:rFonts w:ascii="Times New Roman" w:hAnsi="Times New Roman" w:eastAsia="宋体" w:cs="Times New Roman"/>
          <w:color w:val="auto"/>
          <w:kern w:val="0"/>
          <w:highlight w:val="none"/>
          <w:vertAlign w:val="subscript"/>
        </w:rPr>
        <w:t>2.5</w:t>
      </w:r>
      <w:r>
        <w:rPr>
          <w:rFonts w:ascii="Times New Roman" w:hAnsi="Times New Roman" w:eastAsia="宋体" w:cs="Times New Roman"/>
          <w:color w:val="auto"/>
          <w:highlight w:val="none"/>
        </w:rPr>
        <w:t>贡献质量浓度预测结果表</w:t>
      </w:r>
    </w:p>
    <w:tbl>
      <w:tblPr>
        <w:tblStyle w:val="48"/>
        <w:tblW w:w="9071"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480"/>
        <w:gridCol w:w="1295"/>
        <w:gridCol w:w="1278"/>
        <w:gridCol w:w="1242"/>
        <w:gridCol w:w="1715"/>
        <w:gridCol w:w="1133"/>
        <w:gridCol w:w="1053"/>
        <w:gridCol w:w="875"/>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序号</w:t>
            </w:r>
          </w:p>
        </w:tc>
        <w:tc>
          <w:tcPr>
            <w:tcW w:w="1295"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预测点</w:t>
            </w:r>
          </w:p>
        </w:tc>
        <w:tc>
          <w:tcPr>
            <w:tcW w:w="1278" w:type="dxa"/>
            <w:noWrap w:val="0"/>
            <w:vAlign w:val="center"/>
          </w:tcPr>
          <w:p>
            <w:pPr>
              <w:spacing w:line="240" w:lineRule="auto"/>
              <w:ind w:firstLine="0" w:firstLineChars="0"/>
              <w:jc w:val="center"/>
              <w:rPr>
                <w:rFonts w:hint="eastAsia"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浓度</w:t>
            </w:r>
          </w:p>
          <w:p>
            <w:pPr>
              <w:spacing w:line="240" w:lineRule="auto"/>
              <w:ind w:firstLine="0" w:firstLineChars="0"/>
              <w:jc w:val="center"/>
              <w:rPr>
                <w:rFonts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类型</w:t>
            </w:r>
          </w:p>
        </w:tc>
        <w:tc>
          <w:tcPr>
            <w:tcW w:w="1242"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浓度增量</w:t>
            </w:r>
            <w:r>
              <w:rPr>
                <w:rFonts w:ascii="Times New Roman" w:hAnsi="Times New Roman" w:eastAsia="宋体" w:cs="Times New Roman"/>
                <w:b/>
                <w:color w:val="auto"/>
                <w:sz w:val="21"/>
                <w:highlight w:val="none"/>
              </w:rPr>
              <w:t>(mg/m</w:t>
            </w:r>
            <w:r>
              <w:rPr>
                <w:rFonts w:ascii="Times New Roman" w:hAnsi="Times New Roman" w:eastAsia="宋体" w:cs="Times New Roman"/>
                <w:b/>
                <w:color w:val="auto"/>
                <w:sz w:val="21"/>
                <w:highlight w:val="none"/>
                <w:vertAlign w:val="superscript"/>
              </w:rPr>
              <w:t>3</w:t>
            </w:r>
            <w:r>
              <w:rPr>
                <w:rFonts w:ascii="Times New Roman" w:hAnsi="Times New Roman" w:eastAsia="宋体" w:cs="Times New Roman"/>
                <w:b/>
                <w:color w:val="auto"/>
                <w:sz w:val="21"/>
                <w:highlight w:val="none"/>
              </w:rPr>
              <w:t>)</w:t>
            </w:r>
          </w:p>
        </w:tc>
        <w:tc>
          <w:tcPr>
            <w:tcW w:w="1715"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出现时间</w:t>
            </w:r>
          </w:p>
        </w:tc>
        <w:tc>
          <w:tcPr>
            <w:tcW w:w="1133"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评价标准(mg/m</w:t>
            </w:r>
            <w:r>
              <w:rPr>
                <w:rFonts w:ascii="Times New Roman" w:hAnsi="Times New Roman" w:eastAsia="宋体" w:cs="Times New Roman"/>
                <w:b/>
                <w:color w:val="auto"/>
                <w:sz w:val="21"/>
                <w:highlight w:val="none"/>
                <w:vertAlign w:val="superscript"/>
              </w:rPr>
              <w:t>3</w:t>
            </w:r>
            <w:r>
              <w:rPr>
                <w:rFonts w:ascii="Times New Roman" w:hAnsi="Times New Roman" w:eastAsia="宋体" w:cs="Times New Roman"/>
                <w:b/>
                <w:color w:val="auto"/>
                <w:sz w:val="21"/>
                <w:highlight w:val="none"/>
              </w:rPr>
              <w:t>)</w:t>
            </w:r>
          </w:p>
        </w:tc>
        <w:tc>
          <w:tcPr>
            <w:tcW w:w="1053"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占标率（%）</w:t>
            </w:r>
          </w:p>
        </w:tc>
        <w:tc>
          <w:tcPr>
            <w:tcW w:w="875"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达标</w:t>
            </w:r>
          </w:p>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情况</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295"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东恒屯</w:t>
            </w: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9.49E-04</w:t>
            </w:r>
          </w:p>
        </w:tc>
        <w:tc>
          <w:tcPr>
            <w:tcW w:w="17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180829</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075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1.27</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5.30E-05</w:t>
            </w:r>
          </w:p>
        </w:tc>
        <w:tc>
          <w:tcPr>
            <w:tcW w:w="17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35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0.15</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1295"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东坪村</w:t>
            </w: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4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1.72E-03</w:t>
            </w:r>
          </w:p>
        </w:tc>
        <w:tc>
          <w:tcPr>
            <w:tcW w:w="171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181024</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075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2.30</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4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1.61E-04</w:t>
            </w:r>
          </w:p>
        </w:tc>
        <w:tc>
          <w:tcPr>
            <w:tcW w:w="171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35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0.46</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1295"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坡滚屯</w:t>
            </w: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4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1.10E-03</w:t>
            </w:r>
          </w:p>
        </w:tc>
        <w:tc>
          <w:tcPr>
            <w:tcW w:w="171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180829</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075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1.47</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4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9.63E-05</w:t>
            </w:r>
          </w:p>
        </w:tc>
        <w:tc>
          <w:tcPr>
            <w:tcW w:w="171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35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0.28</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295"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拉决屯</w:t>
            </w: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4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3.98E-04</w:t>
            </w:r>
          </w:p>
        </w:tc>
        <w:tc>
          <w:tcPr>
            <w:tcW w:w="171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180821</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075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0.53</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4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2.47E-05</w:t>
            </w:r>
          </w:p>
        </w:tc>
        <w:tc>
          <w:tcPr>
            <w:tcW w:w="171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35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0.07</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w:t>
            </w:r>
          </w:p>
        </w:tc>
        <w:tc>
          <w:tcPr>
            <w:tcW w:w="1295"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江口屯</w:t>
            </w: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4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5.46E-04</w:t>
            </w:r>
          </w:p>
        </w:tc>
        <w:tc>
          <w:tcPr>
            <w:tcW w:w="171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180706</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075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0.73</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4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2.05E-05</w:t>
            </w:r>
          </w:p>
        </w:tc>
        <w:tc>
          <w:tcPr>
            <w:tcW w:w="171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35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0.06</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w:t>
            </w:r>
          </w:p>
        </w:tc>
        <w:tc>
          <w:tcPr>
            <w:tcW w:w="1295"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大湴屯</w:t>
            </w: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4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3.19E-04</w:t>
            </w:r>
          </w:p>
        </w:tc>
        <w:tc>
          <w:tcPr>
            <w:tcW w:w="171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180720</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075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0.43</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4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1.40E-05</w:t>
            </w:r>
          </w:p>
        </w:tc>
        <w:tc>
          <w:tcPr>
            <w:tcW w:w="171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35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0.04</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w:t>
            </w:r>
          </w:p>
        </w:tc>
        <w:tc>
          <w:tcPr>
            <w:tcW w:w="1295"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斗江镇</w:t>
            </w: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4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3.75E-04</w:t>
            </w:r>
          </w:p>
        </w:tc>
        <w:tc>
          <w:tcPr>
            <w:tcW w:w="171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180805</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075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0.50</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7.42E-06</w:t>
            </w:r>
          </w:p>
        </w:tc>
        <w:tc>
          <w:tcPr>
            <w:tcW w:w="17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35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0.02</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w:t>
            </w:r>
          </w:p>
        </w:tc>
        <w:tc>
          <w:tcPr>
            <w:tcW w:w="1295"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木洞屯</w:t>
            </w: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1.73E-04</w:t>
            </w:r>
          </w:p>
        </w:tc>
        <w:tc>
          <w:tcPr>
            <w:tcW w:w="17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180622</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075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0.23</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2.09E-06</w:t>
            </w:r>
          </w:p>
        </w:tc>
        <w:tc>
          <w:tcPr>
            <w:tcW w:w="17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35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0.01</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restart"/>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w:t>
            </w:r>
          </w:p>
        </w:tc>
        <w:tc>
          <w:tcPr>
            <w:tcW w:w="1295"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网格点（</w:t>
            </w:r>
            <w:r>
              <w:rPr>
                <w:rFonts w:hint="eastAsia" w:ascii="Times New Roman" w:hAnsi="Times New Roman" w:eastAsia="宋体" w:cs="Times New Roman"/>
                <w:color w:val="auto"/>
                <w:sz w:val="21"/>
                <w:highlight w:val="none"/>
              </w:rPr>
              <w:t>4</w:t>
            </w:r>
            <w:r>
              <w:rPr>
                <w:rFonts w:ascii="Times New Roman" w:hAnsi="Times New Roman" w:eastAsia="宋体" w:cs="Times New Roman"/>
                <w:color w:val="auto"/>
                <w:sz w:val="21"/>
                <w:highlight w:val="none"/>
              </w:rPr>
              <w:t>00,0）</w:t>
            </w: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2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1.12E-02</w:t>
            </w:r>
          </w:p>
        </w:tc>
        <w:tc>
          <w:tcPr>
            <w:tcW w:w="17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180115</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075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14.89</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年平均</w:t>
            </w:r>
          </w:p>
        </w:tc>
        <w:tc>
          <w:tcPr>
            <w:tcW w:w="124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2.52E-03</w:t>
            </w:r>
          </w:p>
        </w:tc>
        <w:tc>
          <w:tcPr>
            <w:tcW w:w="17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13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35</w:t>
            </w:r>
          </w:p>
        </w:tc>
        <w:tc>
          <w:tcPr>
            <w:tcW w:w="10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7.21</w:t>
            </w:r>
          </w:p>
        </w:tc>
        <w:tc>
          <w:tcPr>
            <w:tcW w:w="87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达标</w:t>
            </w:r>
          </w:p>
        </w:tc>
      </w:tr>
    </w:tbl>
    <w:p>
      <w:pPr>
        <w:ind w:firstLine="480"/>
        <w:rPr>
          <w:rFonts w:ascii="Times New Roman" w:hAnsi="Times New Roman" w:eastAsia="宋体" w:cs="Times New Roman"/>
          <w:color w:val="auto"/>
          <w:highlight w:val="none"/>
        </w:rPr>
      </w:pP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（2）叠加</w:t>
      </w:r>
      <w:r>
        <w:rPr>
          <w:rFonts w:hint="eastAsia" w:ascii="Times New Roman" w:hAnsi="Times New Roman" w:eastAsia="宋体" w:cs="Times New Roman"/>
          <w:color w:val="auto"/>
          <w:highlight w:val="none"/>
        </w:rPr>
        <w:t>背景</w:t>
      </w:r>
      <w:r>
        <w:rPr>
          <w:rFonts w:ascii="Times New Roman" w:hAnsi="Times New Roman" w:eastAsia="宋体" w:cs="Times New Roman"/>
          <w:color w:val="auto"/>
          <w:highlight w:val="none"/>
        </w:rPr>
        <w:t>浓度预测结果与评价</w:t>
      </w:r>
    </w:p>
    <w:p>
      <w:pPr>
        <w:ind w:firstLine="480"/>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根据</w:t>
      </w:r>
      <w:r>
        <w:rPr>
          <w:rFonts w:ascii="Times New Roman" w:hAnsi="Times New Roman" w:eastAsia="宋体" w:cs="Times New Roman"/>
          <w:color w:val="auto"/>
          <w:kern w:val="0"/>
          <w:highlight w:val="none"/>
        </w:rPr>
        <w:t>《环境影响评价技术导则 大气环境》（HJ</w:t>
      </w:r>
      <w:r>
        <w:rPr>
          <w:rFonts w:hint="eastAsia" w:ascii="Times New Roman" w:hAnsi="Times New Roman" w:eastAsia="宋体" w:cs="Times New Roman"/>
          <w:color w:val="auto"/>
          <w:kern w:val="0"/>
          <w:highlight w:val="none"/>
          <w:lang w:val="en-US" w:eastAsia="zh-CN"/>
        </w:rPr>
        <w:t xml:space="preserve"> </w:t>
      </w:r>
      <w:r>
        <w:rPr>
          <w:rFonts w:ascii="Times New Roman" w:hAnsi="Times New Roman" w:eastAsia="宋体" w:cs="Times New Roman"/>
          <w:color w:val="auto"/>
          <w:kern w:val="0"/>
          <w:highlight w:val="none"/>
        </w:rPr>
        <w:t>2.2-2018）</w:t>
      </w:r>
      <w:r>
        <w:rPr>
          <w:rFonts w:hint="eastAsia" w:ascii="Times New Roman" w:hAnsi="Times New Roman" w:eastAsia="宋体" w:cs="Times New Roman"/>
          <w:color w:val="auto"/>
          <w:kern w:val="0"/>
          <w:highlight w:val="none"/>
        </w:rPr>
        <w:t>第6.2.1.2 条“采用评价范围内国家或地方环境空气质量监测网中评价基准年连续1年的监测数据，或采用生态环境主管部门公开发布的环境空气质量现状数据。”本项目利用三江生态环境局公布的三江县2018年</w:t>
      </w:r>
      <w:r>
        <w:rPr>
          <w:rFonts w:ascii="Times New Roman" w:hAnsi="Times New Roman" w:eastAsia="宋体" w:cs="Times New Roman"/>
          <w:color w:val="auto"/>
          <w:kern w:val="0"/>
          <w:highlight w:val="none"/>
        </w:rPr>
        <w:t>PM</w:t>
      </w:r>
      <w:r>
        <w:rPr>
          <w:rFonts w:ascii="Times New Roman" w:hAnsi="Times New Roman" w:eastAsia="宋体" w:cs="Times New Roman"/>
          <w:color w:val="auto"/>
          <w:kern w:val="0"/>
          <w:highlight w:val="none"/>
          <w:vertAlign w:val="subscript"/>
        </w:rPr>
        <w:t>10</w:t>
      </w:r>
      <w:r>
        <w:rPr>
          <w:rFonts w:ascii="Times New Roman" w:hAnsi="Times New Roman" w:eastAsia="宋体" w:cs="Times New Roman"/>
          <w:color w:val="auto"/>
          <w:kern w:val="0"/>
          <w:highlight w:val="none"/>
        </w:rPr>
        <w:t>、PM</w:t>
      </w:r>
      <w:r>
        <w:rPr>
          <w:rFonts w:ascii="Times New Roman" w:hAnsi="Times New Roman" w:eastAsia="宋体" w:cs="Times New Roman"/>
          <w:color w:val="auto"/>
          <w:kern w:val="0"/>
          <w:highlight w:val="none"/>
          <w:vertAlign w:val="subscript"/>
        </w:rPr>
        <w:t>2.5</w:t>
      </w:r>
      <w:r>
        <w:rPr>
          <w:rFonts w:hint="eastAsia" w:ascii="Times New Roman" w:hAnsi="Times New Roman" w:eastAsia="宋体" w:cs="Times New Roman"/>
          <w:color w:val="auto"/>
          <w:kern w:val="0"/>
          <w:highlight w:val="none"/>
        </w:rPr>
        <w:t>监测数据，作为本项目</w:t>
      </w:r>
      <w:r>
        <w:rPr>
          <w:rFonts w:ascii="Times New Roman" w:hAnsi="Times New Roman" w:eastAsia="宋体" w:cs="Times New Roman"/>
          <w:color w:val="auto"/>
          <w:kern w:val="0"/>
          <w:highlight w:val="none"/>
        </w:rPr>
        <w:t>PM</w:t>
      </w:r>
      <w:r>
        <w:rPr>
          <w:rFonts w:ascii="Times New Roman" w:hAnsi="Times New Roman" w:eastAsia="宋体" w:cs="Times New Roman"/>
          <w:color w:val="auto"/>
          <w:kern w:val="0"/>
          <w:highlight w:val="none"/>
          <w:vertAlign w:val="subscript"/>
        </w:rPr>
        <w:t>10</w:t>
      </w:r>
      <w:r>
        <w:rPr>
          <w:rFonts w:ascii="Times New Roman" w:hAnsi="Times New Roman" w:eastAsia="宋体" w:cs="Times New Roman"/>
          <w:color w:val="auto"/>
          <w:kern w:val="0"/>
          <w:highlight w:val="none"/>
        </w:rPr>
        <w:t>、PM</w:t>
      </w:r>
      <w:r>
        <w:rPr>
          <w:rFonts w:ascii="Times New Roman" w:hAnsi="Times New Roman" w:eastAsia="宋体" w:cs="Times New Roman"/>
          <w:color w:val="auto"/>
          <w:kern w:val="0"/>
          <w:highlight w:val="none"/>
          <w:vertAlign w:val="subscript"/>
        </w:rPr>
        <w:t>2.5</w:t>
      </w:r>
      <w:r>
        <w:rPr>
          <w:rFonts w:hint="eastAsia" w:ascii="Times New Roman" w:hAnsi="Times New Roman" w:eastAsia="宋体" w:cs="Times New Roman"/>
          <w:color w:val="auto"/>
          <w:kern w:val="0"/>
          <w:highlight w:val="none"/>
        </w:rPr>
        <w:t>的现状背景浓度值。TSP现状背景浓度值取监测日均值最大值进行计算。</w:t>
      </w:r>
    </w:p>
    <w:p>
      <w:pPr>
        <w:ind w:firstLine="480"/>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项目叠加环境质量现状浓度后，TSP、PM</w:t>
      </w:r>
      <w:r>
        <w:rPr>
          <w:rFonts w:ascii="Times New Roman" w:hAnsi="Times New Roman" w:eastAsia="宋体" w:cs="Times New Roman"/>
          <w:color w:val="auto"/>
          <w:kern w:val="0"/>
          <w:highlight w:val="none"/>
          <w:vertAlign w:val="subscript"/>
        </w:rPr>
        <w:t>10</w:t>
      </w:r>
      <w:r>
        <w:rPr>
          <w:rFonts w:ascii="Times New Roman" w:hAnsi="Times New Roman" w:eastAsia="宋体" w:cs="Times New Roman"/>
          <w:color w:val="auto"/>
          <w:kern w:val="0"/>
          <w:highlight w:val="none"/>
        </w:rPr>
        <w:t>、PM</w:t>
      </w:r>
      <w:r>
        <w:rPr>
          <w:rFonts w:ascii="Times New Roman" w:hAnsi="Times New Roman" w:eastAsia="宋体" w:cs="Times New Roman"/>
          <w:color w:val="auto"/>
          <w:kern w:val="0"/>
          <w:highlight w:val="none"/>
          <w:vertAlign w:val="subscript"/>
        </w:rPr>
        <w:t>2.5</w:t>
      </w:r>
      <w:r>
        <w:rPr>
          <w:rFonts w:ascii="Times New Roman" w:hAnsi="Times New Roman" w:eastAsia="宋体" w:cs="Times New Roman"/>
          <w:color w:val="auto"/>
          <w:kern w:val="0"/>
          <w:highlight w:val="none"/>
        </w:rPr>
        <w:t>预测结果如下：</w:t>
      </w:r>
    </w:p>
    <w:p>
      <w:pPr>
        <w:ind w:firstLine="480"/>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①TSP叠加预测结果</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TSP</w:t>
      </w:r>
      <w:r>
        <w:rPr>
          <w:rFonts w:ascii="Times New Roman" w:hAnsi="Times New Roman" w:eastAsia="宋体" w:cs="Times New Roman"/>
          <w:color w:val="auto"/>
          <w:highlight w:val="none"/>
        </w:rPr>
        <w:t>叠加预测结果见表4.2-</w:t>
      </w:r>
      <w:r>
        <w:rPr>
          <w:rFonts w:hint="eastAsia" w:ascii="Times New Roman" w:hAnsi="Times New Roman" w:eastAsia="宋体" w:cs="Times New Roman"/>
          <w:color w:val="auto"/>
          <w:highlight w:val="none"/>
        </w:rPr>
        <w:t>9</w:t>
      </w:r>
      <w:r>
        <w:rPr>
          <w:rFonts w:ascii="Times New Roman" w:hAnsi="Times New Roman" w:eastAsia="宋体" w:cs="Times New Roman"/>
          <w:color w:val="auto"/>
          <w:highlight w:val="none"/>
        </w:rPr>
        <w:t>，</w:t>
      </w:r>
      <w:r>
        <w:rPr>
          <w:rFonts w:ascii="Times New Roman" w:hAnsi="Times New Roman" w:eastAsia="宋体" w:cs="Times New Roman"/>
          <w:bCs/>
          <w:snapToGrid w:val="0"/>
          <w:color w:val="auto"/>
          <w:highlight w:val="none"/>
        </w:rPr>
        <w:t>预测评价叠加环境质量现状浓度+新增污染源后</w:t>
      </w:r>
      <w:r>
        <w:rPr>
          <w:rFonts w:ascii="Times New Roman" w:hAnsi="Times New Roman" w:eastAsia="宋体" w:cs="Times New Roman"/>
          <w:color w:val="auto"/>
          <w:kern w:val="0"/>
          <w:highlight w:val="none"/>
        </w:rPr>
        <w:t>，</w:t>
      </w:r>
      <w:r>
        <w:rPr>
          <w:rFonts w:hint="eastAsia" w:ascii="Times New Roman" w:hAnsi="Times New Roman" w:eastAsia="宋体" w:cs="Times New Roman"/>
          <w:color w:val="auto"/>
          <w:kern w:val="0"/>
          <w:highlight w:val="none"/>
        </w:rPr>
        <w:t>各敏感点和网络点</w:t>
      </w:r>
      <w:r>
        <w:rPr>
          <w:rFonts w:ascii="Times New Roman" w:hAnsi="Times New Roman" w:eastAsia="宋体" w:cs="Times New Roman"/>
          <w:color w:val="auto"/>
          <w:kern w:val="0"/>
          <w:highlight w:val="none"/>
        </w:rPr>
        <w:t>TSP的日均浓度</w:t>
      </w:r>
      <w:r>
        <w:rPr>
          <w:rFonts w:hint="eastAsia" w:ascii="Times New Roman" w:hAnsi="Times New Roman" w:eastAsia="宋体" w:cs="Times New Roman"/>
          <w:color w:val="auto"/>
          <w:kern w:val="0"/>
          <w:highlight w:val="none"/>
        </w:rPr>
        <w:t>均</w:t>
      </w:r>
      <w:r>
        <w:rPr>
          <w:rFonts w:ascii="Times New Roman" w:hAnsi="Times New Roman" w:eastAsia="宋体" w:cs="Times New Roman"/>
          <w:color w:val="auto"/>
          <w:kern w:val="0"/>
          <w:highlight w:val="none"/>
        </w:rPr>
        <w:t>满足《环境空气质量标准》（GB</w:t>
      </w:r>
      <w:r>
        <w:rPr>
          <w:rFonts w:hint="eastAsia" w:ascii="Times New Roman" w:hAnsi="Times New Roman" w:eastAsia="宋体" w:cs="Times New Roman"/>
          <w:color w:val="auto"/>
          <w:kern w:val="0"/>
          <w:highlight w:val="none"/>
          <w:lang w:val="en-US" w:eastAsia="zh-CN"/>
        </w:rPr>
        <w:t xml:space="preserve"> </w:t>
      </w:r>
      <w:r>
        <w:rPr>
          <w:rFonts w:ascii="Times New Roman" w:hAnsi="Times New Roman" w:eastAsia="宋体" w:cs="Times New Roman"/>
          <w:color w:val="auto"/>
          <w:kern w:val="0"/>
          <w:highlight w:val="none"/>
        </w:rPr>
        <w:t>3095-2012）及其修改单二级标准</w:t>
      </w:r>
      <w:r>
        <w:rPr>
          <w:rFonts w:ascii="Times New Roman" w:hAnsi="Times New Roman" w:eastAsia="宋体" w:cs="Times New Roman"/>
          <w:color w:val="auto"/>
          <w:highlight w:val="none"/>
        </w:rPr>
        <w:t>。</w:t>
      </w:r>
    </w:p>
    <w:p>
      <w:pPr>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表4.2-</w:t>
      </w:r>
      <w:r>
        <w:rPr>
          <w:rFonts w:hint="eastAsia" w:ascii="Times New Roman" w:hAnsi="Times New Roman" w:eastAsia="宋体" w:cs="Times New Roman"/>
          <w:b/>
          <w:bCs/>
          <w:color w:val="auto"/>
          <w:highlight w:val="none"/>
        </w:rPr>
        <w:t>9</w:t>
      </w:r>
      <w:r>
        <w:rPr>
          <w:rFonts w:ascii="Times New Roman" w:hAnsi="Times New Roman" w:eastAsia="宋体" w:cs="Times New Roman"/>
          <w:b/>
          <w:bCs/>
          <w:color w:val="auto"/>
          <w:highlight w:val="none"/>
        </w:rPr>
        <w:t xml:space="preserve">  TSP叠加背景浓度后环境质量浓度预测结果表</w:t>
      </w:r>
    </w:p>
    <w:tbl>
      <w:tblPr>
        <w:tblStyle w:val="48"/>
        <w:tblW w:w="9071"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372"/>
        <w:gridCol w:w="1050"/>
        <w:gridCol w:w="1102"/>
        <w:gridCol w:w="893"/>
        <w:gridCol w:w="1185"/>
        <w:gridCol w:w="1328"/>
        <w:gridCol w:w="937"/>
        <w:gridCol w:w="77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PrEx>
        <w:trPr>
          <w:trHeight w:val="340" w:hRule="atLeast"/>
        </w:trPr>
        <w:tc>
          <w:tcPr>
            <w:tcW w:w="427"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序号</w:t>
            </w:r>
          </w:p>
        </w:tc>
        <w:tc>
          <w:tcPr>
            <w:tcW w:w="1372"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预测点</w:t>
            </w:r>
          </w:p>
        </w:tc>
        <w:tc>
          <w:tcPr>
            <w:tcW w:w="1050" w:type="dxa"/>
            <w:noWrap w:val="0"/>
            <w:vAlign w:val="center"/>
          </w:tcPr>
          <w:p>
            <w:pPr>
              <w:spacing w:line="240" w:lineRule="auto"/>
              <w:ind w:firstLine="0" w:firstLineChars="0"/>
              <w:jc w:val="center"/>
              <w:rPr>
                <w:rFonts w:hint="eastAsia"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浓度</w:t>
            </w:r>
          </w:p>
          <w:p>
            <w:pPr>
              <w:spacing w:line="240" w:lineRule="auto"/>
              <w:ind w:firstLine="0" w:firstLineChars="0"/>
              <w:jc w:val="center"/>
              <w:rPr>
                <w:rFonts w:hint="eastAsia"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类型</w:t>
            </w:r>
          </w:p>
        </w:tc>
        <w:tc>
          <w:tcPr>
            <w:tcW w:w="1102"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浓度增量</w:t>
            </w:r>
            <w:r>
              <w:rPr>
                <w:rFonts w:ascii="Times New Roman" w:hAnsi="Times New Roman" w:eastAsia="宋体" w:cs="Times New Roman"/>
                <w:b/>
                <w:color w:val="auto"/>
                <w:sz w:val="21"/>
                <w:highlight w:val="none"/>
              </w:rPr>
              <w:t>(mg/m</w:t>
            </w:r>
            <w:r>
              <w:rPr>
                <w:rFonts w:ascii="Times New Roman" w:hAnsi="Times New Roman" w:eastAsia="宋体" w:cs="Times New Roman"/>
                <w:b/>
                <w:color w:val="auto"/>
                <w:sz w:val="21"/>
                <w:highlight w:val="none"/>
                <w:vertAlign w:val="superscript"/>
              </w:rPr>
              <w:t>3</w:t>
            </w:r>
            <w:r>
              <w:rPr>
                <w:rFonts w:ascii="Times New Roman" w:hAnsi="Times New Roman" w:eastAsia="宋体" w:cs="Times New Roman"/>
                <w:b/>
                <w:color w:val="auto"/>
                <w:sz w:val="21"/>
                <w:highlight w:val="none"/>
              </w:rPr>
              <w:t>)</w:t>
            </w:r>
          </w:p>
        </w:tc>
        <w:tc>
          <w:tcPr>
            <w:tcW w:w="893"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出现</w:t>
            </w:r>
          </w:p>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时间</w:t>
            </w:r>
          </w:p>
        </w:tc>
        <w:tc>
          <w:tcPr>
            <w:tcW w:w="1185"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现状浓度(mg/m</w:t>
            </w:r>
            <w:r>
              <w:rPr>
                <w:rFonts w:ascii="Times New Roman" w:hAnsi="Times New Roman" w:eastAsia="宋体" w:cs="Times New Roman"/>
                <w:b/>
                <w:color w:val="auto"/>
                <w:sz w:val="21"/>
                <w:highlight w:val="none"/>
                <w:vertAlign w:val="superscript"/>
              </w:rPr>
              <w:t>3</w:t>
            </w:r>
            <w:r>
              <w:rPr>
                <w:rFonts w:ascii="Times New Roman" w:hAnsi="Times New Roman" w:eastAsia="宋体" w:cs="Times New Roman"/>
                <w:b/>
                <w:color w:val="auto"/>
                <w:sz w:val="21"/>
                <w:highlight w:val="none"/>
              </w:rPr>
              <w:t>)</w:t>
            </w:r>
          </w:p>
        </w:tc>
        <w:tc>
          <w:tcPr>
            <w:tcW w:w="1328"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叠加后浓度(mg/m</w:t>
            </w:r>
            <w:r>
              <w:rPr>
                <w:rFonts w:ascii="Times New Roman" w:hAnsi="Times New Roman" w:eastAsia="宋体" w:cs="Times New Roman"/>
                <w:b/>
                <w:color w:val="auto"/>
                <w:sz w:val="21"/>
                <w:highlight w:val="none"/>
                <w:vertAlign w:val="superscript"/>
              </w:rPr>
              <w:t>3</w:t>
            </w:r>
            <w:r>
              <w:rPr>
                <w:rFonts w:ascii="Times New Roman" w:hAnsi="Times New Roman" w:eastAsia="宋体" w:cs="Times New Roman"/>
                <w:b/>
                <w:color w:val="auto"/>
                <w:sz w:val="21"/>
                <w:highlight w:val="none"/>
              </w:rPr>
              <w:t>)</w:t>
            </w:r>
          </w:p>
        </w:tc>
        <w:tc>
          <w:tcPr>
            <w:tcW w:w="937"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占标率（%）</w:t>
            </w:r>
          </w:p>
        </w:tc>
        <w:tc>
          <w:tcPr>
            <w:tcW w:w="777"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达标情况</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3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东恒屯</w:t>
            </w: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10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1.46E-02</w:t>
            </w:r>
          </w:p>
        </w:tc>
        <w:tc>
          <w:tcPr>
            <w:tcW w:w="89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181017</w:t>
            </w:r>
          </w:p>
        </w:tc>
        <w:tc>
          <w:tcPr>
            <w:tcW w:w="118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2.10E-02</w:t>
            </w:r>
          </w:p>
        </w:tc>
        <w:tc>
          <w:tcPr>
            <w:tcW w:w="132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3.56E-02</w:t>
            </w:r>
          </w:p>
        </w:tc>
        <w:tc>
          <w:tcPr>
            <w:tcW w:w="93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11.87</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13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东坪村</w:t>
            </w: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10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1.25E-03</w:t>
            </w:r>
          </w:p>
        </w:tc>
        <w:tc>
          <w:tcPr>
            <w:tcW w:w="89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180829</w:t>
            </w:r>
          </w:p>
        </w:tc>
        <w:tc>
          <w:tcPr>
            <w:tcW w:w="118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2.10E-02</w:t>
            </w:r>
          </w:p>
        </w:tc>
        <w:tc>
          <w:tcPr>
            <w:tcW w:w="132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2.22E-02</w:t>
            </w:r>
          </w:p>
        </w:tc>
        <w:tc>
          <w:tcPr>
            <w:tcW w:w="93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7.42</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13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坡滚屯</w:t>
            </w: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10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1.63E-02</w:t>
            </w:r>
          </w:p>
        </w:tc>
        <w:tc>
          <w:tcPr>
            <w:tcW w:w="89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181024</w:t>
            </w:r>
          </w:p>
        </w:tc>
        <w:tc>
          <w:tcPr>
            <w:tcW w:w="118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2.10E-02</w:t>
            </w:r>
          </w:p>
        </w:tc>
        <w:tc>
          <w:tcPr>
            <w:tcW w:w="132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3.73E-02</w:t>
            </w:r>
          </w:p>
        </w:tc>
        <w:tc>
          <w:tcPr>
            <w:tcW w:w="93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12.42</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3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拉决屯</w:t>
            </w: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10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4.94E-03</w:t>
            </w:r>
          </w:p>
        </w:tc>
        <w:tc>
          <w:tcPr>
            <w:tcW w:w="89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180118</w:t>
            </w:r>
          </w:p>
        </w:tc>
        <w:tc>
          <w:tcPr>
            <w:tcW w:w="118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2.10E-02</w:t>
            </w:r>
          </w:p>
        </w:tc>
        <w:tc>
          <w:tcPr>
            <w:tcW w:w="132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2.59E-02</w:t>
            </w:r>
          </w:p>
        </w:tc>
        <w:tc>
          <w:tcPr>
            <w:tcW w:w="93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8.65</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w:t>
            </w:r>
          </w:p>
        </w:tc>
        <w:tc>
          <w:tcPr>
            <w:tcW w:w="13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江口屯</w:t>
            </w: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10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5.88E-03</w:t>
            </w:r>
          </w:p>
        </w:tc>
        <w:tc>
          <w:tcPr>
            <w:tcW w:w="89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180413</w:t>
            </w:r>
          </w:p>
        </w:tc>
        <w:tc>
          <w:tcPr>
            <w:tcW w:w="118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2.10E-02</w:t>
            </w:r>
          </w:p>
        </w:tc>
        <w:tc>
          <w:tcPr>
            <w:tcW w:w="132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2.69E-02</w:t>
            </w:r>
          </w:p>
        </w:tc>
        <w:tc>
          <w:tcPr>
            <w:tcW w:w="93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8.96</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w:t>
            </w:r>
          </w:p>
        </w:tc>
        <w:tc>
          <w:tcPr>
            <w:tcW w:w="13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大湴屯</w:t>
            </w: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10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5.59E-03</w:t>
            </w:r>
          </w:p>
        </w:tc>
        <w:tc>
          <w:tcPr>
            <w:tcW w:w="89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181026</w:t>
            </w:r>
          </w:p>
        </w:tc>
        <w:tc>
          <w:tcPr>
            <w:tcW w:w="118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2.10E-02</w:t>
            </w:r>
          </w:p>
        </w:tc>
        <w:tc>
          <w:tcPr>
            <w:tcW w:w="132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2.66E-02</w:t>
            </w:r>
          </w:p>
        </w:tc>
        <w:tc>
          <w:tcPr>
            <w:tcW w:w="93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8.86</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w:t>
            </w:r>
          </w:p>
        </w:tc>
        <w:tc>
          <w:tcPr>
            <w:tcW w:w="13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斗江镇</w:t>
            </w: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10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2.89E-03</w:t>
            </w:r>
          </w:p>
        </w:tc>
        <w:tc>
          <w:tcPr>
            <w:tcW w:w="89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180210</w:t>
            </w:r>
          </w:p>
        </w:tc>
        <w:tc>
          <w:tcPr>
            <w:tcW w:w="118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2.10E-02</w:t>
            </w:r>
          </w:p>
        </w:tc>
        <w:tc>
          <w:tcPr>
            <w:tcW w:w="132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2.39E-02</w:t>
            </w:r>
          </w:p>
        </w:tc>
        <w:tc>
          <w:tcPr>
            <w:tcW w:w="93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7.96</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w:t>
            </w:r>
          </w:p>
        </w:tc>
        <w:tc>
          <w:tcPr>
            <w:tcW w:w="1372"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木洞屯</w:t>
            </w: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10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1.47E-03</w:t>
            </w:r>
          </w:p>
        </w:tc>
        <w:tc>
          <w:tcPr>
            <w:tcW w:w="893"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180311</w:t>
            </w:r>
          </w:p>
        </w:tc>
        <w:tc>
          <w:tcPr>
            <w:tcW w:w="118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2.10E-02</w:t>
            </w:r>
          </w:p>
        </w:tc>
        <w:tc>
          <w:tcPr>
            <w:tcW w:w="132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2.25E-02</w:t>
            </w:r>
          </w:p>
        </w:tc>
        <w:tc>
          <w:tcPr>
            <w:tcW w:w="93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7.49</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9</w:t>
            </w:r>
          </w:p>
        </w:tc>
        <w:tc>
          <w:tcPr>
            <w:tcW w:w="137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网格点（</w:t>
            </w:r>
            <w:r>
              <w:rPr>
                <w:rFonts w:hint="eastAsia" w:ascii="Times New Roman" w:hAnsi="Times New Roman" w:eastAsia="宋体" w:cs="Times New Roman"/>
                <w:color w:val="auto"/>
                <w:sz w:val="21"/>
                <w:highlight w:val="none"/>
              </w:rPr>
              <w:t>6</w:t>
            </w: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1</w:t>
            </w:r>
            <w:r>
              <w:rPr>
                <w:rFonts w:ascii="Times New Roman" w:hAnsi="Times New Roman" w:eastAsia="宋体" w:cs="Times New Roman"/>
                <w:color w:val="auto"/>
                <w:sz w:val="21"/>
                <w:highlight w:val="none"/>
              </w:rPr>
              <w:t>00）</w:t>
            </w: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日平均</w:t>
            </w:r>
          </w:p>
        </w:tc>
        <w:tc>
          <w:tcPr>
            <w:tcW w:w="110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7.80E-02</w:t>
            </w:r>
          </w:p>
        </w:tc>
        <w:tc>
          <w:tcPr>
            <w:tcW w:w="89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180329</w:t>
            </w:r>
          </w:p>
        </w:tc>
        <w:tc>
          <w:tcPr>
            <w:tcW w:w="118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2.10E-02</w:t>
            </w:r>
          </w:p>
        </w:tc>
        <w:tc>
          <w:tcPr>
            <w:tcW w:w="132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9.90E-02</w:t>
            </w:r>
          </w:p>
        </w:tc>
        <w:tc>
          <w:tcPr>
            <w:tcW w:w="93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33.00</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bl>
    <w:p>
      <w:pPr>
        <w:ind w:firstLine="480"/>
        <w:rPr>
          <w:rFonts w:ascii="Times New Roman" w:hAnsi="Times New Roman" w:eastAsia="宋体"/>
          <w:vanish/>
          <w:color w:val="auto"/>
          <w:highlight w:val="none"/>
        </w:rPr>
      </w:pPr>
    </w:p>
    <w:tbl>
      <w:tblPr>
        <w:tblStyle w:val="48"/>
        <w:tblW w:w="9282" w:type="dxa"/>
        <w:tblInd w:w="0" w:type="dxa"/>
        <w:tblLayout w:type="fixed"/>
        <w:tblCellMar>
          <w:top w:w="0" w:type="dxa"/>
          <w:left w:w="108" w:type="dxa"/>
          <w:bottom w:w="0" w:type="dxa"/>
          <w:right w:w="108" w:type="dxa"/>
        </w:tblCellMar>
      </w:tblPr>
      <w:tblGrid>
        <w:gridCol w:w="9282"/>
      </w:tblGrid>
      <w:tr>
        <w:tblPrEx>
          <w:tblLayout w:type="fixed"/>
          <w:tblCellMar>
            <w:top w:w="0" w:type="dxa"/>
            <w:left w:w="108" w:type="dxa"/>
            <w:bottom w:w="0" w:type="dxa"/>
            <w:right w:w="108" w:type="dxa"/>
          </w:tblCellMar>
        </w:tblPrEx>
        <w:tc>
          <w:tcPr>
            <w:tcW w:w="9282" w:type="dxa"/>
            <w:noWrap w:val="0"/>
            <w:vAlign w:val="top"/>
          </w:tcPr>
          <w:p>
            <w:pPr>
              <w:ind w:firstLine="0" w:firstLineChars="0"/>
              <w:jc w:val="center"/>
              <w:rPr>
                <w:rFonts w:hint="eastAsia" w:ascii="Times New Roman" w:hAnsi="Times New Roman" w:eastAsia="宋体" w:cs="Times New Roman"/>
                <w:b/>
                <w:color w:val="auto"/>
                <w:kern w:val="0"/>
                <w:szCs w:val="24"/>
                <w:highlight w:val="none"/>
              </w:rPr>
            </w:pPr>
            <w:r>
              <w:rPr>
                <w:rFonts w:ascii="Times New Roman" w:hAnsi="Times New Roman" w:eastAsia="宋体" w:cs="Times New Roman"/>
                <w:color w:val="auto"/>
                <w:highlight w:val="none"/>
              </w:rPr>
              <w:drawing>
                <wp:anchor distT="0" distB="0" distL="114300" distR="114300" simplePos="0" relativeHeight="251672576" behindDoc="0" locked="0" layoutInCell="1" allowOverlap="1">
                  <wp:simplePos x="0" y="0"/>
                  <wp:positionH relativeFrom="column">
                    <wp:posOffset>4211955</wp:posOffset>
                  </wp:positionH>
                  <wp:positionV relativeFrom="paragraph">
                    <wp:posOffset>2920365</wp:posOffset>
                  </wp:positionV>
                  <wp:extent cx="942975" cy="771525"/>
                  <wp:effectExtent l="0" t="0" r="9525" b="9525"/>
                  <wp:wrapNone/>
                  <wp:docPr id="15" name="图片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86"/>
                          <pic:cNvPicPr>
                            <a:picLocks noChangeAspect="1"/>
                          </pic:cNvPicPr>
                        </pic:nvPicPr>
                        <pic:blipFill>
                          <a:blip r:embed="rId80"/>
                          <a:stretch>
                            <a:fillRect/>
                          </a:stretch>
                        </pic:blipFill>
                        <pic:spPr>
                          <a:xfrm>
                            <a:off x="0" y="0"/>
                            <a:ext cx="942975" cy="771525"/>
                          </a:xfrm>
                          <a:prstGeom prst="rect">
                            <a:avLst/>
                          </a:prstGeom>
                          <a:noFill/>
                          <a:ln>
                            <a:noFill/>
                          </a:ln>
                        </pic:spPr>
                      </pic:pic>
                    </a:graphicData>
                  </a:graphic>
                </wp:anchor>
              </w:drawing>
            </w:r>
            <w:r>
              <w:rPr>
                <w:rFonts w:ascii="Times New Roman" w:hAnsi="Times New Roman" w:eastAsia="宋体" w:cs="Times New Roman"/>
                <w:color w:val="auto"/>
                <w:highlight w:val="none"/>
              </w:rPr>
              <w:drawing>
                <wp:anchor distT="0" distB="0" distL="114300" distR="114300" simplePos="0" relativeHeight="251671552" behindDoc="0" locked="0" layoutInCell="1" allowOverlap="1">
                  <wp:simplePos x="0" y="0"/>
                  <wp:positionH relativeFrom="column">
                    <wp:posOffset>3997325</wp:posOffset>
                  </wp:positionH>
                  <wp:positionV relativeFrom="paragraph">
                    <wp:posOffset>1253490</wp:posOffset>
                  </wp:positionV>
                  <wp:extent cx="1228725" cy="1390650"/>
                  <wp:effectExtent l="0" t="0" r="9525" b="0"/>
                  <wp:wrapNone/>
                  <wp:docPr id="14" name="图片 20" descr="2018年三江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2018年三江风玫瑰"/>
                          <pic:cNvPicPr>
                            <a:picLocks noChangeAspect="1"/>
                          </pic:cNvPicPr>
                        </pic:nvPicPr>
                        <pic:blipFill>
                          <a:blip r:embed="rId81"/>
                          <a:stretch>
                            <a:fillRect/>
                          </a:stretch>
                        </pic:blipFill>
                        <pic:spPr>
                          <a:xfrm>
                            <a:off x="0" y="0"/>
                            <a:ext cx="1228725" cy="1390650"/>
                          </a:xfrm>
                          <a:prstGeom prst="rect">
                            <a:avLst/>
                          </a:prstGeom>
                          <a:noFill/>
                          <a:ln>
                            <a:noFill/>
                          </a:ln>
                        </pic:spPr>
                      </pic:pic>
                    </a:graphicData>
                  </a:graphic>
                </wp:anchor>
              </w:drawing>
            </w:r>
            <w:r>
              <w:rPr>
                <w:rFonts w:ascii="Times New Roman" w:hAnsi="Times New Roman" w:eastAsia="宋体"/>
                <w:color w:val="auto"/>
                <w:highlight w:val="none"/>
              </w:rPr>
              <w:drawing>
                <wp:inline distT="0" distB="0" distL="114300" distR="114300">
                  <wp:extent cx="4933950" cy="3781425"/>
                  <wp:effectExtent l="0" t="0" r="0" b="9525"/>
                  <wp:docPr id="58"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76"/>
                          <pic:cNvPicPr>
                            <a:picLocks noChangeAspect="1"/>
                          </pic:cNvPicPr>
                        </pic:nvPicPr>
                        <pic:blipFill>
                          <a:blip r:embed="rId82"/>
                          <a:stretch>
                            <a:fillRect/>
                          </a:stretch>
                        </pic:blipFill>
                        <pic:spPr>
                          <a:xfrm>
                            <a:off x="0" y="0"/>
                            <a:ext cx="4933950" cy="3781425"/>
                          </a:xfrm>
                          <a:prstGeom prst="rect">
                            <a:avLst/>
                          </a:prstGeom>
                          <a:noFill/>
                          <a:ln>
                            <a:noFill/>
                          </a:ln>
                        </pic:spPr>
                      </pic:pic>
                    </a:graphicData>
                  </a:graphic>
                </wp:inline>
              </w:drawing>
            </w:r>
          </w:p>
          <w:p>
            <w:pPr>
              <w:ind w:firstLine="0" w:firstLineChars="0"/>
              <w:jc w:val="center"/>
              <w:rPr>
                <w:rFonts w:ascii="Times New Roman" w:hAnsi="Times New Roman" w:eastAsia="宋体" w:cs="Times New Roman"/>
                <w:b/>
                <w:color w:val="auto"/>
                <w:kern w:val="0"/>
                <w:szCs w:val="24"/>
                <w:highlight w:val="none"/>
              </w:rPr>
            </w:pPr>
            <w:r>
              <w:rPr>
                <w:rFonts w:ascii="Times New Roman" w:hAnsi="Times New Roman" w:eastAsia="宋体" w:cs="Times New Roman"/>
                <w:b/>
                <w:color w:val="auto"/>
                <w:kern w:val="0"/>
                <w:szCs w:val="24"/>
                <w:highlight w:val="none"/>
              </w:rPr>
              <w:t>图4.2-</w:t>
            </w:r>
            <w:r>
              <w:rPr>
                <w:rFonts w:hint="eastAsia" w:ascii="Times New Roman" w:hAnsi="Times New Roman" w:eastAsia="宋体" w:cs="Times New Roman"/>
                <w:b/>
                <w:color w:val="auto"/>
                <w:kern w:val="0"/>
                <w:szCs w:val="24"/>
                <w:highlight w:val="none"/>
              </w:rPr>
              <w:t>2</w:t>
            </w:r>
            <w:r>
              <w:rPr>
                <w:rFonts w:ascii="Times New Roman" w:hAnsi="Times New Roman" w:eastAsia="宋体" w:cs="Times New Roman"/>
                <w:b/>
                <w:color w:val="auto"/>
                <w:kern w:val="0"/>
                <w:szCs w:val="24"/>
                <w:highlight w:val="none"/>
              </w:rPr>
              <w:t xml:space="preserve">  叠加现状浓度后TSP区域日均浓度分布图</w:t>
            </w:r>
          </w:p>
        </w:tc>
      </w:tr>
    </w:tbl>
    <w:p>
      <w:pPr>
        <w:ind w:firstLine="480"/>
        <w:rPr>
          <w:rFonts w:ascii="Times New Roman" w:hAnsi="Times New Roman" w:eastAsia="宋体" w:cs="Times New Roman"/>
          <w:color w:val="auto"/>
          <w:kern w:val="0"/>
          <w:highlight w:val="none"/>
        </w:rPr>
      </w:pPr>
      <w:r>
        <w:rPr>
          <w:rFonts w:ascii="Times New Roman" w:hAnsi="Times New Roman" w:eastAsia="宋体" w:cs="Times New Roman"/>
          <w:color w:val="auto"/>
          <w:highlight w:val="none"/>
        </w:rPr>
        <w:t>②</w:t>
      </w:r>
      <w:r>
        <w:rPr>
          <w:rFonts w:ascii="Times New Roman" w:hAnsi="Times New Roman" w:eastAsia="宋体" w:cs="Times New Roman"/>
          <w:color w:val="auto"/>
          <w:kern w:val="0"/>
          <w:highlight w:val="none"/>
        </w:rPr>
        <w:t>PM</w:t>
      </w:r>
      <w:r>
        <w:rPr>
          <w:rFonts w:ascii="Times New Roman" w:hAnsi="Times New Roman" w:eastAsia="宋体" w:cs="Times New Roman"/>
          <w:color w:val="auto"/>
          <w:kern w:val="0"/>
          <w:highlight w:val="none"/>
          <w:vertAlign w:val="subscript"/>
        </w:rPr>
        <w:t>10</w:t>
      </w:r>
      <w:r>
        <w:rPr>
          <w:rFonts w:ascii="Times New Roman" w:hAnsi="Times New Roman" w:eastAsia="宋体" w:cs="Times New Roman"/>
          <w:color w:val="auto"/>
          <w:kern w:val="0"/>
          <w:highlight w:val="none"/>
        </w:rPr>
        <w:t>叠加预测结果</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PM</w:t>
      </w:r>
      <w:r>
        <w:rPr>
          <w:rFonts w:ascii="Times New Roman" w:hAnsi="Times New Roman" w:eastAsia="宋体" w:cs="Times New Roman"/>
          <w:color w:val="auto"/>
          <w:kern w:val="0"/>
          <w:highlight w:val="none"/>
          <w:vertAlign w:val="subscript"/>
        </w:rPr>
        <w:t>10</w:t>
      </w:r>
      <w:r>
        <w:rPr>
          <w:rFonts w:ascii="Times New Roman" w:hAnsi="Times New Roman" w:eastAsia="宋体" w:cs="Times New Roman"/>
          <w:color w:val="auto"/>
          <w:highlight w:val="none"/>
        </w:rPr>
        <w:t>叠加预测结果见表4.2-</w:t>
      </w:r>
      <w:r>
        <w:rPr>
          <w:rFonts w:hint="eastAsia" w:ascii="Times New Roman" w:hAnsi="Times New Roman" w:eastAsia="宋体" w:cs="Times New Roman"/>
          <w:color w:val="auto"/>
          <w:highlight w:val="none"/>
        </w:rPr>
        <w:t>10</w:t>
      </w:r>
      <w:r>
        <w:rPr>
          <w:rFonts w:ascii="Times New Roman" w:hAnsi="Times New Roman" w:eastAsia="宋体" w:cs="Times New Roman"/>
          <w:color w:val="auto"/>
          <w:highlight w:val="none"/>
        </w:rPr>
        <w:t>，</w:t>
      </w:r>
      <w:r>
        <w:rPr>
          <w:rFonts w:ascii="Times New Roman" w:hAnsi="Times New Roman" w:eastAsia="宋体" w:cs="Times New Roman"/>
          <w:bCs/>
          <w:snapToGrid w:val="0"/>
          <w:color w:val="auto"/>
          <w:highlight w:val="none"/>
        </w:rPr>
        <w:t>预测评价叠加环境质量现状浓度+新增污染源后</w:t>
      </w:r>
      <w:r>
        <w:rPr>
          <w:rFonts w:ascii="Times New Roman" w:hAnsi="Times New Roman" w:eastAsia="宋体" w:cs="Times New Roman"/>
          <w:color w:val="auto"/>
          <w:kern w:val="0"/>
          <w:highlight w:val="none"/>
        </w:rPr>
        <w:t>，</w:t>
      </w:r>
      <w:r>
        <w:rPr>
          <w:rFonts w:hint="eastAsia" w:ascii="Times New Roman" w:hAnsi="Times New Roman" w:eastAsia="宋体" w:cs="Times New Roman"/>
          <w:color w:val="auto"/>
          <w:kern w:val="0"/>
          <w:highlight w:val="none"/>
        </w:rPr>
        <w:t>各敏感点和网络点</w:t>
      </w:r>
      <w:r>
        <w:rPr>
          <w:rFonts w:ascii="Times New Roman" w:hAnsi="Times New Roman" w:eastAsia="宋体" w:cs="Times New Roman"/>
          <w:color w:val="auto"/>
          <w:kern w:val="0"/>
          <w:highlight w:val="none"/>
        </w:rPr>
        <w:t>PM</w:t>
      </w:r>
      <w:r>
        <w:rPr>
          <w:rFonts w:ascii="Times New Roman" w:hAnsi="Times New Roman" w:eastAsia="宋体" w:cs="Times New Roman"/>
          <w:color w:val="auto"/>
          <w:kern w:val="0"/>
          <w:highlight w:val="none"/>
          <w:vertAlign w:val="subscript"/>
        </w:rPr>
        <w:t>10</w:t>
      </w:r>
      <w:r>
        <w:rPr>
          <w:rFonts w:ascii="Times New Roman" w:hAnsi="Times New Roman" w:eastAsia="宋体" w:cs="Times New Roman"/>
          <w:color w:val="auto"/>
          <w:kern w:val="0"/>
          <w:highlight w:val="none"/>
        </w:rPr>
        <w:t>的保证率日平均和年均浓度</w:t>
      </w:r>
      <w:r>
        <w:rPr>
          <w:rFonts w:hint="eastAsia" w:ascii="Times New Roman" w:hAnsi="Times New Roman" w:eastAsia="宋体" w:cs="Times New Roman"/>
          <w:color w:val="auto"/>
          <w:kern w:val="0"/>
          <w:highlight w:val="none"/>
        </w:rPr>
        <w:t>均</w:t>
      </w:r>
      <w:r>
        <w:rPr>
          <w:rFonts w:ascii="Times New Roman" w:hAnsi="Times New Roman" w:eastAsia="宋体" w:cs="Times New Roman"/>
          <w:color w:val="auto"/>
          <w:kern w:val="0"/>
          <w:highlight w:val="none"/>
        </w:rPr>
        <w:t>满足《环境空气质量标准》（GB</w:t>
      </w:r>
      <w:r>
        <w:rPr>
          <w:rFonts w:hint="eastAsia" w:ascii="Times New Roman" w:hAnsi="Times New Roman" w:eastAsia="宋体" w:cs="Times New Roman"/>
          <w:color w:val="auto"/>
          <w:kern w:val="0"/>
          <w:highlight w:val="none"/>
          <w:lang w:val="en-US" w:eastAsia="zh-CN"/>
        </w:rPr>
        <w:t xml:space="preserve"> </w:t>
      </w:r>
      <w:r>
        <w:rPr>
          <w:rFonts w:ascii="Times New Roman" w:hAnsi="Times New Roman" w:eastAsia="宋体" w:cs="Times New Roman"/>
          <w:color w:val="auto"/>
          <w:kern w:val="0"/>
          <w:highlight w:val="none"/>
        </w:rPr>
        <w:t>3095-2012）及其修改单二级标准</w:t>
      </w:r>
      <w:r>
        <w:rPr>
          <w:rFonts w:ascii="Times New Roman" w:hAnsi="Times New Roman" w:eastAsia="宋体" w:cs="Times New Roman"/>
          <w:color w:val="auto"/>
          <w:highlight w:val="none"/>
        </w:rPr>
        <w:t>。</w:t>
      </w:r>
    </w:p>
    <w:p>
      <w:pPr>
        <w:spacing w:line="240" w:lineRule="auto"/>
        <w:ind w:firstLine="0" w:firstLineChars="0"/>
        <w:jc w:val="center"/>
        <w:rPr>
          <w:rFonts w:ascii="Times New Roman" w:hAnsi="Times New Roman" w:eastAsia="宋体" w:cs="Times New Roman"/>
          <w:b/>
          <w:bCs/>
          <w:color w:val="auto"/>
          <w:highlight w:val="none"/>
        </w:rPr>
        <w:sectPr>
          <w:pgSz w:w="11900" w:h="16838"/>
          <w:pgMar w:top="1417" w:right="1417" w:bottom="1417" w:left="1417" w:header="850" w:footer="992" w:gutter="0"/>
          <w:pgBorders>
            <w:top w:val="none" w:sz="0" w:space="0"/>
            <w:left w:val="none" w:sz="0" w:space="0"/>
            <w:bottom w:val="none" w:sz="0" w:space="0"/>
            <w:right w:val="none" w:sz="0" w:space="0"/>
          </w:pgBorders>
          <w:cols w:space="720" w:num="1"/>
          <w:docGrid w:linePitch="326" w:charSpace="0"/>
        </w:sectPr>
      </w:pPr>
    </w:p>
    <w:p>
      <w:pPr>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表4.2-</w:t>
      </w:r>
      <w:r>
        <w:rPr>
          <w:rFonts w:hint="eastAsia" w:ascii="Times New Roman" w:hAnsi="Times New Roman" w:eastAsia="宋体" w:cs="Times New Roman"/>
          <w:b/>
          <w:bCs/>
          <w:color w:val="auto"/>
          <w:highlight w:val="none"/>
        </w:rPr>
        <w:t>10</w:t>
      </w:r>
      <w:r>
        <w:rPr>
          <w:rFonts w:ascii="Times New Roman" w:hAnsi="Times New Roman" w:eastAsia="宋体" w:cs="Times New Roman"/>
          <w:b/>
          <w:bCs/>
          <w:color w:val="auto"/>
          <w:highlight w:val="none"/>
        </w:rPr>
        <w:t xml:space="preserve">  </w:t>
      </w:r>
      <w:r>
        <w:rPr>
          <w:rFonts w:ascii="Times New Roman" w:hAnsi="Times New Roman" w:eastAsia="宋体" w:cs="Times New Roman"/>
          <w:b/>
          <w:bCs/>
          <w:color w:val="auto"/>
          <w:kern w:val="0"/>
          <w:highlight w:val="none"/>
        </w:rPr>
        <w:t>PM</w:t>
      </w:r>
      <w:r>
        <w:rPr>
          <w:rFonts w:ascii="Times New Roman" w:hAnsi="Times New Roman" w:eastAsia="宋体" w:cs="Times New Roman"/>
          <w:b/>
          <w:bCs/>
          <w:color w:val="auto"/>
          <w:kern w:val="0"/>
          <w:highlight w:val="none"/>
          <w:vertAlign w:val="subscript"/>
        </w:rPr>
        <w:t>10</w:t>
      </w:r>
      <w:r>
        <w:rPr>
          <w:rFonts w:ascii="Times New Roman" w:hAnsi="Times New Roman" w:eastAsia="宋体" w:cs="Times New Roman"/>
          <w:b/>
          <w:bCs/>
          <w:color w:val="auto"/>
          <w:highlight w:val="none"/>
        </w:rPr>
        <w:t>叠加背景浓度后环境质量浓度预测结果表</w:t>
      </w:r>
    </w:p>
    <w:tbl>
      <w:tblPr>
        <w:tblStyle w:val="48"/>
        <w:tblW w:w="9071"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237"/>
        <w:gridCol w:w="1050"/>
        <w:gridCol w:w="1095"/>
        <w:gridCol w:w="1020"/>
        <w:gridCol w:w="1096"/>
        <w:gridCol w:w="1432"/>
        <w:gridCol w:w="937"/>
        <w:gridCol w:w="77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序号</w:t>
            </w:r>
          </w:p>
        </w:tc>
        <w:tc>
          <w:tcPr>
            <w:tcW w:w="1237"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预测点</w:t>
            </w:r>
          </w:p>
        </w:tc>
        <w:tc>
          <w:tcPr>
            <w:tcW w:w="1050" w:type="dxa"/>
            <w:noWrap w:val="0"/>
            <w:vAlign w:val="center"/>
          </w:tcPr>
          <w:p>
            <w:pPr>
              <w:spacing w:line="240" w:lineRule="auto"/>
              <w:ind w:firstLine="0" w:firstLineChars="0"/>
              <w:jc w:val="center"/>
              <w:rPr>
                <w:rFonts w:hint="eastAsia"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浓度</w:t>
            </w:r>
          </w:p>
          <w:p>
            <w:pPr>
              <w:spacing w:line="240" w:lineRule="auto"/>
              <w:ind w:firstLine="0" w:firstLineChars="0"/>
              <w:jc w:val="center"/>
              <w:rPr>
                <w:rFonts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类型</w:t>
            </w:r>
          </w:p>
        </w:tc>
        <w:tc>
          <w:tcPr>
            <w:tcW w:w="1095"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浓度增量</w:t>
            </w:r>
            <w:r>
              <w:rPr>
                <w:rFonts w:ascii="Times New Roman" w:hAnsi="Times New Roman" w:eastAsia="宋体" w:cs="Times New Roman"/>
                <w:b/>
                <w:color w:val="auto"/>
                <w:sz w:val="21"/>
                <w:highlight w:val="none"/>
              </w:rPr>
              <w:t>(mg/m</w:t>
            </w:r>
            <w:r>
              <w:rPr>
                <w:rFonts w:ascii="Times New Roman" w:hAnsi="Times New Roman" w:eastAsia="宋体" w:cs="Times New Roman"/>
                <w:b/>
                <w:color w:val="auto"/>
                <w:sz w:val="21"/>
                <w:highlight w:val="none"/>
                <w:vertAlign w:val="superscript"/>
              </w:rPr>
              <w:t>3</w:t>
            </w:r>
            <w:r>
              <w:rPr>
                <w:rFonts w:ascii="Times New Roman" w:hAnsi="Times New Roman" w:eastAsia="宋体" w:cs="Times New Roman"/>
                <w:b/>
                <w:color w:val="auto"/>
                <w:sz w:val="21"/>
                <w:highlight w:val="none"/>
              </w:rPr>
              <w:t>)</w:t>
            </w:r>
          </w:p>
        </w:tc>
        <w:tc>
          <w:tcPr>
            <w:tcW w:w="1020"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出现</w:t>
            </w:r>
          </w:p>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时间</w:t>
            </w:r>
          </w:p>
        </w:tc>
        <w:tc>
          <w:tcPr>
            <w:tcW w:w="1096"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现状浓度(mg/m</w:t>
            </w:r>
            <w:r>
              <w:rPr>
                <w:rFonts w:ascii="Times New Roman" w:hAnsi="Times New Roman" w:eastAsia="宋体" w:cs="Times New Roman"/>
                <w:b/>
                <w:color w:val="auto"/>
                <w:sz w:val="21"/>
                <w:highlight w:val="none"/>
                <w:vertAlign w:val="superscript"/>
              </w:rPr>
              <w:t>3</w:t>
            </w:r>
            <w:r>
              <w:rPr>
                <w:rFonts w:ascii="Times New Roman" w:hAnsi="Times New Roman" w:eastAsia="宋体" w:cs="Times New Roman"/>
                <w:b/>
                <w:color w:val="auto"/>
                <w:sz w:val="21"/>
                <w:highlight w:val="none"/>
              </w:rPr>
              <w:t>)</w:t>
            </w:r>
          </w:p>
        </w:tc>
        <w:tc>
          <w:tcPr>
            <w:tcW w:w="1432"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叠加后浓度(mg/m</w:t>
            </w:r>
            <w:r>
              <w:rPr>
                <w:rFonts w:ascii="Times New Roman" w:hAnsi="Times New Roman" w:eastAsia="宋体" w:cs="Times New Roman"/>
                <w:b/>
                <w:color w:val="auto"/>
                <w:sz w:val="21"/>
                <w:highlight w:val="none"/>
                <w:vertAlign w:val="superscript"/>
              </w:rPr>
              <w:t>3</w:t>
            </w:r>
            <w:r>
              <w:rPr>
                <w:rFonts w:ascii="Times New Roman" w:hAnsi="Times New Roman" w:eastAsia="宋体" w:cs="Times New Roman"/>
                <w:b/>
                <w:color w:val="auto"/>
                <w:sz w:val="21"/>
                <w:highlight w:val="none"/>
              </w:rPr>
              <w:t>)</w:t>
            </w:r>
          </w:p>
        </w:tc>
        <w:tc>
          <w:tcPr>
            <w:tcW w:w="937"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占标率（%）</w:t>
            </w:r>
          </w:p>
        </w:tc>
        <w:tc>
          <w:tcPr>
            <w:tcW w:w="777"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达标情况</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23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东恒屯</w:t>
            </w: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保证率日平均</w:t>
            </w:r>
          </w:p>
        </w:tc>
        <w:tc>
          <w:tcPr>
            <w:tcW w:w="109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2.02E-05</w:t>
            </w:r>
          </w:p>
        </w:tc>
        <w:tc>
          <w:tcPr>
            <w:tcW w:w="102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181217</w:t>
            </w:r>
          </w:p>
        </w:tc>
        <w:tc>
          <w:tcPr>
            <w:tcW w:w="109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9.70E-02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9.70E-02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64.68</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3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年均值</w:t>
            </w:r>
          </w:p>
        </w:tc>
        <w:tc>
          <w:tcPr>
            <w:tcW w:w="109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1.15E-04</w:t>
            </w:r>
          </w:p>
        </w:tc>
        <w:tc>
          <w:tcPr>
            <w:tcW w:w="102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09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4.62E-02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4.63E-02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66.20</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123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东坪村</w:t>
            </w: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保证率日平均</w:t>
            </w:r>
          </w:p>
        </w:tc>
        <w:tc>
          <w:tcPr>
            <w:tcW w:w="109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1.45E-04</w:t>
            </w:r>
          </w:p>
        </w:tc>
        <w:tc>
          <w:tcPr>
            <w:tcW w:w="102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181217</w:t>
            </w:r>
          </w:p>
        </w:tc>
        <w:tc>
          <w:tcPr>
            <w:tcW w:w="109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9.70E-02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9.71E-02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64.76</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3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年均值</w:t>
            </w:r>
          </w:p>
        </w:tc>
        <w:tc>
          <w:tcPr>
            <w:tcW w:w="109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2.44E-04</w:t>
            </w:r>
          </w:p>
        </w:tc>
        <w:tc>
          <w:tcPr>
            <w:tcW w:w="102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09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4.62E-02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4.65E-02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66.39</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123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坡滚屯</w:t>
            </w: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保证率日平均</w:t>
            </w:r>
          </w:p>
        </w:tc>
        <w:tc>
          <w:tcPr>
            <w:tcW w:w="109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3.50E-05</w:t>
            </w:r>
          </w:p>
        </w:tc>
        <w:tc>
          <w:tcPr>
            <w:tcW w:w="102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181217</w:t>
            </w:r>
          </w:p>
        </w:tc>
        <w:tc>
          <w:tcPr>
            <w:tcW w:w="109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9.70E-02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9.70E-02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64.69</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3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年均值</w:t>
            </w:r>
          </w:p>
        </w:tc>
        <w:tc>
          <w:tcPr>
            <w:tcW w:w="109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2.22E-04</w:t>
            </w:r>
          </w:p>
        </w:tc>
        <w:tc>
          <w:tcPr>
            <w:tcW w:w="102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09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4.62E-02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4.64E-02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66.36</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23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拉决屯</w:t>
            </w: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保证率日平均</w:t>
            </w:r>
          </w:p>
        </w:tc>
        <w:tc>
          <w:tcPr>
            <w:tcW w:w="109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9.16E-08</w:t>
            </w:r>
          </w:p>
        </w:tc>
        <w:tc>
          <w:tcPr>
            <w:tcW w:w="102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181217</w:t>
            </w:r>
          </w:p>
        </w:tc>
        <w:tc>
          <w:tcPr>
            <w:tcW w:w="109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9.70E-02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9.70E-02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64.67</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3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年均值</w:t>
            </w:r>
          </w:p>
        </w:tc>
        <w:tc>
          <w:tcPr>
            <w:tcW w:w="109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5.79E-05</w:t>
            </w:r>
          </w:p>
        </w:tc>
        <w:tc>
          <w:tcPr>
            <w:tcW w:w="102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09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4.62E-02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4.63E-02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66.12</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w:t>
            </w:r>
          </w:p>
        </w:tc>
        <w:tc>
          <w:tcPr>
            <w:tcW w:w="123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江口屯</w:t>
            </w: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保证率日平均</w:t>
            </w:r>
          </w:p>
        </w:tc>
        <w:tc>
          <w:tcPr>
            <w:tcW w:w="109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4.58E-08</w:t>
            </w:r>
          </w:p>
        </w:tc>
        <w:tc>
          <w:tcPr>
            <w:tcW w:w="102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181217</w:t>
            </w:r>
          </w:p>
        </w:tc>
        <w:tc>
          <w:tcPr>
            <w:tcW w:w="109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9.70E-02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9.70E-02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64.67</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3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年均值</w:t>
            </w:r>
          </w:p>
        </w:tc>
        <w:tc>
          <w:tcPr>
            <w:tcW w:w="109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4.58E-05</w:t>
            </w:r>
          </w:p>
        </w:tc>
        <w:tc>
          <w:tcPr>
            <w:tcW w:w="102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09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4.62E-02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4.63E-02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66.10</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w:t>
            </w:r>
          </w:p>
        </w:tc>
        <w:tc>
          <w:tcPr>
            <w:tcW w:w="123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大湴屯</w:t>
            </w: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保证率日平均</w:t>
            </w:r>
          </w:p>
        </w:tc>
        <w:tc>
          <w:tcPr>
            <w:tcW w:w="109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7.63E-09</w:t>
            </w:r>
          </w:p>
        </w:tc>
        <w:tc>
          <w:tcPr>
            <w:tcW w:w="102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181217</w:t>
            </w:r>
          </w:p>
        </w:tc>
        <w:tc>
          <w:tcPr>
            <w:tcW w:w="109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9.70E-02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9.70E-02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64.67</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3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年均值</w:t>
            </w:r>
          </w:p>
        </w:tc>
        <w:tc>
          <w:tcPr>
            <w:tcW w:w="109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3.19E-05</w:t>
            </w:r>
          </w:p>
        </w:tc>
        <w:tc>
          <w:tcPr>
            <w:tcW w:w="102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09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4.62E-02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4.63E-02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66.08</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w:t>
            </w:r>
          </w:p>
        </w:tc>
        <w:tc>
          <w:tcPr>
            <w:tcW w:w="123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斗江镇</w:t>
            </w: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保证率日平均</w:t>
            </w:r>
          </w:p>
        </w:tc>
        <w:tc>
          <w:tcPr>
            <w:tcW w:w="109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0.00E+00</w:t>
            </w:r>
          </w:p>
        </w:tc>
        <w:tc>
          <w:tcPr>
            <w:tcW w:w="102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181217</w:t>
            </w:r>
          </w:p>
        </w:tc>
        <w:tc>
          <w:tcPr>
            <w:tcW w:w="109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9.70E-02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9.70E-02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64.67</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3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年均值</w:t>
            </w:r>
          </w:p>
        </w:tc>
        <w:tc>
          <w:tcPr>
            <w:tcW w:w="109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1.53E-05</w:t>
            </w:r>
          </w:p>
        </w:tc>
        <w:tc>
          <w:tcPr>
            <w:tcW w:w="102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09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4.62E-02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4.62E-02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66.06</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w:t>
            </w:r>
          </w:p>
        </w:tc>
        <w:tc>
          <w:tcPr>
            <w:tcW w:w="123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木洞屯</w:t>
            </w: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保证率日平均</w:t>
            </w:r>
          </w:p>
        </w:tc>
        <w:tc>
          <w:tcPr>
            <w:tcW w:w="109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1.03E-05</w:t>
            </w:r>
          </w:p>
        </w:tc>
        <w:tc>
          <w:tcPr>
            <w:tcW w:w="102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181217</w:t>
            </w:r>
          </w:p>
        </w:tc>
        <w:tc>
          <w:tcPr>
            <w:tcW w:w="109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9.70E-02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9.70E-02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64.67</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3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年均值</w:t>
            </w:r>
          </w:p>
        </w:tc>
        <w:tc>
          <w:tcPr>
            <w:tcW w:w="109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5.55E-06</w:t>
            </w:r>
          </w:p>
        </w:tc>
        <w:tc>
          <w:tcPr>
            <w:tcW w:w="102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09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4.62E-02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4.62E-02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66.05</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9</w:t>
            </w:r>
          </w:p>
        </w:tc>
        <w:tc>
          <w:tcPr>
            <w:tcW w:w="1237"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网格点（</w:t>
            </w:r>
            <w:r>
              <w:rPr>
                <w:rFonts w:hint="eastAsia" w:ascii="Times New Roman" w:hAnsi="Times New Roman" w:eastAsia="宋体" w:cs="Times New Roman"/>
                <w:color w:val="auto"/>
                <w:sz w:val="21"/>
                <w:highlight w:val="none"/>
              </w:rPr>
              <w:t>4</w:t>
            </w:r>
            <w:r>
              <w:rPr>
                <w:rFonts w:ascii="Times New Roman" w:hAnsi="Times New Roman" w:eastAsia="宋体" w:cs="Times New Roman"/>
                <w:color w:val="auto"/>
                <w:sz w:val="21"/>
                <w:highlight w:val="none"/>
              </w:rPr>
              <w:t>00，0）</w:t>
            </w: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保证率日平均</w:t>
            </w:r>
          </w:p>
        </w:tc>
        <w:tc>
          <w:tcPr>
            <w:tcW w:w="109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4.60E-03</w:t>
            </w:r>
          </w:p>
        </w:tc>
        <w:tc>
          <w:tcPr>
            <w:tcW w:w="102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180130</w:t>
            </w:r>
          </w:p>
        </w:tc>
        <w:tc>
          <w:tcPr>
            <w:tcW w:w="109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1.00E-01</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1.05E-01</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69.73</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3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0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年均值</w:t>
            </w:r>
          </w:p>
        </w:tc>
        <w:tc>
          <w:tcPr>
            <w:tcW w:w="109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4.98E-03</w:t>
            </w:r>
          </w:p>
        </w:tc>
        <w:tc>
          <w:tcPr>
            <w:tcW w:w="102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09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4.62E-02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5.12E-02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73.15</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bl>
    <w:p>
      <w:pPr>
        <w:ind w:firstLine="0" w:firstLineChars="0"/>
        <w:rPr>
          <w:rFonts w:ascii="Times New Roman" w:hAnsi="Times New Roman" w:eastAsia="宋体" w:cs="Times New Roman"/>
          <w:color w:val="auto"/>
          <w:highlight w:val="none"/>
        </w:rPr>
      </w:pPr>
    </w:p>
    <w:tbl>
      <w:tblPr>
        <w:tblStyle w:val="48"/>
        <w:tblW w:w="9282" w:type="dxa"/>
        <w:tblInd w:w="0" w:type="dxa"/>
        <w:tblLayout w:type="fixed"/>
        <w:tblCellMar>
          <w:top w:w="0" w:type="dxa"/>
          <w:left w:w="108" w:type="dxa"/>
          <w:bottom w:w="0" w:type="dxa"/>
          <w:right w:w="108" w:type="dxa"/>
        </w:tblCellMar>
      </w:tblPr>
      <w:tblGrid>
        <w:gridCol w:w="9282"/>
      </w:tblGrid>
      <w:tr>
        <w:tblPrEx>
          <w:tblLayout w:type="fixed"/>
          <w:tblCellMar>
            <w:top w:w="0" w:type="dxa"/>
            <w:left w:w="108" w:type="dxa"/>
            <w:bottom w:w="0" w:type="dxa"/>
            <w:right w:w="108" w:type="dxa"/>
          </w:tblCellMar>
        </w:tblPrEx>
        <w:tc>
          <w:tcPr>
            <w:tcW w:w="9282" w:type="dxa"/>
            <w:noWrap w:val="0"/>
            <w:vAlign w:val="top"/>
          </w:tcPr>
          <w:p>
            <w:pPr>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anchor distT="0" distB="0" distL="114300" distR="114300" simplePos="0" relativeHeight="251661312" behindDoc="0" locked="0" layoutInCell="1" allowOverlap="1">
                  <wp:simplePos x="0" y="0"/>
                  <wp:positionH relativeFrom="column">
                    <wp:posOffset>4183380</wp:posOffset>
                  </wp:positionH>
                  <wp:positionV relativeFrom="paragraph">
                    <wp:posOffset>2726690</wp:posOffset>
                  </wp:positionV>
                  <wp:extent cx="942975" cy="771525"/>
                  <wp:effectExtent l="0" t="0" r="9525" b="9525"/>
                  <wp:wrapNone/>
                  <wp:docPr id="4" name="图片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86"/>
                          <pic:cNvPicPr>
                            <a:picLocks noChangeAspect="1"/>
                          </pic:cNvPicPr>
                        </pic:nvPicPr>
                        <pic:blipFill>
                          <a:blip r:embed="rId80"/>
                          <a:stretch>
                            <a:fillRect/>
                          </a:stretch>
                        </pic:blipFill>
                        <pic:spPr>
                          <a:xfrm>
                            <a:off x="0" y="0"/>
                            <a:ext cx="942975" cy="771525"/>
                          </a:xfrm>
                          <a:prstGeom prst="rect">
                            <a:avLst/>
                          </a:prstGeom>
                          <a:noFill/>
                          <a:ln>
                            <a:noFill/>
                          </a:ln>
                        </pic:spPr>
                      </pic:pic>
                    </a:graphicData>
                  </a:graphic>
                </wp:anchor>
              </w:drawing>
            </w:r>
            <w:r>
              <w:rPr>
                <w:rFonts w:ascii="Times New Roman" w:hAnsi="Times New Roman" w:eastAsia="宋体" w:cs="Times New Roman"/>
                <w:color w:val="auto"/>
                <w:highlight w:val="none"/>
              </w:rPr>
              <w:drawing>
                <wp:anchor distT="0" distB="0" distL="114300" distR="114300" simplePos="0" relativeHeight="251670528" behindDoc="0" locked="0" layoutInCell="1" allowOverlap="1">
                  <wp:simplePos x="0" y="0"/>
                  <wp:positionH relativeFrom="column">
                    <wp:posOffset>4073525</wp:posOffset>
                  </wp:positionH>
                  <wp:positionV relativeFrom="paragraph">
                    <wp:posOffset>1212215</wp:posOffset>
                  </wp:positionV>
                  <wp:extent cx="1228725" cy="1390650"/>
                  <wp:effectExtent l="0" t="0" r="9525" b="0"/>
                  <wp:wrapNone/>
                  <wp:docPr id="13" name="图片 18" descr="2018年三江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descr="2018年三江风玫瑰"/>
                          <pic:cNvPicPr>
                            <a:picLocks noChangeAspect="1"/>
                          </pic:cNvPicPr>
                        </pic:nvPicPr>
                        <pic:blipFill>
                          <a:blip r:embed="rId81"/>
                          <a:stretch>
                            <a:fillRect/>
                          </a:stretch>
                        </pic:blipFill>
                        <pic:spPr>
                          <a:xfrm>
                            <a:off x="0" y="0"/>
                            <a:ext cx="1228725" cy="1390650"/>
                          </a:xfrm>
                          <a:prstGeom prst="rect">
                            <a:avLst/>
                          </a:prstGeom>
                          <a:noFill/>
                          <a:ln>
                            <a:noFill/>
                          </a:ln>
                        </pic:spPr>
                      </pic:pic>
                    </a:graphicData>
                  </a:graphic>
                </wp:anchor>
              </w:drawing>
            </w:r>
            <w:r>
              <w:rPr>
                <w:rFonts w:ascii="Times New Roman" w:hAnsi="Times New Roman" w:eastAsia="宋体"/>
                <w:color w:val="auto"/>
                <w:highlight w:val="none"/>
              </w:rPr>
              <w:drawing>
                <wp:inline distT="0" distB="0" distL="114300" distR="114300">
                  <wp:extent cx="4867275" cy="3781425"/>
                  <wp:effectExtent l="0" t="0" r="9525" b="9525"/>
                  <wp:docPr id="59"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53"/>
                          <pic:cNvPicPr>
                            <a:picLocks noChangeAspect="1"/>
                          </pic:cNvPicPr>
                        </pic:nvPicPr>
                        <pic:blipFill>
                          <a:blip r:embed="rId83"/>
                          <a:stretch>
                            <a:fillRect/>
                          </a:stretch>
                        </pic:blipFill>
                        <pic:spPr>
                          <a:xfrm>
                            <a:off x="0" y="0"/>
                            <a:ext cx="4867275" cy="3781425"/>
                          </a:xfrm>
                          <a:prstGeom prst="rect">
                            <a:avLst/>
                          </a:prstGeom>
                          <a:noFill/>
                          <a:ln>
                            <a:noFill/>
                          </a:ln>
                        </pic:spPr>
                      </pic:pic>
                    </a:graphicData>
                  </a:graphic>
                </wp:inline>
              </w:drawing>
            </w:r>
          </w:p>
          <w:p>
            <w:pPr>
              <w:ind w:firstLine="0" w:firstLineChars="0"/>
              <w:jc w:val="center"/>
              <w:rPr>
                <w:rFonts w:ascii="Times New Roman" w:hAnsi="Times New Roman" w:eastAsia="宋体" w:cs="Times New Roman"/>
                <w:b/>
                <w:color w:val="auto"/>
                <w:kern w:val="0"/>
                <w:szCs w:val="24"/>
                <w:highlight w:val="none"/>
              </w:rPr>
            </w:pPr>
            <w:r>
              <w:rPr>
                <w:rFonts w:ascii="Times New Roman" w:hAnsi="Times New Roman" w:eastAsia="宋体" w:cs="Times New Roman"/>
                <w:b/>
                <w:color w:val="auto"/>
                <w:kern w:val="0"/>
                <w:szCs w:val="24"/>
                <w:highlight w:val="none"/>
              </w:rPr>
              <w:t>图4.2-</w:t>
            </w:r>
            <w:r>
              <w:rPr>
                <w:rFonts w:hint="eastAsia" w:ascii="Times New Roman" w:hAnsi="Times New Roman" w:eastAsia="宋体" w:cs="Times New Roman"/>
                <w:b/>
                <w:color w:val="auto"/>
                <w:kern w:val="0"/>
                <w:szCs w:val="24"/>
                <w:highlight w:val="none"/>
              </w:rPr>
              <w:t>3</w:t>
            </w:r>
            <w:r>
              <w:rPr>
                <w:rFonts w:ascii="Times New Roman" w:hAnsi="Times New Roman" w:eastAsia="宋体" w:cs="Times New Roman"/>
                <w:b/>
                <w:color w:val="auto"/>
                <w:kern w:val="0"/>
                <w:szCs w:val="24"/>
                <w:highlight w:val="none"/>
              </w:rPr>
              <w:t xml:space="preserve">  </w:t>
            </w:r>
            <w:r>
              <w:rPr>
                <w:rFonts w:ascii="Times New Roman" w:hAnsi="Times New Roman" w:eastAsia="宋体" w:cs="Times New Roman"/>
                <w:b/>
                <w:bCs/>
                <w:color w:val="auto"/>
                <w:highlight w:val="none"/>
              </w:rPr>
              <w:t>叠加背景浓度后</w:t>
            </w:r>
            <w:r>
              <w:rPr>
                <w:rFonts w:ascii="Times New Roman" w:hAnsi="Times New Roman" w:eastAsia="宋体" w:cs="Times New Roman"/>
                <w:b/>
                <w:color w:val="auto"/>
                <w:kern w:val="0"/>
                <w:szCs w:val="24"/>
                <w:highlight w:val="none"/>
              </w:rPr>
              <w:t>PM</w:t>
            </w:r>
            <w:r>
              <w:rPr>
                <w:rFonts w:ascii="Times New Roman" w:hAnsi="Times New Roman" w:eastAsia="宋体" w:cs="Times New Roman"/>
                <w:b/>
                <w:color w:val="auto"/>
                <w:kern w:val="0"/>
                <w:szCs w:val="24"/>
                <w:highlight w:val="none"/>
                <w:vertAlign w:val="subscript"/>
              </w:rPr>
              <w:t>10</w:t>
            </w:r>
            <w:r>
              <w:rPr>
                <w:rFonts w:ascii="Times New Roman" w:hAnsi="Times New Roman" w:eastAsia="宋体" w:cs="Times New Roman"/>
                <w:b/>
                <w:color w:val="auto"/>
                <w:kern w:val="0"/>
                <w:szCs w:val="24"/>
                <w:highlight w:val="none"/>
              </w:rPr>
              <w:t>区域95分位日均浓度分布图</w:t>
            </w:r>
          </w:p>
        </w:tc>
      </w:tr>
      <w:tr>
        <w:tblPrEx>
          <w:tblLayout w:type="fixed"/>
          <w:tblCellMar>
            <w:top w:w="0" w:type="dxa"/>
            <w:left w:w="108" w:type="dxa"/>
            <w:bottom w:w="0" w:type="dxa"/>
            <w:right w:w="108" w:type="dxa"/>
          </w:tblCellMar>
        </w:tblPrEx>
        <w:tc>
          <w:tcPr>
            <w:tcW w:w="9282" w:type="dxa"/>
            <w:noWrap w:val="0"/>
            <w:vAlign w:val="top"/>
          </w:tcPr>
          <w:p>
            <w:pPr>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anchor distT="0" distB="0" distL="114300" distR="114300" simplePos="0" relativeHeight="251669504" behindDoc="0" locked="0" layoutInCell="1" allowOverlap="1">
                  <wp:simplePos x="0" y="0"/>
                  <wp:positionH relativeFrom="column">
                    <wp:posOffset>4159250</wp:posOffset>
                  </wp:positionH>
                  <wp:positionV relativeFrom="paragraph">
                    <wp:posOffset>1209675</wp:posOffset>
                  </wp:positionV>
                  <wp:extent cx="1228725" cy="1390650"/>
                  <wp:effectExtent l="0" t="0" r="9525" b="0"/>
                  <wp:wrapNone/>
                  <wp:docPr id="12" name="图片 17" descr="2018年三江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2018年三江风玫瑰"/>
                          <pic:cNvPicPr>
                            <a:picLocks noChangeAspect="1"/>
                          </pic:cNvPicPr>
                        </pic:nvPicPr>
                        <pic:blipFill>
                          <a:blip r:embed="rId81"/>
                          <a:stretch>
                            <a:fillRect/>
                          </a:stretch>
                        </pic:blipFill>
                        <pic:spPr>
                          <a:xfrm>
                            <a:off x="0" y="0"/>
                            <a:ext cx="1228725" cy="1390650"/>
                          </a:xfrm>
                          <a:prstGeom prst="rect">
                            <a:avLst/>
                          </a:prstGeom>
                          <a:noFill/>
                          <a:ln>
                            <a:noFill/>
                          </a:ln>
                        </pic:spPr>
                      </pic:pic>
                    </a:graphicData>
                  </a:graphic>
                </wp:anchor>
              </w:drawing>
            </w:r>
            <w:r>
              <w:rPr>
                <w:rFonts w:ascii="Times New Roman" w:hAnsi="Times New Roman" w:eastAsia="宋体" w:cs="Times New Roman"/>
                <w:color w:val="auto"/>
                <w:highlight w:val="none"/>
              </w:rPr>
              <w:drawing>
                <wp:anchor distT="0" distB="0" distL="114300" distR="114300" simplePos="0" relativeHeight="251662336" behindDoc="0" locked="0" layoutInCell="1" allowOverlap="1">
                  <wp:simplePos x="0" y="0"/>
                  <wp:positionH relativeFrom="column">
                    <wp:posOffset>4392930</wp:posOffset>
                  </wp:positionH>
                  <wp:positionV relativeFrom="paragraph">
                    <wp:posOffset>2773045</wp:posOffset>
                  </wp:positionV>
                  <wp:extent cx="942975" cy="771525"/>
                  <wp:effectExtent l="0" t="0" r="9525" b="9525"/>
                  <wp:wrapNone/>
                  <wp:docPr id="5" name="图片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88"/>
                          <pic:cNvPicPr>
                            <a:picLocks noChangeAspect="1"/>
                          </pic:cNvPicPr>
                        </pic:nvPicPr>
                        <pic:blipFill>
                          <a:blip r:embed="rId80"/>
                          <a:stretch>
                            <a:fillRect/>
                          </a:stretch>
                        </pic:blipFill>
                        <pic:spPr>
                          <a:xfrm>
                            <a:off x="0" y="0"/>
                            <a:ext cx="942975" cy="771525"/>
                          </a:xfrm>
                          <a:prstGeom prst="rect">
                            <a:avLst/>
                          </a:prstGeom>
                          <a:noFill/>
                          <a:ln>
                            <a:noFill/>
                          </a:ln>
                        </pic:spPr>
                      </pic:pic>
                    </a:graphicData>
                  </a:graphic>
                </wp:anchor>
              </w:drawing>
            </w:r>
            <w:r>
              <w:rPr>
                <w:rFonts w:ascii="Times New Roman" w:hAnsi="Times New Roman" w:eastAsia="宋体"/>
                <w:color w:val="auto"/>
                <w:highlight w:val="none"/>
              </w:rPr>
              <w:drawing>
                <wp:inline distT="0" distB="0" distL="114300" distR="114300">
                  <wp:extent cx="4876800" cy="3781425"/>
                  <wp:effectExtent l="0" t="0" r="0" b="9525"/>
                  <wp:docPr id="60"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54"/>
                          <pic:cNvPicPr>
                            <a:picLocks noChangeAspect="1"/>
                          </pic:cNvPicPr>
                        </pic:nvPicPr>
                        <pic:blipFill>
                          <a:blip r:embed="rId84"/>
                          <a:stretch>
                            <a:fillRect/>
                          </a:stretch>
                        </pic:blipFill>
                        <pic:spPr>
                          <a:xfrm>
                            <a:off x="0" y="0"/>
                            <a:ext cx="4876800" cy="3781425"/>
                          </a:xfrm>
                          <a:prstGeom prst="rect">
                            <a:avLst/>
                          </a:prstGeom>
                          <a:noFill/>
                          <a:ln>
                            <a:noFill/>
                          </a:ln>
                        </pic:spPr>
                      </pic:pic>
                    </a:graphicData>
                  </a:graphic>
                </wp:inline>
              </w:drawing>
            </w:r>
          </w:p>
          <w:p>
            <w:pPr>
              <w:ind w:firstLine="0" w:firstLineChars="0"/>
              <w:jc w:val="center"/>
              <w:rPr>
                <w:rFonts w:ascii="Times New Roman" w:hAnsi="Times New Roman" w:eastAsia="宋体" w:cs="Times New Roman"/>
                <w:b/>
                <w:color w:val="auto"/>
                <w:kern w:val="0"/>
                <w:szCs w:val="24"/>
                <w:highlight w:val="none"/>
              </w:rPr>
            </w:pPr>
            <w:r>
              <w:rPr>
                <w:rFonts w:ascii="Times New Roman" w:hAnsi="Times New Roman" w:eastAsia="宋体" w:cs="Times New Roman"/>
                <w:b/>
                <w:color w:val="auto"/>
                <w:kern w:val="0"/>
                <w:szCs w:val="24"/>
                <w:highlight w:val="none"/>
              </w:rPr>
              <w:t>图4.2-</w:t>
            </w:r>
            <w:r>
              <w:rPr>
                <w:rFonts w:hint="eastAsia" w:ascii="Times New Roman" w:hAnsi="Times New Roman" w:eastAsia="宋体" w:cs="Times New Roman"/>
                <w:b/>
                <w:color w:val="auto"/>
                <w:kern w:val="0"/>
                <w:szCs w:val="24"/>
                <w:highlight w:val="none"/>
              </w:rPr>
              <w:t>4</w:t>
            </w:r>
            <w:r>
              <w:rPr>
                <w:rFonts w:ascii="Times New Roman" w:hAnsi="Times New Roman" w:eastAsia="宋体" w:cs="Times New Roman"/>
                <w:b/>
                <w:color w:val="auto"/>
                <w:kern w:val="0"/>
                <w:szCs w:val="24"/>
                <w:highlight w:val="none"/>
              </w:rPr>
              <w:t xml:space="preserve">  </w:t>
            </w:r>
            <w:r>
              <w:rPr>
                <w:rFonts w:ascii="Times New Roman" w:hAnsi="Times New Roman" w:eastAsia="宋体" w:cs="Times New Roman"/>
                <w:b/>
                <w:bCs/>
                <w:color w:val="auto"/>
                <w:highlight w:val="none"/>
              </w:rPr>
              <w:t>叠加背景浓度后</w:t>
            </w:r>
            <w:r>
              <w:rPr>
                <w:rFonts w:ascii="Times New Roman" w:hAnsi="Times New Roman" w:eastAsia="宋体" w:cs="Times New Roman"/>
                <w:b/>
                <w:color w:val="auto"/>
                <w:kern w:val="0"/>
                <w:szCs w:val="24"/>
                <w:highlight w:val="none"/>
              </w:rPr>
              <w:t>PM</w:t>
            </w:r>
            <w:r>
              <w:rPr>
                <w:rFonts w:ascii="Times New Roman" w:hAnsi="Times New Roman" w:eastAsia="宋体" w:cs="Times New Roman"/>
                <w:b/>
                <w:color w:val="auto"/>
                <w:kern w:val="0"/>
                <w:szCs w:val="24"/>
                <w:highlight w:val="none"/>
                <w:vertAlign w:val="subscript"/>
              </w:rPr>
              <w:t>10</w:t>
            </w:r>
            <w:r>
              <w:rPr>
                <w:rFonts w:ascii="Times New Roman" w:hAnsi="Times New Roman" w:eastAsia="宋体" w:cs="Times New Roman"/>
                <w:b/>
                <w:color w:val="auto"/>
                <w:kern w:val="0"/>
                <w:szCs w:val="24"/>
                <w:highlight w:val="none"/>
              </w:rPr>
              <w:t>区域年均浓度分布图</w:t>
            </w:r>
          </w:p>
        </w:tc>
      </w:tr>
    </w:tbl>
    <w:p>
      <w:pPr>
        <w:ind w:firstLine="480"/>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③PM</w:t>
      </w:r>
      <w:r>
        <w:rPr>
          <w:rFonts w:ascii="Times New Roman" w:hAnsi="Times New Roman" w:eastAsia="宋体" w:cs="Times New Roman"/>
          <w:color w:val="auto"/>
          <w:kern w:val="0"/>
          <w:highlight w:val="none"/>
          <w:vertAlign w:val="subscript"/>
        </w:rPr>
        <w:t>2.5</w:t>
      </w:r>
      <w:r>
        <w:rPr>
          <w:rFonts w:ascii="Times New Roman" w:hAnsi="Times New Roman" w:eastAsia="宋体" w:cs="Times New Roman"/>
          <w:color w:val="auto"/>
          <w:kern w:val="0"/>
          <w:highlight w:val="none"/>
        </w:rPr>
        <w:t>叠加预测结果</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PM</w:t>
      </w:r>
      <w:r>
        <w:rPr>
          <w:rFonts w:ascii="Times New Roman" w:hAnsi="Times New Roman" w:eastAsia="宋体" w:cs="Times New Roman"/>
          <w:color w:val="auto"/>
          <w:kern w:val="0"/>
          <w:highlight w:val="none"/>
          <w:vertAlign w:val="subscript"/>
        </w:rPr>
        <w:t>2.5</w:t>
      </w:r>
      <w:r>
        <w:rPr>
          <w:rFonts w:ascii="Times New Roman" w:hAnsi="Times New Roman" w:eastAsia="宋体" w:cs="Times New Roman"/>
          <w:color w:val="auto"/>
          <w:highlight w:val="none"/>
        </w:rPr>
        <w:t>叠加预测结果见表4.2-</w:t>
      </w:r>
      <w:r>
        <w:rPr>
          <w:rFonts w:hint="eastAsia" w:ascii="Times New Roman" w:hAnsi="Times New Roman" w:eastAsia="宋体" w:cs="Times New Roman"/>
          <w:color w:val="auto"/>
          <w:highlight w:val="none"/>
        </w:rPr>
        <w:t>11</w:t>
      </w:r>
      <w:r>
        <w:rPr>
          <w:rFonts w:ascii="Times New Roman" w:hAnsi="Times New Roman" w:eastAsia="宋体" w:cs="Times New Roman"/>
          <w:color w:val="auto"/>
          <w:highlight w:val="none"/>
        </w:rPr>
        <w:t>，</w:t>
      </w:r>
      <w:r>
        <w:rPr>
          <w:rFonts w:ascii="Times New Roman" w:hAnsi="Times New Roman" w:eastAsia="宋体" w:cs="Times New Roman"/>
          <w:bCs/>
          <w:snapToGrid w:val="0"/>
          <w:color w:val="auto"/>
          <w:highlight w:val="none"/>
        </w:rPr>
        <w:t>预测评价叠加环境质量现状浓度+新增污染源源后</w:t>
      </w:r>
      <w:r>
        <w:rPr>
          <w:rFonts w:ascii="Times New Roman" w:hAnsi="Times New Roman" w:eastAsia="宋体" w:cs="Times New Roman"/>
          <w:color w:val="auto"/>
          <w:kern w:val="0"/>
          <w:highlight w:val="none"/>
        </w:rPr>
        <w:t>，</w:t>
      </w:r>
      <w:r>
        <w:rPr>
          <w:rFonts w:hint="eastAsia" w:ascii="Times New Roman" w:hAnsi="Times New Roman" w:eastAsia="宋体" w:cs="Times New Roman"/>
          <w:color w:val="auto"/>
          <w:kern w:val="0"/>
          <w:highlight w:val="none"/>
        </w:rPr>
        <w:t>各敏感点和网络点</w:t>
      </w:r>
      <w:r>
        <w:rPr>
          <w:rFonts w:ascii="Times New Roman" w:hAnsi="Times New Roman" w:eastAsia="宋体" w:cs="Times New Roman"/>
          <w:color w:val="auto"/>
          <w:kern w:val="0"/>
          <w:highlight w:val="none"/>
        </w:rPr>
        <w:t>PM</w:t>
      </w:r>
      <w:r>
        <w:rPr>
          <w:rFonts w:ascii="Times New Roman" w:hAnsi="Times New Roman" w:eastAsia="宋体" w:cs="Times New Roman"/>
          <w:color w:val="auto"/>
          <w:kern w:val="0"/>
          <w:highlight w:val="none"/>
          <w:vertAlign w:val="subscript"/>
        </w:rPr>
        <w:t>2.5</w:t>
      </w:r>
      <w:r>
        <w:rPr>
          <w:rFonts w:ascii="Times New Roman" w:hAnsi="Times New Roman" w:eastAsia="宋体" w:cs="Times New Roman"/>
          <w:color w:val="auto"/>
          <w:kern w:val="0"/>
          <w:highlight w:val="none"/>
        </w:rPr>
        <w:t>的保证率日平均和年均浓度</w:t>
      </w:r>
      <w:r>
        <w:rPr>
          <w:rFonts w:hint="eastAsia" w:ascii="Times New Roman" w:hAnsi="Times New Roman" w:eastAsia="宋体" w:cs="Times New Roman"/>
          <w:color w:val="auto"/>
          <w:kern w:val="0"/>
          <w:highlight w:val="none"/>
        </w:rPr>
        <w:t>均</w:t>
      </w:r>
      <w:r>
        <w:rPr>
          <w:rFonts w:ascii="Times New Roman" w:hAnsi="Times New Roman" w:eastAsia="宋体" w:cs="Times New Roman"/>
          <w:color w:val="auto"/>
          <w:kern w:val="0"/>
          <w:highlight w:val="none"/>
        </w:rPr>
        <w:t>满足《环境空气质量标准》（GB</w:t>
      </w:r>
      <w:r>
        <w:rPr>
          <w:rFonts w:hint="eastAsia" w:ascii="Times New Roman" w:hAnsi="Times New Roman" w:eastAsia="宋体" w:cs="Times New Roman"/>
          <w:color w:val="auto"/>
          <w:kern w:val="0"/>
          <w:highlight w:val="none"/>
          <w:lang w:val="en-US" w:eastAsia="zh-CN"/>
        </w:rPr>
        <w:t xml:space="preserve"> </w:t>
      </w:r>
      <w:r>
        <w:rPr>
          <w:rFonts w:ascii="Times New Roman" w:hAnsi="Times New Roman" w:eastAsia="宋体" w:cs="Times New Roman"/>
          <w:color w:val="auto"/>
          <w:kern w:val="0"/>
          <w:highlight w:val="none"/>
        </w:rPr>
        <w:t>3095-2012）及其修改单二级标准</w:t>
      </w:r>
      <w:r>
        <w:rPr>
          <w:rFonts w:ascii="Times New Roman" w:hAnsi="Times New Roman" w:eastAsia="宋体" w:cs="Times New Roman"/>
          <w:color w:val="auto"/>
          <w:highlight w:val="none"/>
        </w:rPr>
        <w:t>。</w:t>
      </w:r>
    </w:p>
    <w:p>
      <w:pPr>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表4.2-</w:t>
      </w:r>
      <w:r>
        <w:rPr>
          <w:rFonts w:hint="eastAsia" w:ascii="Times New Roman" w:hAnsi="Times New Roman" w:eastAsia="宋体" w:cs="Times New Roman"/>
          <w:b/>
          <w:bCs/>
          <w:color w:val="auto"/>
          <w:highlight w:val="none"/>
        </w:rPr>
        <w:t>11</w:t>
      </w:r>
      <w:r>
        <w:rPr>
          <w:rFonts w:ascii="Times New Roman" w:hAnsi="Times New Roman" w:eastAsia="宋体" w:cs="Times New Roman"/>
          <w:b/>
          <w:bCs/>
          <w:color w:val="auto"/>
          <w:highlight w:val="none"/>
        </w:rPr>
        <w:t xml:space="preserve">  </w:t>
      </w:r>
      <w:r>
        <w:rPr>
          <w:rFonts w:ascii="Times New Roman" w:hAnsi="Times New Roman" w:eastAsia="宋体" w:cs="Times New Roman"/>
          <w:b/>
          <w:bCs/>
          <w:color w:val="auto"/>
          <w:kern w:val="0"/>
          <w:highlight w:val="none"/>
        </w:rPr>
        <w:t>PM</w:t>
      </w:r>
      <w:r>
        <w:rPr>
          <w:rFonts w:ascii="Times New Roman" w:hAnsi="Times New Roman" w:eastAsia="宋体" w:cs="Times New Roman"/>
          <w:b/>
          <w:bCs/>
          <w:color w:val="auto"/>
          <w:kern w:val="0"/>
          <w:highlight w:val="none"/>
          <w:vertAlign w:val="subscript"/>
        </w:rPr>
        <w:t>2.5</w:t>
      </w:r>
      <w:r>
        <w:rPr>
          <w:rFonts w:ascii="Times New Roman" w:hAnsi="Times New Roman" w:eastAsia="宋体" w:cs="Times New Roman"/>
          <w:b/>
          <w:bCs/>
          <w:color w:val="auto"/>
          <w:highlight w:val="none"/>
        </w:rPr>
        <w:t>叠加背景浓度后环境质量浓度预测结果表</w:t>
      </w:r>
    </w:p>
    <w:tbl>
      <w:tblPr>
        <w:tblStyle w:val="48"/>
        <w:tblW w:w="9071"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237"/>
        <w:gridCol w:w="854"/>
        <w:gridCol w:w="1229"/>
        <w:gridCol w:w="978"/>
        <w:gridCol w:w="1200"/>
        <w:gridCol w:w="1432"/>
        <w:gridCol w:w="937"/>
        <w:gridCol w:w="77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序号</w:t>
            </w:r>
          </w:p>
        </w:tc>
        <w:tc>
          <w:tcPr>
            <w:tcW w:w="1237"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预测点</w:t>
            </w:r>
          </w:p>
        </w:tc>
        <w:tc>
          <w:tcPr>
            <w:tcW w:w="854" w:type="dxa"/>
            <w:noWrap w:val="0"/>
            <w:vAlign w:val="center"/>
          </w:tcPr>
          <w:p>
            <w:pPr>
              <w:spacing w:line="240" w:lineRule="auto"/>
              <w:ind w:firstLine="0" w:firstLineChars="0"/>
              <w:jc w:val="center"/>
              <w:rPr>
                <w:rFonts w:hint="eastAsia"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浓度</w:t>
            </w:r>
          </w:p>
          <w:p>
            <w:pPr>
              <w:spacing w:line="240" w:lineRule="auto"/>
              <w:ind w:firstLine="0" w:firstLineChars="0"/>
              <w:jc w:val="center"/>
              <w:rPr>
                <w:rFonts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类型</w:t>
            </w:r>
          </w:p>
        </w:tc>
        <w:tc>
          <w:tcPr>
            <w:tcW w:w="1229"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浓度增量</w:t>
            </w:r>
            <w:r>
              <w:rPr>
                <w:rFonts w:ascii="Times New Roman" w:hAnsi="Times New Roman" w:eastAsia="宋体" w:cs="Times New Roman"/>
                <w:b/>
                <w:color w:val="auto"/>
                <w:sz w:val="21"/>
                <w:highlight w:val="none"/>
              </w:rPr>
              <w:t>(mg/m</w:t>
            </w:r>
            <w:r>
              <w:rPr>
                <w:rFonts w:ascii="Times New Roman" w:hAnsi="Times New Roman" w:eastAsia="宋体" w:cs="Times New Roman"/>
                <w:b/>
                <w:color w:val="auto"/>
                <w:sz w:val="21"/>
                <w:highlight w:val="none"/>
                <w:vertAlign w:val="superscript"/>
              </w:rPr>
              <w:t>3</w:t>
            </w:r>
            <w:r>
              <w:rPr>
                <w:rFonts w:ascii="Times New Roman" w:hAnsi="Times New Roman" w:eastAsia="宋体" w:cs="Times New Roman"/>
                <w:b/>
                <w:color w:val="auto"/>
                <w:sz w:val="21"/>
                <w:highlight w:val="none"/>
              </w:rPr>
              <w:t>)</w:t>
            </w:r>
          </w:p>
        </w:tc>
        <w:tc>
          <w:tcPr>
            <w:tcW w:w="978"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出现</w:t>
            </w:r>
          </w:p>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时间</w:t>
            </w:r>
          </w:p>
        </w:tc>
        <w:tc>
          <w:tcPr>
            <w:tcW w:w="1200"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现状浓度(mg/m</w:t>
            </w:r>
            <w:r>
              <w:rPr>
                <w:rFonts w:ascii="Times New Roman" w:hAnsi="Times New Roman" w:eastAsia="宋体" w:cs="Times New Roman"/>
                <w:b/>
                <w:color w:val="auto"/>
                <w:sz w:val="21"/>
                <w:highlight w:val="none"/>
                <w:vertAlign w:val="superscript"/>
              </w:rPr>
              <w:t>3</w:t>
            </w:r>
            <w:r>
              <w:rPr>
                <w:rFonts w:ascii="Times New Roman" w:hAnsi="Times New Roman" w:eastAsia="宋体" w:cs="Times New Roman"/>
                <w:b/>
                <w:color w:val="auto"/>
                <w:sz w:val="21"/>
                <w:highlight w:val="none"/>
              </w:rPr>
              <w:t>)</w:t>
            </w:r>
          </w:p>
        </w:tc>
        <w:tc>
          <w:tcPr>
            <w:tcW w:w="1432"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叠加后浓度(mg/m</w:t>
            </w:r>
            <w:r>
              <w:rPr>
                <w:rFonts w:ascii="Times New Roman" w:hAnsi="Times New Roman" w:eastAsia="宋体" w:cs="Times New Roman"/>
                <w:b/>
                <w:color w:val="auto"/>
                <w:sz w:val="21"/>
                <w:highlight w:val="none"/>
                <w:vertAlign w:val="superscript"/>
              </w:rPr>
              <w:t>3</w:t>
            </w:r>
            <w:r>
              <w:rPr>
                <w:rFonts w:ascii="Times New Roman" w:hAnsi="Times New Roman" w:eastAsia="宋体" w:cs="Times New Roman"/>
                <w:b/>
                <w:color w:val="auto"/>
                <w:sz w:val="21"/>
                <w:highlight w:val="none"/>
              </w:rPr>
              <w:t>)</w:t>
            </w:r>
          </w:p>
        </w:tc>
        <w:tc>
          <w:tcPr>
            <w:tcW w:w="937"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占标率（%）</w:t>
            </w:r>
          </w:p>
        </w:tc>
        <w:tc>
          <w:tcPr>
            <w:tcW w:w="777"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达标情况</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23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东恒屯</w:t>
            </w:r>
          </w:p>
        </w:tc>
        <w:tc>
          <w:tcPr>
            <w:tcW w:w="85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保证率日平均</w:t>
            </w:r>
          </w:p>
        </w:tc>
        <w:tc>
          <w:tcPr>
            <w:tcW w:w="1229"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0.00E+00</w:t>
            </w:r>
          </w:p>
        </w:tc>
        <w:tc>
          <w:tcPr>
            <w:tcW w:w="97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180131</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7.00E-02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7.00E-02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93.33</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3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85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年均值</w:t>
            </w:r>
          </w:p>
        </w:tc>
        <w:tc>
          <w:tcPr>
            <w:tcW w:w="1229"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5.30E-05</w:t>
            </w:r>
          </w:p>
        </w:tc>
        <w:tc>
          <w:tcPr>
            <w:tcW w:w="97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3.15E-02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3.16E-02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90.18</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123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东坪村</w:t>
            </w:r>
          </w:p>
        </w:tc>
        <w:tc>
          <w:tcPr>
            <w:tcW w:w="85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保证率日平均</w:t>
            </w:r>
          </w:p>
        </w:tc>
        <w:tc>
          <w:tcPr>
            <w:tcW w:w="1229"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0.00E+00</w:t>
            </w:r>
          </w:p>
        </w:tc>
        <w:tc>
          <w:tcPr>
            <w:tcW w:w="9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180131</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7.00E-02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7.00E-02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93.33</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3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85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年均值</w:t>
            </w:r>
          </w:p>
        </w:tc>
        <w:tc>
          <w:tcPr>
            <w:tcW w:w="1229"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1.61E-04</w:t>
            </w:r>
          </w:p>
        </w:tc>
        <w:tc>
          <w:tcPr>
            <w:tcW w:w="97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3.15E-02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3.17E-02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90.49</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123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坡滚屯</w:t>
            </w:r>
          </w:p>
        </w:tc>
        <w:tc>
          <w:tcPr>
            <w:tcW w:w="85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保证率日平均</w:t>
            </w:r>
          </w:p>
        </w:tc>
        <w:tc>
          <w:tcPr>
            <w:tcW w:w="1229"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0.00E+00</w:t>
            </w:r>
          </w:p>
        </w:tc>
        <w:tc>
          <w:tcPr>
            <w:tcW w:w="97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180131</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7.00E-02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7.00E-02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93.33</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3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85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年均值</w:t>
            </w:r>
          </w:p>
        </w:tc>
        <w:tc>
          <w:tcPr>
            <w:tcW w:w="1229"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9.63E-05</w:t>
            </w:r>
          </w:p>
        </w:tc>
        <w:tc>
          <w:tcPr>
            <w:tcW w:w="97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3.15E-02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3.16E-02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90.30</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23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拉决屯</w:t>
            </w:r>
          </w:p>
        </w:tc>
        <w:tc>
          <w:tcPr>
            <w:tcW w:w="85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保证率日平均</w:t>
            </w:r>
          </w:p>
        </w:tc>
        <w:tc>
          <w:tcPr>
            <w:tcW w:w="1229"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0.00E+00</w:t>
            </w:r>
          </w:p>
        </w:tc>
        <w:tc>
          <w:tcPr>
            <w:tcW w:w="9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180129</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7.00E-02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7.00E-02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93.33</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3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85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年均值</w:t>
            </w:r>
          </w:p>
        </w:tc>
        <w:tc>
          <w:tcPr>
            <w:tcW w:w="1229"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2.47E-05</w:t>
            </w:r>
          </w:p>
        </w:tc>
        <w:tc>
          <w:tcPr>
            <w:tcW w:w="97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3.15E-02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3.15E-02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90.10</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w:t>
            </w:r>
          </w:p>
        </w:tc>
        <w:tc>
          <w:tcPr>
            <w:tcW w:w="123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江口屯</w:t>
            </w:r>
          </w:p>
        </w:tc>
        <w:tc>
          <w:tcPr>
            <w:tcW w:w="85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保证率日平均</w:t>
            </w:r>
          </w:p>
        </w:tc>
        <w:tc>
          <w:tcPr>
            <w:tcW w:w="1229"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0.00E+00</w:t>
            </w:r>
          </w:p>
        </w:tc>
        <w:tc>
          <w:tcPr>
            <w:tcW w:w="97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180131</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7.00E-02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7.00E-02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93.33</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3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85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年均值</w:t>
            </w:r>
          </w:p>
        </w:tc>
        <w:tc>
          <w:tcPr>
            <w:tcW w:w="1229"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2.05E-05</w:t>
            </w:r>
          </w:p>
        </w:tc>
        <w:tc>
          <w:tcPr>
            <w:tcW w:w="97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3.15E-02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3.15E-02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90.09</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w:t>
            </w:r>
          </w:p>
        </w:tc>
        <w:tc>
          <w:tcPr>
            <w:tcW w:w="123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大湴屯</w:t>
            </w:r>
          </w:p>
        </w:tc>
        <w:tc>
          <w:tcPr>
            <w:tcW w:w="85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保证率日平均</w:t>
            </w:r>
          </w:p>
        </w:tc>
        <w:tc>
          <w:tcPr>
            <w:tcW w:w="1229"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0.00E+00</w:t>
            </w:r>
          </w:p>
        </w:tc>
        <w:tc>
          <w:tcPr>
            <w:tcW w:w="9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180131</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7.00E-02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7.00E-02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93.33</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3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85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年均值</w:t>
            </w:r>
          </w:p>
        </w:tc>
        <w:tc>
          <w:tcPr>
            <w:tcW w:w="1229"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1.40E-05</w:t>
            </w:r>
          </w:p>
        </w:tc>
        <w:tc>
          <w:tcPr>
            <w:tcW w:w="97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3.15E-02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3.15E-02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90.07</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w:t>
            </w:r>
          </w:p>
        </w:tc>
        <w:tc>
          <w:tcPr>
            <w:tcW w:w="123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斗江镇</w:t>
            </w:r>
          </w:p>
        </w:tc>
        <w:tc>
          <w:tcPr>
            <w:tcW w:w="85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保证率日平均</w:t>
            </w:r>
          </w:p>
        </w:tc>
        <w:tc>
          <w:tcPr>
            <w:tcW w:w="1229"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0.00E+00</w:t>
            </w:r>
          </w:p>
        </w:tc>
        <w:tc>
          <w:tcPr>
            <w:tcW w:w="9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180131</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7.00E-02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7.00E-02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93.33</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3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85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年均值</w:t>
            </w:r>
          </w:p>
        </w:tc>
        <w:tc>
          <w:tcPr>
            <w:tcW w:w="1229"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7.42E-06</w:t>
            </w:r>
          </w:p>
        </w:tc>
        <w:tc>
          <w:tcPr>
            <w:tcW w:w="97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3.15E-02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3.15E-02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90.05</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w:t>
            </w:r>
          </w:p>
        </w:tc>
        <w:tc>
          <w:tcPr>
            <w:tcW w:w="1237"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木洞屯</w:t>
            </w:r>
          </w:p>
        </w:tc>
        <w:tc>
          <w:tcPr>
            <w:tcW w:w="85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保证率日平均</w:t>
            </w:r>
          </w:p>
        </w:tc>
        <w:tc>
          <w:tcPr>
            <w:tcW w:w="1229"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0.00E+00</w:t>
            </w:r>
          </w:p>
        </w:tc>
        <w:tc>
          <w:tcPr>
            <w:tcW w:w="97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180131</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7.00E-02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7.00E-02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93.33</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3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85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年均值</w:t>
            </w:r>
          </w:p>
        </w:tc>
        <w:tc>
          <w:tcPr>
            <w:tcW w:w="1229"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2.09E-06</w:t>
            </w:r>
          </w:p>
        </w:tc>
        <w:tc>
          <w:tcPr>
            <w:tcW w:w="97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3.15E-02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3.15E-02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90.03</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9</w:t>
            </w:r>
          </w:p>
        </w:tc>
        <w:tc>
          <w:tcPr>
            <w:tcW w:w="1237"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网格点（</w:t>
            </w:r>
            <w:r>
              <w:rPr>
                <w:rFonts w:hint="eastAsia" w:ascii="Times New Roman" w:hAnsi="Times New Roman" w:eastAsia="宋体" w:cs="Times New Roman"/>
                <w:color w:val="auto"/>
                <w:sz w:val="21"/>
                <w:highlight w:val="none"/>
              </w:rPr>
              <w:t>4</w:t>
            </w:r>
            <w:r>
              <w:rPr>
                <w:rFonts w:ascii="Times New Roman" w:hAnsi="Times New Roman" w:eastAsia="宋体" w:cs="Times New Roman"/>
                <w:color w:val="auto"/>
                <w:sz w:val="21"/>
                <w:highlight w:val="none"/>
              </w:rPr>
              <w:t>00，0）</w:t>
            </w:r>
          </w:p>
        </w:tc>
        <w:tc>
          <w:tcPr>
            <w:tcW w:w="85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保证率日平均</w:t>
            </w:r>
          </w:p>
        </w:tc>
        <w:tc>
          <w:tcPr>
            <w:tcW w:w="1229"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2.01E-03</w:t>
            </w:r>
          </w:p>
        </w:tc>
        <w:tc>
          <w:tcPr>
            <w:tcW w:w="97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180114</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7.00E-02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7.20E-02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96.02</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3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85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年均值</w:t>
            </w:r>
          </w:p>
        </w:tc>
        <w:tc>
          <w:tcPr>
            <w:tcW w:w="1229"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2.52E-03</w:t>
            </w:r>
          </w:p>
        </w:tc>
        <w:tc>
          <w:tcPr>
            <w:tcW w:w="978"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平均值</w:t>
            </w:r>
          </w:p>
        </w:tc>
        <w:tc>
          <w:tcPr>
            <w:tcW w:w="120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3.15E-02</w:t>
            </w:r>
          </w:p>
        </w:tc>
        <w:tc>
          <w:tcPr>
            <w:tcW w:w="1432"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3.40E-02</w:t>
            </w:r>
          </w:p>
        </w:tc>
        <w:tc>
          <w:tcPr>
            <w:tcW w:w="93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97.24</w:t>
            </w:r>
          </w:p>
        </w:tc>
        <w:tc>
          <w:tcPr>
            <w:tcW w:w="7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bl>
    <w:p>
      <w:pPr>
        <w:ind w:firstLine="0" w:firstLineChars="0"/>
        <w:rPr>
          <w:rFonts w:ascii="Times New Roman" w:hAnsi="Times New Roman" w:eastAsia="宋体" w:cs="Times New Roman"/>
          <w:color w:val="auto"/>
          <w:highlight w:val="none"/>
        </w:rPr>
      </w:pPr>
    </w:p>
    <w:tbl>
      <w:tblPr>
        <w:tblStyle w:val="48"/>
        <w:tblW w:w="9282" w:type="dxa"/>
        <w:tblInd w:w="0" w:type="dxa"/>
        <w:tblLayout w:type="fixed"/>
        <w:tblCellMar>
          <w:top w:w="0" w:type="dxa"/>
          <w:left w:w="108" w:type="dxa"/>
          <w:bottom w:w="0" w:type="dxa"/>
          <w:right w:w="108" w:type="dxa"/>
        </w:tblCellMar>
      </w:tblPr>
      <w:tblGrid>
        <w:gridCol w:w="9282"/>
      </w:tblGrid>
      <w:tr>
        <w:tblPrEx>
          <w:tblLayout w:type="fixed"/>
          <w:tblCellMar>
            <w:top w:w="0" w:type="dxa"/>
            <w:left w:w="108" w:type="dxa"/>
            <w:bottom w:w="0" w:type="dxa"/>
            <w:right w:w="108" w:type="dxa"/>
          </w:tblCellMar>
        </w:tblPrEx>
        <w:tc>
          <w:tcPr>
            <w:tcW w:w="9282" w:type="dxa"/>
            <w:noWrap w:val="0"/>
            <w:vAlign w:val="top"/>
          </w:tcPr>
          <w:p>
            <w:pPr>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anchor distT="0" distB="0" distL="114300" distR="114300" simplePos="0" relativeHeight="251668480" behindDoc="0" locked="0" layoutInCell="1" allowOverlap="1">
                  <wp:simplePos x="0" y="0"/>
                  <wp:positionH relativeFrom="column">
                    <wp:posOffset>4149725</wp:posOffset>
                  </wp:positionH>
                  <wp:positionV relativeFrom="paragraph">
                    <wp:posOffset>1233170</wp:posOffset>
                  </wp:positionV>
                  <wp:extent cx="1228725" cy="1390650"/>
                  <wp:effectExtent l="0" t="0" r="9525" b="0"/>
                  <wp:wrapNone/>
                  <wp:docPr id="11" name="图片 6" descr="2018年三江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2018年三江风玫瑰"/>
                          <pic:cNvPicPr>
                            <a:picLocks noChangeAspect="1"/>
                          </pic:cNvPicPr>
                        </pic:nvPicPr>
                        <pic:blipFill>
                          <a:blip r:embed="rId81"/>
                          <a:stretch>
                            <a:fillRect/>
                          </a:stretch>
                        </pic:blipFill>
                        <pic:spPr>
                          <a:xfrm>
                            <a:off x="0" y="0"/>
                            <a:ext cx="1228725" cy="1390650"/>
                          </a:xfrm>
                          <a:prstGeom prst="rect">
                            <a:avLst/>
                          </a:prstGeom>
                          <a:noFill/>
                          <a:ln>
                            <a:noFill/>
                          </a:ln>
                        </pic:spPr>
                      </pic:pic>
                    </a:graphicData>
                  </a:graphic>
                </wp:anchor>
              </w:drawing>
            </w:r>
            <w:r>
              <w:rPr>
                <w:rFonts w:ascii="Times New Roman" w:hAnsi="Times New Roman" w:eastAsia="宋体" w:cs="Times New Roman"/>
                <w:color w:val="auto"/>
                <w:highlight w:val="none"/>
              </w:rPr>
              <w:drawing>
                <wp:anchor distT="0" distB="0" distL="114300" distR="114300" simplePos="0" relativeHeight="251665408" behindDoc="0" locked="0" layoutInCell="1" allowOverlap="1">
                  <wp:simplePos x="0" y="0"/>
                  <wp:positionH relativeFrom="column">
                    <wp:posOffset>4402455</wp:posOffset>
                  </wp:positionH>
                  <wp:positionV relativeFrom="paragraph">
                    <wp:posOffset>2726690</wp:posOffset>
                  </wp:positionV>
                  <wp:extent cx="942975" cy="771525"/>
                  <wp:effectExtent l="0" t="0" r="9525" b="9525"/>
                  <wp:wrapNone/>
                  <wp:docPr id="8" name="图片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86"/>
                          <pic:cNvPicPr>
                            <a:picLocks noChangeAspect="1"/>
                          </pic:cNvPicPr>
                        </pic:nvPicPr>
                        <pic:blipFill>
                          <a:blip r:embed="rId80"/>
                          <a:stretch>
                            <a:fillRect/>
                          </a:stretch>
                        </pic:blipFill>
                        <pic:spPr>
                          <a:xfrm>
                            <a:off x="0" y="0"/>
                            <a:ext cx="942975" cy="771525"/>
                          </a:xfrm>
                          <a:prstGeom prst="rect">
                            <a:avLst/>
                          </a:prstGeom>
                          <a:noFill/>
                          <a:ln>
                            <a:noFill/>
                          </a:ln>
                        </pic:spPr>
                      </pic:pic>
                    </a:graphicData>
                  </a:graphic>
                </wp:anchor>
              </w:drawing>
            </w:r>
            <w:r>
              <w:rPr>
                <w:rFonts w:ascii="Times New Roman" w:hAnsi="Times New Roman" w:eastAsia="宋体"/>
                <w:color w:val="auto"/>
                <w:highlight w:val="none"/>
              </w:rPr>
              <w:drawing>
                <wp:inline distT="0" distB="0" distL="114300" distR="114300">
                  <wp:extent cx="4857750" cy="3781425"/>
                  <wp:effectExtent l="0" t="0" r="0" b="9525"/>
                  <wp:docPr id="61"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55"/>
                          <pic:cNvPicPr>
                            <a:picLocks noChangeAspect="1"/>
                          </pic:cNvPicPr>
                        </pic:nvPicPr>
                        <pic:blipFill>
                          <a:blip r:embed="rId85"/>
                          <a:stretch>
                            <a:fillRect/>
                          </a:stretch>
                        </pic:blipFill>
                        <pic:spPr>
                          <a:xfrm>
                            <a:off x="0" y="0"/>
                            <a:ext cx="4857750" cy="3781425"/>
                          </a:xfrm>
                          <a:prstGeom prst="rect">
                            <a:avLst/>
                          </a:prstGeom>
                          <a:noFill/>
                          <a:ln>
                            <a:noFill/>
                          </a:ln>
                        </pic:spPr>
                      </pic:pic>
                    </a:graphicData>
                  </a:graphic>
                </wp:inline>
              </w:drawing>
            </w:r>
          </w:p>
          <w:p>
            <w:pPr>
              <w:ind w:firstLine="0" w:firstLineChars="0"/>
              <w:jc w:val="center"/>
              <w:rPr>
                <w:rFonts w:ascii="Times New Roman" w:hAnsi="Times New Roman" w:eastAsia="宋体" w:cs="Times New Roman"/>
                <w:b/>
                <w:color w:val="auto"/>
                <w:kern w:val="0"/>
                <w:szCs w:val="24"/>
                <w:highlight w:val="none"/>
              </w:rPr>
            </w:pPr>
            <w:r>
              <w:rPr>
                <w:rFonts w:ascii="Times New Roman" w:hAnsi="Times New Roman" w:eastAsia="宋体" w:cs="Times New Roman"/>
                <w:b/>
                <w:color w:val="auto"/>
                <w:kern w:val="0"/>
                <w:szCs w:val="24"/>
                <w:highlight w:val="none"/>
              </w:rPr>
              <w:t>图4.2-</w:t>
            </w:r>
            <w:r>
              <w:rPr>
                <w:rFonts w:hint="eastAsia" w:ascii="Times New Roman" w:hAnsi="Times New Roman" w:eastAsia="宋体" w:cs="Times New Roman"/>
                <w:b/>
                <w:color w:val="auto"/>
                <w:kern w:val="0"/>
                <w:szCs w:val="24"/>
                <w:highlight w:val="none"/>
              </w:rPr>
              <w:t>5</w:t>
            </w:r>
            <w:r>
              <w:rPr>
                <w:rFonts w:ascii="Times New Roman" w:hAnsi="Times New Roman" w:eastAsia="宋体" w:cs="Times New Roman"/>
                <w:b/>
                <w:color w:val="auto"/>
                <w:kern w:val="0"/>
                <w:szCs w:val="24"/>
                <w:highlight w:val="none"/>
              </w:rPr>
              <w:t xml:space="preserve">  </w:t>
            </w:r>
            <w:r>
              <w:rPr>
                <w:rFonts w:ascii="Times New Roman" w:hAnsi="Times New Roman" w:eastAsia="宋体" w:cs="Times New Roman"/>
                <w:b/>
                <w:bCs/>
                <w:color w:val="auto"/>
                <w:highlight w:val="none"/>
              </w:rPr>
              <w:t>叠加背景浓度后</w:t>
            </w:r>
            <w:r>
              <w:rPr>
                <w:rFonts w:ascii="Times New Roman" w:hAnsi="Times New Roman" w:eastAsia="宋体" w:cs="Times New Roman"/>
                <w:b/>
                <w:color w:val="auto"/>
                <w:kern w:val="0"/>
                <w:szCs w:val="24"/>
                <w:highlight w:val="none"/>
              </w:rPr>
              <w:t>PM</w:t>
            </w:r>
            <w:r>
              <w:rPr>
                <w:rFonts w:ascii="Times New Roman" w:hAnsi="Times New Roman" w:eastAsia="宋体" w:cs="Times New Roman"/>
                <w:b/>
                <w:color w:val="auto"/>
                <w:kern w:val="0"/>
                <w:szCs w:val="24"/>
                <w:highlight w:val="none"/>
                <w:vertAlign w:val="subscript"/>
              </w:rPr>
              <w:t>2.5</w:t>
            </w:r>
            <w:r>
              <w:rPr>
                <w:rFonts w:ascii="Times New Roman" w:hAnsi="Times New Roman" w:eastAsia="宋体" w:cs="Times New Roman"/>
                <w:b/>
                <w:color w:val="auto"/>
                <w:kern w:val="0"/>
                <w:szCs w:val="24"/>
                <w:highlight w:val="none"/>
              </w:rPr>
              <w:t>区域95分位日均浓度分布图</w:t>
            </w:r>
          </w:p>
        </w:tc>
      </w:tr>
      <w:tr>
        <w:tblPrEx>
          <w:tblLayout w:type="fixed"/>
          <w:tblCellMar>
            <w:top w:w="0" w:type="dxa"/>
            <w:left w:w="108" w:type="dxa"/>
            <w:bottom w:w="0" w:type="dxa"/>
            <w:right w:w="108" w:type="dxa"/>
          </w:tblCellMar>
        </w:tblPrEx>
        <w:tc>
          <w:tcPr>
            <w:tcW w:w="9282" w:type="dxa"/>
            <w:noWrap w:val="0"/>
            <w:vAlign w:val="top"/>
          </w:tcPr>
          <w:p>
            <w:pPr>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anchor distT="0" distB="0" distL="114300" distR="114300" simplePos="0" relativeHeight="251666432" behindDoc="0" locked="0" layoutInCell="1" allowOverlap="1">
                  <wp:simplePos x="0" y="0"/>
                  <wp:positionH relativeFrom="column">
                    <wp:posOffset>4269105</wp:posOffset>
                  </wp:positionH>
                  <wp:positionV relativeFrom="paragraph">
                    <wp:posOffset>2773045</wp:posOffset>
                  </wp:positionV>
                  <wp:extent cx="942975" cy="771525"/>
                  <wp:effectExtent l="0" t="0" r="9525" b="9525"/>
                  <wp:wrapNone/>
                  <wp:docPr id="9" name="图片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88"/>
                          <pic:cNvPicPr>
                            <a:picLocks noChangeAspect="1"/>
                          </pic:cNvPicPr>
                        </pic:nvPicPr>
                        <pic:blipFill>
                          <a:blip r:embed="rId80"/>
                          <a:stretch>
                            <a:fillRect/>
                          </a:stretch>
                        </pic:blipFill>
                        <pic:spPr>
                          <a:xfrm>
                            <a:off x="0" y="0"/>
                            <a:ext cx="942975" cy="771525"/>
                          </a:xfrm>
                          <a:prstGeom prst="rect">
                            <a:avLst/>
                          </a:prstGeom>
                          <a:noFill/>
                          <a:ln>
                            <a:noFill/>
                          </a:ln>
                        </pic:spPr>
                      </pic:pic>
                    </a:graphicData>
                  </a:graphic>
                </wp:anchor>
              </w:drawing>
            </w:r>
            <w:r>
              <w:rPr>
                <w:rFonts w:ascii="Times New Roman" w:hAnsi="Times New Roman" w:eastAsia="宋体" w:cs="Times New Roman"/>
                <w:color w:val="auto"/>
                <w:highlight w:val="none"/>
              </w:rPr>
              <w:drawing>
                <wp:anchor distT="0" distB="0" distL="114300" distR="114300" simplePos="0" relativeHeight="251667456" behindDoc="0" locked="0" layoutInCell="1" allowOverlap="1">
                  <wp:simplePos x="0" y="0"/>
                  <wp:positionH relativeFrom="column">
                    <wp:posOffset>4102100</wp:posOffset>
                  </wp:positionH>
                  <wp:positionV relativeFrom="paragraph">
                    <wp:posOffset>1343025</wp:posOffset>
                  </wp:positionV>
                  <wp:extent cx="1228725" cy="1390650"/>
                  <wp:effectExtent l="0" t="0" r="9525" b="0"/>
                  <wp:wrapNone/>
                  <wp:docPr id="10" name="图片 5" descr="2018年三江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2018年三江风玫瑰"/>
                          <pic:cNvPicPr>
                            <a:picLocks noChangeAspect="1"/>
                          </pic:cNvPicPr>
                        </pic:nvPicPr>
                        <pic:blipFill>
                          <a:blip r:embed="rId81"/>
                          <a:stretch>
                            <a:fillRect/>
                          </a:stretch>
                        </pic:blipFill>
                        <pic:spPr>
                          <a:xfrm>
                            <a:off x="0" y="0"/>
                            <a:ext cx="1228725" cy="1390650"/>
                          </a:xfrm>
                          <a:prstGeom prst="rect">
                            <a:avLst/>
                          </a:prstGeom>
                          <a:noFill/>
                          <a:ln>
                            <a:noFill/>
                          </a:ln>
                        </pic:spPr>
                      </pic:pic>
                    </a:graphicData>
                  </a:graphic>
                </wp:anchor>
              </w:drawing>
            </w:r>
            <w:r>
              <w:rPr>
                <w:rFonts w:ascii="Times New Roman" w:hAnsi="Times New Roman" w:eastAsia="宋体"/>
                <w:color w:val="auto"/>
                <w:highlight w:val="none"/>
              </w:rPr>
              <w:drawing>
                <wp:inline distT="0" distB="0" distL="114300" distR="114300">
                  <wp:extent cx="4886325" cy="3781425"/>
                  <wp:effectExtent l="0" t="0" r="9525" b="9525"/>
                  <wp:docPr id="62"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57"/>
                          <pic:cNvPicPr>
                            <a:picLocks noChangeAspect="1"/>
                          </pic:cNvPicPr>
                        </pic:nvPicPr>
                        <pic:blipFill>
                          <a:blip r:embed="rId86"/>
                          <a:stretch>
                            <a:fillRect/>
                          </a:stretch>
                        </pic:blipFill>
                        <pic:spPr>
                          <a:xfrm>
                            <a:off x="0" y="0"/>
                            <a:ext cx="4886325" cy="3781425"/>
                          </a:xfrm>
                          <a:prstGeom prst="rect">
                            <a:avLst/>
                          </a:prstGeom>
                          <a:noFill/>
                          <a:ln>
                            <a:noFill/>
                          </a:ln>
                        </pic:spPr>
                      </pic:pic>
                    </a:graphicData>
                  </a:graphic>
                </wp:inline>
              </w:drawing>
            </w:r>
          </w:p>
          <w:p>
            <w:pPr>
              <w:ind w:firstLine="0" w:firstLineChars="0"/>
              <w:jc w:val="center"/>
              <w:rPr>
                <w:rFonts w:ascii="Times New Roman" w:hAnsi="Times New Roman" w:eastAsia="宋体" w:cs="Times New Roman"/>
                <w:b/>
                <w:color w:val="auto"/>
                <w:kern w:val="0"/>
                <w:szCs w:val="24"/>
                <w:highlight w:val="none"/>
              </w:rPr>
            </w:pPr>
            <w:r>
              <w:rPr>
                <w:rFonts w:ascii="Times New Roman" w:hAnsi="Times New Roman" w:eastAsia="宋体" w:cs="Times New Roman"/>
                <w:b/>
                <w:color w:val="auto"/>
                <w:kern w:val="0"/>
                <w:szCs w:val="24"/>
                <w:highlight w:val="none"/>
              </w:rPr>
              <w:t>图4.2-</w:t>
            </w:r>
            <w:r>
              <w:rPr>
                <w:rFonts w:hint="eastAsia" w:ascii="Times New Roman" w:hAnsi="Times New Roman" w:eastAsia="宋体" w:cs="Times New Roman"/>
                <w:b/>
                <w:color w:val="auto"/>
                <w:kern w:val="0"/>
                <w:szCs w:val="24"/>
                <w:highlight w:val="none"/>
              </w:rPr>
              <w:t>6</w:t>
            </w:r>
            <w:r>
              <w:rPr>
                <w:rFonts w:ascii="Times New Roman" w:hAnsi="Times New Roman" w:eastAsia="宋体" w:cs="Times New Roman"/>
                <w:b/>
                <w:color w:val="auto"/>
                <w:kern w:val="0"/>
                <w:szCs w:val="24"/>
                <w:highlight w:val="none"/>
              </w:rPr>
              <w:t xml:space="preserve">  </w:t>
            </w:r>
            <w:r>
              <w:rPr>
                <w:rFonts w:ascii="Times New Roman" w:hAnsi="Times New Roman" w:eastAsia="宋体" w:cs="Times New Roman"/>
                <w:b/>
                <w:bCs/>
                <w:color w:val="auto"/>
                <w:highlight w:val="none"/>
              </w:rPr>
              <w:t>叠加背景浓度后</w:t>
            </w:r>
            <w:r>
              <w:rPr>
                <w:rFonts w:ascii="Times New Roman" w:hAnsi="Times New Roman" w:eastAsia="宋体" w:cs="Times New Roman"/>
                <w:b/>
                <w:color w:val="auto"/>
                <w:kern w:val="0"/>
                <w:szCs w:val="24"/>
                <w:highlight w:val="none"/>
              </w:rPr>
              <w:t>PM</w:t>
            </w:r>
            <w:r>
              <w:rPr>
                <w:rFonts w:ascii="Times New Roman" w:hAnsi="Times New Roman" w:eastAsia="宋体" w:cs="Times New Roman"/>
                <w:b/>
                <w:bCs/>
                <w:color w:val="auto"/>
                <w:kern w:val="0"/>
                <w:highlight w:val="none"/>
                <w:vertAlign w:val="subscript"/>
              </w:rPr>
              <w:t>2.5</w:t>
            </w:r>
            <w:r>
              <w:rPr>
                <w:rFonts w:ascii="Times New Roman" w:hAnsi="Times New Roman" w:eastAsia="宋体" w:cs="Times New Roman"/>
                <w:b/>
                <w:color w:val="auto"/>
                <w:kern w:val="0"/>
                <w:szCs w:val="24"/>
                <w:highlight w:val="none"/>
              </w:rPr>
              <w:t>区域年均浓度分布图</w:t>
            </w:r>
          </w:p>
        </w:tc>
      </w:tr>
    </w:tbl>
    <w:p>
      <w:pPr>
        <w:ind w:firstLine="482"/>
        <w:rPr>
          <w:rFonts w:ascii="Times New Roman" w:hAnsi="Times New Roman" w:eastAsia="宋体" w:cs="Times New Roman"/>
          <w:b/>
          <w:bCs/>
          <w:snapToGrid w:val="0"/>
          <w:color w:val="auto"/>
          <w:kern w:val="0"/>
          <w:highlight w:val="none"/>
        </w:rPr>
      </w:pPr>
      <w:r>
        <w:rPr>
          <w:rFonts w:ascii="Times New Roman" w:hAnsi="Times New Roman" w:eastAsia="宋体" w:cs="Times New Roman"/>
          <w:b/>
          <w:bCs/>
          <w:color w:val="auto"/>
          <w:highlight w:val="none"/>
        </w:rPr>
        <w:t>2、非</w:t>
      </w:r>
      <w:r>
        <w:rPr>
          <w:rFonts w:ascii="Times New Roman" w:hAnsi="Times New Roman" w:eastAsia="宋体" w:cs="Times New Roman"/>
          <w:b/>
          <w:bCs/>
          <w:snapToGrid w:val="0"/>
          <w:color w:val="auto"/>
          <w:kern w:val="0"/>
          <w:highlight w:val="none"/>
        </w:rPr>
        <w:t>正常排放预测</w:t>
      </w:r>
      <w:r>
        <w:rPr>
          <w:rFonts w:ascii="Times New Roman" w:hAnsi="Times New Roman" w:eastAsia="宋体" w:cs="Times New Roman"/>
          <w:b/>
          <w:bCs/>
          <w:color w:val="auto"/>
          <w:highlight w:val="none"/>
        </w:rPr>
        <w:t>结果与评价</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szCs w:val="24"/>
          <w:highlight w:val="none"/>
        </w:rPr>
        <w:t>当破碎筛分生产线袋式除尘设施出现故障时，TSP有组织排放在预测结果见表4.2-</w:t>
      </w:r>
      <w:r>
        <w:rPr>
          <w:rFonts w:hint="eastAsia" w:ascii="Times New Roman" w:hAnsi="Times New Roman" w:eastAsia="宋体" w:cs="Times New Roman"/>
          <w:color w:val="auto"/>
          <w:szCs w:val="24"/>
          <w:highlight w:val="none"/>
        </w:rPr>
        <w:t>12</w:t>
      </w:r>
      <w:r>
        <w:rPr>
          <w:rFonts w:ascii="Times New Roman" w:hAnsi="Times New Roman" w:eastAsia="宋体" w:cs="Times New Roman"/>
          <w:color w:val="auto"/>
          <w:szCs w:val="24"/>
          <w:highlight w:val="none"/>
        </w:rPr>
        <w:t>。</w:t>
      </w:r>
    </w:p>
    <w:p>
      <w:pPr>
        <w:pStyle w:val="87"/>
        <w:rPr>
          <w:rFonts w:ascii="Times New Roman" w:hAnsi="Times New Roman" w:eastAsia="宋体" w:cs="Times New Roman"/>
          <w:color w:val="auto"/>
          <w:highlight w:val="none"/>
        </w:rPr>
      </w:pPr>
      <w:r>
        <w:rPr>
          <w:rFonts w:ascii="Times New Roman" w:hAnsi="Times New Roman" w:eastAsia="宋体" w:cs="Times New Roman"/>
          <w:color w:val="auto"/>
          <w:highlight w:val="none"/>
        </w:rPr>
        <w:t>表4.2-</w:t>
      </w:r>
      <w:r>
        <w:rPr>
          <w:rFonts w:hint="eastAsia" w:ascii="Times New Roman" w:hAnsi="Times New Roman" w:eastAsia="宋体" w:cs="Times New Roman"/>
          <w:color w:val="auto"/>
          <w:highlight w:val="none"/>
        </w:rPr>
        <w:t>12</w:t>
      </w:r>
      <w:r>
        <w:rPr>
          <w:rFonts w:ascii="Times New Roman" w:hAnsi="Times New Roman" w:eastAsia="宋体" w:cs="Times New Roman"/>
          <w:color w:val="auto"/>
          <w:highlight w:val="none"/>
        </w:rPr>
        <w:t xml:space="preserve"> 非正常工况下TSP贡献质量浓度预测结果表</w:t>
      </w:r>
    </w:p>
    <w:tbl>
      <w:tblPr>
        <w:tblStyle w:val="48"/>
        <w:tblW w:w="9071"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15" w:type="dxa"/>
          <w:left w:w="15" w:type="dxa"/>
          <w:bottom w:w="15" w:type="dxa"/>
          <w:right w:w="15" w:type="dxa"/>
        </w:tblCellMar>
      </w:tblPr>
      <w:tblGrid>
        <w:gridCol w:w="583"/>
        <w:gridCol w:w="1705"/>
        <w:gridCol w:w="1170"/>
        <w:gridCol w:w="1580"/>
        <w:gridCol w:w="1004"/>
        <w:gridCol w:w="1013"/>
        <w:gridCol w:w="1003"/>
        <w:gridCol w:w="1013"/>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15" w:type="dxa"/>
            <w:left w:w="15" w:type="dxa"/>
            <w:bottom w:w="15" w:type="dxa"/>
            <w:right w:w="15" w:type="dxa"/>
          </w:tblCellMar>
        </w:tblPrEx>
        <w:trPr>
          <w:trHeight w:val="283" w:hRule="atLeast"/>
          <w:jc w:val="center"/>
        </w:trPr>
        <w:tc>
          <w:tcPr>
            <w:tcW w:w="583" w:type="dxa"/>
            <w:noWrap w:val="0"/>
            <w:vAlign w:val="center"/>
          </w:tcPr>
          <w:p>
            <w:pPr>
              <w:pStyle w:val="81"/>
              <w:jc w:val="center"/>
              <w:rPr>
                <w:rFonts w:ascii="Times New Roman" w:hAnsi="Times New Roman" w:eastAsia="宋体"/>
                <w:b/>
                <w:bCs/>
                <w:color w:val="auto"/>
                <w:highlight w:val="none"/>
                <w:lang w:val="en-US" w:eastAsia="zh-CN" w:bidi="ar"/>
              </w:rPr>
            </w:pPr>
            <w:r>
              <w:rPr>
                <w:rFonts w:ascii="Times New Roman" w:hAnsi="Times New Roman" w:eastAsia="宋体"/>
                <w:b/>
                <w:bCs/>
                <w:color w:val="auto"/>
                <w:highlight w:val="none"/>
                <w:lang w:val="en-US" w:eastAsia="zh-CN" w:bidi="ar"/>
              </w:rPr>
              <w:t>序号</w:t>
            </w:r>
          </w:p>
        </w:tc>
        <w:tc>
          <w:tcPr>
            <w:tcW w:w="1705" w:type="dxa"/>
            <w:noWrap w:val="0"/>
            <w:vAlign w:val="center"/>
          </w:tcPr>
          <w:p>
            <w:pPr>
              <w:pStyle w:val="81"/>
              <w:jc w:val="center"/>
              <w:rPr>
                <w:rFonts w:ascii="Times New Roman" w:hAnsi="Times New Roman" w:eastAsia="宋体"/>
                <w:b/>
                <w:bCs/>
                <w:color w:val="auto"/>
                <w:highlight w:val="none"/>
                <w:lang w:val="en-US" w:eastAsia="zh-CN" w:bidi="ar"/>
              </w:rPr>
            </w:pPr>
            <w:r>
              <w:rPr>
                <w:rFonts w:ascii="Times New Roman" w:hAnsi="Times New Roman" w:eastAsia="宋体"/>
                <w:b/>
                <w:bCs/>
                <w:color w:val="auto"/>
                <w:highlight w:val="none"/>
                <w:lang w:val="en-US" w:eastAsia="zh-CN" w:bidi="ar"/>
              </w:rPr>
              <w:t>预测点</w:t>
            </w:r>
          </w:p>
        </w:tc>
        <w:tc>
          <w:tcPr>
            <w:tcW w:w="1170" w:type="dxa"/>
            <w:noWrap w:val="0"/>
            <w:vAlign w:val="center"/>
          </w:tcPr>
          <w:p>
            <w:pPr>
              <w:pStyle w:val="81"/>
              <w:jc w:val="center"/>
              <w:rPr>
                <w:rFonts w:ascii="Times New Roman" w:hAnsi="Times New Roman" w:eastAsia="宋体"/>
                <w:b/>
                <w:bCs/>
                <w:color w:val="auto"/>
                <w:highlight w:val="none"/>
                <w:lang w:val="en-US" w:eastAsia="zh-CN" w:bidi="ar"/>
              </w:rPr>
            </w:pPr>
            <w:r>
              <w:rPr>
                <w:rFonts w:ascii="Times New Roman" w:hAnsi="Times New Roman" w:eastAsia="宋体"/>
                <w:b/>
                <w:bCs/>
                <w:color w:val="auto"/>
                <w:highlight w:val="none"/>
                <w:lang w:val="en-US" w:eastAsia="zh-CN" w:bidi="ar"/>
              </w:rPr>
              <w:t>平均时段</w:t>
            </w:r>
          </w:p>
        </w:tc>
        <w:tc>
          <w:tcPr>
            <w:tcW w:w="1580" w:type="dxa"/>
            <w:noWrap w:val="0"/>
            <w:vAlign w:val="center"/>
          </w:tcPr>
          <w:p>
            <w:pPr>
              <w:pStyle w:val="86"/>
              <w:adjustRightInd/>
              <w:snapToGrid/>
              <w:rPr>
                <w:rFonts w:ascii="Times New Roman" w:hAnsi="Times New Roman" w:eastAsia="宋体" w:cs="Times New Roman"/>
                <w:bCs/>
                <w:color w:val="auto"/>
                <w:highlight w:val="none"/>
                <w:lang w:bidi="ar"/>
              </w:rPr>
            </w:pPr>
            <w:r>
              <w:rPr>
                <w:rFonts w:ascii="Times New Roman" w:hAnsi="Times New Roman" w:eastAsia="宋体" w:cs="Times New Roman"/>
                <w:bCs/>
                <w:color w:val="auto"/>
                <w:highlight w:val="none"/>
                <w:lang w:bidi="ar"/>
              </w:rPr>
              <w:t>最大浓度贡献值（mg/m</w:t>
            </w:r>
            <w:r>
              <w:rPr>
                <w:rFonts w:ascii="Times New Roman" w:hAnsi="Times New Roman" w:eastAsia="宋体" w:cs="Times New Roman"/>
                <w:bCs/>
                <w:color w:val="auto"/>
                <w:highlight w:val="none"/>
                <w:vertAlign w:val="superscript"/>
                <w:lang w:bidi="ar"/>
              </w:rPr>
              <w:t>3</w:t>
            </w:r>
            <w:r>
              <w:rPr>
                <w:rFonts w:ascii="Times New Roman" w:hAnsi="Times New Roman" w:eastAsia="宋体" w:cs="Times New Roman"/>
                <w:bCs/>
                <w:color w:val="auto"/>
                <w:highlight w:val="none"/>
                <w:lang w:bidi="ar"/>
              </w:rPr>
              <w:t>）</w:t>
            </w:r>
          </w:p>
        </w:tc>
        <w:tc>
          <w:tcPr>
            <w:tcW w:w="1004" w:type="dxa"/>
            <w:noWrap w:val="0"/>
            <w:vAlign w:val="center"/>
          </w:tcPr>
          <w:p>
            <w:pPr>
              <w:pStyle w:val="86"/>
              <w:adjustRightInd/>
              <w:snapToGrid/>
              <w:rPr>
                <w:rFonts w:ascii="Times New Roman" w:hAnsi="Times New Roman" w:eastAsia="宋体" w:cs="Times New Roman"/>
                <w:bCs/>
                <w:color w:val="auto"/>
                <w:highlight w:val="none"/>
                <w:lang w:bidi="ar"/>
              </w:rPr>
            </w:pPr>
            <w:r>
              <w:rPr>
                <w:rFonts w:ascii="Times New Roman" w:hAnsi="Times New Roman" w:eastAsia="宋体" w:cs="Times New Roman"/>
                <w:bCs/>
                <w:color w:val="auto"/>
                <w:highlight w:val="none"/>
                <w:lang w:bidi="ar"/>
              </w:rPr>
              <w:t>出现时间</w:t>
            </w:r>
          </w:p>
        </w:tc>
        <w:tc>
          <w:tcPr>
            <w:tcW w:w="1013" w:type="dxa"/>
            <w:noWrap w:val="0"/>
            <w:vAlign w:val="center"/>
          </w:tcPr>
          <w:p>
            <w:pPr>
              <w:pStyle w:val="86"/>
              <w:adjustRightInd/>
              <w:snapToGrid/>
              <w:rPr>
                <w:rFonts w:ascii="Times New Roman" w:hAnsi="Times New Roman" w:eastAsia="宋体" w:cs="Times New Roman"/>
                <w:bCs/>
                <w:color w:val="auto"/>
                <w:highlight w:val="none"/>
                <w:lang w:bidi="ar"/>
              </w:rPr>
            </w:pPr>
            <w:r>
              <w:rPr>
                <w:rFonts w:ascii="Times New Roman" w:hAnsi="Times New Roman" w:eastAsia="宋体" w:cs="Times New Roman"/>
                <w:bCs/>
                <w:color w:val="auto"/>
                <w:highlight w:val="none"/>
                <w:lang w:bidi="ar"/>
              </w:rPr>
              <w:t>评价标准</w:t>
            </w:r>
          </w:p>
          <w:p>
            <w:pPr>
              <w:pStyle w:val="81"/>
              <w:jc w:val="center"/>
              <w:rPr>
                <w:rFonts w:ascii="Times New Roman" w:hAnsi="Times New Roman" w:eastAsia="宋体"/>
                <w:b/>
                <w:bCs/>
                <w:color w:val="auto"/>
                <w:highlight w:val="none"/>
                <w:lang w:val="en-US" w:eastAsia="zh-CN" w:bidi="ar"/>
              </w:rPr>
            </w:pPr>
            <w:r>
              <w:rPr>
                <w:rFonts w:ascii="Times New Roman" w:hAnsi="Times New Roman" w:eastAsia="宋体"/>
                <w:b/>
                <w:bCs/>
                <w:color w:val="auto"/>
                <w:highlight w:val="none"/>
                <w:lang w:val="en-US" w:eastAsia="zh-CN" w:bidi="ar"/>
              </w:rPr>
              <w:t>（mg/m</w:t>
            </w:r>
            <w:r>
              <w:rPr>
                <w:rFonts w:ascii="Times New Roman" w:hAnsi="Times New Roman" w:eastAsia="宋体"/>
                <w:b/>
                <w:bCs/>
                <w:color w:val="auto"/>
                <w:highlight w:val="none"/>
                <w:vertAlign w:val="superscript"/>
                <w:lang w:val="en-US" w:eastAsia="zh-CN" w:bidi="ar"/>
              </w:rPr>
              <w:t>3</w:t>
            </w:r>
            <w:r>
              <w:rPr>
                <w:rFonts w:ascii="Times New Roman" w:hAnsi="Times New Roman" w:eastAsia="宋体"/>
                <w:b/>
                <w:bCs/>
                <w:color w:val="auto"/>
                <w:highlight w:val="none"/>
                <w:lang w:val="en-US" w:eastAsia="zh-CN" w:bidi="ar"/>
              </w:rPr>
              <w:t>）</w:t>
            </w:r>
          </w:p>
        </w:tc>
        <w:tc>
          <w:tcPr>
            <w:tcW w:w="1003" w:type="dxa"/>
            <w:noWrap w:val="0"/>
            <w:vAlign w:val="center"/>
          </w:tcPr>
          <w:p>
            <w:pPr>
              <w:pStyle w:val="86"/>
              <w:adjustRightInd/>
              <w:snapToGrid/>
              <w:rPr>
                <w:rFonts w:ascii="Times New Roman" w:hAnsi="Times New Roman" w:eastAsia="宋体" w:cs="Times New Roman"/>
                <w:bCs/>
                <w:color w:val="auto"/>
                <w:highlight w:val="none"/>
                <w:lang w:bidi="ar"/>
              </w:rPr>
            </w:pPr>
            <w:r>
              <w:rPr>
                <w:rFonts w:ascii="Times New Roman" w:hAnsi="Times New Roman" w:eastAsia="宋体" w:cs="Times New Roman"/>
                <w:bCs/>
                <w:color w:val="auto"/>
                <w:highlight w:val="none"/>
                <w:lang w:bidi="ar"/>
              </w:rPr>
              <w:t>占标率</w:t>
            </w:r>
          </w:p>
          <w:p>
            <w:pPr>
              <w:pStyle w:val="86"/>
              <w:adjustRightInd/>
              <w:snapToGrid/>
              <w:rPr>
                <w:rFonts w:ascii="Times New Roman" w:hAnsi="Times New Roman" w:eastAsia="宋体" w:cs="Times New Roman"/>
                <w:bCs/>
                <w:color w:val="auto"/>
                <w:highlight w:val="none"/>
                <w:lang w:bidi="ar"/>
              </w:rPr>
            </w:pPr>
            <w:r>
              <w:rPr>
                <w:rFonts w:ascii="Times New Roman" w:hAnsi="Times New Roman" w:eastAsia="宋体" w:cs="Times New Roman"/>
                <w:bCs/>
                <w:color w:val="auto"/>
                <w:highlight w:val="none"/>
                <w:lang w:bidi="ar"/>
              </w:rPr>
              <w:t>（%）</w:t>
            </w:r>
          </w:p>
        </w:tc>
        <w:tc>
          <w:tcPr>
            <w:tcW w:w="1013" w:type="dxa"/>
            <w:noWrap w:val="0"/>
            <w:vAlign w:val="center"/>
          </w:tcPr>
          <w:p>
            <w:pPr>
              <w:pStyle w:val="86"/>
              <w:adjustRightInd/>
              <w:snapToGrid/>
              <w:rPr>
                <w:rFonts w:ascii="Times New Roman" w:hAnsi="Times New Roman" w:eastAsia="宋体" w:cs="Times New Roman"/>
                <w:bCs/>
                <w:color w:val="auto"/>
                <w:highlight w:val="none"/>
                <w:lang w:bidi="ar"/>
              </w:rPr>
            </w:pPr>
            <w:r>
              <w:rPr>
                <w:rFonts w:ascii="Times New Roman" w:hAnsi="Times New Roman" w:eastAsia="宋体" w:cs="Times New Roman"/>
                <w:bCs/>
                <w:color w:val="auto"/>
                <w:highlight w:val="none"/>
                <w:lang w:bidi="ar"/>
              </w:rPr>
              <w:t>达标情况</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15" w:type="dxa"/>
            <w:left w:w="15" w:type="dxa"/>
            <w:bottom w:w="15" w:type="dxa"/>
            <w:right w:w="15" w:type="dxa"/>
          </w:tblCellMar>
        </w:tblPrEx>
        <w:trPr>
          <w:trHeight w:val="283" w:hRule="atLeast"/>
          <w:jc w:val="center"/>
        </w:trPr>
        <w:tc>
          <w:tcPr>
            <w:tcW w:w="583" w:type="dxa"/>
            <w:noWrap w:val="0"/>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bidi="ar"/>
              </w:rPr>
              <w:t>1</w:t>
            </w:r>
          </w:p>
        </w:tc>
        <w:tc>
          <w:tcPr>
            <w:tcW w:w="1705" w:type="dxa"/>
            <w:noWrap w:val="0"/>
            <w:vAlign w:val="center"/>
          </w:tcPr>
          <w:p>
            <w:pPr>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东恒屯</w:t>
            </w:r>
          </w:p>
        </w:tc>
        <w:tc>
          <w:tcPr>
            <w:tcW w:w="1170" w:type="dxa"/>
            <w:noWrap w:val="0"/>
            <w:vAlign w:val="center"/>
          </w:tcPr>
          <w:p>
            <w:pPr>
              <w:pStyle w:val="81"/>
              <w:jc w:val="center"/>
              <w:rPr>
                <w:rFonts w:ascii="Times New Roman" w:hAnsi="Times New Roman" w:eastAsia="宋体"/>
                <w:color w:val="auto"/>
                <w:szCs w:val="22"/>
                <w:highlight w:val="none"/>
                <w:lang w:val="en-US" w:eastAsia="zh-CN"/>
              </w:rPr>
            </w:pPr>
            <w:r>
              <w:rPr>
                <w:rFonts w:ascii="Times New Roman" w:hAnsi="Times New Roman" w:eastAsia="宋体"/>
                <w:color w:val="auto"/>
                <w:szCs w:val="22"/>
                <w:highlight w:val="none"/>
                <w:lang w:val="en-US" w:eastAsia="zh-CN"/>
              </w:rPr>
              <w:t>小时平均</w:t>
            </w:r>
          </w:p>
        </w:tc>
        <w:tc>
          <w:tcPr>
            <w:tcW w:w="1580"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4.79E-01</w:t>
            </w:r>
          </w:p>
        </w:tc>
        <w:tc>
          <w:tcPr>
            <w:tcW w:w="1004"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18050223</w:t>
            </w:r>
          </w:p>
        </w:tc>
        <w:tc>
          <w:tcPr>
            <w:tcW w:w="1013" w:type="dxa"/>
            <w:noWrap w:val="0"/>
            <w:vAlign w:val="center"/>
          </w:tcPr>
          <w:p>
            <w:pPr>
              <w:pStyle w:val="86"/>
              <w:adjustRightInd/>
              <w:snapToGrid/>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0.9</w:t>
            </w:r>
          </w:p>
        </w:tc>
        <w:tc>
          <w:tcPr>
            <w:tcW w:w="1003"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53.19</w:t>
            </w:r>
          </w:p>
        </w:tc>
        <w:tc>
          <w:tcPr>
            <w:tcW w:w="1013"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15" w:type="dxa"/>
            <w:left w:w="15" w:type="dxa"/>
            <w:bottom w:w="15" w:type="dxa"/>
            <w:right w:w="15" w:type="dxa"/>
          </w:tblCellMar>
        </w:tblPrEx>
        <w:trPr>
          <w:trHeight w:val="283" w:hRule="atLeast"/>
          <w:jc w:val="center"/>
        </w:trPr>
        <w:tc>
          <w:tcPr>
            <w:tcW w:w="583" w:type="dxa"/>
            <w:noWrap w:val="0"/>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bidi="ar"/>
              </w:rPr>
              <w:t>2</w:t>
            </w:r>
          </w:p>
        </w:tc>
        <w:tc>
          <w:tcPr>
            <w:tcW w:w="1705" w:type="dxa"/>
            <w:noWrap w:val="0"/>
            <w:vAlign w:val="center"/>
          </w:tcPr>
          <w:p>
            <w:pPr>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东坪村</w:t>
            </w:r>
          </w:p>
        </w:tc>
        <w:tc>
          <w:tcPr>
            <w:tcW w:w="1170" w:type="dxa"/>
            <w:noWrap w:val="0"/>
            <w:vAlign w:val="center"/>
          </w:tcPr>
          <w:p>
            <w:pPr>
              <w:pStyle w:val="86"/>
              <w:adjustRightInd/>
              <w:snapToGrid/>
              <w:rPr>
                <w:rFonts w:ascii="Times New Roman" w:hAnsi="Times New Roman" w:eastAsia="宋体" w:cs="Times New Roman"/>
                <w:b w:val="0"/>
                <w:color w:val="auto"/>
                <w:highlight w:val="none"/>
              </w:rPr>
            </w:pPr>
            <w:r>
              <w:rPr>
                <w:rFonts w:ascii="Times New Roman" w:hAnsi="Times New Roman" w:eastAsia="宋体" w:cs="Times New Roman"/>
                <w:b w:val="0"/>
                <w:color w:val="auto"/>
                <w:highlight w:val="none"/>
              </w:rPr>
              <w:t>小时平均</w:t>
            </w:r>
          </w:p>
        </w:tc>
        <w:tc>
          <w:tcPr>
            <w:tcW w:w="1580"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8.90E-02</w:t>
            </w:r>
          </w:p>
        </w:tc>
        <w:tc>
          <w:tcPr>
            <w:tcW w:w="1004"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18040706</w:t>
            </w:r>
          </w:p>
        </w:tc>
        <w:tc>
          <w:tcPr>
            <w:tcW w:w="1013" w:type="dxa"/>
            <w:noWrap w:val="0"/>
            <w:vAlign w:val="center"/>
          </w:tcPr>
          <w:p>
            <w:pPr>
              <w:pStyle w:val="86"/>
              <w:adjustRightInd/>
              <w:snapToGrid/>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0.9</w:t>
            </w:r>
          </w:p>
        </w:tc>
        <w:tc>
          <w:tcPr>
            <w:tcW w:w="1003"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9.89</w:t>
            </w:r>
          </w:p>
        </w:tc>
        <w:tc>
          <w:tcPr>
            <w:tcW w:w="1013"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15" w:type="dxa"/>
            <w:left w:w="15" w:type="dxa"/>
            <w:bottom w:w="15" w:type="dxa"/>
            <w:right w:w="15" w:type="dxa"/>
          </w:tblCellMar>
        </w:tblPrEx>
        <w:trPr>
          <w:trHeight w:val="283" w:hRule="atLeast"/>
          <w:jc w:val="center"/>
        </w:trPr>
        <w:tc>
          <w:tcPr>
            <w:tcW w:w="583" w:type="dxa"/>
            <w:noWrap w:val="0"/>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bidi="ar"/>
              </w:rPr>
              <w:t>3</w:t>
            </w:r>
          </w:p>
        </w:tc>
        <w:tc>
          <w:tcPr>
            <w:tcW w:w="1705" w:type="dxa"/>
            <w:noWrap w:val="0"/>
            <w:vAlign w:val="center"/>
          </w:tcPr>
          <w:p>
            <w:pPr>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坡滚屯</w:t>
            </w:r>
          </w:p>
        </w:tc>
        <w:tc>
          <w:tcPr>
            <w:tcW w:w="1170" w:type="dxa"/>
            <w:noWrap w:val="0"/>
            <w:vAlign w:val="center"/>
          </w:tcPr>
          <w:p>
            <w:pPr>
              <w:pStyle w:val="86"/>
              <w:adjustRightInd/>
              <w:snapToGrid/>
              <w:rPr>
                <w:rFonts w:ascii="Times New Roman" w:hAnsi="Times New Roman" w:eastAsia="宋体" w:cs="Times New Roman"/>
                <w:b w:val="0"/>
                <w:color w:val="auto"/>
                <w:highlight w:val="none"/>
              </w:rPr>
            </w:pPr>
            <w:r>
              <w:rPr>
                <w:rFonts w:ascii="Times New Roman" w:hAnsi="Times New Roman" w:eastAsia="宋体" w:cs="Times New Roman"/>
                <w:b w:val="0"/>
                <w:color w:val="auto"/>
                <w:highlight w:val="none"/>
              </w:rPr>
              <w:t>小时平均</w:t>
            </w:r>
          </w:p>
        </w:tc>
        <w:tc>
          <w:tcPr>
            <w:tcW w:w="1580"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2.51E-01</w:t>
            </w:r>
          </w:p>
        </w:tc>
        <w:tc>
          <w:tcPr>
            <w:tcW w:w="1004"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18091522</w:t>
            </w:r>
          </w:p>
        </w:tc>
        <w:tc>
          <w:tcPr>
            <w:tcW w:w="1013" w:type="dxa"/>
            <w:noWrap w:val="0"/>
            <w:vAlign w:val="center"/>
          </w:tcPr>
          <w:p>
            <w:pPr>
              <w:pStyle w:val="86"/>
              <w:adjustRightInd/>
              <w:snapToGrid/>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0.9</w:t>
            </w:r>
          </w:p>
        </w:tc>
        <w:tc>
          <w:tcPr>
            <w:tcW w:w="1003"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27.92</w:t>
            </w:r>
          </w:p>
        </w:tc>
        <w:tc>
          <w:tcPr>
            <w:tcW w:w="1013"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15" w:type="dxa"/>
            <w:left w:w="15" w:type="dxa"/>
            <w:bottom w:w="15" w:type="dxa"/>
            <w:right w:w="15" w:type="dxa"/>
          </w:tblCellMar>
        </w:tblPrEx>
        <w:trPr>
          <w:trHeight w:val="283" w:hRule="atLeast"/>
          <w:jc w:val="center"/>
        </w:trPr>
        <w:tc>
          <w:tcPr>
            <w:tcW w:w="583" w:type="dxa"/>
            <w:noWrap w:val="0"/>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bidi="ar"/>
              </w:rPr>
              <w:t>4</w:t>
            </w:r>
          </w:p>
        </w:tc>
        <w:tc>
          <w:tcPr>
            <w:tcW w:w="1705" w:type="dxa"/>
            <w:noWrap w:val="0"/>
            <w:vAlign w:val="center"/>
          </w:tcPr>
          <w:p>
            <w:pPr>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拉决屯</w:t>
            </w:r>
          </w:p>
        </w:tc>
        <w:tc>
          <w:tcPr>
            <w:tcW w:w="1170" w:type="dxa"/>
            <w:noWrap w:val="0"/>
            <w:vAlign w:val="center"/>
          </w:tcPr>
          <w:p>
            <w:pPr>
              <w:pStyle w:val="86"/>
              <w:adjustRightInd/>
              <w:snapToGrid/>
              <w:rPr>
                <w:rFonts w:ascii="Times New Roman" w:hAnsi="Times New Roman" w:eastAsia="宋体" w:cs="Times New Roman"/>
                <w:b w:val="0"/>
                <w:color w:val="auto"/>
                <w:highlight w:val="none"/>
              </w:rPr>
            </w:pPr>
            <w:r>
              <w:rPr>
                <w:rFonts w:ascii="Times New Roman" w:hAnsi="Times New Roman" w:eastAsia="宋体" w:cs="Times New Roman"/>
                <w:b w:val="0"/>
                <w:color w:val="auto"/>
                <w:highlight w:val="none"/>
              </w:rPr>
              <w:t>小时平均</w:t>
            </w:r>
          </w:p>
        </w:tc>
        <w:tc>
          <w:tcPr>
            <w:tcW w:w="1580"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1.58E-01</w:t>
            </w:r>
          </w:p>
        </w:tc>
        <w:tc>
          <w:tcPr>
            <w:tcW w:w="1004"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18052101</w:t>
            </w:r>
          </w:p>
        </w:tc>
        <w:tc>
          <w:tcPr>
            <w:tcW w:w="1013" w:type="dxa"/>
            <w:noWrap w:val="0"/>
            <w:vAlign w:val="center"/>
          </w:tcPr>
          <w:p>
            <w:pPr>
              <w:pStyle w:val="86"/>
              <w:adjustRightInd/>
              <w:snapToGrid/>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0.9</w:t>
            </w:r>
          </w:p>
        </w:tc>
        <w:tc>
          <w:tcPr>
            <w:tcW w:w="1003"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17.57</w:t>
            </w:r>
          </w:p>
        </w:tc>
        <w:tc>
          <w:tcPr>
            <w:tcW w:w="1013"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15" w:type="dxa"/>
            <w:left w:w="15" w:type="dxa"/>
            <w:bottom w:w="15" w:type="dxa"/>
            <w:right w:w="15" w:type="dxa"/>
          </w:tblCellMar>
        </w:tblPrEx>
        <w:trPr>
          <w:trHeight w:val="283" w:hRule="atLeast"/>
          <w:jc w:val="center"/>
        </w:trPr>
        <w:tc>
          <w:tcPr>
            <w:tcW w:w="583" w:type="dxa"/>
            <w:noWrap w:val="0"/>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bidi="ar"/>
              </w:rPr>
              <w:t>5</w:t>
            </w:r>
          </w:p>
        </w:tc>
        <w:tc>
          <w:tcPr>
            <w:tcW w:w="1705" w:type="dxa"/>
            <w:noWrap w:val="0"/>
            <w:vAlign w:val="center"/>
          </w:tcPr>
          <w:p>
            <w:pPr>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江口屯</w:t>
            </w:r>
          </w:p>
        </w:tc>
        <w:tc>
          <w:tcPr>
            <w:tcW w:w="1170" w:type="dxa"/>
            <w:noWrap w:val="0"/>
            <w:vAlign w:val="center"/>
          </w:tcPr>
          <w:p>
            <w:pPr>
              <w:pStyle w:val="86"/>
              <w:adjustRightInd/>
              <w:snapToGrid/>
              <w:rPr>
                <w:rFonts w:ascii="Times New Roman" w:hAnsi="Times New Roman" w:eastAsia="宋体" w:cs="Times New Roman"/>
                <w:b w:val="0"/>
                <w:color w:val="auto"/>
                <w:highlight w:val="none"/>
              </w:rPr>
            </w:pPr>
            <w:r>
              <w:rPr>
                <w:rFonts w:ascii="Times New Roman" w:hAnsi="Times New Roman" w:eastAsia="宋体" w:cs="Times New Roman"/>
                <w:b w:val="0"/>
                <w:color w:val="auto"/>
                <w:highlight w:val="none"/>
              </w:rPr>
              <w:t>小时平均</w:t>
            </w:r>
          </w:p>
        </w:tc>
        <w:tc>
          <w:tcPr>
            <w:tcW w:w="1580"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1.29E-01</w:t>
            </w:r>
          </w:p>
        </w:tc>
        <w:tc>
          <w:tcPr>
            <w:tcW w:w="1004"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18071505</w:t>
            </w:r>
          </w:p>
        </w:tc>
        <w:tc>
          <w:tcPr>
            <w:tcW w:w="1013" w:type="dxa"/>
            <w:noWrap w:val="0"/>
            <w:vAlign w:val="center"/>
          </w:tcPr>
          <w:p>
            <w:pPr>
              <w:pStyle w:val="86"/>
              <w:adjustRightInd/>
              <w:snapToGrid/>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0.9</w:t>
            </w:r>
          </w:p>
        </w:tc>
        <w:tc>
          <w:tcPr>
            <w:tcW w:w="1003"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14.28</w:t>
            </w:r>
          </w:p>
        </w:tc>
        <w:tc>
          <w:tcPr>
            <w:tcW w:w="1013"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15" w:type="dxa"/>
            <w:left w:w="15" w:type="dxa"/>
            <w:bottom w:w="15" w:type="dxa"/>
            <w:right w:w="15" w:type="dxa"/>
          </w:tblCellMar>
        </w:tblPrEx>
        <w:trPr>
          <w:trHeight w:val="283" w:hRule="atLeast"/>
          <w:jc w:val="center"/>
        </w:trPr>
        <w:tc>
          <w:tcPr>
            <w:tcW w:w="583" w:type="dxa"/>
            <w:noWrap w:val="0"/>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bidi="ar"/>
              </w:rPr>
              <w:t>6</w:t>
            </w:r>
          </w:p>
        </w:tc>
        <w:tc>
          <w:tcPr>
            <w:tcW w:w="1705" w:type="dxa"/>
            <w:noWrap w:val="0"/>
            <w:vAlign w:val="center"/>
          </w:tcPr>
          <w:p>
            <w:pPr>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大湴屯</w:t>
            </w:r>
          </w:p>
        </w:tc>
        <w:tc>
          <w:tcPr>
            <w:tcW w:w="1170" w:type="dxa"/>
            <w:noWrap w:val="0"/>
            <w:vAlign w:val="center"/>
          </w:tcPr>
          <w:p>
            <w:pPr>
              <w:pStyle w:val="86"/>
              <w:adjustRightInd/>
              <w:snapToGrid/>
              <w:rPr>
                <w:rFonts w:ascii="Times New Roman" w:hAnsi="Times New Roman" w:eastAsia="宋体" w:cs="Times New Roman"/>
                <w:b w:val="0"/>
                <w:color w:val="auto"/>
                <w:highlight w:val="none"/>
              </w:rPr>
            </w:pPr>
            <w:r>
              <w:rPr>
                <w:rFonts w:ascii="Times New Roman" w:hAnsi="Times New Roman" w:eastAsia="宋体" w:cs="Times New Roman"/>
                <w:b w:val="0"/>
                <w:color w:val="auto"/>
                <w:highlight w:val="none"/>
              </w:rPr>
              <w:t>小时平均</w:t>
            </w:r>
          </w:p>
        </w:tc>
        <w:tc>
          <w:tcPr>
            <w:tcW w:w="1580"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1.14E-01</w:t>
            </w:r>
          </w:p>
        </w:tc>
        <w:tc>
          <w:tcPr>
            <w:tcW w:w="1004"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18111019</w:t>
            </w:r>
          </w:p>
        </w:tc>
        <w:tc>
          <w:tcPr>
            <w:tcW w:w="1013" w:type="dxa"/>
            <w:noWrap w:val="0"/>
            <w:vAlign w:val="center"/>
          </w:tcPr>
          <w:p>
            <w:pPr>
              <w:pStyle w:val="86"/>
              <w:adjustRightInd/>
              <w:snapToGrid/>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0.9</w:t>
            </w:r>
          </w:p>
        </w:tc>
        <w:tc>
          <w:tcPr>
            <w:tcW w:w="1003"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12.67</w:t>
            </w:r>
          </w:p>
        </w:tc>
        <w:tc>
          <w:tcPr>
            <w:tcW w:w="1013"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15" w:type="dxa"/>
            <w:left w:w="15" w:type="dxa"/>
            <w:bottom w:w="15" w:type="dxa"/>
            <w:right w:w="15" w:type="dxa"/>
          </w:tblCellMar>
        </w:tblPrEx>
        <w:trPr>
          <w:trHeight w:val="283" w:hRule="atLeast"/>
          <w:jc w:val="center"/>
        </w:trPr>
        <w:tc>
          <w:tcPr>
            <w:tcW w:w="583" w:type="dxa"/>
            <w:noWrap w:val="0"/>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bidi="ar"/>
              </w:rPr>
              <w:t>7</w:t>
            </w:r>
          </w:p>
        </w:tc>
        <w:tc>
          <w:tcPr>
            <w:tcW w:w="1705" w:type="dxa"/>
            <w:noWrap w:val="0"/>
            <w:vAlign w:val="center"/>
          </w:tcPr>
          <w:p>
            <w:pPr>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斗江镇</w:t>
            </w:r>
          </w:p>
        </w:tc>
        <w:tc>
          <w:tcPr>
            <w:tcW w:w="1170" w:type="dxa"/>
            <w:noWrap w:val="0"/>
            <w:vAlign w:val="center"/>
          </w:tcPr>
          <w:p>
            <w:pPr>
              <w:pStyle w:val="86"/>
              <w:adjustRightInd/>
              <w:snapToGrid/>
              <w:rPr>
                <w:rFonts w:ascii="Times New Roman" w:hAnsi="Times New Roman" w:eastAsia="宋体" w:cs="Times New Roman"/>
                <w:b w:val="0"/>
                <w:color w:val="auto"/>
                <w:highlight w:val="none"/>
              </w:rPr>
            </w:pPr>
            <w:r>
              <w:rPr>
                <w:rFonts w:ascii="Times New Roman" w:hAnsi="Times New Roman" w:eastAsia="宋体" w:cs="Times New Roman"/>
                <w:b w:val="0"/>
                <w:color w:val="auto"/>
                <w:highlight w:val="none"/>
              </w:rPr>
              <w:t>小时平均</w:t>
            </w:r>
          </w:p>
        </w:tc>
        <w:tc>
          <w:tcPr>
            <w:tcW w:w="1580"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3.49E-02</w:t>
            </w:r>
          </w:p>
        </w:tc>
        <w:tc>
          <w:tcPr>
            <w:tcW w:w="1004"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18050423</w:t>
            </w:r>
          </w:p>
        </w:tc>
        <w:tc>
          <w:tcPr>
            <w:tcW w:w="1013" w:type="dxa"/>
            <w:noWrap w:val="0"/>
            <w:vAlign w:val="center"/>
          </w:tcPr>
          <w:p>
            <w:pPr>
              <w:pStyle w:val="86"/>
              <w:adjustRightInd/>
              <w:snapToGrid/>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0.9</w:t>
            </w:r>
          </w:p>
        </w:tc>
        <w:tc>
          <w:tcPr>
            <w:tcW w:w="1003"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3.87</w:t>
            </w:r>
          </w:p>
        </w:tc>
        <w:tc>
          <w:tcPr>
            <w:tcW w:w="1013"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15" w:type="dxa"/>
            <w:left w:w="15" w:type="dxa"/>
            <w:bottom w:w="15" w:type="dxa"/>
            <w:right w:w="15" w:type="dxa"/>
          </w:tblCellMar>
        </w:tblPrEx>
        <w:trPr>
          <w:trHeight w:val="283" w:hRule="atLeast"/>
          <w:jc w:val="center"/>
        </w:trPr>
        <w:tc>
          <w:tcPr>
            <w:tcW w:w="583" w:type="dxa"/>
            <w:noWrap w:val="0"/>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bidi="ar"/>
              </w:rPr>
              <w:t>8</w:t>
            </w:r>
          </w:p>
        </w:tc>
        <w:tc>
          <w:tcPr>
            <w:tcW w:w="1705" w:type="dxa"/>
            <w:noWrap w:val="0"/>
            <w:vAlign w:val="center"/>
          </w:tcPr>
          <w:p>
            <w:pPr>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木洞屯</w:t>
            </w:r>
          </w:p>
        </w:tc>
        <w:tc>
          <w:tcPr>
            <w:tcW w:w="1170" w:type="dxa"/>
            <w:noWrap w:val="0"/>
            <w:vAlign w:val="center"/>
          </w:tcPr>
          <w:p>
            <w:pPr>
              <w:pStyle w:val="86"/>
              <w:adjustRightInd/>
              <w:snapToGrid/>
              <w:rPr>
                <w:rFonts w:ascii="Times New Roman" w:hAnsi="Times New Roman" w:eastAsia="宋体" w:cs="Times New Roman"/>
                <w:b w:val="0"/>
                <w:color w:val="auto"/>
                <w:highlight w:val="none"/>
              </w:rPr>
            </w:pPr>
            <w:r>
              <w:rPr>
                <w:rFonts w:ascii="Times New Roman" w:hAnsi="Times New Roman" w:eastAsia="宋体" w:cs="Times New Roman"/>
                <w:b w:val="0"/>
                <w:color w:val="auto"/>
                <w:highlight w:val="none"/>
              </w:rPr>
              <w:t>小时平均</w:t>
            </w:r>
          </w:p>
        </w:tc>
        <w:tc>
          <w:tcPr>
            <w:tcW w:w="1580"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3.69E-02</w:t>
            </w:r>
          </w:p>
        </w:tc>
        <w:tc>
          <w:tcPr>
            <w:tcW w:w="1004"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18031106</w:t>
            </w:r>
          </w:p>
        </w:tc>
        <w:tc>
          <w:tcPr>
            <w:tcW w:w="1013" w:type="dxa"/>
            <w:noWrap w:val="0"/>
            <w:vAlign w:val="center"/>
          </w:tcPr>
          <w:p>
            <w:pPr>
              <w:pStyle w:val="86"/>
              <w:adjustRightInd/>
              <w:snapToGrid/>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0.9</w:t>
            </w:r>
          </w:p>
        </w:tc>
        <w:tc>
          <w:tcPr>
            <w:tcW w:w="1003"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4.10</w:t>
            </w:r>
          </w:p>
        </w:tc>
        <w:tc>
          <w:tcPr>
            <w:tcW w:w="1013"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15" w:type="dxa"/>
            <w:left w:w="15" w:type="dxa"/>
            <w:bottom w:w="15" w:type="dxa"/>
            <w:right w:w="15" w:type="dxa"/>
          </w:tblCellMar>
        </w:tblPrEx>
        <w:trPr>
          <w:trHeight w:val="283" w:hRule="atLeast"/>
          <w:jc w:val="center"/>
        </w:trPr>
        <w:tc>
          <w:tcPr>
            <w:tcW w:w="583" w:type="dxa"/>
            <w:noWrap w:val="0"/>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bidi="ar"/>
              </w:rPr>
              <w:t>9</w:t>
            </w:r>
          </w:p>
        </w:tc>
        <w:tc>
          <w:tcPr>
            <w:tcW w:w="1705" w:type="dxa"/>
            <w:noWrap w:val="0"/>
            <w:vAlign w:val="center"/>
          </w:tcPr>
          <w:p>
            <w:pPr>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网格点（</w:t>
            </w:r>
            <w:r>
              <w:rPr>
                <w:rFonts w:hint="eastAsia" w:ascii="Times New Roman" w:hAnsi="Times New Roman" w:eastAsia="宋体" w:cs="Times New Roman"/>
                <w:color w:val="auto"/>
                <w:sz w:val="21"/>
                <w:highlight w:val="none"/>
              </w:rPr>
              <w:t>6</w:t>
            </w:r>
            <w:r>
              <w:rPr>
                <w:rFonts w:ascii="Times New Roman" w:hAnsi="Times New Roman" w:eastAsia="宋体" w:cs="Times New Roman"/>
                <w:color w:val="auto"/>
                <w:sz w:val="21"/>
                <w:highlight w:val="none"/>
              </w:rPr>
              <w:t>00,100）</w:t>
            </w:r>
          </w:p>
        </w:tc>
        <w:tc>
          <w:tcPr>
            <w:tcW w:w="1170" w:type="dxa"/>
            <w:noWrap w:val="0"/>
            <w:vAlign w:val="center"/>
          </w:tcPr>
          <w:p>
            <w:pPr>
              <w:pStyle w:val="86"/>
              <w:adjustRightInd/>
              <w:snapToGrid/>
              <w:rPr>
                <w:rFonts w:ascii="Times New Roman" w:hAnsi="Times New Roman" w:eastAsia="宋体" w:cs="Times New Roman"/>
                <w:b w:val="0"/>
                <w:color w:val="auto"/>
                <w:highlight w:val="none"/>
              </w:rPr>
            </w:pPr>
            <w:r>
              <w:rPr>
                <w:rFonts w:ascii="Times New Roman" w:hAnsi="Times New Roman" w:eastAsia="宋体" w:cs="Times New Roman"/>
                <w:b w:val="0"/>
                <w:color w:val="auto"/>
                <w:highlight w:val="none"/>
              </w:rPr>
              <w:t>小时平均</w:t>
            </w:r>
          </w:p>
        </w:tc>
        <w:tc>
          <w:tcPr>
            <w:tcW w:w="1580"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3.34E+00</w:t>
            </w:r>
          </w:p>
        </w:tc>
        <w:tc>
          <w:tcPr>
            <w:tcW w:w="1004"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18061501</w:t>
            </w:r>
          </w:p>
        </w:tc>
        <w:tc>
          <w:tcPr>
            <w:tcW w:w="1013" w:type="dxa"/>
            <w:noWrap w:val="0"/>
            <w:vAlign w:val="center"/>
          </w:tcPr>
          <w:p>
            <w:pPr>
              <w:pStyle w:val="86"/>
              <w:adjustRightInd/>
              <w:snapToGrid/>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0.9</w:t>
            </w:r>
          </w:p>
        </w:tc>
        <w:tc>
          <w:tcPr>
            <w:tcW w:w="1003"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371.63</w:t>
            </w:r>
          </w:p>
        </w:tc>
        <w:tc>
          <w:tcPr>
            <w:tcW w:w="1013"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rPr>
              <w:t>超标</w:t>
            </w:r>
          </w:p>
        </w:tc>
      </w:tr>
    </w:tbl>
    <w:p>
      <w:pPr>
        <w:adjustRightInd w:val="0"/>
        <w:snapToGrid w:val="0"/>
        <w:spacing w:line="480" w:lineRule="exact"/>
        <w:ind w:firstLine="480"/>
        <w:jc w:val="left"/>
        <w:rPr>
          <w:rFonts w:ascii="Times New Roman" w:hAnsi="Times New Roman" w:eastAsia="宋体" w:cs="Times New Roman"/>
          <w:color w:val="auto"/>
          <w:kern w:val="0"/>
          <w:szCs w:val="24"/>
          <w:highlight w:val="none"/>
        </w:rPr>
      </w:pPr>
      <w:r>
        <w:rPr>
          <w:rFonts w:ascii="Times New Roman" w:hAnsi="Times New Roman" w:eastAsia="宋体" w:cs="Times New Roman"/>
          <w:snapToGrid w:val="0"/>
          <w:color w:val="auto"/>
          <w:kern w:val="0"/>
          <w:highlight w:val="none"/>
        </w:rPr>
        <w:t>由上表可知，</w:t>
      </w:r>
      <w:r>
        <w:rPr>
          <w:rFonts w:ascii="Times New Roman" w:hAnsi="Times New Roman" w:eastAsia="宋体" w:cs="Times New Roman"/>
          <w:color w:val="auto"/>
          <w:highlight w:val="none"/>
        </w:rPr>
        <w:t>当破碎筛分生产线袋式除尘设施出现故障时</w:t>
      </w:r>
      <w:r>
        <w:rPr>
          <w:rFonts w:ascii="Times New Roman" w:hAnsi="Times New Roman" w:eastAsia="宋体" w:cs="Times New Roman"/>
          <w:bCs/>
          <w:color w:val="auto"/>
          <w:highlight w:val="none"/>
        </w:rPr>
        <w:t>，各敏感点</w:t>
      </w:r>
      <w:r>
        <w:rPr>
          <w:rFonts w:hint="eastAsia" w:ascii="Times New Roman" w:hAnsi="Times New Roman" w:eastAsia="宋体" w:cs="Times New Roman"/>
          <w:bCs/>
          <w:color w:val="auto"/>
          <w:highlight w:val="none"/>
        </w:rPr>
        <w:t>最大浓度贡献值均达标，</w:t>
      </w:r>
      <w:r>
        <w:rPr>
          <w:rFonts w:ascii="Times New Roman" w:hAnsi="Times New Roman" w:eastAsia="宋体" w:cs="Times New Roman"/>
          <w:color w:val="auto"/>
          <w:kern w:val="0"/>
          <w:szCs w:val="24"/>
          <w:highlight w:val="none"/>
        </w:rPr>
        <w:t>但与正常情况相比，排放浓度均增大，区域最大浓度网格点（</w:t>
      </w:r>
      <w:r>
        <w:rPr>
          <w:rFonts w:hint="eastAsia" w:ascii="Times New Roman" w:hAnsi="Times New Roman" w:eastAsia="宋体" w:cs="Times New Roman"/>
          <w:color w:val="auto"/>
          <w:kern w:val="0"/>
          <w:szCs w:val="24"/>
          <w:highlight w:val="none"/>
        </w:rPr>
        <w:t>6</w:t>
      </w:r>
      <w:r>
        <w:rPr>
          <w:rFonts w:ascii="Times New Roman" w:hAnsi="Times New Roman" w:eastAsia="宋体" w:cs="Times New Roman"/>
          <w:color w:val="auto"/>
          <w:kern w:val="0"/>
          <w:szCs w:val="24"/>
          <w:highlight w:val="none"/>
        </w:rPr>
        <w:t>00,100）超标。在项目投入生产后，应保证各处理系统的正常运行，合理安排检修时间，</w:t>
      </w:r>
      <w:r>
        <w:rPr>
          <w:rFonts w:ascii="Times New Roman" w:hAnsi="Times New Roman" w:eastAsia="宋体" w:cs="Times New Roman"/>
          <w:color w:val="auto"/>
          <w:highlight w:val="none"/>
        </w:rPr>
        <w:t>加强管理，防范事故排放于未然，将故障排放的可能性降至最低。</w:t>
      </w:r>
    </w:p>
    <w:p>
      <w:pPr>
        <w:pStyle w:val="6"/>
        <w:rPr>
          <w:rFonts w:ascii="Times New Roman" w:hAnsi="Times New Roman" w:eastAsia="宋体"/>
          <w:color w:val="auto"/>
          <w:highlight w:val="none"/>
        </w:rPr>
      </w:pPr>
      <w:bookmarkStart w:id="349" w:name="_Toc18501"/>
      <w:r>
        <w:rPr>
          <w:rFonts w:ascii="Times New Roman" w:hAnsi="Times New Roman" w:eastAsia="宋体"/>
          <w:color w:val="auto"/>
          <w:highlight w:val="none"/>
        </w:rPr>
        <w:t>4.</w:t>
      </w:r>
      <w:r>
        <w:rPr>
          <w:rFonts w:hint="eastAsia" w:ascii="Times New Roman" w:hAnsi="Times New Roman" w:eastAsia="宋体"/>
          <w:color w:val="auto"/>
          <w:highlight w:val="none"/>
        </w:rPr>
        <w:t>2.1.4</w:t>
      </w:r>
      <w:r>
        <w:rPr>
          <w:rFonts w:ascii="Times New Roman" w:hAnsi="Times New Roman" w:eastAsia="宋体"/>
          <w:color w:val="auto"/>
          <w:highlight w:val="none"/>
        </w:rPr>
        <w:t xml:space="preserve"> </w:t>
      </w:r>
      <w:bookmarkEnd w:id="349"/>
      <w:r>
        <w:rPr>
          <w:rFonts w:ascii="Times New Roman" w:hAnsi="Times New Roman" w:eastAsia="宋体"/>
          <w:color w:val="auto"/>
          <w:highlight w:val="none"/>
        </w:rPr>
        <w:t>大气防护距离</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1、厂界浓度达标分析</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同时考虑全厂所有污染源，</w:t>
      </w:r>
      <w:r>
        <w:rPr>
          <w:rFonts w:ascii="Times New Roman" w:hAnsi="Times New Roman" w:eastAsia="宋体"/>
          <w:color w:val="auto"/>
          <w:highlight w:val="none"/>
        </w:rPr>
        <w:t>预测</w:t>
      </w:r>
      <w:r>
        <w:rPr>
          <w:rFonts w:hint="eastAsia" w:ascii="Times New Roman" w:hAnsi="Times New Roman" w:eastAsia="宋体"/>
          <w:color w:val="auto"/>
          <w:highlight w:val="none"/>
        </w:rPr>
        <w:t>四周厂界浓度达标情况，具体见下表4.2-13。</w:t>
      </w:r>
    </w:p>
    <w:p>
      <w:pPr>
        <w:pStyle w:val="13"/>
        <w:rPr>
          <w:rFonts w:ascii="Times New Roman" w:hAnsi="Times New Roman" w:eastAsia="宋体"/>
          <w:color w:val="auto"/>
          <w:highlight w:val="none"/>
        </w:rPr>
      </w:pPr>
      <w:r>
        <w:rPr>
          <w:rFonts w:ascii="Times New Roman" w:hAnsi="Times New Roman" w:eastAsia="宋体"/>
          <w:color w:val="auto"/>
          <w:highlight w:val="none"/>
        </w:rPr>
        <w:t>表</w:t>
      </w:r>
      <w:r>
        <w:rPr>
          <w:rFonts w:hint="eastAsia" w:ascii="Times New Roman" w:hAnsi="Times New Roman" w:eastAsia="宋体"/>
          <w:color w:val="auto"/>
          <w:highlight w:val="none"/>
        </w:rPr>
        <w:t>4.2-13  四周厂界TSP浓度达标情况</w:t>
      </w:r>
      <w:r>
        <w:rPr>
          <w:rFonts w:ascii="Times New Roman" w:hAnsi="Times New Roman" w:eastAsia="宋体"/>
          <w:color w:val="auto"/>
          <w:highlight w:val="none"/>
        </w:rPr>
        <w:t>预测结果表</w:t>
      </w:r>
    </w:p>
    <w:tbl>
      <w:tblPr>
        <w:tblStyle w:val="48"/>
        <w:tblW w:w="9071"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796"/>
        <w:gridCol w:w="1765"/>
        <w:gridCol w:w="1185"/>
        <w:gridCol w:w="2370"/>
        <w:gridCol w:w="1725"/>
        <w:gridCol w:w="123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796" w:type="dxa"/>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序号</w:t>
            </w:r>
          </w:p>
        </w:tc>
        <w:tc>
          <w:tcPr>
            <w:tcW w:w="1765" w:type="dxa"/>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预测点</w:t>
            </w:r>
          </w:p>
        </w:tc>
        <w:tc>
          <w:tcPr>
            <w:tcW w:w="1185" w:type="dxa"/>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平均时段</w:t>
            </w:r>
          </w:p>
        </w:tc>
        <w:tc>
          <w:tcPr>
            <w:tcW w:w="2370" w:type="dxa"/>
            <w:noWrap w:val="0"/>
            <w:vAlign w:val="center"/>
          </w:tcPr>
          <w:p>
            <w:pPr>
              <w:pStyle w:val="86"/>
              <w:adjustRightInd/>
              <w:snapToGrid/>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浓度贡献值（mg/m</w:t>
            </w:r>
            <w:r>
              <w:rPr>
                <w:rFonts w:ascii="Times New Roman" w:hAnsi="Times New Roman" w:eastAsia="宋体" w:cs="Times New Roman"/>
                <w:bCs/>
                <w:color w:val="auto"/>
                <w:szCs w:val="21"/>
                <w:highlight w:val="none"/>
                <w:vertAlign w:val="superscript"/>
              </w:rPr>
              <w:t>3</w:t>
            </w:r>
            <w:r>
              <w:rPr>
                <w:rFonts w:ascii="Times New Roman" w:hAnsi="Times New Roman" w:eastAsia="宋体" w:cs="Times New Roman"/>
                <w:bCs/>
                <w:color w:val="auto"/>
                <w:szCs w:val="21"/>
                <w:highlight w:val="none"/>
              </w:rPr>
              <w:t>）</w:t>
            </w:r>
          </w:p>
        </w:tc>
        <w:tc>
          <w:tcPr>
            <w:tcW w:w="1725" w:type="dxa"/>
            <w:noWrap w:val="0"/>
            <w:vAlign w:val="center"/>
          </w:tcPr>
          <w:p>
            <w:pPr>
              <w:pStyle w:val="86"/>
              <w:adjustRightInd/>
              <w:snapToGrid/>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评价标准（mg/m</w:t>
            </w:r>
            <w:r>
              <w:rPr>
                <w:rFonts w:ascii="Times New Roman" w:hAnsi="Times New Roman" w:eastAsia="宋体" w:cs="Times New Roman"/>
                <w:bCs/>
                <w:color w:val="auto"/>
                <w:szCs w:val="21"/>
                <w:highlight w:val="none"/>
                <w:vertAlign w:val="superscript"/>
              </w:rPr>
              <w:t>3</w:t>
            </w:r>
            <w:r>
              <w:rPr>
                <w:rFonts w:ascii="Times New Roman" w:hAnsi="Times New Roman" w:eastAsia="宋体" w:cs="Times New Roman"/>
                <w:bCs/>
                <w:color w:val="auto"/>
                <w:szCs w:val="21"/>
                <w:highlight w:val="none"/>
              </w:rPr>
              <w:t>）</w:t>
            </w:r>
          </w:p>
        </w:tc>
        <w:tc>
          <w:tcPr>
            <w:tcW w:w="1230" w:type="dxa"/>
            <w:noWrap w:val="0"/>
            <w:vAlign w:val="center"/>
          </w:tcPr>
          <w:p>
            <w:pPr>
              <w:pStyle w:val="86"/>
              <w:adjustRightInd/>
              <w:snapToGrid/>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796"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w:t>
            </w:r>
          </w:p>
        </w:tc>
        <w:tc>
          <w:tcPr>
            <w:tcW w:w="176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东厂界</w:t>
            </w:r>
            <w:r>
              <w:rPr>
                <w:rFonts w:hint="eastAsia" w:ascii="Times New Roman" w:hAnsi="Times New Roman" w:eastAsia="宋体" w:cs="Times New Roman"/>
                <w:color w:val="auto"/>
                <w:sz w:val="21"/>
                <w:highlight w:val="none"/>
              </w:rPr>
              <w:t>（574,119）</w:t>
            </w:r>
          </w:p>
        </w:tc>
        <w:tc>
          <w:tcPr>
            <w:tcW w:w="1185" w:type="dxa"/>
            <w:noWrap w:val="0"/>
            <w:vAlign w:val="center"/>
          </w:tcPr>
          <w:p>
            <w:pPr>
              <w:pStyle w:val="86"/>
              <w:adjustRightInd/>
              <w:snapToGrid/>
              <w:rPr>
                <w:rFonts w:ascii="Times New Roman" w:hAnsi="Times New Roman" w:eastAsia="宋体" w:cs="Times New Roman"/>
                <w:color w:val="auto"/>
                <w:szCs w:val="21"/>
                <w:highlight w:val="none"/>
              </w:rPr>
            </w:pPr>
            <w:r>
              <w:rPr>
                <w:rFonts w:hint="eastAsia" w:ascii="Times New Roman" w:hAnsi="Times New Roman" w:eastAsia="宋体" w:cs="Times New Roman"/>
                <w:b w:val="0"/>
                <w:color w:val="auto"/>
                <w:highlight w:val="none"/>
              </w:rPr>
              <w:t>日</w:t>
            </w:r>
            <w:r>
              <w:rPr>
                <w:rFonts w:ascii="Times New Roman" w:hAnsi="Times New Roman" w:eastAsia="宋体" w:cs="Times New Roman"/>
                <w:b w:val="0"/>
                <w:color w:val="auto"/>
                <w:highlight w:val="none"/>
              </w:rPr>
              <w:t>平均</w:t>
            </w:r>
          </w:p>
        </w:tc>
        <w:tc>
          <w:tcPr>
            <w:tcW w:w="2370" w:type="dxa"/>
            <w:noWrap w:val="0"/>
            <w:vAlign w:val="center"/>
          </w:tcPr>
          <w:p>
            <w:pPr>
              <w:pStyle w:val="86"/>
              <w:adjustRightInd/>
              <w:snapToGrid/>
              <w:rPr>
                <w:rFonts w:ascii="Times New Roman" w:hAnsi="Times New Roman" w:eastAsia="宋体" w:cs="Times New Roman"/>
                <w:b w:val="0"/>
                <w:bCs/>
                <w:color w:val="auto"/>
                <w:szCs w:val="21"/>
                <w:highlight w:val="none"/>
              </w:rPr>
            </w:pPr>
            <w:r>
              <w:rPr>
                <w:rFonts w:hint="eastAsia" w:ascii="Times New Roman" w:hAnsi="Times New Roman" w:eastAsia="宋体" w:cs="Times New Roman"/>
                <w:b w:val="0"/>
                <w:bCs/>
                <w:color w:val="auto"/>
                <w:szCs w:val="21"/>
                <w:highlight w:val="none"/>
              </w:rPr>
              <w:t>2.55E-02</w:t>
            </w:r>
          </w:p>
        </w:tc>
        <w:tc>
          <w:tcPr>
            <w:tcW w:w="1725" w:type="dxa"/>
            <w:noWrap w:val="0"/>
            <w:vAlign w:val="center"/>
          </w:tcPr>
          <w:p>
            <w:pPr>
              <w:pStyle w:val="86"/>
              <w:adjustRightInd/>
              <w:snapToGrid/>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1.0</w:t>
            </w:r>
          </w:p>
        </w:tc>
        <w:tc>
          <w:tcPr>
            <w:tcW w:w="1230" w:type="dxa"/>
            <w:noWrap w:val="0"/>
            <w:vAlign w:val="center"/>
          </w:tcPr>
          <w:p>
            <w:pPr>
              <w:pStyle w:val="86"/>
              <w:adjustRightInd/>
              <w:snapToGrid/>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796"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2</w:t>
            </w:r>
          </w:p>
        </w:tc>
        <w:tc>
          <w:tcPr>
            <w:tcW w:w="176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南厂界</w:t>
            </w:r>
            <w:r>
              <w:rPr>
                <w:rFonts w:hint="eastAsia" w:ascii="Times New Roman" w:hAnsi="Times New Roman" w:eastAsia="宋体" w:cs="Times New Roman"/>
                <w:color w:val="auto"/>
                <w:sz w:val="21"/>
                <w:highlight w:val="none"/>
              </w:rPr>
              <w:t>（270，-21）</w:t>
            </w:r>
          </w:p>
        </w:tc>
        <w:tc>
          <w:tcPr>
            <w:tcW w:w="1185" w:type="dxa"/>
            <w:noWrap w:val="0"/>
            <w:vAlign w:val="center"/>
          </w:tcPr>
          <w:p>
            <w:pPr>
              <w:pStyle w:val="86"/>
              <w:adjustRightInd/>
              <w:snapToGrid/>
              <w:rPr>
                <w:rFonts w:ascii="Times New Roman" w:hAnsi="Times New Roman" w:eastAsia="宋体" w:cs="Times New Roman"/>
                <w:b w:val="0"/>
                <w:color w:val="auto"/>
                <w:szCs w:val="21"/>
                <w:highlight w:val="none"/>
              </w:rPr>
            </w:pPr>
            <w:r>
              <w:rPr>
                <w:rFonts w:hint="eastAsia" w:ascii="Times New Roman" w:hAnsi="Times New Roman" w:eastAsia="宋体" w:cs="Times New Roman"/>
                <w:b w:val="0"/>
                <w:color w:val="auto"/>
                <w:highlight w:val="none"/>
              </w:rPr>
              <w:t>日</w:t>
            </w:r>
            <w:r>
              <w:rPr>
                <w:rFonts w:ascii="Times New Roman" w:hAnsi="Times New Roman" w:eastAsia="宋体" w:cs="Times New Roman"/>
                <w:b w:val="0"/>
                <w:color w:val="auto"/>
                <w:highlight w:val="none"/>
              </w:rPr>
              <w:t>平均</w:t>
            </w:r>
          </w:p>
        </w:tc>
        <w:tc>
          <w:tcPr>
            <w:tcW w:w="2370" w:type="dxa"/>
            <w:noWrap w:val="0"/>
            <w:vAlign w:val="center"/>
          </w:tcPr>
          <w:p>
            <w:pPr>
              <w:pStyle w:val="86"/>
              <w:adjustRightInd/>
              <w:snapToGrid/>
              <w:rPr>
                <w:rFonts w:ascii="Times New Roman" w:hAnsi="Times New Roman" w:eastAsia="宋体" w:cs="Times New Roman"/>
                <w:b w:val="0"/>
                <w:bCs/>
                <w:color w:val="auto"/>
                <w:szCs w:val="21"/>
                <w:highlight w:val="none"/>
              </w:rPr>
            </w:pPr>
            <w:r>
              <w:rPr>
                <w:rFonts w:hint="eastAsia" w:ascii="Times New Roman" w:hAnsi="Times New Roman" w:eastAsia="宋体" w:cs="Times New Roman"/>
                <w:b w:val="0"/>
                <w:bCs/>
                <w:color w:val="auto"/>
                <w:szCs w:val="21"/>
                <w:highlight w:val="none"/>
              </w:rPr>
              <w:t>2.09E-03</w:t>
            </w:r>
          </w:p>
        </w:tc>
        <w:tc>
          <w:tcPr>
            <w:tcW w:w="1725" w:type="dxa"/>
            <w:noWrap w:val="0"/>
            <w:vAlign w:val="center"/>
          </w:tcPr>
          <w:p>
            <w:pPr>
              <w:pStyle w:val="86"/>
              <w:adjustRightInd/>
              <w:snapToGrid/>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1.0</w:t>
            </w:r>
          </w:p>
        </w:tc>
        <w:tc>
          <w:tcPr>
            <w:tcW w:w="1230" w:type="dxa"/>
            <w:noWrap w:val="0"/>
            <w:vAlign w:val="center"/>
          </w:tcPr>
          <w:p>
            <w:pPr>
              <w:pStyle w:val="86"/>
              <w:adjustRightInd/>
              <w:snapToGrid/>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796"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3</w:t>
            </w:r>
          </w:p>
        </w:tc>
        <w:tc>
          <w:tcPr>
            <w:tcW w:w="176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西厂界</w:t>
            </w:r>
            <w:r>
              <w:rPr>
                <w:rFonts w:hint="eastAsia" w:ascii="Times New Roman" w:hAnsi="Times New Roman" w:eastAsia="宋体" w:cs="Times New Roman"/>
                <w:color w:val="auto"/>
                <w:sz w:val="21"/>
                <w:highlight w:val="none"/>
              </w:rPr>
              <w:t>（-94,110）</w:t>
            </w:r>
          </w:p>
        </w:tc>
        <w:tc>
          <w:tcPr>
            <w:tcW w:w="1185" w:type="dxa"/>
            <w:noWrap w:val="0"/>
            <w:vAlign w:val="center"/>
          </w:tcPr>
          <w:p>
            <w:pPr>
              <w:pStyle w:val="86"/>
              <w:adjustRightInd/>
              <w:snapToGrid/>
              <w:rPr>
                <w:rFonts w:ascii="Times New Roman" w:hAnsi="Times New Roman" w:eastAsia="宋体" w:cs="Times New Roman"/>
                <w:b w:val="0"/>
                <w:color w:val="auto"/>
                <w:szCs w:val="21"/>
                <w:highlight w:val="none"/>
              </w:rPr>
            </w:pPr>
            <w:r>
              <w:rPr>
                <w:rFonts w:hint="eastAsia" w:ascii="Times New Roman" w:hAnsi="Times New Roman" w:eastAsia="宋体" w:cs="Times New Roman"/>
                <w:b w:val="0"/>
                <w:color w:val="auto"/>
                <w:highlight w:val="none"/>
              </w:rPr>
              <w:t>日</w:t>
            </w:r>
            <w:r>
              <w:rPr>
                <w:rFonts w:ascii="Times New Roman" w:hAnsi="Times New Roman" w:eastAsia="宋体" w:cs="Times New Roman"/>
                <w:b w:val="0"/>
                <w:color w:val="auto"/>
                <w:highlight w:val="none"/>
              </w:rPr>
              <w:t>平均</w:t>
            </w:r>
          </w:p>
        </w:tc>
        <w:tc>
          <w:tcPr>
            <w:tcW w:w="2370" w:type="dxa"/>
            <w:noWrap w:val="0"/>
            <w:vAlign w:val="center"/>
          </w:tcPr>
          <w:p>
            <w:pPr>
              <w:pStyle w:val="86"/>
              <w:adjustRightInd/>
              <w:snapToGrid/>
              <w:rPr>
                <w:rFonts w:ascii="Times New Roman" w:hAnsi="Times New Roman" w:eastAsia="宋体" w:cs="Times New Roman"/>
                <w:b w:val="0"/>
                <w:bCs/>
                <w:color w:val="auto"/>
                <w:szCs w:val="21"/>
                <w:highlight w:val="none"/>
              </w:rPr>
            </w:pPr>
            <w:r>
              <w:rPr>
                <w:rFonts w:hint="eastAsia" w:ascii="Times New Roman" w:hAnsi="Times New Roman" w:eastAsia="宋体" w:cs="Times New Roman"/>
                <w:b w:val="0"/>
                <w:bCs/>
                <w:color w:val="auto"/>
                <w:szCs w:val="21"/>
                <w:highlight w:val="none"/>
              </w:rPr>
              <w:t>9.29E-04</w:t>
            </w:r>
          </w:p>
        </w:tc>
        <w:tc>
          <w:tcPr>
            <w:tcW w:w="1725" w:type="dxa"/>
            <w:noWrap w:val="0"/>
            <w:vAlign w:val="center"/>
          </w:tcPr>
          <w:p>
            <w:pPr>
              <w:pStyle w:val="86"/>
              <w:adjustRightInd/>
              <w:snapToGrid/>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1.0</w:t>
            </w:r>
          </w:p>
        </w:tc>
        <w:tc>
          <w:tcPr>
            <w:tcW w:w="1230" w:type="dxa"/>
            <w:noWrap w:val="0"/>
            <w:vAlign w:val="center"/>
          </w:tcPr>
          <w:p>
            <w:pPr>
              <w:pStyle w:val="86"/>
              <w:adjustRightInd/>
              <w:snapToGrid/>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796" w:type="dxa"/>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4</w:t>
            </w:r>
          </w:p>
        </w:tc>
        <w:tc>
          <w:tcPr>
            <w:tcW w:w="176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北厂界</w:t>
            </w:r>
            <w:r>
              <w:rPr>
                <w:rFonts w:hint="eastAsia" w:ascii="Times New Roman" w:hAnsi="Times New Roman" w:eastAsia="宋体" w:cs="Times New Roman"/>
                <w:color w:val="auto"/>
                <w:sz w:val="21"/>
                <w:highlight w:val="none"/>
              </w:rPr>
              <w:t>（196,474）</w:t>
            </w:r>
          </w:p>
        </w:tc>
        <w:tc>
          <w:tcPr>
            <w:tcW w:w="1185" w:type="dxa"/>
            <w:noWrap w:val="0"/>
            <w:vAlign w:val="center"/>
          </w:tcPr>
          <w:p>
            <w:pPr>
              <w:pStyle w:val="86"/>
              <w:adjustRightInd/>
              <w:snapToGrid/>
              <w:rPr>
                <w:rFonts w:ascii="Times New Roman" w:hAnsi="Times New Roman" w:eastAsia="宋体" w:cs="Times New Roman"/>
                <w:b w:val="0"/>
                <w:color w:val="auto"/>
                <w:szCs w:val="21"/>
                <w:highlight w:val="none"/>
              </w:rPr>
            </w:pPr>
            <w:r>
              <w:rPr>
                <w:rFonts w:hint="eastAsia" w:ascii="Times New Roman" w:hAnsi="Times New Roman" w:eastAsia="宋体" w:cs="Times New Roman"/>
                <w:b w:val="0"/>
                <w:color w:val="auto"/>
                <w:highlight w:val="none"/>
              </w:rPr>
              <w:t>日</w:t>
            </w:r>
            <w:r>
              <w:rPr>
                <w:rFonts w:ascii="Times New Roman" w:hAnsi="Times New Roman" w:eastAsia="宋体" w:cs="Times New Roman"/>
                <w:b w:val="0"/>
                <w:color w:val="auto"/>
                <w:highlight w:val="none"/>
              </w:rPr>
              <w:t>平均</w:t>
            </w:r>
          </w:p>
        </w:tc>
        <w:tc>
          <w:tcPr>
            <w:tcW w:w="2370" w:type="dxa"/>
            <w:noWrap w:val="0"/>
            <w:vAlign w:val="center"/>
          </w:tcPr>
          <w:p>
            <w:pPr>
              <w:pStyle w:val="86"/>
              <w:adjustRightInd/>
              <w:snapToGrid/>
              <w:rPr>
                <w:rFonts w:ascii="Times New Roman" w:hAnsi="Times New Roman" w:eastAsia="宋体" w:cs="Times New Roman"/>
                <w:b w:val="0"/>
                <w:bCs/>
                <w:color w:val="auto"/>
                <w:szCs w:val="21"/>
                <w:highlight w:val="none"/>
              </w:rPr>
            </w:pPr>
            <w:r>
              <w:rPr>
                <w:rFonts w:hint="eastAsia" w:ascii="Times New Roman" w:hAnsi="Times New Roman" w:eastAsia="宋体" w:cs="Times New Roman"/>
                <w:b w:val="0"/>
                <w:bCs/>
                <w:color w:val="auto"/>
                <w:szCs w:val="21"/>
                <w:highlight w:val="none"/>
              </w:rPr>
              <w:t>3.08E-03</w:t>
            </w:r>
          </w:p>
        </w:tc>
        <w:tc>
          <w:tcPr>
            <w:tcW w:w="1725" w:type="dxa"/>
            <w:noWrap w:val="0"/>
            <w:vAlign w:val="center"/>
          </w:tcPr>
          <w:p>
            <w:pPr>
              <w:pStyle w:val="86"/>
              <w:adjustRightInd/>
              <w:snapToGrid/>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1.0</w:t>
            </w:r>
          </w:p>
        </w:tc>
        <w:tc>
          <w:tcPr>
            <w:tcW w:w="1230" w:type="dxa"/>
            <w:noWrap w:val="0"/>
            <w:vAlign w:val="center"/>
          </w:tcPr>
          <w:p>
            <w:pPr>
              <w:pStyle w:val="86"/>
              <w:adjustRightInd/>
              <w:snapToGrid/>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达标</w:t>
            </w:r>
          </w:p>
        </w:tc>
      </w:tr>
    </w:tbl>
    <w:p>
      <w:pPr>
        <w:ind w:firstLine="480"/>
        <w:rPr>
          <w:rFonts w:ascii="Times New Roman" w:hAnsi="Times New Roman" w:eastAsia="宋体"/>
          <w:color w:val="auto"/>
          <w:highlight w:val="none"/>
        </w:rPr>
      </w:pPr>
      <w:r>
        <w:rPr>
          <w:rFonts w:ascii="Times New Roman" w:hAnsi="Times New Roman" w:eastAsia="宋体"/>
          <w:color w:val="auto"/>
          <w:highlight w:val="none"/>
        </w:rPr>
        <w:t>根据</w:t>
      </w:r>
      <w:r>
        <w:rPr>
          <w:rFonts w:hint="eastAsia" w:ascii="Times New Roman" w:hAnsi="Times New Roman" w:eastAsia="宋体"/>
          <w:color w:val="auto"/>
          <w:highlight w:val="none"/>
        </w:rPr>
        <w:t>表4.2-13</w:t>
      </w:r>
      <w:r>
        <w:rPr>
          <w:rFonts w:ascii="Times New Roman" w:hAnsi="Times New Roman" w:eastAsia="宋体"/>
          <w:color w:val="auto"/>
          <w:highlight w:val="none"/>
        </w:rPr>
        <w:t>预测结果，</w:t>
      </w:r>
      <w:r>
        <w:rPr>
          <w:rFonts w:hint="eastAsia" w:ascii="Times New Roman" w:hAnsi="Times New Roman" w:eastAsia="宋体"/>
          <w:color w:val="auto"/>
          <w:highlight w:val="none"/>
        </w:rPr>
        <w:t>项目无组织排放TSP厂界浓度满足</w:t>
      </w:r>
      <w:r>
        <w:rPr>
          <w:rFonts w:ascii="Times New Roman" w:hAnsi="Times New Roman" w:eastAsia="宋体"/>
          <w:color w:val="auto"/>
          <w:highlight w:val="none"/>
        </w:rPr>
        <w:t>《大气污染物综合排放标准》（GB</w:t>
      </w:r>
      <w:r>
        <w:rPr>
          <w:rFonts w:hint="eastAsia" w:ascii="Times New Roman" w:hAnsi="Times New Roman" w:eastAsia="宋体"/>
          <w:color w:val="auto"/>
          <w:highlight w:val="none"/>
          <w:lang w:val="en-US" w:eastAsia="zh-CN"/>
        </w:rPr>
        <w:t xml:space="preserve"> </w:t>
      </w:r>
      <w:r>
        <w:rPr>
          <w:rFonts w:ascii="Times New Roman" w:hAnsi="Times New Roman" w:eastAsia="宋体"/>
          <w:color w:val="auto"/>
          <w:highlight w:val="none"/>
        </w:rPr>
        <w:t>16297-1996）表2无组织排放监控浓度限值</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2、环境质量达标分析</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考虑全厂污染源，厂界外预测网络分辨率为50m，预测厂界外主要污染物的短期贡献达标情况。</w:t>
      </w:r>
    </w:p>
    <w:p>
      <w:pPr>
        <w:pStyle w:val="13"/>
        <w:rPr>
          <w:rFonts w:ascii="Times New Roman" w:hAnsi="Times New Roman" w:eastAsia="宋体"/>
          <w:color w:val="auto"/>
          <w:highlight w:val="none"/>
        </w:rPr>
      </w:pPr>
      <w:r>
        <w:rPr>
          <w:rFonts w:hint="eastAsia" w:ascii="Times New Roman" w:hAnsi="Times New Roman" w:eastAsia="宋体"/>
          <w:color w:val="auto"/>
          <w:highlight w:val="none"/>
        </w:rPr>
        <w:t>表4.2-14  各污染物在厂界外短期浓度贡献达标情况预测结果表</w:t>
      </w:r>
    </w:p>
    <w:tbl>
      <w:tblPr>
        <w:tblStyle w:val="48"/>
        <w:tblW w:w="9071"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684"/>
        <w:gridCol w:w="1122"/>
        <w:gridCol w:w="1733"/>
        <w:gridCol w:w="1196"/>
        <w:gridCol w:w="1971"/>
        <w:gridCol w:w="1177"/>
        <w:gridCol w:w="11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jc w:val="center"/>
        </w:trPr>
        <w:tc>
          <w:tcPr>
            <w:tcW w:w="684" w:type="dxa"/>
            <w:noWrap w:val="0"/>
            <w:vAlign w:val="center"/>
          </w:tcPr>
          <w:p>
            <w:pPr>
              <w:pStyle w:val="81"/>
              <w:jc w:val="center"/>
              <w:rPr>
                <w:rFonts w:ascii="Times New Roman" w:hAnsi="Times New Roman" w:eastAsia="宋体"/>
                <w:b/>
                <w:bCs/>
                <w:color w:val="auto"/>
                <w:highlight w:val="none"/>
                <w:lang w:val="en-US" w:eastAsia="zh-CN"/>
              </w:rPr>
            </w:pPr>
            <w:r>
              <w:rPr>
                <w:rFonts w:ascii="Times New Roman" w:hAnsi="Times New Roman" w:eastAsia="宋体"/>
                <w:b/>
                <w:bCs/>
                <w:color w:val="auto"/>
                <w:highlight w:val="none"/>
                <w:lang w:val="en-US" w:eastAsia="zh-CN"/>
              </w:rPr>
              <w:t>序号</w:t>
            </w:r>
          </w:p>
        </w:tc>
        <w:tc>
          <w:tcPr>
            <w:tcW w:w="1122" w:type="dxa"/>
            <w:noWrap w:val="0"/>
            <w:vAlign w:val="center"/>
          </w:tcPr>
          <w:p>
            <w:pPr>
              <w:pStyle w:val="81"/>
              <w:jc w:val="center"/>
              <w:rPr>
                <w:rFonts w:ascii="Times New Roman" w:hAnsi="Times New Roman" w:eastAsia="宋体"/>
                <w:b/>
                <w:bCs/>
                <w:color w:val="auto"/>
                <w:highlight w:val="none"/>
                <w:lang w:val="en-US" w:eastAsia="zh-CN"/>
              </w:rPr>
            </w:pPr>
            <w:r>
              <w:rPr>
                <w:rFonts w:ascii="Times New Roman" w:hAnsi="Times New Roman" w:eastAsia="宋体"/>
                <w:b/>
                <w:bCs/>
                <w:color w:val="auto"/>
                <w:highlight w:val="none"/>
                <w:lang w:val="en-US" w:eastAsia="zh-CN"/>
              </w:rPr>
              <w:t>污染物</w:t>
            </w:r>
          </w:p>
        </w:tc>
        <w:tc>
          <w:tcPr>
            <w:tcW w:w="1733" w:type="dxa"/>
            <w:noWrap w:val="0"/>
            <w:vAlign w:val="center"/>
          </w:tcPr>
          <w:p>
            <w:pPr>
              <w:pStyle w:val="81"/>
              <w:jc w:val="center"/>
              <w:rPr>
                <w:rFonts w:ascii="Times New Roman" w:hAnsi="Times New Roman" w:eastAsia="宋体"/>
                <w:b/>
                <w:bCs/>
                <w:color w:val="auto"/>
                <w:highlight w:val="none"/>
                <w:lang w:val="en-US" w:eastAsia="zh-CN"/>
              </w:rPr>
            </w:pPr>
            <w:r>
              <w:rPr>
                <w:rFonts w:ascii="Times New Roman" w:hAnsi="Times New Roman" w:eastAsia="宋体"/>
                <w:b/>
                <w:bCs/>
                <w:color w:val="auto"/>
                <w:highlight w:val="none"/>
                <w:lang w:val="en-US" w:eastAsia="zh-CN"/>
              </w:rPr>
              <w:t>预测点</w:t>
            </w:r>
          </w:p>
        </w:tc>
        <w:tc>
          <w:tcPr>
            <w:tcW w:w="1196" w:type="dxa"/>
            <w:noWrap w:val="0"/>
            <w:vAlign w:val="center"/>
          </w:tcPr>
          <w:p>
            <w:pPr>
              <w:pStyle w:val="81"/>
              <w:jc w:val="center"/>
              <w:rPr>
                <w:rFonts w:ascii="Times New Roman" w:hAnsi="Times New Roman" w:eastAsia="宋体"/>
                <w:b/>
                <w:bCs/>
                <w:color w:val="auto"/>
                <w:highlight w:val="none"/>
                <w:lang w:val="en-US" w:eastAsia="zh-CN"/>
              </w:rPr>
            </w:pPr>
            <w:r>
              <w:rPr>
                <w:rFonts w:ascii="Times New Roman" w:hAnsi="Times New Roman" w:eastAsia="宋体"/>
                <w:b/>
                <w:bCs/>
                <w:color w:val="auto"/>
                <w:highlight w:val="none"/>
                <w:lang w:val="en-US" w:eastAsia="zh-CN"/>
              </w:rPr>
              <w:t>平均时段</w:t>
            </w:r>
          </w:p>
        </w:tc>
        <w:tc>
          <w:tcPr>
            <w:tcW w:w="1971" w:type="dxa"/>
            <w:noWrap w:val="0"/>
            <w:vAlign w:val="center"/>
          </w:tcPr>
          <w:p>
            <w:pPr>
              <w:pStyle w:val="86"/>
              <w:adjustRightInd/>
              <w:snapToGrid/>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浓度贡献值（mg/m</w:t>
            </w:r>
            <w:r>
              <w:rPr>
                <w:rFonts w:ascii="Times New Roman" w:hAnsi="Times New Roman" w:eastAsia="宋体" w:cs="Times New Roman"/>
                <w:bCs/>
                <w:color w:val="auto"/>
                <w:highlight w:val="none"/>
                <w:vertAlign w:val="superscript"/>
              </w:rPr>
              <w:t>3</w:t>
            </w:r>
            <w:r>
              <w:rPr>
                <w:rFonts w:ascii="Times New Roman" w:hAnsi="Times New Roman" w:eastAsia="宋体" w:cs="Times New Roman"/>
                <w:bCs/>
                <w:color w:val="auto"/>
                <w:highlight w:val="none"/>
              </w:rPr>
              <w:t>）</w:t>
            </w:r>
          </w:p>
        </w:tc>
        <w:tc>
          <w:tcPr>
            <w:tcW w:w="1177" w:type="dxa"/>
            <w:noWrap w:val="0"/>
            <w:vAlign w:val="center"/>
          </w:tcPr>
          <w:p>
            <w:pPr>
              <w:pStyle w:val="86"/>
              <w:adjustRightInd/>
              <w:snapToGrid/>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评价标准</w:t>
            </w:r>
          </w:p>
          <w:p>
            <w:pPr>
              <w:pStyle w:val="81"/>
              <w:jc w:val="center"/>
              <w:rPr>
                <w:rFonts w:ascii="Times New Roman" w:hAnsi="Times New Roman" w:eastAsia="宋体"/>
                <w:b/>
                <w:bCs/>
                <w:color w:val="auto"/>
                <w:highlight w:val="none"/>
                <w:lang w:val="en-US" w:eastAsia="zh-CN"/>
              </w:rPr>
            </w:pPr>
            <w:r>
              <w:rPr>
                <w:rFonts w:ascii="Times New Roman" w:hAnsi="Times New Roman" w:eastAsia="宋体"/>
                <w:b/>
                <w:bCs/>
                <w:color w:val="auto"/>
                <w:highlight w:val="none"/>
                <w:lang w:val="en-US" w:eastAsia="zh-CN"/>
              </w:rPr>
              <w:t>（mg/m</w:t>
            </w:r>
            <w:r>
              <w:rPr>
                <w:rFonts w:ascii="Times New Roman" w:hAnsi="Times New Roman" w:eastAsia="宋体"/>
                <w:b/>
                <w:bCs/>
                <w:color w:val="auto"/>
                <w:highlight w:val="none"/>
                <w:vertAlign w:val="superscript"/>
                <w:lang w:val="en-US" w:eastAsia="zh-CN"/>
              </w:rPr>
              <w:t>3</w:t>
            </w:r>
            <w:r>
              <w:rPr>
                <w:rFonts w:ascii="Times New Roman" w:hAnsi="Times New Roman" w:eastAsia="宋体"/>
                <w:b/>
                <w:bCs/>
                <w:color w:val="auto"/>
                <w:highlight w:val="none"/>
                <w:lang w:val="en-US" w:eastAsia="zh-CN"/>
              </w:rPr>
              <w:t>）</w:t>
            </w:r>
          </w:p>
        </w:tc>
        <w:tc>
          <w:tcPr>
            <w:tcW w:w="1188" w:type="dxa"/>
            <w:noWrap w:val="0"/>
            <w:vAlign w:val="center"/>
          </w:tcPr>
          <w:p>
            <w:pPr>
              <w:pStyle w:val="86"/>
              <w:adjustRightInd/>
              <w:snapToGrid/>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jc w:val="center"/>
        </w:trPr>
        <w:tc>
          <w:tcPr>
            <w:tcW w:w="684" w:type="dxa"/>
            <w:noWrap w:val="0"/>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1</w:t>
            </w:r>
          </w:p>
        </w:tc>
        <w:tc>
          <w:tcPr>
            <w:tcW w:w="1122" w:type="dxa"/>
            <w:noWrap w:val="0"/>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TSP</w:t>
            </w:r>
          </w:p>
        </w:tc>
        <w:tc>
          <w:tcPr>
            <w:tcW w:w="1733" w:type="dxa"/>
            <w:noWrap w:val="0"/>
            <w:vAlign w:val="center"/>
          </w:tcPr>
          <w:p>
            <w:pPr>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网格点（5</w:t>
            </w:r>
            <w:r>
              <w:rPr>
                <w:rFonts w:hint="eastAsia" w:ascii="Times New Roman" w:hAnsi="Times New Roman" w:eastAsia="宋体" w:cs="Times New Roman"/>
                <w:color w:val="auto"/>
                <w:sz w:val="21"/>
                <w:highlight w:val="none"/>
              </w:rPr>
              <w:t>0</w:t>
            </w:r>
            <w:r>
              <w:rPr>
                <w:rFonts w:ascii="Times New Roman" w:hAnsi="Times New Roman" w:eastAsia="宋体" w:cs="Times New Roman"/>
                <w:color w:val="auto"/>
                <w:sz w:val="21"/>
                <w:highlight w:val="none"/>
              </w:rPr>
              <w:t>0，-50）</w:t>
            </w:r>
          </w:p>
        </w:tc>
        <w:tc>
          <w:tcPr>
            <w:tcW w:w="1196" w:type="dxa"/>
            <w:noWrap w:val="0"/>
            <w:vAlign w:val="center"/>
          </w:tcPr>
          <w:p>
            <w:pPr>
              <w:pStyle w:val="86"/>
              <w:adjustRightInd/>
              <w:snapToGrid/>
              <w:rPr>
                <w:rFonts w:ascii="Times New Roman" w:hAnsi="Times New Roman" w:eastAsia="宋体" w:cs="Times New Roman"/>
                <w:b w:val="0"/>
                <w:color w:val="auto"/>
                <w:highlight w:val="none"/>
              </w:rPr>
            </w:pPr>
            <w:r>
              <w:rPr>
                <w:rFonts w:hint="eastAsia" w:ascii="Times New Roman" w:hAnsi="Times New Roman" w:eastAsia="宋体" w:cs="Times New Roman"/>
                <w:b w:val="0"/>
                <w:color w:val="auto"/>
                <w:highlight w:val="none"/>
              </w:rPr>
              <w:t>日</w:t>
            </w:r>
            <w:r>
              <w:rPr>
                <w:rFonts w:ascii="Times New Roman" w:hAnsi="Times New Roman" w:eastAsia="宋体" w:cs="Times New Roman"/>
                <w:b w:val="0"/>
                <w:color w:val="auto"/>
                <w:highlight w:val="none"/>
              </w:rPr>
              <w:t>平均</w:t>
            </w:r>
          </w:p>
        </w:tc>
        <w:tc>
          <w:tcPr>
            <w:tcW w:w="1971" w:type="dxa"/>
            <w:noWrap w:val="0"/>
            <w:vAlign w:val="center"/>
          </w:tcPr>
          <w:p>
            <w:pPr>
              <w:pStyle w:val="86"/>
              <w:adjustRightInd/>
              <w:snapToGrid/>
              <w:rPr>
                <w:rFonts w:hint="eastAsia" w:ascii="Times New Roman" w:hAnsi="Times New Roman" w:eastAsia="宋体" w:cs="Times New Roman"/>
                <w:b w:val="0"/>
                <w:color w:val="auto"/>
                <w:highlight w:val="none"/>
              </w:rPr>
            </w:pPr>
            <w:r>
              <w:rPr>
                <w:rFonts w:hint="eastAsia" w:ascii="Times New Roman" w:hAnsi="Times New Roman" w:eastAsia="宋体" w:cs="Times New Roman"/>
                <w:b w:val="0"/>
                <w:color w:val="auto"/>
                <w:highlight w:val="none"/>
              </w:rPr>
              <w:t>4.18</w:t>
            </w:r>
            <w:r>
              <w:rPr>
                <w:rFonts w:hint="eastAsia" w:ascii="Times New Roman" w:hAnsi="Times New Roman" w:eastAsia="宋体" w:cs="Times New Roman"/>
                <w:b w:val="0"/>
                <w:bCs/>
                <w:color w:val="auto"/>
                <w:szCs w:val="21"/>
                <w:highlight w:val="none"/>
              </w:rPr>
              <w:t>E-02</w:t>
            </w:r>
          </w:p>
        </w:tc>
        <w:tc>
          <w:tcPr>
            <w:tcW w:w="1177" w:type="dxa"/>
            <w:noWrap w:val="0"/>
            <w:vAlign w:val="center"/>
          </w:tcPr>
          <w:p>
            <w:pPr>
              <w:pStyle w:val="86"/>
              <w:adjustRightInd/>
              <w:snapToGrid/>
              <w:rPr>
                <w:rFonts w:hint="eastAsia" w:ascii="Times New Roman" w:hAnsi="Times New Roman" w:eastAsia="宋体" w:cs="Times New Roman"/>
                <w:b w:val="0"/>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3</w:t>
            </w:r>
          </w:p>
        </w:tc>
        <w:tc>
          <w:tcPr>
            <w:tcW w:w="1188" w:type="dxa"/>
            <w:noWrap w:val="0"/>
            <w:vAlign w:val="center"/>
          </w:tcPr>
          <w:p>
            <w:pPr>
              <w:pStyle w:val="86"/>
              <w:adjustRightInd/>
              <w:snapToGrid/>
              <w:rPr>
                <w:rFonts w:ascii="Times New Roman" w:hAnsi="Times New Roman" w:eastAsia="宋体" w:cs="Times New Roman"/>
                <w:b w:val="0"/>
                <w:color w:val="auto"/>
                <w:highlight w:val="none"/>
              </w:rPr>
            </w:pPr>
            <w:r>
              <w:rPr>
                <w:rFonts w:ascii="Times New Roman" w:hAnsi="Times New Roman" w:eastAsia="宋体" w:cs="Times New Roman"/>
                <w:b w:val="0"/>
                <w:bCs/>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jc w:val="center"/>
        </w:trPr>
        <w:tc>
          <w:tcPr>
            <w:tcW w:w="684" w:type="dxa"/>
            <w:noWrap w:val="0"/>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2</w:t>
            </w:r>
          </w:p>
        </w:tc>
        <w:tc>
          <w:tcPr>
            <w:tcW w:w="1122" w:type="dxa"/>
            <w:noWrap w:val="0"/>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PM</w:t>
            </w:r>
            <w:r>
              <w:rPr>
                <w:rFonts w:ascii="Times New Roman" w:hAnsi="Times New Roman" w:eastAsia="宋体"/>
                <w:color w:val="auto"/>
                <w:highlight w:val="none"/>
                <w:vertAlign w:val="subscript"/>
                <w:lang w:val="en-US" w:eastAsia="zh-CN"/>
              </w:rPr>
              <w:t>10</w:t>
            </w:r>
          </w:p>
        </w:tc>
        <w:tc>
          <w:tcPr>
            <w:tcW w:w="1733" w:type="dxa"/>
            <w:noWrap w:val="0"/>
            <w:vAlign w:val="center"/>
          </w:tcPr>
          <w:p>
            <w:pPr>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网格点（</w:t>
            </w:r>
            <w:r>
              <w:rPr>
                <w:rFonts w:hint="eastAsia" w:ascii="Times New Roman" w:hAnsi="Times New Roman" w:eastAsia="宋体" w:cs="Times New Roman"/>
                <w:color w:val="auto"/>
                <w:sz w:val="21"/>
                <w:highlight w:val="none"/>
              </w:rPr>
              <w:t>4</w:t>
            </w:r>
            <w:r>
              <w:rPr>
                <w:rFonts w:ascii="Times New Roman" w:hAnsi="Times New Roman" w:eastAsia="宋体" w:cs="Times New Roman"/>
                <w:color w:val="auto"/>
                <w:sz w:val="21"/>
                <w:highlight w:val="none"/>
              </w:rPr>
              <w:t>50，0）</w:t>
            </w:r>
          </w:p>
        </w:tc>
        <w:tc>
          <w:tcPr>
            <w:tcW w:w="1196" w:type="dxa"/>
            <w:noWrap w:val="0"/>
            <w:vAlign w:val="center"/>
          </w:tcPr>
          <w:p>
            <w:pPr>
              <w:pStyle w:val="86"/>
              <w:adjustRightInd/>
              <w:snapToGrid/>
              <w:rPr>
                <w:rFonts w:ascii="Times New Roman" w:hAnsi="Times New Roman" w:eastAsia="宋体" w:cs="Times New Roman"/>
                <w:b w:val="0"/>
                <w:color w:val="auto"/>
                <w:highlight w:val="none"/>
              </w:rPr>
            </w:pPr>
            <w:r>
              <w:rPr>
                <w:rFonts w:hint="eastAsia" w:ascii="Times New Roman" w:hAnsi="Times New Roman" w:eastAsia="宋体" w:cs="Times New Roman"/>
                <w:b w:val="0"/>
                <w:color w:val="auto"/>
                <w:highlight w:val="none"/>
              </w:rPr>
              <w:t>日</w:t>
            </w:r>
            <w:r>
              <w:rPr>
                <w:rFonts w:ascii="Times New Roman" w:hAnsi="Times New Roman" w:eastAsia="宋体" w:cs="Times New Roman"/>
                <w:b w:val="0"/>
                <w:color w:val="auto"/>
                <w:highlight w:val="none"/>
              </w:rPr>
              <w:t>平均</w:t>
            </w:r>
          </w:p>
        </w:tc>
        <w:tc>
          <w:tcPr>
            <w:tcW w:w="1971" w:type="dxa"/>
            <w:noWrap w:val="0"/>
            <w:vAlign w:val="center"/>
          </w:tcPr>
          <w:p>
            <w:pPr>
              <w:pStyle w:val="86"/>
              <w:adjustRightInd/>
              <w:snapToGrid/>
              <w:rPr>
                <w:rFonts w:ascii="Times New Roman" w:hAnsi="Times New Roman" w:eastAsia="宋体" w:cs="Times New Roman"/>
                <w:b w:val="0"/>
                <w:color w:val="auto"/>
                <w:highlight w:val="none"/>
              </w:rPr>
            </w:pPr>
            <w:r>
              <w:rPr>
                <w:rFonts w:hint="eastAsia" w:ascii="Times New Roman" w:hAnsi="Times New Roman" w:eastAsia="宋体" w:cs="Times New Roman"/>
                <w:b w:val="0"/>
                <w:color w:val="auto"/>
                <w:highlight w:val="none"/>
              </w:rPr>
              <w:t>1.12</w:t>
            </w:r>
            <w:r>
              <w:rPr>
                <w:rFonts w:hint="eastAsia" w:ascii="Times New Roman" w:hAnsi="Times New Roman" w:eastAsia="宋体" w:cs="Times New Roman"/>
                <w:b w:val="0"/>
                <w:bCs/>
                <w:color w:val="auto"/>
                <w:szCs w:val="21"/>
                <w:highlight w:val="none"/>
              </w:rPr>
              <w:t>E-01</w:t>
            </w:r>
          </w:p>
        </w:tc>
        <w:tc>
          <w:tcPr>
            <w:tcW w:w="1177" w:type="dxa"/>
            <w:noWrap w:val="0"/>
            <w:vAlign w:val="center"/>
          </w:tcPr>
          <w:p>
            <w:pPr>
              <w:pStyle w:val="86"/>
              <w:adjustRightInd/>
              <w:snapToGrid/>
              <w:rPr>
                <w:rFonts w:ascii="Times New Roman" w:hAnsi="Times New Roman" w:eastAsia="宋体" w:cs="Times New Roman"/>
                <w:b w:val="0"/>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15</w:t>
            </w:r>
          </w:p>
        </w:tc>
        <w:tc>
          <w:tcPr>
            <w:tcW w:w="1188" w:type="dxa"/>
            <w:noWrap w:val="0"/>
            <w:vAlign w:val="center"/>
          </w:tcPr>
          <w:p>
            <w:pPr>
              <w:pStyle w:val="86"/>
              <w:adjustRightInd/>
              <w:snapToGrid/>
              <w:rPr>
                <w:rFonts w:ascii="Times New Roman" w:hAnsi="Times New Roman" w:eastAsia="宋体" w:cs="Times New Roman"/>
                <w:b w:val="0"/>
                <w:color w:val="auto"/>
                <w:highlight w:val="none"/>
              </w:rPr>
            </w:pPr>
            <w:r>
              <w:rPr>
                <w:rFonts w:ascii="Times New Roman" w:hAnsi="Times New Roman" w:eastAsia="宋体" w:cs="Times New Roman"/>
                <w:b w:val="0"/>
                <w:bCs/>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jc w:val="center"/>
        </w:trPr>
        <w:tc>
          <w:tcPr>
            <w:tcW w:w="684" w:type="dxa"/>
            <w:noWrap w:val="0"/>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3</w:t>
            </w:r>
          </w:p>
        </w:tc>
        <w:tc>
          <w:tcPr>
            <w:tcW w:w="1122" w:type="dxa"/>
            <w:noWrap w:val="0"/>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PM</w:t>
            </w:r>
            <w:r>
              <w:rPr>
                <w:rFonts w:ascii="Times New Roman" w:hAnsi="Times New Roman" w:eastAsia="宋体"/>
                <w:color w:val="auto"/>
                <w:highlight w:val="none"/>
                <w:vertAlign w:val="subscript"/>
                <w:lang w:val="en-US" w:eastAsia="zh-CN"/>
              </w:rPr>
              <w:t>2.5</w:t>
            </w:r>
          </w:p>
        </w:tc>
        <w:tc>
          <w:tcPr>
            <w:tcW w:w="1733" w:type="dxa"/>
            <w:noWrap w:val="0"/>
            <w:vAlign w:val="center"/>
          </w:tcPr>
          <w:p>
            <w:pPr>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网格点（</w:t>
            </w:r>
            <w:r>
              <w:rPr>
                <w:rFonts w:hint="eastAsia" w:ascii="Times New Roman" w:hAnsi="Times New Roman" w:eastAsia="宋体" w:cs="Times New Roman"/>
                <w:color w:val="auto"/>
                <w:sz w:val="21"/>
                <w:highlight w:val="none"/>
              </w:rPr>
              <w:t>4</w:t>
            </w:r>
            <w:r>
              <w:rPr>
                <w:rFonts w:ascii="Times New Roman" w:hAnsi="Times New Roman" w:eastAsia="宋体" w:cs="Times New Roman"/>
                <w:color w:val="auto"/>
                <w:sz w:val="21"/>
                <w:highlight w:val="none"/>
              </w:rPr>
              <w:t>50，0）</w:t>
            </w:r>
          </w:p>
        </w:tc>
        <w:tc>
          <w:tcPr>
            <w:tcW w:w="1196" w:type="dxa"/>
            <w:noWrap w:val="0"/>
            <w:vAlign w:val="center"/>
          </w:tcPr>
          <w:p>
            <w:pPr>
              <w:pStyle w:val="86"/>
              <w:adjustRightInd/>
              <w:snapToGrid/>
              <w:rPr>
                <w:rFonts w:ascii="Times New Roman" w:hAnsi="Times New Roman" w:eastAsia="宋体" w:cs="Times New Roman"/>
                <w:color w:val="auto"/>
                <w:szCs w:val="22"/>
                <w:highlight w:val="none"/>
              </w:rPr>
            </w:pPr>
            <w:r>
              <w:rPr>
                <w:rFonts w:hint="eastAsia" w:ascii="Times New Roman" w:hAnsi="Times New Roman" w:eastAsia="宋体" w:cs="Times New Roman"/>
                <w:b w:val="0"/>
                <w:color w:val="auto"/>
                <w:highlight w:val="none"/>
              </w:rPr>
              <w:t>日</w:t>
            </w:r>
            <w:r>
              <w:rPr>
                <w:rFonts w:ascii="Times New Roman" w:hAnsi="Times New Roman" w:eastAsia="宋体" w:cs="Times New Roman"/>
                <w:b w:val="0"/>
                <w:color w:val="auto"/>
                <w:highlight w:val="none"/>
              </w:rPr>
              <w:t>平均</w:t>
            </w:r>
          </w:p>
        </w:tc>
        <w:tc>
          <w:tcPr>
            <w:tcW w:w="1971" w:type="dxa"/>
            <w:noWrap w:val="0"/>
            <w:vAlign w:val="center"/>
          </w:tcPr>
          <w:p>
            <w:pPr>
              <w:pStyle w:val="86"/>
              <w:adjustRightInd/>
              <w:snapToGrid/>
              <w:rPr>
                <w:rFonts w:ascii="Times New Roman" w:hAnsi="Times New Roman" w:eastAsia="宋体" w:cs="Times New Roman"/>
                <w:b w:val="0"/>
                <w:bCs/>
                <w:color w:val="auto"/>
                <w:highlight w:val="none"/>
              </w:rPr>
            </w:pPr>
            <w:r>
              <w:rPr>
                <w:rFonts w:hint="eastAsia" w:ascii="Times New Roman" w:hAnsi="Times New Roman" w:eastAsia="宋体" w:cs="Times New Roman"/>
                <w:b w:val="0"/>
                <w:color w:val="auto"/>
                <w:highlight w:val="none"/>
              </w:rPr>
              <w:t>5.41</w:t>
            </w:r>
            <w:r>
              <w:rPr>
                <w:rFonts w:hint="eastAsia" w:ascii="Times New Roman" w:hAnsi="Times New Roman" w:eastAsia="宋体" w:cs="Times New Roman"/>
                <w:b w:val="0"/>
                <w:bCs/>
                <w:color w:val="auto"/>
                <w:szCs w:val="21"/>
                <w:highlight w:val="none"/>
              </w:rPr>
              <w:t>E-02</w:t>
            </w:r>
          </w:p>
        </w:tc>
        <w:tc>
          <w:tcPr>
            <w:tcW w:w="1177" w:type="dxa"/>
            <w:noWrap w:val="0"/>
            <w:vAlign w:val="center"/>
          </w:tcPr>
          <w:p>
            <w:pPr>
              <w:pStyle w:val="86"/>
              <w:adjustRightInd/>
              <w:snapToGrid/>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0.</w:t>
            </w:r>
            <w:r>
              <w:rPr>
                <w:rFonts w:hint="eastAsia" w:ascii="Times New Roman" w:hAnsi="Times New Roman" w:eastAsia="宋体" w:cs="Times New Roman"/>
                <w:b w:val="0"/>
                <w:bCs/>
                <w:color w:val="auto"/>
                <w:highlight w:val="none"/>
              </w:rPr>
              <w:t>075</w:t>
            </w:r>
          </w:p>
        </w:tc>
        <w:tc>
          <w:tcPr>
            <w:tcW w:w="1188" w:type="dxa"/>
            <w:noWrap w:val="0"/>
            <w:vAlign w:val="center"/>
          </w:tcPr>
          <w:p>
            <w:pPr>
              <w:pStyle w:val="86"/>
              <w:adjustRightInd/>
              <w:snapToGrid/>
              <w:rPr>
                <w:rFonts w:ascii="Times New Roman" w:hAnsi="Times New Roman" w:eastAsia="宋体" w:cs="Times New Roman"/>
                <w:b w:val="0"/>
                <w:bCs/>
                <w:color w:val="auto"/>
                <w:highlight w:val="none"/>
              </w:rPr>
            </w:pPr>
            <w:r>
              <w:rPr>
                <w:rFonts w:ascii="Times New Roman" w:hAnsi="Times New Roman" w:eastAsia="宋体" w:cs="Times New Roman"/>
                <w:b w:val="0"/>
                <w:bCs/>
                <w:color w:val="auto"/>
                <w:highlight w:val="none"/>
              </w:rPr>
              <w:t>达标</w:t>
            </w:r>
          </w:p>
        </w:tc>
      </w:tr>
    </w:tbl>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根据上表预测结果，</w:t>
      </w:r>
      <w:r>
        <w:rPr>
          <w:rFonts w:ascii="Times New Roman" w:hAnsi="Times New Roman" w:eastAsia="宋体" w:cs="Times New Roman"/>
          <w:color w:val="auto"/>
          <w:highlight w:val="none"/>
        </w:rPr>
        <w:t>项目所有污染源排放的</w:t>
      </w:r>
      <w:r>
        <w:rPr>
          <w:rFonts w:hint="eastAsia" w:ascii="Times New Roman" w:hAnsi="Times New Roman" w:eastAsia="宋体" w:cs="Times New Roman"/>
          <w:color w:val="auto"/>
          <w:highlight w:val="none"/>
        </w:rPr>
        <w:t>TSP、PM</w:t>
      </w:r>
      <w:r>
        <w:rPr>
          <w:rFonts w:hint="eastAsia" w:ascii="Times New Roman" w:hAnsi="Times New Roman" w:eastAsia="宋体" w:cs="Times New Roman"/>
          <w:color w:val="auto"/>
          <w:highlight w:val="none"/>
          <w:vertAlign w:val="subscript"/>
        </w:rPr>
        <w:t>10</w:t>
      </w:r>
      <w:r>
        <w:rPr>
          <w:rFonts w:hint="eastAsia" w:ascii="Times New Roman" w:hAnsi="Times New Roman" w:eastAsia="宋体" w:cs="Times New Roman"/>
          <w:color w:val="auto"/>
          <w:highlight w:val="none"/>
        </w:rPr>
        <w:t>、PM</w:t>
      </w:r>
      <w:r>
        <w:rPr>
          <w:rFonts w:hint="eastAsia" w:ascii="Times New Roman" w:hAnsi="Times New Roman" w:eastAsia="宋体" w:cs="Times New Roman"/>
          <w:color w:val="auto"/>
          <w:highlight w:val="none"/>
          <w:vertAlign w:val="subscript"/>
        </w:rPr>
        <w:t>2.5</w:t>
      </w:r>
      <w:r>
        <w:rPr>
          <w:rFonts w:hint="eastAsia" w:ascii="Times New Roman" w:hAnsi="Times New Roman" w:eastAsia="宋体" w:cs="Times New Roman"/>
          <w:color w:val="auto"/>
          <w:highlight w:val="none"/>
        </w:rPr>
        <w:t>均满足相应环境质量二级标准。</w:t>
      </w:r>
    </w:p>
    <w:p>
      <w:pPr>
        <w:ind w:firstLine="480"/>
        <w:rPr>
          <w:rFonts w:ascii="Times New Roman" w:hAnsi="Times New Roman" w:eastAsia="宋体" w:cs="Times New Roman"/>
          <w:color w:val="auto"/>
          <w:highlight w:val="none"/>
        </w:rPr>
      </w:pPr>
      <w:r>
        <w:rPr>
          <w:rFonts w:hint="eastAsia" w:ascii="Times New Roman" w:hAnsi="Times New Roman" w:eastAsia="宋体"/>
          <w:color w:val="auto"/>
          <w:szCs w:val="24"/>
          <w:highlight w:val="none"/>
        </w:rPr>
        <w:t>综上，项目不需设置大气环境防护距离。</w:t>
      </w:r>
    </w:p>
    <w:p>
      <w:pPr>
        <w:pStyle w:val="6"/>
        <w:rPr>
          <w:rFonts w:ascii="Times New Roman" w:hAnsi="Times New Roman" w:eastAsia="宋体"/>
          <w:color w:val="auto"/>
          <w:highlight w:val="none"/>
        </w:rPr>
      </w:pPr>
      <w:bookmarkStart w:id="350" w:name="_Toc12896"/>
      <w:r>
        <w:rPr>
          <w:rFonts w:ascii="Times New Roman" w:hAnsi="Times New Roman" w:eastAsia="宋体"/>
          <w:color w:val="auto"/>
          <w:highlight w:val="none"/>
        </w:rPr>
        <w:t>4.</w:t>
      </w:r>
      <w:r>
        <w:rPr>
          <w:rFonts w:hint="eastAsia" w:ascii="Times New Roman" w:hAnsi="Times New Roman" w:eastAsia="宋体"/>
          <w:color w:val="auto"/>
          <w:highlight w:val="none"/>
        </w:rPr>
        <w:t>2.1.5</w:t>
      </w:r>
      <w:r>
        <w:rPr>
          <w:rFonts w:ascii="Times New Roman" w:hAnsi="Times New Roman" w:eastAsia="宋体"/>
          <w:color w:val="auto"/>
          <w:highlight w:val="none"/>
        </w:rPr>
        <w:t xml:space="preserve"> 排气筒设置合理性分析</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根据《大气污染物综合排放标准》（GB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16297-1996），新污染源的排气筒一般不低于15m，还应高出周围200m半径范围的建筑5m以上。本项目周围200m半径范围内没有建筑物，</w:t>
      </w:r>
      <w:r>
        <w:rPr>
          <w:rFonts w:hint="eastAsia" w:ascii="Times New Roman" w:hAnsi="Times New Roman" w:eastAsia="宋体" w:cs="Times New Roman"/>
          <w:color w:val="auto"/>
          <w:highlight w:val="none"/>
        </w:rPr>
        <w:t>各排气筒设置情况见下表4.2-15。</w:t>
      </w:r>
    </w:p>
    <w:p>
      <w:pPr>
        <w:spacing w:line="240" w:lineRule="auto"/>
        <w:ind w:firstLine="0" w:firstLineChars="0"/>
        <w:jc w:val="center"/>
        <w:rPr>
          <w:rFonts w:ascii="Times New Roman" w:hAnsi="Times New Roman" w:eastAsia="宋体" w:cs="Times New Roman"/>
          <w:color w:val="auto"/>
          <w:szCs w:val="24"/>
          <w:highlight w:val="none"/>
        </w:rPr>
      </w:pPr>
      <w:r>
        <w:rPr>
          <w:rFonts w:ascii="Times New Roman" w:hAnsi="Times New Roman" w:eastAsia="宋体" w:cs="Times New Roman"/>
          <w:b/>
          <w:color w:val="auto"/>
          <w:kern w:val="0"/>
          <w:szCs w:val="24"/>
          <w:highlight w:val="none"/>
        </w:rPr>
        <w:t>表4.2-</w:t>
      </w:r>
      <w:r>
        <w:rPr>
          <w:rFonts w:hint="eastAsia" w:ascii="Times New Roman" w:hAnsi="Times New Roman" w:eastAsia="宋体" w:cs="Times New Roman"/>
          <w:b/>
          <w:color w:val="auto"/>
          <w:kern w:val="0"/>
          <w:szCs w:val="24"/>
          <w:highlight w:val="none"/>
        </w:rPr>
        <w:t>15</w:t>
      </w:r>
      <w:r>
        <w:rPr>
          <w:rFonts w:ascii="Times New Roman" w:hAnsi="Times New Roman" w:eastAsia="宋体" w:cs="Times New Roman"/>
          <w:b/>
          <w:color w:val="auto"/>
          <w:kern w:val="0"/>
          <w:szCs w:val="24"/>
          <w:highlight w:val="none"/>
        </w:rPr>
        <w:t xml:space="preserve"> 拟建项目排气筒</w:t>
      </w:r>
      <w:r>
        <w:rPr>
          <w:rFonts w:hint="eastAsia" w:ascii="Times New Roman" w:hAnsi="Times New Roman" w:eastAsia="宋体" w:cs="Times New Roman"/>
          <w:b/>
          <w:color w:val="auto"/>
          <w:kern w:val="0"/>
          <w:szCs w:val="24"/>
          <w:highlight w:val="none"/>
        </w:rPr>
        <w:t>设置</w:t>
      </w:r>
      <w:r>
        <w:rPr>
          <w:rFonts w:ascii="Times New Roman" w:hAnsi="Times New Roman" w:eastAsia="宋体" w:cs="Times New Roman"/>
          <w:b/>
          <w:color w:val="auto"/>
          <w:kern w:val="0"/>
          <w:szCs w:val="24"/>
          <w:highlight w:val="none"/>
        </w:rPr>
        <w:t>情况表</w:t>
      </w:r>
    </w:p>
    <w:tbl>
      <w:tblPr>
        <w:tblStyle w:val="48"/>
        <w:tblW w:w="9207" w:type="dxa"/>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869"/>
        <w:gridCol w:w="855"/>
        <w:gridCol w:w="1729"/>
        <w:gridCol w:w="884"/>
        <w:gridCol w:w="1015"/>
        <w:gridCol w:w="1015"/>
        <w:gridCol w:w="1420"/>
        <w:gridCol w:w="1420"/>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869" w:type="dxa"/>
            <w:noWrap w:val="0"/>
            <w:vAlign w:val="center"/>
          </w:tcPr>
          <w:p>
            <w:pPr>
              <w:spacing w:line="240" w:lineRule="auto"/>
              <w:ind w:firstLine="0" w:firstLineChars="0"/>
              <w:jc w:val="center"/>
              <w:rPr>
                <w:rFonts w:ascii="Times New Roman" w:hAnsi="Times New Roman" w:eastAsia="宋体" w:cs="Times New Roman"/>
                <w:b/>
                <w:color w:val="auto"/>
                <w:highlight w:val="none"/>
              </w:rPr>
            </w:pPr>
            <w:r>
              <w:rPr>
                <w:rFonts w:ascii="Times New Roman" w:hAnsi="Times New Roman" w:eastAsia="宋体" w:cs="Times New Roman"/>
                <w:b/>
                <w:color w:val="auto"/>
                <w:sz w:val="21"/>
                <w:highlight w:val="none"/>
              </w:rPr>
              <w:t>排气筒编号</w:t>
            </w:r>
          </w:p>
        </w:tc>
        <w:tc>
          <w:tcPr>
            <w:tcW w:w="85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
                <w:color w:val="auto"/>
                <w:highlight w:val="none"/>
              </w:rPr>
            </w:pPr>
            <w:r>
              <w:rPr>
                <w:rFonts w:hint="eastAsia" w:ascii="Times New Roman" w:hAnsi="Times New Roman" w:eastAsia="宋体" w:cs="Times New Roman"/>
                <w:b/>
                <w:color w:val="auto"/>
                <w:sz w:val="21"/>
                <w:highlight w:val="none"/>
              </w:rPr>
              <w:t>开采区</w:t>
            </w:r>
          </w:p>
        </w:tc>
        <w:tc>
          <w:tcPr>
            <w:tcW w:w="1729" w:type="dxa"/>
            <w:noWrap w:val="0"/>
            <w:vAlign w:val="center"/>
          </w:tcPr>
          <w:p>
            <w:pPr>
              <w:spacing w:line="240" w:lineRule="auto"/>
              <w:ind w:firstLine="0" w:firstLineChars="0"/>
              <w:jc w:val="center"/>
              <w:rPr>
                <w:rFonts w:ascii="Times New Roman" w:hAnsi="Times New Roman" w:eastAsia="宋体" w:cs="Times New Roman"/>
                <w:b/>
                <w:color w:val="auto"/>
                <w:highlight w:val="none"/>
              </w:rPr>
            </w:pPr>
            <w:r>
              <w:rPr>
                <w:rFonts w:ascii="Times New Roman" w:hAnsi="Times New Roman" w:eastAsia="宋体" w:cs="Times New Roman"/>
                <w:b/>
                <w:color w:val="auto"/>
                <w:sz w:val="21"/>
                <w:highlight w:val="none"/>
              </w:rPr>
              <w:t>污染源</w:t>
            </w:r>
          </w:p>
        </w:tc>
        <w:tc>
          <w:tcPr>
            <w:tcW w:w="884" w:type="dxa"/>
            <w:noWrap w:val="0"/>
            <w:vAlign w:val="center"/>
          </w:tcPr>
          <w:p>
            <w:pPr>
              <w:spacing w:line="240" w:lineRule="auto"/>
              <w:ind w:firstLine="0" w:firstLineChars="0"/>
              <w:jc w:val="center"/>
              <w:rPr>
                <w:rFonts w:ascii="Times New Roman" w:hAnsi="Times New Roman" w:eastAsia="宋体" w:cs="Times New Roman"/>
                <w:b/>
                <w:color w:val="auto"/>
                <w:highlight w:val="none"/>
              </w:rPr>
            </w:pPr>
            <w:r>
              <w:rPr>
                <w:rFonts w:ascii="Times New Roman" w:hAnsi="Times New Roman" w:eastAsia="宋体" w:cs="Times New Roman"/>
                <w:b/>
                <w:color w:val="auto"/>
                <w:sz w:val="21"/>
                <w:highlight w:val="none"/>
              </w:rPr>
              <w:t>污染物</w:t>
            </w:r>
          </w:p>
        </w:tc>
        <w:tc>
          <w:tcPr>
            <w:tcW w:w="1015" w:type="dxa"/>
            <w:noWrap w:val="0"/>
            <w:vAlign w:val="center"/>
          </w:tcPr>
          <w:p>
            <w:pPr>
              <w:spacing w:line="240" w:lineRule="auto"/>
              <w:ind w:firstLine="0" w:firstLineChars="0"/>
              <w:jc w:val="center"/>
              <w:rPr>
                <w:rFonts w:ascii="Times New Roman" w:hAnsi="Times New Roman" w:eastAsia="宋体" w:cs="Times New Roman"/>
                <w:b/>
                <w:color w:val="auto"/>
                <w:highlight w:val="none"/>
              </w:rPr>
            </w:pPr>
            <w:r>
              <w:rPr>
                <w:rFonts w:hint="eastAsia" w:ascii="Times New Roman" w:hAnsi="Times New Roman" w:eastAsia="宋体" w:cs="Times New Roman"/>
                <w:b/>
                <w:color w:val="auto"/>
                <w:sz w:val="21"/>
                <w:highlight w:val="none"/>
              </w:rPr>
              <w:t>排气筒</w:t>
            </w:r>
            <w:r>
              <w:rPr>
                <w:rFonts w:ascii="Times New Roman" w:hAnsi="Times New Roman" w:eastAsia="宋体" w:cs="Times New Roman"/>
                <w:b/>
                <w:color w:val="auto"/>
                <w:sz w:val="21"/>
                <w:highlight w:val="none"/>
              </w:rPr>
              <w:t>高度(m)</w:t>
            </w:r>
          </w:p>
        </w:tc>
        <w:tc>
          <w:tcPr>
            <w:tcW w:w="1015"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浓度</w:t>
            </w:r>
          </w:p>
          <w:p>
            <w:pPr>
              <w:spacing w:line="240" w:lineRule="auto"/>
              <w:ind w:firstLine="0" w:firstLineChars="0"/>
              <w:jc w:val="center"/>
              <w:rPr>
                <w:rFonts w:ascii="Times New Roman" w:hAnsi="Times New Roman" w:eastAsia="宋体" w:cs="Times New Roman"/>
                <w:b/>
                <w:color w:val="auto"/>
                <w:highlight w:val="none"/>
              </w:rPr>
            </w:pPr>
            <w:r>
              <w:rPr>
                <w:rFonts w:ascii="Times New Roman" w:hAnsi="Times New Roman" w:eastAsia="宋体" w:cs="Times New Roman"/>
                <w:b/>
                <w:color w:val="auto"/>
                <w:sz w:val="21"/>
                <w:highlight w:val="none"/>
              </w:rPr>
              <w:t>(mg/m</w:t>
            </w:r>
            <w:r>
              <w:rPr>
                <w:rFonts w:ascii="Times New Roman" w:hAnsi="Times New Roman" w:eastAsia="宋体" w:cs="Times New Roman"/>
                <w:b/>
                <w:color w:val="auto"/>
                <w:sz w:val="21"/>
                <w:highlight w:val="none"/>
                <w:vertAlign w:val="superscript"/>
              </w:rPr>
              <w:t>3</w:t>
            </w:r>
            <w:r>
              <w:rPr>
                <w:rFonts w:ascii="Times New Roman" w:hAnsi="Times New Roman" w:eastAsia="宋体" w:cs="Times New Roman"/>
                <w:b/>
                <w:color w:val="auto"/>
                <w:sz w:val="21"/>
                <w:highlight w:val="none"/>
              </w:rPr>
              <w:t>)</w:t>
            </w:r>
          </w:p>
        </w:tc>
        <w:tc>
          <w:tcPr>
            <w:tcW w:w="1420" w:type="dxa"/>
            <w:noWrap w:val="0"/>
            <w:vAlign w:val="center"/>
          </w:tcPr>
          <w:p>
            <w:pPr>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排放浓度限值(mg/m</w:t>
            </w:r>
            <w:r>
              <w:rPr>
                <w:rFonts w:ascii="Times New Roman" w:hAnsi="Times New Roman" w:eastAsia="宋体" w:cs="Times New Roman"/>
                <w:b/>
                <w:color w:val="auto"/>
                <w:sz w:val="21"/>
                <w:highlight w:val="none"/>
                <w:vertAlign w:val="superscript"/>
              </w:rPr>
              <w:t>3</w:t>
            </w:r>
            <w:r>
              <w:rPr>
                <w:rFonts w:ascii="Times New Roman" w:hAnsi="Times New Roman" w:eastAsia="宋体" w:cs="Times New Roman"/>
                <w:b/>
                <w:color w:val="auto"/>
                <w:sz w:val="21"/>
                <w:highlight w:val="none"/>
              </w:rPr>
              <w:t>)</w:t>
            </w:r>
          </w:p>
        </w:tc>
        <w:tc>
          <w:tcPr>
            <w:tcW w:w="1420" w:type="dxa"/>
            <w:noWrap w:val="0"/>
            <w:vAlign w:val="center"/>
          </w:tcPr>
          <w:p>
            <w:pPr>
              <w:tabs>
                <w:tab w:val="left" w:pos="5940"/>
              </w:tabs>
              <w:spacing w:line="260" w:lineRule="exact"/>
              <w:ind w:firstLine="0" w:firstLineChars="0"/>
              <w:jc w:val="center"/>
              <w:rPr>
                <w:rFonts w:ascii="Times New Roman" w:hAnsi="Times New Roman" w:eastAsia="宋体" w:cs="Times New Roman"/>
                <w:b/>
                <w:color w:val="auto"/>
                <w:highlight w:val="none"/>
              </w:rPr>
            </w:pPr>
            <w:r>
              <w:rPr>
                <w:rFonts w:ascii="Times New Roman" w:hAnsi="Times New Roman" w:eastAsia="宋体" w:cs="Times New Roman"/>
                <w:b/>
                <w:color w:val="auto"/>
                <w:sz w:val="21"/>
                <w:highlight w:val="none"/>
              </w:rPr>
              <w:t>执行标准</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869"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rPr>
            </w:pPr>
            <w:r>
              <w:rPr>
                <w:rFonts w:ascii="Times New Roman" w:hAnsi="Times New Roman" w:eastAsia="宋体" w:cs="Times New Roman"/>
                <w:color w:val="auto"/>
                <w:sz w:val="21"/>
                <w:highlight w:val="none"/>
              </w:rPr>
              <w:t>1#</w:t>
            </w:r>
          </w:p>
        </w:tc>
        <w:tc>
          <w:tcPr>
            <w:tcW w:w="855" w:type="dxa"/>
            <w:vMerge w:val="restart"/>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u w:val="single"/>
              </w:rPr>
            </w:pPr>
            <w:r>
              <w:rPr>
                <w:rFonts w:hint="eastAsia" w:cs="Times New Roman"/>
                <w:color w:val="auto"/>
                <w:sz w:val="21"/>
                <w:highlight w:val="none"/>
                <w:u w:val="single"/>
                <w:lang w:val="en-US" w:eastAsia="zh-CN"/>
              </w:rPr>
              <w:t>破碎场</w:t>
            </w:r>
            <w:r>
              <w:rPr>
                <w:rFonts w:hint="eastAsia" w:ascii="Times New Roman" w:hAnsi="Times New Roman" w:eastAsia="宋体"/>
                <w:color w:val="auto"/>
                <w:sz w:val="21"/>
                <w:highlight w:val="none"/>
                <w:u w:val="single"/>
              </w:rPr>
              <w:t>①</w:t>
            </w:r>
          </w:p>
        </w:tc>
        <w:tc>
          <w:tcPr>
            <w:tcW w:w="1729"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①</w:t>
            </w:r>
          </w:p>
        </w:tc>
        <w:tc>
          <w:tcPr>
            <w:tcW w:w="884"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颗粒物</w:t>
            </w:r>
          </w:p>
        </w:tc>
        <w:tc>
          <w:tcPr>
            <w:tcW w:w="1015"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101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7.03</w:t>
            </w:r>
          </w:p>
        </w:tc>
        <w:tc>
          <w:tcPr>
            <w:tcW w:w="1420"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120</w:t>
            </w:r>
          </w:p>
        </w:tc>
        <w:tc>
          <w:tcPr>
            <w:tcW w:w="1420" w:type="dxa"/>
            <w:vMerge w:val="restart"/>
            <w:noWrap w:val="0"/>
            <w:vAlign w:val="center"/>
          </w:tcPr>
          <w:p>
            <w:pPr>
              <w:pStyle w:val="86"/>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《大气污染物综合排放标准》（GB</w:t>
            </w:r>
            <w:r>
              <w:rPr>
                <w:rFonts w:hint="eastAsia" w:ascii="Times New Roman" w:hAnsi="Times New Roman" w:eastAsia="宋体" w:cs="Times New Roman"/>
                <w:b w:val="0"/>
                <w:bCs/>
                <w:color w:val="auto"/>
                <w:szCs w:val="21"/>
                <w:highlight w:val="none"/>
                <w:lang w:val="en-US" w:eastAsia="zh-CN"/>
              </w:rPr>
              <w:t xml:space="preserve"> </w:t>
            </w:r>
            <w:r>
              <w:rPr>
                <w:rFonts w:ascii="Times New Roman" w:hAnsi="Times New Roman" w:eastAsia="宋体" w:cs="Times New Roman"/>
                <w:b w:val="0"/>
                <w:bCs/>
                <w:color w:val="auto"/>
                <w:szCs w:val="21"/>
                <w:highlight w:val="none"/>
              </w:rPr>
              <w:t>16297-1996）</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869"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rPr>
            </w:pPr>
            <w:r>
              <w:rPr>
                <w:rFonts w:ascii="Times New Roman" w:hAnsi="Times New Roman" w:eastAsia="宋体" w:cs="Times New Roman"/>
                <w:color w:val="auto"/>
                <w:sz w:val="21"/>
                <w:highlight w:val="none"/>
              </w:rPr>
              <w:t>2#</w:t>
            </w:r>
          </w:p>
        </w:tc>
        <w:tc>
          <w:tcPr>
            <w:tcW w:w="855"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u w:val="single"/>
              </w:rPr>
            </w:pPr>
          </w:p>
        </w:tc>
        <w:tc>
          <w:tcPr>
            <w:tcW w:w="1729"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二级破碎①</w:t>
            </w:r>
          </w:p>
        </w:tc>
        <w:tc>
          <w:tcPr>
            <w:tcW w:w="884"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颗粒物</w:t>
            </w:r>
          </w:p>
        </w:tc>
        <w:tc>
          <w:tcPr>
            <w:tcW w:w="1015"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1015"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14.06</w:t>
            </w:r>
          </w:p>
        </w:tc>
        <w:tc>
          <w:tcPr>
            <w:tcW w:w="1420"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120</w:t>
            </w:r>
          </w:p>
        </w:tc>
        <w:tc>
          <w:tcPr>
            <w:tcW w:w="1420" w:type="dxa"/>
            <w:vMerge w:val="continue"/>
            <w:noWrap w:val="0"/>
            <w:vAlign w:val="center"/>
          </w:tcPr>
          <w:p>
            <w:pPr>
              <w:pStyle w:val="86"/>
              <w:rPr>
                <w:rFonts w:ascii="Times New Roman" w:hAnsi="Times New Roman" w:eastAsia="宋体" w:cs="Times New Roman"/>
                <w:b w:val="0"/>
                <w:bCs/>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869"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rPr>
            </w:pPr>
            <w:r>
              <w:rPr>
                <w:rFonts w:ascii="Times New Roman" w:hAnsi="Times New Roman" w:eastAsia="宋体" w:cs="Times New Roman"/>
                <w:color w:val="auto"/>
                <w:sz w:val="21"/>
                <w:highlight w:val="none"/>
              </w:rPr>
              <w:t>3#</w:t>
            </w:r>
          </w:p>
        </w:tc>
        <w:tc>
          <w:tcPr>
            <w:tcW w:w="855"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u w:val="single"/>
              </w:rPr>
            </w:pPr>
          </w:p>
        </w:tc>
        <w:tc>
          <w:tcPr>
            <w:tcW w:w="1729"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①</w:t>
            </w:r>
          </w:p>
        </w:tc>
        <w:tc>
          <w:tcPr>
            <w:tcW w:w="884"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颗粒物</w:t>
            </w:r>
          </w:p>
        </w:tc>
        <w:tc>
          <w:tcPr>
            <w:tcW w:w="1015"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1015"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28.13</w:t>
            </w:r>
          </w:p>
        </w:tc>
        <w:tc>
          <w:tcPr>
            <w:tcW w:w="1420"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120</w:t>
            </w:r>
          </w:p>
        </w:tc>
        <w:tc>
          <w:tcPr>
            <w:tcW w:w="1420" w:type="dxa"/>
            <w:vMerge w:val="continue"/>
            <w:noWrap w:val="0"/>
            <w:vAlign w:val="center"/>
          </w:tcPr>
          <w:p>
            <w:pPr>
              <w:pStyle w:val="86"/>
              <w:rPr>
                <w:rFonts w:ascii="Times New Roman" w:hAnsi="Times New Roman" w:eastAsia="宋体" w:cs="Times New Roman"/>
                <w:b w:val="0"/>
                <w:bCs/>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869"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4</w:t>
            </w:r>
            <w:r>
              <w:rPr>
                <w:rFonts w:ascii="Times New Roman" w:hAnsi="Times New Roman" w:eastAsia="宋体" w:cs="Times New Roman"/>
                <w:color w:val="auto"/>
                <w:sz w:val="21"/>
                <w:highlight w:val="none"/>
              </w:rPr>
              <w:t>#</w:t>
            </w:r>
          </w:p>
        </w:tc>
        <w:tc>
          <w:tcPr>
            <w:tcW w:w="855" w:type="dxa"/>
            <w:vMerge w:val="restart"/>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u w:val="single"/>
              </w:rPr>
            </w:pPr>
            <w:r>
              <w:rPr>
                <w:rFonts w:hint="eastAsia" w:cs="Times New Roman"/>
                <w:color w:val="auto"/>
                <w:sz w:val="21"/>
                <w:highlight w:val="none"/>
                <w:u w:val="single"/>
                <w:lang w:val="en-US" w:eastAsia="zh-CN"/>
              </w:rPr>
              <w:t>破碎场</w:t>
            </w:r>
            <w:r>
              <w:rPr>
                <w:rFonts w:hint="eastAsia" w:ascii="Times New Roman" w:hAnsi="Times New Roman" w:eastAsia="宋体"/>
                <w:color w:val="auto"/>
                <w:sz w:val="21"/>
                <w:highlight w:val="none"/>
                <w:u w:val="single"/>
              </w:rPr>
              <w:t>②</w:t>
            </w:r>
          </w:p>
        </w:tc>
        <w:tc>
          <w:tcPr>
            <w:tcW w:w="1729"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②</w:t>
            </w:r>
          </w:p>
        </w:tc>
        <w:tc>
          <w:tcPr>
            <w:tcW w:w="884"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颗粒物</w:t>
            </w:r>
          </w:p>
        </w:tc>
        <w:tc>
          <w:tcPr>
            <w:tcW w:w="1015"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1015"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7.03</w:t>
            </w:r>
          </w:p>
        </w:tc>
        <w:tc>
          <w:tcPr>
            <w:tcW w:w="1420"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120</w:t>
            </w:r>
          </w:p>
        </w:tc>
        <w:tc>
          <w:tcPr>
            <w:tcW w:w="1420" w:type="dxa"/>
            <w:vMerge w:val="continue"/>
            <w:noWrap w:val="0"/>
            <w:vAlign w:val="center"/>
          </w:tcPr>
          <w:p>
            <w:pPr>
              <w:pStyle w:val="86"/>
              <w:rPr>
                <w:rFonts w:ascii="Times New Roman" w:hAnsi="Times New Roman" w:eastAsia="宋体" w:cs="Times New Roman"/>
                <w:b w:val="0"/>
                <w:bCs/>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869"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5</w:t>
            </w:r>
            <w:r>
              <w:rPr>
                <w:rFonts w:ascii="Times New Roman" w:hAnsi="Times New Roman" w:eastAsia="宋体" w:cs="Times New Roman"/>
                <w:color w:val="auto"/>
                <w:sz w:val="21"/>
                <w:highlight w:val="none"/>
              </w:rPr>
              <w:t>#</w:t>
            </w:r>
          </w:p>
        </w:tc>
        <w:tc>
          <w:tcPr>
            <w:tcW w:w="855"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rPr>
            </w:pPr>
          </w:p>
        </w:tc>
        <w:tc>
          <w:tcPr>
            <w:tcW w:w="1729"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二级破碎筛分</w:t>
            </w:r>
            <w:r>
              <w:rPr>
                <w:rFonts w:hint="eastAsia" w:ascii="Times New Roman" w:hAnsi="Times New Roman" w:eastAsia="宋体"/>
                <w:color w:val="auto"/>
                <w:sz w:val="21"/>
                <w:highlight w:val="none"/>
              </w:rPr>
              <w:t>②</w:t>
            </w:r>
          </w:p>
        </w:tc>
        <w:tc>
          <w:tcPr>
            <w:tcW w:w="884"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颗粒物</w:t>
            </w:r>
          </w:p>
        </w:tc>
        <w:tc>
          <w:tcPr>
            <w:tcW w:w="1015"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1015"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14.06</w:t>
            </w:r>
          </w:p>
        </w:tc>
        <w:tc>
          <w:tcPr>
            <w:tcW w:w="1420"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120</w:t>
            </w:r>
          </w:p>
        </w:tc>
        <w:tc>
          <w:tcPr>
            <w:tcW w:w="1420" w:type="dxa"/>
            <w:vMerge w:val="continue"/>
            <w:noWrap w:val="0"/>
            <w:vAlign w:val="center"/>
          </w:tcPr>
          <w:p>
            <w:pPr>
              <w:pStyle w:val="86"/>
              <w:rPr>
                <w:rFonts w:ascii="Times New Roman" w:hAnsi="Times New Roman" w:eastAsia="宋体" w:cs="Times New Roman"/>
                <w:b w:val="0"/>
                <w:bCs/>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869"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6</w:t>
            </w:r>
            <w:r>
              <w:rPr>
                <w:rFonts w:ascii="Times New Roman" w:hAnsi="Times New Roman" w:eastAsia="宋体" w:cs="Times New Roman"/>
                <w:color w:val="auto"/>
                <w:sz w:val="21"/>
                <w:highlight w:val="none"/>
              </w:rPr>
              <w:t>#</w:t>
            </w:r>
          </w:p>
        </w:tc>
        <w:tc>
          <w:tcPr>
            <w:tcW w:w="855"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rPr>
            </w:pPr>
          </w:p>
        </w:tc>
        <w:tc>
          <w:tcPr>
            <w:tcW w:w="1729"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②</w:t>
            </w:r>
          </w:p>
        </w:tc>
        <w:tc>
          <w:tcPr>
            <w:tcW w:w="884"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颗粒物</w:t>
            </w:r>
          </w:p>
        </w:tc>
        <w:tc>
          <w:tcPr>
            <w:tcW w:w="1015"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w:t>
            </w:r>
          </w:p>
        </w:tc>
        <w:tc>
          <w:tcPr>
            <w:tcW w:w="1015"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2.81</w:t>
            </w:r>
          </w:p>
        </w:tc>
        <w:tc>
          <w:tcPr>
            <w:tcW w:w="142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120</w:t>
            </w:r>
          </w:p>
        </w:tc>
        <w:tc>
          <w:tcPr>
            <w:tcW w:w="1420" w:type="dxa"/>
            <w:vMerge w:val="continue"/>
            <w:noWrap w:val="0"/>
            <w:vAlign w:val="center"/>
          </w:tcPr>
          <w:p>
            <w:pPr>
              <w:pStyle w:val="86"/>
              <w:rPr>
                <w:rFonts w:ascii="Times New Roman" w:hAnsi="Times New Roman" w:eastAsia="宋体" w:cs="Times New Roman"/>
                <w:b w:val="0"/>
                <w:bCs/>
                <w:color w:val="auto"/>
                <w:szCs w:val="21"/>
                <w:highlight w:val="none"/>
              </w:rPr>
            </w:pPr>
          </w:p>
        </w:tc>
      </w:tr>
    </w:tbl>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根据上表可知，各排气筒排放污染物</w:t>
      </w:r>
      <w:r>
        <w:rPr>
          <w:rFonts w:ascii="Times New Roman" w:hAnsi="Times New Roman" w:eastAsia="宋体" w:cs="Times New Roman"/>
          <w:color w:val="auto"/>
          <w:highlight w:val="none"/>
        </w:rPr>
        <w:t>满足《大气污染物综合排放标准》（GB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16297-1996）二级排放标准要求</w:t>
      </w:r>
      <w:r>
        <w:rPr>
          <w:rFonts w:hint="eastAsia" w:ascii="Times New Roman" w:hAnsi="Times New Roman" w:eastAsia="宋体" w:cs="Times New Roman"/>
          <w:color w:val="auto"/>
          <w:highlight w:val="none"/>
        </w:rPr>
        <w:t>。</w:t>
      </w:r>
    </w:p>
    <w:p>
      <w:pPr>
        <w:ind w:firstLine="480"/>
        <w:rPr>
          <w:rFonts w:ascii="Times New Roman" w:hAnsi="Times New Roman" w:eastAsia="宋体" w:cs="Times New Roman"/>
          <w:color w:val="auto"/>
          <w:szCs w:val="24"/>
          <w:highlight w:val="none"/>
        </w:rPr>
      </w:pPr>
      <w:r>
        <w:rPr>
          <w:rFonts w:hint="eastAsia" w:cs="Times New Roman"/>
          <w:color w:val="auto"/>
          <w:szCs w:val="24"/>
          <w:highlight w:val="none"/>
          <w:u w:val="single"/>
          <w:lang w:eastAsia="zh-CN"/>
        </w:rPr>
        <w:t>破碎场①</w:t>
      </w:r>
      <w:r>
        <w:rPr>
          <w:rFonts w:ascii="Times New Roman" w:hAnsi="Times New Roman" w:eastAsia="宋体" w:cs="Times New Roman"/>
          <w:color w:val="auto"/>
          <w:szCs w:val="24"/>
          <w:highlight w:val="none"/>
        </w:rPr>
        <w:t>1#、2#、3#排气筒</w:t>
      </w:r>
      <w:r>
        <w:rPr>
          <w:rFonts w:hint="eastAsia" w:ascii="Times New Roman" w:hAnsi="Times New Roman" w:eastAsia="宋体" w:cs="Times New Roman"/>
          <w:color w:val="auto"/>
          <w:szCs w:val="24"/>
          <w:highlight w:val="none"/>
        </w:rPr>
        <w:t>和</w:t>
      </w:r>
      <w:r>
        <w:rPr>
          <w:rFonts w:hint="eastAsia" w:cs="Times New Roman"/>
          <w:color w:val="auto"/>
          <w:szCs w:val="24"/>
          <w:highlight w:val="none"/>
          <w:u w:val="single"/>
          <w:lang w:eastAsia="zh-CN"/>
        </w:rPr>
        <w:t>破碎场②</w:t>
      </w:r>
      <w:r>
        <w:rPr>
          <w:rFonts w:hint="eastAsia" w:ascii="Times New Roman" w:hAnsi="Times New Roman" w:eastAsia="宋体" w:cs="Times New Roman"/>
          <w:color w:val="auto"/>
          <w:szCs w:val="24"/>
          <w:highlight w:val="none"/>
        </w:rPr>
        <w:t>5#、6#排气筒</w:t>
      </w:r>
      <w:r>
        <w:rPr>
          <w:rFonts w:ascii="Times New Roman" w:hAnsi="Times New Roman" w:eastAsia="宋体" w:cs="Times New Roman"/>
          <w:color w:val="auto"/>
          <w:szCs w:val="24"/>
          <w:highlight w:val="none"/>
        </w:rPr>
        <w:t>之间距离较近（两两之间均小于30m），</w:t>
      </w:r>
      <w:r>
        <w:rPr>
          <w:rFonts w:hint="eastAsia" w:ascii="Times New Roman" w:hAnsi="Times New Roman" w:eastAsia="宋体" w:cs="Times New Roman"/>
          <w:color w:val="auto"/>
          <w:szCs w:val="24"/>
          <w:highlight w:val="none"/>
        </w:rPr>
        <w:t>距4#排气筒最近排气筒为5#排气筒，直线距离约70m，不进行等效计算。</w:t>
      </w:r>
      <w:r>
        <w:rPr>
          <w:rFonts w:ascii="Times New Roman" w:hAnsi="Times New Roman" w:eastAsia="宋体" w:cs="Times New Roman"/>
          <w:color w:val="auto"/>
          <w:szCs w:val="24"/>
          <w:highlight w:val="none"/>
        </w:rPr>
        <w:t>根据《大气污染物综合排放标准》（GB</w:t>
      </w:r>
      <w:r>
        <w:rPr>
          <w:rFonts w:hint="eastAsia" w:ascii="Times New Roman" w:hAnsi="Times New Roman" w:eastAsia="宋体" w:cs="Times New Roman"/>
          <w:color w:val="auto"/>
          <w:szCs w:val="24"/>
          <w:highlight w:val="none"/>
          <w:lang w:val="en-US" w:eastAsia="zh-CN"/>
        </w:rPr>
        <w:t xml:space="preserve"> </w:t>
      </w:r>
      <w:r>
        <w:rPr>
          <w:rFonts w:ascii="Times New Roman" w:hAnsi="Times New Roman" w:eastAsia="宋体" w:cs="Times New Roman"/>
          <w:color w:val="auto"/>
          <w:szCs w:val="24"/>
          <w:highlight w:val="none"/>
        </w:rPr>
        <w:t>16297-1996）中要求对排气筒污染物排放情况进行等效，等效后污染物排放情况见下表4.2-</w:t>
      </w:r>
      <w:r>
        <w:rPr>
          <w:rFonts w:hint="eastAsia" w:ascii="Times New Roman" w:hAnsi="Times New Roman" w:eastAsia="宋体" w:cs="Times New Roman"/>
          <w:color w:val="auto"/>
          <w:szCs w:val="24"/>
          <w:highlight w:val="none"/>
        </w:rPr>
        <w:t>16</w:t>
      </w:r>
      <w:r>
        <w:rPr>
          <w:rFonts w:ascii="Times New Roman" w:hAnsi="Times New Roman" w:eastAsia="宋体" w:cs="Times New Roman"/>
          <w:color w:val="auto"/>
          <w:szCs w:val="24"/>
          <w:highlight w:val="none"/>
        </w:rPr>
        <w:t>。</w:t>
      </w:r>
    </w:p>
    <w:p>
      <w:pPr>
        <w:spacing w:line="240" w:lineRule="auto"/>
        <w:ind w:firstLine="0" w:firstLineChars="0"/>
        <w:jc w:val="center"/>
        <w:rPr>
          <w:rFonts w:ascii="Times New Roman" w:hAnsi="Times New Roman" w:eastAsia="宋体" w:cs="Times New Roman"/>
          <w:color w:val="auto"/>
          <w:szCs w:val="24"/>
          <w:highlight w:val="none"/>
        </w:rPr>
      </w:pPr>
      <w:r>
        <w:rPr>
          <w:rFonts w:ascii="Times New Roman" w:hAnsi="Times New Roman" w:eastAsia="宋体" w:cs="Times New Roman"/>
          <w:b/>
          <w:color w:val="auto"/>
          <w:kern w:val="0"/>
          <w:szCs w:val="24"/>
          <w:highlight w:val="none"/>
        </w:rPr>
        <w:t>表4.2-</w:t>
      </w:r>
      <w:r>
        <w:rPr>
          <w:rFonts w:hint="eastAsia" w:ascii="Times New Roman" w:hAnsi="Times New Roman" w:eastAsia="宋体" w:cs="Times New Roman"/>
          <w:b/>
          <w:color w:val="auto"/>
          <w:kern w:val="0"/>
          <w:szCs w:val="24"/>
          <w:highlight w:val="none"/>
        </w:rPr>
        <w:t>16</w:t>
      </w:r>
      <w:r>
        <w:rPr>
          <w:rFonts w:ascii="Times New Roman" w:hAnsi="Times New Roman" w:eastAsia="宋体" w:cs="Times New Roman"/>
          <w:b/>
          <w:color w:val="auto"/>
          <w:kern w:val="0"/>
          <w:szCs w:val="24"/>
          <w:highlight w:val="none"/>
        </w:rPr>
        <w:t xml:space="preserve"> 拟建项目等效排气筒尾气排放情况表</w:t>
      </w:r>
    </w:p>
    <w:tbl>
      <w:tblPr>
        <w:tblStyle w:val="48"/>
        <w:tblW w:w="9071" w:type="dxa"/>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1843"/>
        <w:gridCol w:w="1276"/>
        <w:gridCol w:w="1506"/>
        <w:gridCol w:w="1184"/>
        <w:gridCol w:w="1360"/>
        <w:gridCol w:w="1902"/>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843" w:type="dxa"/>
            <w:vMerge w:val="restart"/>
            <w:noWrap w:val="0"/>
            <w:vAlign w:val="center"/>
          </w:tcPr>
          <w:p>
            <w:pPr>
              <w:pStyle w:val="86"/>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等效排气筒编号</w:t>
            </w:r>
          </w:p>
        </w:tc>
        <w:tc>
          <w:tcPr>
            <w:tcW w:w="1276" w:type="dxa"/>
            <w:vMerge w:val="restart"/>
            <w:noWrap w:val="0"/>
            <w:vAlign w:val="center"/>
          </w:tcPr>
          <w:p>
            <w:pPr>
              <w:pStyle w:val="86"/>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排气筒情况</w:t>
            </w:r>
          </w:p>
        </w:tc>
        <w:tc>
          <w:tcPr>
            <w:tcW w:w="1506" w:type="dxa"/>
            <w:vMerge w:val="restart"/>
            <w:noWrap w:val="0"/>
            <w:vAlign w:val="center"/>
          </w:tcPr>
          <w:p>
            <w:pPr>
              <w:pStyle w:val="86"/>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污染物名称</w:t>
            </w:r>
          </w:p>
        </w:tc>
        <w:tc>
          <w:tcPr>
            <w:tcW w:w="1184" w:type="dxa"/>
            <w:vMerge w:val="restart"/>
            <w:noWrap w:val="0"/>
            <w:vAlign w:val="center"/>
          </w:tcPr>
          <w:p>
            <w:pPr>
              <w:pStyle w:val="86"/>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等效高度m</w:t>
            </w:r>
          </w:p>
        </w:tc>
        <w:tc>
          <w:tcPr>
            <w:tcW w:w="1360" w:type="dxa"/>
            <w:vMerge w:val="restart"/>
            <w:noWrap w:val="0"/>
            <w:vAlign w:val="center"/>
          </w:tcPr>
          <w:p>
            <w:pPr>
              <w:pStyle w:val="86"/>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排放速率kg/h</w:t>
            </w:r>
          </w:p>
        </w:tc>
        <w:tc>
          <w:tcPr>
            <w:tcW w:w="1902" w:type="dxa"/>
            <w:noWrap w:val="0"/>
            <w:vAlign w:val="center"/>
          </w:tcPr>
          <w:p>
            <w:pPr>
              <w:tabs>
                <w:tab w:val="left" w:pos="5940"/>
              </w:tabs>
              <w:spacing w:line="260" w:lineRule="exact"/>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执行标准</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843" w:type="dxa"/>
            <w:vMerge w:val="continue"/>
            <w:noWrap w:val="0"/>
            <w:vAlign w:val="center"/>
          </w:tcPr>
          <w:p>
            <w:pPr>
              <w:pStyle w:val="86"/>
              <w:rPr>
                <w:rFonts w:ascii="Times New Roman" w:hAnsi="Times New Roman" w:eastAsia="宋体" w:cs="Times New Roman"/>
                <w:color w:val="auto"/>
                <w:szCs w:val="21"/>
                <w:highlight w:val="none"/>
              </w:rPr>
            </w:pPr>
          </w:p>
        </w:tc>
        <w:tc>
          <w:tcPr>
            <w:tcW w:w="1276" w:type="dxa"/>
            <w:vMerge w:val="continue"/>
            <w:noWrap w:val="0"/>
            <w:vAlign w:val="center"/>
          </w:tcPr>
          <w:p>
            <w:pPr>
              <w:pStyle w:val="86"/>
              <w:rPr>
                <w:rFonts w:ascii="Times New Roman" w:hAnsi="Times New Roman" w:eastAsia="宋体" w:cs="Times New Roman"/>
                <w:color w:val="auto"/>
                <w:szCs w:val="21"/>
                <w:highlight w:val="none"/>
              </w:rPr>
            </w:pPr>
          </w:p>
        </w:tc>
        <w:tc>
          <w:tcPr>
            <w:tcW w:w="1506" w:type="dxa"/>
            <w:vMerge w:val="continue"/>
            <w:noWrap w:val="0"/>
            <w:vAlign w:val="center"/>
          </w:tcPr>
          <w:p>
            <w:pPr>
              <w:pStyle w:val="86"/>
              <w:rPr>
                <w:rFonts w:ascii="Times New Roman" w:hAnsi="Times New Roman" w:eastAsia="宋体" w:cs="Times New Roman"/>
                <w:color w:val="auto"/>
                <w:szCs w:val="21"/>
                <w:highlight w:val="none"/>
              </w:rPr>
            </w:pPr>
          </w:p>
        </w:tc>
        <w:tc>
          <w:tcPr>
            <w:tcW w:w="1184" w:type="dxa"/>
            <w:vMerge w:val="continue"/>
            <w:noWrap w:val="0"/>
            <w:vAlign w:val="center"/>
          </w:tcPr>
          <w:p>
            <w:pPr>
              <w:pStyle w:val="86"/>
              <w:rPr>
                <w:rFonts w:ascii="Times New Roman" w:hAnsi="Times New Roman" w:eastAsia="宋体" w:cs="Times New Roman"/>
                <w:color w:val="auto"/>
                <w:szCs w:val="21"/>
                <w:highlight w:val="none"/>
              </w:rPr>
            </w:pPr>
          </w:p>
        </w:tc>
        <w:tc>
          <w:tcPr>
            <w:tcW w:w="1360" w:type="dxa"/>
            <w:vMerge w:val="continue"/>
            <w:noWrap w:val="0"/>
            <w:vAlign w:val="center"/>
          </w:tcPr>
          <w:p>
            <w:pPr>
              <w:pStyle w:val="86"/>
              <w:rPr>
                <w:rFonts w:ascii="Times New Roman" w:hAnsi="Times New Roman" w:eastAsia="宋体" w:cs="Times New Roman"/>
                <w:color w:val="auto"/>
                <w:szCs w:val="21"/>
                <w:highlight w:val="none"/>
              </w:rPr>
            </w:pPr>
          </w:p>
        </w:tc>
        <w:tc>
          <w:tcPr>
            <w:tcW w:w="1902" w:type="dxa"/>
            <w:noWrap w:val="0"/>
            <w:vAlign w:val="center"/>
          </w:tcPr>
          <w:p>
            <w:pPr>
              <w:pStyle w:val="86"/>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排放速率kg/h</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843" w:type="dxa"/>
            <w:noWrap w:val="0"/>
            <w:vAlign w:val="center"/>
          </w:tcPr>
          <w:p>
            <w:pPr>
              <w:pStyle w:val="86"/>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1#、2#、3#</w:t>
            </w:r>
          </w:p>
        </w:tc>
        <w:tc>
          <w:tcPr>
            <w:tcW w:w="1276" w:type="dxa"/>
            <w:noWrap w:val="0"/>
            <w:vAlign w:val="center"/>
          </w:tcPr>
          <w:p>
            <w:pPr>
              <w:pStyle w:val="86"/>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3根</w:t>
            </w:r>
          </w:p>
        </w:tc>
        <w:tc>
          <w:tcPr>
            <w:tcW w:w="1506" w:type="dxa"/>
            <w:noWrap w:val="0"/>
            <w:vAlign w:val="center"/>
          </w:tcPr>
          <w:p>
            <w:pPr>
              <w:pStyle w:val="86"/>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颗粒物</w:t>
            </w:r>
          </w:p>
        </w:tc>
        <w:tc>
          <w:tcPr>
            <w:tcW w:w="1184" w:type="dxa"/>
            <w:noWrap w:val="0"/>
            <w:vAlign w:val="center"/>
          </w:tcPr>
          <w:p>
            <w:pPr>
              <w:pStyle w:val="86"/>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15</w:t>
            </w:r>
          </w:p>
        </w:tc>
        <w:tc>
          <w:tcPr>
            <w:tcW w:w="1360" w:type="dxa"/>
            <w:noWrap w:val="0"/>
            <w:vAlign w:val="center"/>
          </w:tcPr>
          <w:p>
            <w:pPr>
              <w:pStyle w:val="86"/>
              <w:rPr>
                <w:rFonts w:ascii="Times New Roman" w:hAnsi="Times New Roman" w:eastAsia="宋体" w:cs="Times New Roman"/>
                <w:b w:val="0"/>
                <w:bCs/>
                <w:color w:val="auto"/>
                <w:szCs w:val="21"/>
                <w:highlight w:val="none"/>
              </w:rPr>
            </w:pPr>
            <w:r>
              <w:rPr>
                <w:rFonts w:hint="eastAsia" w:ascii="Times New Roman" w:hAnsi="Times New Roman" w:eastAsia="宋体" w:cs="Times New Roman"/>
                <w:b w:val="0"/>
                <w:bCs/>
                <w:color w:val="auto"/>
                <w:szCs w:val="21"/>
                <w:highlight w:val="none"/>
              </w:rPr>
              <w:t>0.365</w:t>
            </w:r>
          </w:p>
        </w:tc>
        <w:tc>
          <w:tcPr>
            <w:tcW w:w="1902" w:type="dxa"/>
            <w:vMerge w:val="restart"/>
            <w:noWrap w:val="0"/>
            <w:vAlign w:val="center"/>
          </w:tcPr>
          <w:p>
            <w:pPr>
              <w:pStyle w:val="86"/>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3.5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843" w:type="dxa"/>
            <w:noWrap w:val="0"/>
            <w:vAlign w:val="center"/>
          </w:tcPr>
          <w:p>
            <w:pPr>
              <w:pStyle w:val="86"/>
              <w:rPr>
                <w:rFonts w:ascii="Times New Roman" w:hAnsi="Times New Roman" w:eastAsia="宋体" w:cs="Times New Roman"/>
                <w:b w:val="0"/>
                <w:bCs/>
                <w:color w:val="auto"/>
                <w:szCs w:val="21"/>
                <w:highlight w:val="none"/>
              </w:rPr>
            </w:pPr>
            <w:r>
              <w:rPr>
                <w:rFonts w:hint="eastAsia" w:ascii="Times New Roman" w:hAnsi="Times New Roman" w:eastAsia="宋体" w:cs="Times New Roman"/>
                <w:b w:val="0"/>
                <w:bCs/>
                <w:color w:val="auto"/>
                <w:szCs w:val="21"/>
                <w:highlight w:val="none"/>
              </w:rPr>
              <w:t>5#、6#</w:t>
            </w:r>
          </w:p>
        </w:tc>
        <w:tc>
          <w:tcPr>
            <w:tcW w:w="1276" w:type="dxa"/>
            <w:noWrap w:val="0"/>
            <w:vAlign w:val="center"/>
          </w:tcPr>
          <w:p>
            <w:pPr>
              <w:pStyle w:val="86"/>
              <w:rPr>
                <w:rFonts w:ascii="Times New Roman" w:hAnsi="Times New Roman" w:eastAsia="宋体" w:cs="Times New Roman"/>
                <w:b w:val="0"/>
                <w:bCs/>
                <w:color w:val="auto"/>
                <w:szCs w:val="21"/>
                <w:highlight w:val="none"/>
              </w:rPr>
            </w:pPr>
            <w:r>
              <w:rPr>
                <w:rFonts w:hint="eastAsia" w:ascii="Times New Roman" w:hAnsi="Times New Roman" w:eastAsia="宋体" w:cs="Times New Roman"/>
                <w:b w:val="0"/>
                <w:bCs/>
                <w:color w:val="auto"/>
                <w:szCs w:val="21"/>
                <w:highlight w:val="none"/>
              </w:rPr>
              <w:t>2根</w:t>
            </w:r>
          </w:p>
        </w:tc>
        <w:tc>
          <w:tcPr>
            <w:tcW w:w="1506" w:type="dxa"/>
            <w:noWrap w:val="0"/>
            <w:vAlign w:val="center"/>
          </w:tcPr>
          <w:p>
            <w:pPr>
              <w:pStyle w:val="86"/>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颗粒物</w:t>
            </w:r>
          </w:p>
        </w:tc>
        <w:tc>
          <w:tcPr>
            <w:tcW w:w="1184" w:type="dxa"/>
            <w:noWrap w:val="0"/>
            <w:vAlign w:val="center"/>
          </w:tcPr>
          <w:p>
            <w:pPr>
              <w:pStyle w:val="86"/>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15</w:t>
            </w:r>
          </w:p>
        </w:tc>
        <w:tc>
          <w:tcPr>
            <w:tcW w:w="1360" w:type="dxa"/>
            <w:noWrap w:val="0"/>
            <w:vAlign w:val="center"/>
          </w:tcPr>
          <w:p>
            <w:pPr>
              <w:pStyle w:val="86"/>
              <w:rPr>
                <w:rFonts w:hint="eastAsia" w:ascii="Times New Roman" w:hAnsi="Times New Roman" w:eastAsia="宋体" w:cs="Times New Roman"/>
                <w:b w:val="0"/>
                <w:bCs/>
                <w:color w:val="auto"/>
                <w:szCs w:val="21"/>
                <w:highlight w:val="none"/>
              </w:rPr>
            </w:pPr>
            <w:r>
              <w:rPr>
                <w:rFonts w:hint="eastAsia" w:ascii="Times New Roman" w:hAnsi="Times New Roman" w:eastAsia="宋体" w:cs="Times New Roman"/>
                <w:b w:val="0"/>
                <w:bCs/>
                <w:color w:val="auto"/>
                <w:szCs w:val="21"/>
                <w:highlight w:val="none"/>
              </w:rPr>
              <w:t>0.295</w:t>
            </w:r>
          </w:p>
        </w:tc>
        <w:tc>
          <w:tcPr>
            <w:tcW w:w="1902" w:type="dxa"/>
            <w:vMerge w:val="continue"/>
            <w:noWrap w:val="0"/>
            <w:vAlign w:val="center"/>
          </w:tcPr>
          <w:p>
            <w:pPr>
              <w:pStyle w:val="86"/>
              <w:rPr>
                <w:rFonts w:ascii="Times New Roman" w:hAnsi="Times New Roman" w:eastAsia="宋体" w:cs="Times New Roman"/>
                <w:b w:val="0"/>
                <w:bCs/>
                <w:color w:val="auto"/>
                <w:szCs w:val="21"/>
                <w:highlight w:val="none"/>
              </w:rPr>
            </w:pPr>
          </w:p>
        </w:tc>
      </w:tr>
    </w:tbl>
    <w:p>
      <w:pPr>
        <w:ind w:firstLine="480"/>
        <w:rPr>
          <w:rFonts w:ascii="Times New Roman" w:hAnsi="Times New Roman" w:eastAsia="宋体"/>
          <w:color w:val="auto"/>
          <w:highlight w:val="none"/>
        </w:rPr>
      </w:pPr>
      <w:r>
        <w:rPr>
          <w:rFonts w:ascii="Times New Roman" w:hAnsi="Times New Roman" w:eastAsia="宋体"/>
          <w:color w:val="auto"/>
          <w:highlight w:val="none"/>
        </w:rPr>
        <w:t>由上表可知，拟建项目排气筒等效后排放的颗粒物满足排放速率限值要求。</w:t>
      </w:r>
    </w:p>
    <w:p>
      <w:pPr>
        <w:ind w:firstLine="480"/>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本项目各排气筒风量和内径参数一致，根据</w:t>
      </w:r>
      <w:r>
        <w:rPr>
          <w:rFonts w:ascii="Times New Roman" w:hAnsi="Times New Roman" w:eastAsia="宋体" w:cs="Times New Roman"/>
          <w:color w:val="auto"/>
          <w:kern w:val="0"/>
          <w:highlight w:val="none"/>
        </w:rPr>
        <w:t>《</w:t>
      </w:r>
      <w:r>
        <w:rPr>
          <w:rFonts w:hint="eastAsia" w:ascii="Times New Roman" w:hAnsi="Times New Roman" w:eastAsia="宋体" w:cs="Times New Roman"/>
          <w:color w:val="auto"/>
          <w:kern w:val="0"/>
          <w:highlight w:val="none"/>
        </w:rPr>
        <w:t>制定地方大气污染物排放标准的技术方法</w:t>
      </w:r>
      <w:r>
        <w:rPr>
          <w:rFonts w:ascii="Times New Roman" w:hAnsi="Times New Roman" w:eastAsia="宋体" w:cs="Times New Roman"/>
          <w:color w:val="auto"/>
          <w:kern w:val="0"/>
          <w:highlight w:val="none"/>
        </w:rPr>
        <w:t>》</w:t>
      </w:r>
      <w:r>
        <w:rPr>
          <w:rFonts w:hint="eastAsia" w:ascii="Times New Roman" w:hAnsi="Times New Roman" w:eastAsia="宋体" w:cs="Times New Roman"/>
          <w:color w:val="auto"/>
          <w:kern w:val="0"/>
          <w:highlight w:val="none"/>
        </w:rPr>
        <w:t>（</w:t>
      </w:r>
      <w:r>
        <w:rPr>
          <w:rFonts w:ascii="Times New Roman" w:hAnsi="Times New Roman" w:eastAsia="宋体" w:cs="Times New Roman"/>
          <w:color w:val="auto"/>
          <w:kern w:val="0"/>
          <w:highlight w:val="none"/>
        </w:rPr>
        <w:t>GBT</w:t>
      </w:r>
      <w:r>
        <w:rPr>
          <w:rFonts w:hint="eastAsia" w:ascii="Times New Roman" w:hAnsi="Times New Roman" w:eastAsia="宋体" w:cs="Times New Roman"/>
          <w:color w:val="auto"/>
          <w:kern w:val="0"/>
          <w:highlight w:val="none"/>
          <w:lang w:val="en-US" w:eastAsia="zh-CN"/>
        </w:rPr>
        <w:t xml:space="preserve"> </w:t>
      </w:r>
      <w:r>
        <w:rPr>
          <w:rFonts w:ascii="Times New Roman" w:hAnsi="Times New Roman" w:eastAsia="宋体" w:cs="Times New Roman"/>
          <w:color w:val="auto"/>
          <w:kern w:val="0"/>
          <w:highlight w:val="none"/>
        </w:rPr>
        <w:t>13201-91</w:t>
      </w:r>
      <w:r>
        <w:rPr>
          <w:rFonts w:hint="eastAsia" w:ascii="Times New Roman" w:hAnsi="Times New Roman" w:eastAsia="宋体" w:cs="Times New Roman"/>
          <w:color w:val="auto"/>
          <w:kern w:val="0"/>
          <w:highlight w:val="none"/>
        </w:rPr>
        <w:t>）中5.6.1条</w:t>
      </w:r>
      <w:r>
        <w:rPr>
          <w:rFonts w:ascii="Times New Roman" w:hAnsi="Times New Roman" w:eastAsia="宋体" w:cs="Times New Roman"/>
          <w:color w:val="auto"/>
          <w:kern w:val="0"/>
          <w:highlight w:val="none"/>
        </w:rPr>
        <w:t>要求，</w:t>
      </w:r>
      <w:r>
        <w:rPr>
          <w:rFonts w:hint="eastAsia" w:ascii="Times New Roman" w:hAnsi="Times New Roman" w:eastAsia="宋体" w:cs="Times New Roman"/>
          <w:color w:val="auto"/>
          <w:kern w:val="0"/>
          <w:highlight w:val="none"/>
        </w:rPr>
        <w:t>排气筒出口处烟气速度Vs不得小于计算出的风速Vc的1.5倍。按</w:t>
      </w:r>
      <w:r>
        <w:rPr>
          <w:rFonts w:ascii="Times New Roman" w:hAnsi="Times New Roman" w:eastAsia="宋体" w:cs="Times New Roman"/>
          <w:color w:val="auto"/>
          <w:kern w:val="0"/>
          <w:highlight w:val="none"/>
        </w:rPr>
        <w:t>GBT</w:t>
      </w:r>
      <w:r>
        <w:rPr>
          <w:rFonts w:hint="eastAsia" w:ascii="Times New Roman" w:hAnsi="Times New Roman" w:eastAsia="宋体" w:cs="Times New Roman"/>
          <w:color w:val="auto"/>
          <w:kern w:val="0"/>
          <w:highlight w:val="none"/>
          <w:lang w:val="en-US" w:eastAsia="zh-CN"/>
        </w:rPr>
        <w:t xml:space="preserve"> </w:t>
      </w:r>
      <w:r>
        <w:rPr>
          <w:rFonts w:ascii="Times New Roman" w:hAnsi="Times New Roman" w:eastAsia="宋体" w:cs="Times New Roman"/>
          <w:color w:val="auto"/>
          <w:kern w:val="0"/>
          <w:highlight w:val="none"/>
        </w:rPr>
        <w:t>13201-91</w:t>
      </w:r>
      <w:r>
        <w:rPr>
          <w:rFonts w:hint="eastAsia" w:ascii="Times New Roman" w:hAnsi="Times New Roman" w:eastAsia="宋体" w:cs="Times New Roman"/>
          <w:color w:val="auto"/>
          <w:kern w:val="0"/>
          <w:highlight w:val="none"/>
        </w:rPr>
        <w:t>所给公式经</w:t>
      </w:r>
      <w:r>
        <w:rPr>
          <w:rFonts w:ascii="Times New Roman" w:hAnsi="Times New Roman" w:eastAsia="宋体" w:cs="Times New Roman"/>
          <w:color w:val="auto"/>
          <w:kern w:val="0"/>
          <w:highlight w:val="none"/>
        </w:rPr>
        <w:t>计算</w:t>
      </w:r>
      <w:r>
        <w:rPr>
          <w:rFonts w:hint="eastAsia" w:ascii="Times New Roman" w:hAnsi="Times New Roman" w:eastAsia="宋体" w:cs="Times New Roman"/>
          <w:color w:val="auto"/>
          <w:kern w:val="0"/>
          <w:highlight w:val="none"/>
        </w:rPr>
        <w:t>，V</w:t>
      </w:r>
      <w:r>
        <w:rPr>
          <w:rFonts w:ascii="Times New Roman" w:hAnsi="Times New Roman" w:eastAsia="宋体" w:cs="Times New Roman"/>
          <w:color w:val="auto"/>
          <w:kern w:val="0"/>
          <w:highlight w:val="none"/>
        </w:rPr>
        <w:t>c</w:t>
      </w:r>
      <w:r>
        <w:rPr>
          <w:rFonts w:hint="eastAsia" w:ascii="Times New Roman" w:hAnsi="Times New Roman" w:eastAsia="宋体" w:cs="Times New Roman"/>
          <w:color w:val="auto"/>
          <w:kern w:val="0"/>
          <w:highlight w:val="none"/>
        </w:rPr>
        <w:t>为3.26</w:t>
      </w:r>
      <w:r>
        <w:rPr>
          <w:rFonts w:ascii="Times New Roman" w:hAnsi="Times New Roman" w:eastAsia="宋体" w:cs="Times New Roman"/>
          <w:color w:val="auto"/>
          <w:kern w:val="0"/>
          <w:highlight w:val="none"/>
        </w:rPr>
        <w:t>m/s</w:t>
      </w:r>
      <w:r>
        <w:rPr>
          <w:rFonts w:hint="eastAsia" w:ascii="Times New Roman" w:hAnsi="Times New Roman" w:eastAsia="宋体" w:cs="Times New Roman"/>
          <w:color w:val="auto"/>
          <w:kern w:val="0"/>
          <w:highlight w:val="none"/>
        </w:rPr>
        <w:t>，Vc的1.5倍风速为4.89m/s，</w:t>
      </w:r>
      <w:r>
        <w:rPr>
          <w:rFonts w:ascii="Times New Roman" w:hAnsi="Times New Roman" w:eastAsia="宋体" w:cs="Times New Roman"/>
          <w:color w:val="auto"/>
          <w:kern w:val="0"/>
          <w:highlight w:val="none"/>
        </w:rPr>
        <w:t>本项目</w:t>
      </w:r>
      <w:r>
        <w:rPr>
          <w:rFonts w:hint="eastAsia" w:ascii="Times New Roman" w:hAnsi="Times New Roman" w:eastAsia="宋体" w:cs="Times New Roman"/>
          <w:color w:val="auto"/>
          <w:kern w:val="0"/>
          <w:highlight w:val="none"/>
        </w:rPr>
        <w:t>各排气筒出口处烟气速度Vs为14.2</w:t>
      </w:r>
      <w:r>
        <w:rPr>
          <w:rFonts w:ascii="Times New Roman" w:hAnsi="Times New Roman" w:eastAsia="宋体" w:cs="Times New Roman"/>
          <w:color w:val="auto"/>
          <w:kern w:val="0"/>
          <w:highlight w:val="none"/>
        </w:rPr>
        <w:t>m/s</w:t>
      </w:r>
      <w:r>
        <w:rPr>
          <w:rFonts w:hint="eastAsia" w:ascii="Times New Roman" w:hAnsi="Times New Roman" w:eastAsia="宋体" w:cs="Times New Roman"/>
          <w:color w:val="auto"/>
          <w:kern w:val="0"/>
          <w:highlight w:val="none"/>
        </w:rPr>
        <w:t>，</w:t>
      </w:r>
      <w:r>
        <w:rPr>
          <w:rFonts w:ascii="Times New Roman" w:hAnsi="Times New Roman" w:eastAsia="宋体" w:cs="Times New Roman"/>
          <w:color w:val="auto"/>
          <w:kern w:val="0"/>
          <w:highlight w:val="none"/>
        </w:rPr>
        <w:t>符合</w:t>
      </w:r>
      <w:r>
        <w:rPr>
          <w:rFonts w:hint="eastAsia" w:ascii="Times New Roman" w:hAnsi="Times New Roman" w:eastAsia="宋体" w:cs="Times New Roman"/>
          <w:color w:val="auto"/>
          <w:kern w:val="0"/>
          <w:highlight w:val="none"/>
        </w:rPr>
        <w:t>设置</w:t>
      </w:r>
      <w:r>
        <w:rPr>
          <w:rFonts w:ascii="Times New Roman" w:hAnsi="Times New Roman" w:eastAsia="宋体" w:cs="Times New Roman"/>
          <w:color w:val="auto"/>
          <w:kern w:val="0"/>
          <w:highlight w:val="none"/>
        </w:rPr>
        <w:t>要求。</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综上，</w:t>
      </w:r>
      <w:r>
        <w:rPr>
          <w:rFonts w:hint="eastAsia" w:ascii="Times New Roman" w:hAnsi="Times New Roman" w:eastAsia="宋体" w:cs="Times New Roman"/>
          <w:color w:val="auto"/>
          <w:highlight w:val="none"/>
        </w:rPr>
        <w:t>项目</w:t>
      </w:r>
      <w:r>
        <w:rPr>
          <w:rFonts w:ascii="Times New Roman" w:hAnsi="Times New Roman" w:eastAsia="宋体" w:cs="Times New Roman"/>
          <w:color w:val="auto"/>
          <w:highlight w:val="none"/>
        </w:rPr>
        <w:t>各排气筒设置合理。</w:t>
      </w:r>
    </w:p>
    <w:p>
      <w:pPr>
        <w:pStyle w:val="6"/>
        <w:rPr>
          <w:rFonts w:ascii="Times New Roman" w:hAnsi="Times New Roman" w:eastAsia="宋体"/>
          <w:color w:val="auto"/>
          <w:highlight w:val="none"/>
        </w:rPr>
      </w:pPr>
      <w:r>
        <w:rPr>
          <w:rFonts w:ascii="Times New Roman" w:hAnsi="Times New Roman" w:eastAsia="宋体"/>
          <w:color w:val="auto"/>
          <w:highlight w:val="none"/>
        </w:rPr>
        <w:t>4.2.1.6 大气污染物排放量核算</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本项目大气环境影响评价等级为一级，根据《环境影响评价技术导则 大气环境》（HJ 2.2-2018），需对项目污染物排放量进行核算。</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1、有组织排放量核算</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根据《排污许可证申请与核发技术规范 总则》（HJ</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942-2018），项目废气排放口均为一般排放口</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项目大气污染物有组织排放量核算结果见下表。</w:t>
      </w:r>
    </w:p>
    <w:p>
      <w:pPr>
        <w:adjustRightInd w:val="0"/>
        <w:snapToGrid w:val="0"/>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表4.2-</w:t>
      </w:r>
      <w:r>
        <w:rPr>
          <w:rFonts w:hint="eastAsia" w:ascii="Times New Roman" w:hAnsi="Times New Roman" w:eastAsia="宋体" w:cs="Times New Roman"/>
          <w:b/>
          <w:bCs/>
          <w:color w:val="auto"/>
          <w:highlight w:val="none"/>
        </w:rPr>
        <w:t>17</w:t>
      </w:r>
      <w:r>
        <w:rPr>
          <w:rFonts w:ascii="Times New Roman" w:hAnsi="Times New Roman" w:eastAsia="宋体" w:cs="Times New Roman"/>
          <w:b/>
          <w:bCs/>
          <w:color w:val="auto"/>
          <w:highlight w:val="none"/>
        </w:rPr>
        <w:t xml:space="preserve"> 项目大气污染物有组织排放量核算表</w:t>
      </w:r>
    </w:p>
    <w:tbl>
      <w:tblPr>
        <w:tblStyle w:val="48"/>
        <w:tblW w:w="9071"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397"/>
        <w:gridCol w:w="2094"/>
        <w:gridCol w:w="1501"/>
        <w:gridCol w:w="1868"/>
        <w:gridCol w:w="1505"/>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6"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序号</w:t>
            </w:r>
          </w:p>
        </w:tc>
        <w:tc>
          <w:tcPr>
            <w:tcW w:w="1397"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排放口编号</w:t>
            </w:r>
          </w:p>
        </w:tc>
        <w:tc>
          <w:tcPr>
            <w:tcW w:w="2094"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污染物</w:t>
            </w:r>
          </w:p>
        </w:tc>
        <w:tc>
          <w:tcPr>
            <w:tcW w:w="1501"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核算排放浓度（mg/m</w:t>
            </w:r>
            <w:r>
              <w:rPr>
                <w:rFonts w:ascii="Times New Roman" w:hAnsi="Times New Roman" w:eastAsia="宋体" w:cs="Times New Roman"/>
                <w:b/>
                <w:bCs/>
                <w:color w:val="auto"/>
                <w:sz w:val="21"/>
                <w:highlight w:val="none"/>
                <w:vertAlign w:val="superscript"/>
              </w:rPr>
              <w:t>3</w:t>
            </w:r>
            <w:r>
              <w:rPr>
                <w:rFonts w:ascii="Times New Roman" w:hAnsi="Times New Roman" w:eastAsia="宋体" w:cs="Times New Roman"/>
                <w:b/>
                <w:bCs/>
                <w:color w:val="auto"/>
                <w:sz w:val="21"/>
                <w:highlight w:val="none"/>
              </w:rPr>
              <w:t>）</w:t>
            </w:r>
          </w:p>
        </w:tc>
        <w:tc>
          <w:tcPr>
            <w:tcW w:w="1868"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核算排放速率（kg/h）</w:t>
            </w:r>
          </w:p>
        </w:tc>
        <w:tc>
          <w:tcPr>
            <w:tcW w:w="1505"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核算年排放量（t/a）</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071" w:type="dxa"/>
            <w:gridSpan w:val="6"/>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一般排放口</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39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209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0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7.03</w:t>
            </w:r>
          </w:p>
        </w:tc>
        <w:tc>
          <w:tcPr>
            <w:tcW w:w="1868"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07</w:t>
            </w:r>
          </w:p>
        </w:tc>
        <w:tc>
          <w:tcPr>
            <w:tcW w:w="150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0.169</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139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209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0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14.06</w:t>
            </w:r>
          </w:p>
        </w:tc>
        <w:tc>
          <w:tcPr>
            <w:tcW w:w="1868"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141</w:t>
            </w:r>
          </w:p>
        </w:tc>
        <w:tc>
          <w:tcPr>
            <w:tcW w:w="150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0.338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139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209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0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28.13</w:t>
            </w:r>
          </w:p>
        </w:tc>
        <w:tc>
          <w:tcPr>
            <w:tcW w:w="1868"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281</w:t>
            </w:r>
          </w:p>
        </w:tc>
        <w:tc>
          <w:tcPr>
            <w:tcW w:w="150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0.675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39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w:t>
            </w:r>
            <w:r>
              <w:rPr>
                <w:rFonts w:ascii="Times New Roman" w:hAnsi="Times New Roman" w:eastAsia="宋体" w:cs="Times New Roman"/>
                <w:color w:val="auto"/>
                <w:sz w:val="21"/>
                <w:highlight w:val="none"/>
              </w:rPr>
              <w:t>#</w:t>
            </w:r>
          </w:p>
        </w:tc>
        <w:tc>
          <w:tcPr>
            <w:tcW w:w="209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01"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7.03</w:t>
            </w:r>
          </w:p>
        </w:tc>
        <w:tc>
          <w:tcPr>
            <w:tcW w:w="1868"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07</w:t>
            </w:r>
          </w:p>
        </w:tc>
        <w:tc>
          <w:tcPr>
            <w:tcW w:w="150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0.169</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p>
        </w:tc>
        <w:tc>
          <w:tcPr>
            <w:tcW w:w="139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r>
              <w:rPr>
                <w:rFonts w:ascii="Times New Roman" w:hAnsi="Times New Roman" w:eastAsia="宋体" w:cs="Times New Roman"/>
                <w:color w:val="auto"/>
                <w:sz w:val="21"/>
                <w:highlight w:val="none"/>
              </w:rPr>
              <w:t>#</w:t>
            </w:r>
          </w:p>
        </w:tc>
        <w:tc>
          <w:tcPr>
            <w:tcW w:w="209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0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14.06</w:t>
            </w:r>
          </w:p>
        </w:tc>
        <w:tc>
          <w:tcPr>
            <w:tcW w:w="1868"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141</w:t>
            </w:r>
          </w:p>
        </w:tc>
        <w:tc>
          <w:tcPr>
            <w:tcW w:w="150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0.338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w:t>
            </w:r>
          </w:p>
        </w:tc>
        <w:tc>
          <w:tcPr>
            <w:tcW w:w="139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w:t>
            </w:r>
            <w:r>
              <w:rPr>
                <w:rFonts w:ascii="Times New Roman" w:hAnsi="Times New Roman" w:eastAsia="宋体" w:cs="Times New Roman"/>
                <w:color w:val="auto"/>
                <w:sz w:val="21"/>
                <w:highlight w:val="none"/>
              </w:rPr>
              <w:t>#</w:t>
            </w:r>
          </w:p>
        </w:tc>
        <w:tc>
          <w:tcPr>
            <w:tcW w:w="209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0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2.81</w:t>
            </w:r>
          </w:p>
        </w:tc>
        <w:tc>
          <w:tcPr>
            <w:tcW w:w="1868"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028</w:t>
            </w:r>
          </w:p>
        </w:tc>
        <w:tc>
          <w:tcPr>
            <w:tcW w:w="150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0.068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w:t>
            </w:r>
          </w:p>
        </w:tc>
        <w:tc>
          <w:tcPr>
            <w:tcW w:w="139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p>
        </w:tc>
        <w:tc>
          <w:tcPr>
            <w:tcW w:w="209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油烟</w:t>
            </w:r>
          </w:p>
        </w:tc>
        <w:tc>
          <w:tcPr>
            <w:tcW w:w="150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1.02</w:t>
            </w:r>
          </w:p>
        </w:tc>
        <w:tc>
          <w:tcPr>
            <w:tcW w:w="186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0.00405</w:t>
            </w:r>
          </w:p>
        </w:tc>
        <w:tc>
          <w:tcPr>
            <w:tcW w:w="1505" w:type="dxa"/>
            <w:noWrap w:val="0"/>
            <w:vAlign w:val="center"/>
          </w:tcPr>
          <w:p>
            <w:pPr>
              <w:widowControl/>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0.00343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03" w:type="dxa"/>
            <w:gridSpan w:val="2"/>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有组织排放合计</w:t>
            </w:r>
          </w:p>
        </w:tc>
        <w:tc>
          <w:tcPr>
            <w:tcW w:w="5463" w:type="dxa"/>
            <w:gridSpan w:val="3"/>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05" w:type="dxa"/>
            <w:noWrap w:val="0"/>
            <w:vAlign w:val="center"/>
          </w:tcPr>
          <w:p>
            <w:pPr>
              <w:widowControl/>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1.757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03" w:type="dxa"/>
            <w:gridSpan w:val="2"/>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5463" w:type="dxa"/>
            <w:gridSpan w:val="3"/>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油烟</w:t>
            </w:r>
          </w:p>
        </w:tc>
        <w:tc>
          <w:tcPr>
            <w:tcW w:w="1505" w:type="dxa"/>
            <w:noWrap w:val="0"/>
            <w:vAlign w:val="center"/>
          </w:tcPr>
          <w:p>
            <w:pPr>
              <w:widowControl/>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w:t>
            </w:r>
            <w:r>
              <w:rPr>
                <w:rFonts w:hint="eastAsia" w:ascii="Times New Roman" w:hAnsi="Times New Roman" w:eastAsia="宋体" w:cs="Times New Roman"/>
                <w:color w:val="auto"/>
                <w:sz w:val="21"/>
                <w:highlight w:val="none"/>
              </w:rPr>
              <w:t>243</w:t>
            </w:r>
          </w:p>
        </w:tc>
      </w:tr>
    </w:tbl>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2、无组织排放量核算</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w:t>
      </w:r>
      <w:r>
        <w:rPr>
          <w:rFonts w:hint="eastAsia" w:ascii="Times New Roman" w:hAnsi="Times New Roman" w:eastAsia="宋体" w:cs="Times New Roman"/>
          <w:color w:val="auto"/>
          <w:highlight w:val="none"/>
        </w:rPr>
        <w:t>大气</w:t>
      </w:r>
      <w:r>
        <w:rPr>
          <w:rFonts w:ascii="Times New Roman" w:hAnsi="Times New Roman" w:eastAsia="宋体" w:cs="Times New Roman"/>
          <w:color w:val="auto"/>
          <w:highlight w:val="none"/>
        </w:rPr>
        <w:t>污染物无组织排放量核算结果见下表。</w:t>
      </w:r>
    </w:p>
    <w:p>
      <w:pPr>
        <w:adjustRightInd w:val="0"/>
        <w:snapToGrid w:val="0"/>
        <w:spacing w:line="240" w:lineRule="auto"/>
        <w:ind w:firstLine="0" w:firstLineChars="0"/>
        <w:jc w:val="center"/>
        <w:rPr>
          <w:rFonts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表</w:t>
      </w:r>
      <w:r>
        <w:rPr>
          <w:rFonts w:ascii="Times New Roman" w:hAnsi="Times New Roman" w:eastAsia="宋体" w:cs="Times New Roman"/>
          <w:b/>
          <w:bCs/>
          <w:color w:val="auto"/>
          <w:highlight w:val="none"/>
        </w:rPr>
        <w:t>4.2-</w:t>
      </w:r>
      <w:r>
        <w:rPr>
          <w:rFonts w:hint="eastAsia" w:ascii="Times New Roman" w:hAnsi="Times New Roman" w:eastAsia="宋体" w:cs="Times New Roman"/>
          <w:b/>
          <w:bCs/>
          <w:color w:val="auto"/>
          <w:highlight w:val="none"/>
        </w:rPr>
        <w:t>18</w:t>
      </w:r>
      <w:r>
        <w:rPr>
          <w:rFonts w:ascii="Times New Roman" w:hAnsi="Times New Roman" w:eastAsia="宋体" w:cs="Times New Roman"/>
          <w:b/>
          <w:bCs/>
          <w:color w:val="auto"/>
          <w:highlight w:val="none"/>
        </w:rPr>
        <w:t xml:space="preserve">  大气污染物无组织排放量核算表</w:t>
      </w:r>
    </w:p>
    <w:tbl>
      <w:tblPr>
        <w:tblStyle w:val="48"/>
        <w:tblW w:w="9251"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515"/>
        <w:gridCol w:w="885"/>
        <w:gridCol w:w="1110"/>
        <w:gridCol w:w="1080"/>
        <w:gridCol w:w="1599"/>
        <w:gridCol w:w="1395"/>
        <w:gridCol w:w="1470"/>
        <w:gridCol w:w="119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PrEx>
        <w:trPr>
          <w:trHeight w:val="283" w:hRule="atLeast"/>
          <w:jc w:val="center"/>
        </w:trPr>
        <w:tc>
          <w:tcPr>
            <w:tcW w:w="515"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序号</w:t>
            </w:r>
          </w:p>
        </w:tc>
        <w:tc>
          <w:tcPr>
            <w:tcW w:w="885"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排放口编号</w:t>
            </w:r>
          </w:p>
        </w:tc>
        <w:tc>
          <w:tcPr>
            <w:tcW w:w="1110"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产污环节</w:t>
            </w:r>
          </w:p>
        </w:tc>
        <w:tc>
          <w:tcPr>
            <w:tcW w:w="1080"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污染物</w:t>
            </w:r>
          </w:p>
        </w:tc>
        <w:tc>
          <w:tcPr>
            <w:tcW w:w="1599"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主要污染</w:t>
            </w:r>
          </w:p>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防治措施</w:t>
            </w:r>
          </w:p>
        </w:tc>
        <w:tc>
          <w:tcPr>
            <w:tcW w:w="2865" w:type="dxa"/>
            <w:gridSpan w:val="2"/>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国家或地方污染物排放标准</w:t>
            </w:r>
          </w:p>
        </w:tc>
        <w:tc>
          <w:tcPr>
            <w:tcW w:w="1197"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年排放量（t/a）</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88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1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08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59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395"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标准名称</w:t>
            </w:r>
          </w:p>
        </w:tc>
        <w:tc>
          <w:tcPr>
            <w:tcW w:w="1470"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浓度限值（mg/m</w:t>
            </w:r>
            <w:r>
              <w:rPr>
                <w:rFonts w:ascii="Times New Roman" w:hAnsi="Times New Roman" w:eastAsia="宋体" w:cs="Times New Roman"/>
                <w:b/>
                <w:bCs/>
                <w:color w:val="auto"/>
                <w:sz w:val="21"/>
                <w:highlight w:val="none"/>
                <w:vertAlign w:val="superscript"/>
              </w:rPr>
              <w:t>3</w:t>
            </w:r>
            <w:r>
              <w:rPr>
                <w:rFonts w:ascii="Times New Roman" w:hAnsi="Times New Roman" w:eastAsia="宋体" w:cs="Times New Roman"/>
                <w:b/>
                <w:bCs/>
                <w:color w:val="auto"/>
                <w:sz w:val="21"/>
                <w:highlight w:val="none"/>
              </w:rPr>
              <w:t>）</w:t>
            </w:r>
          </w:p>
        </w:tc>
        <w:tc>
          <w:tcPr>
            <w:tcW w:w="1197"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88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11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凿岩钻孔</w:t>
            </w: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9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湿式作业</w:t>
            </w:r>
          </w:p>
        </w:tc>
        <w:tc>
          <w:tcPr>
            <w:tcW w:w="1395" w:type="dxa"/>
            <w:vMerge w:val="restart"/>
            <w:noWrap w:val="0"/>
            <w:vAlign w:val="center"/>
          </w:tcPr>
          <w:p>
            <w:pPr>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颗粒物执行《大气污染物综合排放标准》（GB</w:t>
            </w:r>
            <w:r>
              <w:rPr>
                <w:rFonts w:hint="eastAsia" w:ascii="Times New Roman" w:hAnsi="Times New Roman" w:eastAsia="宋体" w:cs="Times New Roman"/>
                <w:color w:val="auto"/>
                <w:sz w:val="21"/>
                <w:highlight w:val="none"/>
                <w:lang w:val="en-US" w:eastAsia="zh-CN"/>
              </w:rPr>
              <w:t xml:space="preserve"> </w:t>
            </w:r>
            <w:r>
              <w:rPr>
                <w:rFonts w:ascii="Times New Roman" w:hAnsi="Times New Roman" w:eastAsia="宋体" w:cs="Times New Roman"/>
                <w:color w:val="auto"/>
                <w:sz w:val="21"/>
                <w:highlight w:val="none"/>
              </w:rPr>
              <w:t>16297-1996）无组织排放监控浓度限值</w:t>
            </w:r>
          </w:p>
        </w:tc>
        <w:tc>
          <w:tcPr>
            <w:tcW w:w="147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c>
          <w:tcPr>
            <w:tcW w:w="119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885"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11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爆破</w:t>
            </w: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w:t>
            </w:r>
          </w:p>
        </w:tc>
        <w:tc>
          <w:tcPr>
            <w:tcW w:w="1599"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洒水降尘</w:t>
            </w: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5.117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88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1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59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bCs/>
                <w:color w:val="auto"/>
                <w:sz w:val="21"/>
                <w:highlight w:val="none"/>
              </w:rPr>
              <w:t>1.325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88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1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9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12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88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11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采装</w:t>
            </w: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9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洒水降尘</w:t>
            </w: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1.5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88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11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①</w:t>
            </w: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99" w:type="dxa"/>
            <w:vMerge w:val="restart"/>
            <w:noWrap w:val="0"/>
            <w:vAlign w:val="center"/>
          </w:tcPr>
          <w:p>
            <w:pPr>
              <w:spacing w:line="240" w:lineRule="auto"/>
              <w:ind w:firstLine="0" w:firstLineChars="0"/>
              <w:jc w:val="left"/>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分别设置封闭厂房+喷淋，输送过程密闭，输送带两端加帘布和喷淋</w:t>
            </w: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0.188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w:t>
            </w:r>
          </w:p>
        </w:tc>
        <w:tc>
          <w:tcPr>
            <w:tcW w:w="88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11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二级破碎①</w:t>
            </w: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9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0.375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w:t>
            </w:r>
          </w:p>
        </w:tc>
        <w:tc>
          <w:tcPr>
            <w:tcW w:w="88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11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①</w:t>
            </w: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9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0.75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w:t>
            </w:r>
          </w:p>
        </w:tc>
        <w:tc>
          <w:tcPr>
            <w:tcW w:w="88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11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②</w:t>
            </w: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99" w:type="dxa"/>
            <w:vMerge w:val="continue"/>
            <w:noWrap w:val="0"/>
            <w:vAlign w:val="center"/>
          </w:tcPr>
          <w:p>
            <w:pPr>
              <w:spacing w:line="240" w:lineRule="auto"/>
              <w:ind w:firstLine="0" w:firstLineChars="0"/>
              <w:jc w:val="left"/>
              <w:rPr>
                <w:rFonts w:ascii="Times New Roman" w:hAnsi="Times New Roman" w:eastAsia="宋体" w:cs="Times New Roman"/>
                <w:color w:val="auto"/>
                <w:sz w:val="21"/>
                <w:highlight w:val="none"/>
              </w:rPr>
            </w:pP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0.188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w:t>
            </w:r>
          </w:p>
        </w:tc>
        <w:tc>
          <w:tcPr>
            <w:tcW w:w="88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11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二级破碎筛分</w:t>
            </w:r>
            <w:r>
              <w:rPr>
                <w:rFonts w:hint="eastAsia" w:ascii="Times New Roman" w:hAnsi="Times New Roman" w:eastAsia="宋体"/>
                <w:color w:val="auto"/>
                <w:sz w:val="21"/>
                <w:highlight w:val="none"/>
              </w:rPr>
              <w:t>②</w:t>
            </w: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9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0.375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9</w:t>
            </w:r>
          </w:p>
        </w:tc>
        <w:tc>
          <w:tcPr>
            <w:tcW w:w="88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11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②</w:t>
            </w: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9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0.075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c>
          <w:tcPr>
            <w:tcW w:w="88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p>
        </w:tc>
        <w:tc>
          <w:tcPr>
            <w:tcW w:w="111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落料</w:t>
            </w: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9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可伸缩斜槽</w:t>
            </w: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088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5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11</w:t>
            </w:r>
          </w:p>
        </w:tc>
        <w:tc>
          <w:tcPr>
            <w:tcW w:w="885"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p>
        </w:tc>
        <w:tc>
          <w:tcPr>
            <w:tcW w:w="111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装卸</w:t>
            </w: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9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084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12</w:t>
            </w:r>
          </w:p>
        </w:tc>
        <w:tc>
          <w:tcPr>
            <w:tcW w:w="88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堆料场①</w:t>
            </w: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99" w:type="dxa"/>
            <w:vMerge w:val="restart"/>
            <w:noWrap w:val="0"/>
            <w:vAlign w:val="center"/>
          </w:tcPr>
          <w:p>
            <w:pPr>
              <w:spacing w:line="240" w:lineRule="auto"/>
              <w:ind w:firstLine="0" w:firstLineChars="0"/>
              <w:jc w:val="left"/>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覆盖</w:t>
            </w:r>
            <w:r>
              <w:rPr>
                <w:rFonts w:ascii="Times New Roman" w:hAnsi="Times New Roman" w:eastAsia="宋体" w:cs="Times New Roman"/>
                <w:color w:val="auto"/>
                <w:sz w:val="21"/>
                <w:highlight w:val="none"/>
              </w:rPr>
              <w:t>防尘网，洒水降尘</w:t>
            </w: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13</w:t>
            </w:r>
          </w:p>
        </w:tc>
        <w:tc>
          <w:tcPr>
            <w:tcW w:w="88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堆料场②</w:t>
            </w: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9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0.075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14</w:t>
            </w:r>
          </w:p>
        </w:tc>
        <w:tc>
          <w:tcPr>
            <w:tcW w:w="88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s="Times New Roman"/>
                <w:color w:val="auto"/>
                <w:sz w:val="21"/>
                <w:highlight w:val="none"/>
              </w:rPr>
              <w:t>③</w:t>
            </w: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9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0.075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15</w:t>
            </w:r>
          </w:p>
        </w:tc>
        <w:tc>
          <w:tcPr>
            <w:tcW w:w="88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④</w:t>
            </w: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9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16</w:t>
            </w:r>
          </w:p>
        </w:tc>
        <w:tc>
          <w:tcPr>
            <w:tcW w:w="88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⑤</w:t>
            </w: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9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w:t>
            </w:r>
          </w:p>
        </w:tc>
        <w:tc>
          <w:tcPr>
            <w:tcW w:w="88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⑥</w:t>
            </w: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9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0.075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w:t>
            </w:r>
          </w:p>
        </w:tc>
        <w:tc>
          <w:tcPr>
            <w:tcW w:w="88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⑦</w:t>
            </w: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9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0.075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19</w:t>
            </w:r>
          </w:p>
        </w:tc>
        <w:tc>
          <w:tcPr>
            <w:tcW w:w="88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⑧</w:t>
            </w: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9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20</w:t>
            </w:r>
          </w:p>
        </w:tc>
        <w:tc>
          <w:tcPr>
            <w:tcW w:w="88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临时排土场</w:t>
            </w:r>
            <w:r>
              <w:rPr>
                <w:rFonts w:hint="eastAsia" w:ascii="Times New Roman" w:hAnsi="Times New Roman" w:eastAsia="宋体"/>
                <w:color w:val="auto"/>
                <w:sz w:val="21"/>
                <w:highlight w:val="none"/>
              </w:rPr>
              <w:t>①</w:t>
            </w: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9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w:t>
            </w:r>
          </w:p>
        </w:tc>
        <w:tc>
          <w:tcPr>
            <w:tcW w:w="88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1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临时排土场</w:t>
            </w:r>
            <w:r>
              <w:rPr>
                <w:rFonts w:hint="eastAsia" w:ascii="Times New Roman" w:hAnsi="Times New Roman" w:eastAsia="宋体"/>
                <w:color w:val="auto"/>
                <w:sz w:val="21"/>
                <w:highlight w:val="none"/>
              </w:rPr>
              <w:t>②</w:t>
            </w: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9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22</w:t>
            </w:r>
          </w:p>
        </w:tc>
        <w:tc>
          <w:tcPr>
            <w:tcW w:w="88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11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道路扬尘</w:t>
            </w: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9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洒水降尘</w:t>
            </w: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0.587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w:t>
            </w:r>
          </w:p>
        </w:tc>
        <w:tc>
          <w:tcPr>
            <w:tcW w:w="885" w:type="dxa"/>
            <w:vMerge w:val="restart"/>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p>
        </w:tc>
        <w:tc>
          <w:tcPr>
            <w:tcW w:w="111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汽车尾气</w:t>
            </w: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pacing w:val="2"/>
                <w:sz w:val="21"/>
                <w:highlight w:val="none"/>
              </w:rPr>
              <w:t>CO</w:t>
            </w:r>
          </w:p>
        </w:tc>
        <w:tc>
          <w:tcPr>
            <w:tcW w:w="1599"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643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88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1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pacing w:val="2"/>
                <w:sz w:val="21"/>
                <w:highlight w:val="none"/>
              </w:rPr>
              <w:t>HC</w:t>
            </w:r>
          </w:p>
        </w:tc>
        <w:tc>
          <w:tcPr>
            <w:tcW w:w="159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203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88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1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08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59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967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w:t>
            </w:r>
          </w:p>
        </w:tc>
        <w:tc>
          <w:tcPr>
            <w:tcW w:w="885"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110"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厨房</w:t>
            </w:r>
          </w:p>
        </w:tc>
        <w:tc>
          <w:tcPr>
            <w:tcW w:w="1080" w:type="dxa"/>
            <w:noWrap w:val="0"/>
            <w:vAlign w:val="center"/>
          </w:tcPr>
          <w:p>
            <w:pPr>
              <w:tabs>
                <w:tab w:val="left" w:pos="624"/>
              </w:tabs>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599"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0.00</w:t>
            </w:r>
            <w:r>
              <w:rPr>
                <w:rFonts w:hint="eastAsia" w:ascii="Times New Roman" w:hAnsi="Times New Roman" w:eastAsia="宋体" w:cs="Times New Roman"/>
                <w:bCs/>
                <w:color w:val="auto"/>
                <w:sz w:val="21"/>
                <w:highlight w:val="none"/>
              </w:rPr>
              <w:t>0378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88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1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080" w:type="dxa"/>
            <w:noWrap w:val="0"/>
            <w:vAlign w:val="center"/>
          </w:tcPr>
          <w:p>
            <w:pPr>
              <w:tabs>
                <w:tab w:val="left" w:pos="624"/>
              </w:tabs>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SO</w:t>
            </w:r>
            <w:r>
              <w:rPr>
                <w:rFonts w:ascii="Times New Roman" w:hAnsi="Times New Roman" w:eastAsia="宋体" w:cs="Times New Roman"/>
                <w:color w:val="auto"/>
                <w:sz w:val="21"/>
                <w:highlight w:val="none"/>
                <w:vertAlign w:val="subscript"/>
              </w:rPr>
              <w:t>2</w:t>
            </w:r>
          </w:p>
        </w:tc>
        <w:tc>
          <w:tcPr>
            <w:tcW w:w="159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0.000</w:t>
            </w:r>
            <w:r>
              <w:rPr>
                <w:rFonts w:hint="eastAsia" w:ascii="Times New Roman" w:hAnsi="Times New Roman" w:eastAsia="宋体" w:cs="Times New Roman"/>
                <w:color w:val="auto"/>
                <w:sz w:val="21"/>
                <w:highlight w:val="none"/>
              </w:rPr>
              <w:t>486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1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88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1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080" w:type="dxa"/>
            <w:noWrap w:val="0"/>
            <w:vAlign w:val="center"/>
          </w:tcPr>
          <w:p>
            <w:pPr>
              <w:tabs>
                <w:tab w:val="left" w:pos="624"/>
              </w:tabs>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599"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395"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470" w:type="dxa"/>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19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w:t>
            </w:r>
            <w:r>
              <w:rPr>
                <w:rFonts w:hint="eastAsia" w:ascii="Times New Roman" w:hAnsi="Times New Roman" w:eastAsia="宋体" w:cs="Times New Roman"/>
                <w:color w:val="auto"/>
                <w:sz w:val="21"/>
                <w:highlight w:val="none"/>
              </w:rPr>
              <w:t>4752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510" w:type="dxa"/>
            <w:gridSpan w:val="3"/>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无组织排放合计</w:t>
            </w:r>
          </w:p>
        </w:tc>
        <w:tc>
          <w:tcPr>
            <w:tcW w:w="5544" w:type="dxa"/>
            <w:gridSpan w:val="4"/>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w:t>
            </w:r>
          </w:p>
        </w:tc>
        <w:tc>
          <w:tcPr>
            <w:tcW w:w="119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5.76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510" w:type="dxa"/>
            <w:gridSpan w:val="3"/>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5544" w:type="dxa"/>
            <w:gridSpan w:val="4"/>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19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3.296752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510" w:type="dxa"/>
            <w:gridSpan w:val="3"/>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5544" w:type="dxa"/>
            <w:gridSpan w:val="4"/>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HC</w:t>
            </w:r>
          </w:p>
        </w:tc>
        <w:tc>
          <w:tcPr>
            <w:tcW w:w="119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0.203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510" w:type="dxa"/>
            <w:gridSpan w:val="3"/>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5544" w:type="dxa"/>
            <w:gridSpan w:val="4"/>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SO</w:t>
            </w:r>
            <w:r>
              <w:rPr>
                <w:rFonts w:ascii="Times New Roman" w:hAnsi="Times New Roman" w:eastAsia="宋体" w:cs="Times New Roman"/>
                <w:color w:val="auto"/>
                <w:sz w:val="21"/>
                <w:highlight w:val="none"/>
                <w:vertAlign w:val="subscript"/>
              </w:rPr>
              <w:t>2</w:t>
            </w:r>
          </w:p>
        </w:tc>
        <w:tc>
          <w:tcPr>
            <w:tcW w:w="119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0.000486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510" w:type="dxa"/>
            <w:gridSpan w:val="3"/>
            <w:vMerge w:val="continue"/>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5544" w:type="dxa"/>
            <w:gridSpan w:val="4"/>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19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17.210378</w:t>
            </w:r>
          </w:p>
        </w:tc>
      </w:tr>
    </w:tbl>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3、项目大气污染源年排放量核算</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项目</w:t>
      </w:r>
      <w:r>
        <w:rPr>
          <w:rFonts w:ascii="Times New Roman" w:hAnsi="Times New Roman" w:eastAsia="宋体" w:cs="Times New Roman"/>
          <w:color w:val="auto"/>
          <w:highlight w:val="none"/>
        </w:rPr>
        <w:t>大气污染物年排放量核算结果见下表。</w:t>
      </w:r>
    </w:p>
    <w:p>
      <w:pPr>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表4.2-</w:t>
      </w:r>
      <w:r>
        <w:rPr>
          <w:rFonts w:hint="eastAsia" w:ascii="Times New Roman" w:hAnsi="Times New Roman" w:eastAsia="宋体" w:cs="Times New Roman"/>
          <w:b/>
          <w:bCs/>
          <w:color w:val="auto"/>
          <w:highlight w:val="none"/>
        </w:rPr>
        <w:t>19</w:t>
      </w:r>
      <w:r>
        <w:rPr>
          <w:rFonts w:ascii="Times New Roman" w:hAnsi="Times New Roman" w:eastAsia="宋体" w:cs="Times New Roman"/>
          <w:b/>
          <w:bCs/>
          <w:color w:val="auto"/>
          <w:highlight w:val="none"/>
        </w:rPr>
        <w:t xml:space="preserve"> 项目大气污染物年排放量核算表</w:t>
      </w:r>
    </w:p>
    <w:tbl>
      <w:tblPr>
        <w:tblStyle w:val="48"/>
        <w:tblW w:w="9071"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3024"/>
        <w:gridCol w:w="3023"/>
        <w:gridCol w:w="3024"/>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024" w:type="dxa"/>
            <w:noWrap w:val="0"/>
            <w:vAlign w:val="center"/>
          </w:tcPr>
          <w:p>
            <w:pPr>
              <w:pStyle w:val="29"/>
              <w:pBdr>
                <w:bottom w:val="none" w:color="auto" w:sz="0" w:space="0"/>
              </w:pBdr>
              <w:snapToGrid/>
              <w:spacing w:line="240" w:lineRule="auto"/>
              <w:ind w:firstLine="0" w:firstLineChars="0"/>
              <w:rPr>
                <w:rFonts w:ascii="Times New Roman" w:hAnsi="Times New Roman" w:eastAsia="宋体"/>
                <w:b/>
                <w:bCs/>
                <w:color w:val="auto"/>
                <w:sz w:val="21"/>
                <w:szCs w:val="21"/>
                <w:highlight w:val="none"/>
                <w:lang w:val="en-US" w:eastAsia="zh-CN"/>
              </w:rPr>
            </w:pPr>
            <w:r>
              <w:rPr>
                <w:rFonts w:ascii="Times New Roman" w:hAnsi="Times New Roman" w:eastAsia="宋体"/>
                <w:b/>
                <w:bCs/>
                <w:color w:val="auto"/>
                <w:sz w:val="21"/>
                <w:szCs w:val="21"/>
                <w:highlight w:val="none"/>
                <w:lang w:val="en-US" w:eastAsia="zh-CN"/>
              </w:rPr>
              <w:t>序号</w:t>
            </w:r>
          </w:p>
        </w:tc>
        <w:tc>
          <w:tcPr>
            <w:tcW w:w="3023" w:type="dxa"/>
            <w:noWrap w:val="0"/>
            <w:vAlign w:val="center"/>
          </w:tcPr>
          <w:p>
            <w:pPr>
              <w:pStyle w:val="29"/>
              <w:pBdr>
                <w:bottom w:val="none" w:color="auto" w:sz="0" w:space="0"/>
              </w:pBdr>
              <w:snapToGrid/>
              <w:spacing w:line="240" w:lineRule="auto"/>
              <w:ind w:firstLine="0" w:firstLineChars="0"/>
              <w:rPr>
                <w:rFonts w:ascii="Times New Roman" w:hAnsi="Times New Roman" w:eastAsia="宋体"/>
                <w:b/>
                <w:bCs/>
                <w:color w:val="auto"/>
                <w:sz w:val="21"/>
                <w:szCs w:val="21"/>
                <w:highlight w:val="none"/>
                <w:lang w:val="en-US" w:eastAsia="zh-CN"/>
              </w:rPr>
            </w:pPr>
            <w:r>
              <w:rPr>
                <w:rFonts w:ascii="Times New Roman" w:hAnsi="Times New Roman" w:eastAsia="宋体"/>
                <w:b/>
                <w:bCs/>
                <w:color w:val="auto"/>
                <w:sz w:val="21"/>
                <w:szCs w:val="21"/>
                <w:highlight w:val="none"/>
                <w:lang w:val="en-US" w:eastAsia="zh-CN"/>
              </w:rPr>
              <w:t>污染物</w:t>
            </w:r>
          </w:p>
        </w:tc>
        <w:tc>
          <w:tcPr>
            <w:tcW w:w="3024" w:type="dxa"/>
            <w:noWrap w:val="0"/>
            <w:vAlign w:val="center"/>
          </w:tcPr>
          <w:p>
            <w:pPr>
              <w:pStyle w:val="29"/>
              <w:pBdr>
                <w:bottom w:val="none" w:color="auto" w:sz="0" w:space="0"/>
              </w:pBdr>
              <w:snapToGrid/>
              <w:spacing w:line="240" w:lineRule="auto"/>
              <w:ind w:firstLine="0" w:firstLineChars="0"/>
              <w:rPr>
                <w:rFonts w:ascii="Times New Roman" w:hAnsi="Times New Roman" w:eastAsia="宋体"/>
                <w:b/>
                <w:bCs/>
                <w:color w:val="auto"/>
                <w:sz w:val="21"/>
                <w:szCs w:val="21"/>
                <w:highlight w:val="none"/>
                <w:lang w:val="en-US" w:eastAsia="zh-CN"/>
              </w:rPr>
            </w:pPr>
            <w:r>
              <w:rPr>
                <w:rFonts w:ascii="Times New Roman" w:hAnsi="Times New Roman" w:eastAsia="宋体"/>
                <w:b/>
                <w:bCs/>
                <w:color w:val="auto"/>
                <w:sz w:val="21"/>
                <w:szCs w:val="21"/>
                <w:highlight w:val="none"/>
                <w:lang w:val="en-US" w:eastAsia="zh-CN"/>
              </w:rPr>
              <w:t>年排放量（t/a）</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024" w:type="dxa"/>
            <w:noWrap w:val="0"/>
            <w:vAlign w:val="center"/>
          </w:tcPr>
          <w:p>
            <w:pPr>
              <w:pStyle w:val="29"/>
              <w:pBdr>
                <w:bottom w:val="none" w:color="auto" w:sz="0" w:space="0"/>
              </w:pBdr>
              <w:snapToGrid/>
              <w:spacing w:line="240" w:lineRule="auto"/>
              <w:ind w:firstLine="0" w:firstLineChars="0"/>
              <w:rPr>
                <w:rFonts w:ascii="Times New Roman" w:hAnsi="Times New Roman" w:eastAsia="宋体"/>
                <w:color w:val="auto"/>
                <w:sz w:val="21"/>
                <w:szCs w:val="21"/>
                <w:highlight w:val="none"/>
                <w:lang w:val="en-US" w:eastAsia="zh-CN"/>
              </w:rPr>
            </w:pPr>
            <w:r>
              <w:rPr>
                <w:rFonts w:ascii="Times New Roman" w:hAnsi="Times New Roman" w:eastAsia="宋体"/>
                <w:color w:val="auto"/>
                <w:sz w:val="21"/>
                <w:szCs w:val="21"/>
                <w:highlight w:val="none"/>
                <w:lang w:val="en-US" w:eastAsia="zh-CN"/>
              </w:rPr>
              <w:t>1</w:t>
            </w:r>
          </w:p>
        </w:tc>
        <w:tc>
          <w:tcPr>
            <w:tcW w:w="302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w:t>
            </w:r>
          </w:p>
        </w:tc>
        <w:tc>
          <w:tcPr>
            <w:tcW w:w="3024"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5.76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024" w:type="dxa"/>
            <w:noWrap w:val="0"/>
            <w:vAlign w:val="center"/>
          </w:tcPr>
          <w:p>
            <w:pPr>
              <w:pStyle w:val="29"/>
              <w:pBdr>
                <w:bottom w:val="none" w:color="auto" w:sz="0" w:space="0"/>
              </w:pBdr>
              <w:snapToGrid/>
              <w:spacing w:line="240" w:lineRule="auto"/>
              <w:ind w:firstLine="0" w:firstLineChars="0"/>
              <w:rPr>
                <w:rFonts w:ascii="Times New Roman" w:hAnsi="Times New Roman" w:eastAsia="宋体"/>
                <w:color w:val="auto"/>
                <w:sz w:val="21"/>
                <w:szCs w:val="21"/>
                <w:highlight w:val="none"/>
                <w:lang w:val="en-US" w:eastAsia="zh-CN"/>
              </w:rPr>
            </w:pPr>
            <w:r>
              <w:rPr>
                <w:rFonts w:ascii="Times New Roman" w:hAnsi="Times New Roman" w:eastAsia="宋体"/>
                <w:color w:val="auto"/>
                <w:sz w:val="21"/>
                <w:szCs w:val="21"/>
                <w:highlight w:val="none"/>
                <w:lang w:val="en-US" w:eastAsia="zh-CN"/>
              </w:rPr>
              <w:t>2</w:t>
            </w:r>
          </w:p>
        </w:tc>
        <w:tc>
          <w:tcPr>
            <w:tcW w:w="302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3024"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3.296</w:t>
            </w:r>
            <w:r>
              <w:rPr>
                <w:rFonts w:ascii="Times New Roman" w:hAnsi="Times New Roman" w:eastAsia="宋体" w:cs="Times New Roman"/>
                <w:color w:val="auto"/>
                <w:sz w:val="21"/>
                <w:highlight w:val="none"/>
              </w:rPr>
              <w:t>752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024" w:type="dxa"/>
            <w:noWrap w:val="0"/>
            <w:vAlign w:val="center"/>
          </w:tcPr>
          <w:p>
            <w:pPr>
              <w:pStyle w:val="29"/>
              <w:pBdr>
                <w:bottom w:val="none" w:color="auto" w:sz="0" w:space="0"/>
              </w:pBdr>
              <w:snapToGrid/>
              <w:spacing w:line="240" w:lineRule="auto"/>
              <w:ind w:firstLine="0" w:firstLineChars="0"/>
              <w:rPr>
                <w:rFonts w:ascii="Times New Roman" w:hAnsi="Times New Roman" w:eastAsia="宋体"/>
                <w:color w:val="auto"/>
                <w:sz w:val="21"/>
                <w:szCs w:val="21"/>
                <w:highlight w:val="none"/>
                <w:lang w:val="en-US" w:eastAsia="zh-CN"/>
              </w:rPr>
            </w:pPr>
            <w:r>
              <w:rPr>
                <w:rFonts w:ascii="Times New Roman" w:hAnsi="Times New Roman" w:eastAsia="宋体"/>
                <w:color w:val="auto"/>
                <w:sz w:val="21"/>
                <w:szCs w:val="21"/>
                <w:highlight w:val="none"/>
                <w:lang w:val="en-US" w:eastAsia="zh-CN"/>
              </w:rPr>
              <w:t>3</w:t>
            </w:r>
          </w:p>
        </w:tc>
        <w:tc>
          <w:tcPr>
            <w:tcW w:w="302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HC</w:t>
            </w:r>
          </w:p>
        </w:tc>
        <w:tc>
          <w:tcPr>
            <w:tcW w:w="3024"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203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024" w:type="dxa"/>
            <w:noWrap w:val="0"/>
            <w:vAlign w:val="center"/>
          </w:tcPr>
          <w:p>
            <w:pPr>
              <w:pStyle w:val="29"/>
              <w:pBdr>
                <w:bottom w:val="none" w:color="auto" w:sz="0" w:space="0"/>
              </w:pBdr>
              <w:snapToGrid/>
              <w:spacing w:line="240" w:lineRule="auto"/>
              <w:ind w:firstLine="0" w:firstLineChars="0"/>
              <w:rPr>
                <w:rFonts w:ascii="Times New Roman" w:hAnsi="Times New Roman" w:eastAsia="宋体"/>
                <w:color w:val="auto"/>
                <w:sz w:val="21"/>
                <w:szCs w:val="21"/>
                <w:highlight w:val="none"/>
                <w:lang w:val="en-US" w:eastAsia="zh-CN"/>
              </w:rPr>
            </w:pPr>
            <w:r>
              <w:rPr>
                <w:rFonts w:ascii="Times New Roman" w:hAnsi="Times New Roman" w:eastAsia="宋体"/>
                <w:color w:val="auto"/>
                <w:sz w:val="21"/>
                <w:szCs w:val="21"/>
                <w:highlight w:val="none"/>
                <w:lang w:val="en-US" w:eastAsia="zh-CN"/>
              </w:rPr>
              <w:t>4</w:t>
            </w:r>
          </w:p>
        </w:tc>
        <w:tc>
          <w:tcPr>
            <w:tcW w:w="302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SO</w:t>
            </w:r>
            <w:r>
              <w:rPr>
                <w:rFonts w:ascii="Times New Roman" w:hAnsi="Times New Roman" w:eastAsia="宋体" w:cs="Times New Roman"/>
                <w:color w:val="auto"/>
                <w:sz w:val="21"/>
                <w:highlight w:val="none"/>
                <w:vertAlign w:val="subscript"/>
              </w:rPr>
              <w:t>2</w:t>
            </w:r>
          </w:p>
        </w:tc>
        <w:tc>
          <w:tcPr>
            <w:tcW w:w="3024"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0.000486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024" w:type="dxa"/>
            <w:noWrap w:val="0"/>
            <w:vAlign w:val="center"/>
          </w:tcPr>
          <w:p>
            <w:pPr>
              <w:pStyle w:val="29"/>
              <w:pBdr>
                <w:bottom w:val="none" w:color="auto" w:sz="0" w:space="0"/>
              </w:pBdr>
              <w:snapToGrid/>
              <w:spacing w:line="240" w:lineRule="auto"/>
              <w:ind w:firstLine="0" w:firstLineChars="0"/>
              <w:rPr>
                <w:rFonts w:ascii="Times New Roman" w:hAnsi="Times New Roman" w:eastAsia="宋体"/>
                <w:color w:val="auto"/>
                <w:sz w:val="21"/>
                <w:szCs w:val="21"/>
                <w:highlight w:val="none"/>
                <w:lang w:val="en-US" w:eastAsia="zh-CN"/>
              </w:rPr>
            </w:pPr>
            <w:r>
              <w:rPr>
                <w:rFonts w:ascii="Times New Roman" w:hAnsi="Times New Roman" w:eastAsia="宋体"/>
                <w:color w:val="auto"/>
                <w:sz w:val="21"/>
                <w:szCs w:val="21"/>
                <w:highlight w:val="none"/>
                <w:lang w:val="en-US" w:eastAsia="zh-CN"/>
              </w:rPr>
              <w:t>5</w:t>
            </w:r>
          </w:p>
        </w:tc>
        <w:tc>
          <w:tcPr>
            <w:tcW w:w="302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3024"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18.967378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024" w:type="dxa"/>
            <w:noWrap w:val="0"/>
            <w:vAlign w:val="center"/>
          </w:tcPr>
          <w:p>
            <w:pPr>
              <w:pStyle w:val="29"/>
              <w:pBdr>
                <w:bottom w:val="none" w:color="auto" w:sz="0" w:space="0"/>
              </w:pBdr>
              <w:snapToGrid/>
              <w:spacing w:line="240" w:lineRule="auto"/>
              <w:ind w:firstLine="0" w:firstLineChars="0"/>
              <w:rPr>
                <w:rFonts w:ascii="Times New Roman" w:hAnsi="Times New Roman" w:eastAsia="宋体"/>
                <w:color w:val="auto"/>
                <w:sz w:val="21"/>
                <w:szCs w:val="21"/>
                <w:highlight w:val="none"/>
                <w:lang w:val="en-US" w:eastAsia="zh-CN"/>
              </w:rPr>
            </w:pPr>
            <w:r>
              <w:rPr>
                <w:rFonts w:ascii="Times New Roman" w:hAnsi="Times New Roman" w:eastAsia="宋体"/>
                <w:color w:val="auto"/>
                <w:sz w:val="21"/>
                <w:szCs w:val="21"/>
                <w:highlight w:val="none"/>
                <w:lang w:val="en-US" w:eastAsia="zh-CN"/>
              </w:rPr>
              <w:t>6</w:t>
            </w:r>
          </w:p>
        </w:tc>
        <w:tc>
          <w:tcPr>
            <w:tcW w:w="302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油烟</w:t>
            </w:r>
          </w:p>
        </w:tc>
        <w:tc>
          <w:tcPr>
            <w:tcW w:w="3024" w:type="dxa"/>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0.00243</w:t>
            </w:r>
          </w:p>
        </w:tc>
      </w:tr>
    </w:tbl>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4、非正常排放量核算</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项目非正常排放量核算结果见下表。</w:t>
      </w:r>
    </w:p>
    <w:p>
      <w:pPr>
        <w:spacing w:line="240" w:lineRule="auto"/>
        <w:ind w:firstLine="0" w:firstLineChars="0"/>
        <w:jc w:val="center"/>
        <w:rPr>
          <w:rFonts w:ascii="Times New Roman" w:hAnsi="Times New Roman" w:eastAsia="宋体" w:cs="Times New Roman"/>
          <w:b/>
          <w:bCs/>
          <w:color w:val="auto"/>
          <w:highlight w:val="none"/>
        </w:rPr>
        <w:sectPr>
          <w:pgSz w:w="11900" w:h="16838"/>
          <w:pgMar w:top="1417" w:right="1417" w:bottom="1417" w:left="1417" w:header="850" w:footer="850" w:gutter="0"/>
          <w:pgBorders>
            <w:top w:val="none" w:sz="0" w:space="0"/>
            <w:left w:val="none" w:sz="0" w:space="0"/>
            <w:bottom w:val="none" w:sz="0" w:space="0"/>
            <w:right w:val="none" w:sz="0" w:space="0"/>
          </w:pgBorders>
          <w:cols w:space="720" w:num="1"/>
          <w:docGrid w:linePitch="326" w:charSpace="0"/>
        </w:sectPr>
      </w:pPr>
    </w:p>
    <w:p>
      <w:pPr>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表4.2-</w:t>
      </w:r>
      <w:r>
        <w:rPr>
          <w:rFonts w:hint="eastAsia" w:ascii="Times New Roman" w:hAnsi="Times New Roman" w:eastAsia="宋体" w:cs="Times New Roman"/>
          <w:b/>
          <w:bCs/>
          <w:color w:val="auto"/>
          <w:highlight w:val="none"/>
        </w:rPr>
        <w:t>20</w:t>
      </w:r>
      <w:r>
        <w:rPr>
          <w:rFonts w:ascii="Times New Roman" w:hAnsi="Times New Roman" w:eastAsia="宋体" w:cs="Times New Roman"/>
          <w:b/>
          <w:bCs/>
          <w:color w:val="auto"/>
          <w:highlight w:val="none"/>
        </w:rPr>
        <w:t xml:space="preserve">  污染物非正常排放量核算表</w:t>
      </w:r>
    </w:p>
    <w:tbl>
      <w:tblPr>
        <w:tblStyle w:val="48"/>
        <w:tblW w:w="9071"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
      <w:tblGrid>
        <w:gridCol w:w="490"/>
        <w:gridCol w:w="1024"/>
        <w:gridCol w:w="1155"/>
        <w:gridCol w:w="855"/>
        <w:gridCol w:w="1190"/>
        <w:gridCol w:w="1191"/>
        <w:gridCol w:w="1065"/>
        <w:gridCol w:w="1015"/>
        <w:gridCol w:w="1086"/>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490" w:type="dxa"/>
            <w:noWrap w:val="0"/>
            <w:vAlign w:val="center"/>
          </w:tcPr>
          <w:p>
            <w:pPr>
              <w:pStyle w:val="29"/>
              <w:pBdr>
                <w:bottom w:val="none" w:color="auto" w:sz="0" w:space="0"/>
              </w:pBdr>
              <w:snapToGrid/>
              <w:spacing w:line="240" w:lineRule="auto"/>
              <w:ind w:firstLine="0" w:firstLineChars="0"/>
              <w:rPr>
                <w:rFonts w:ascii="Times New Roman" w:hAnsi="Times New Roman" w:eastAsia="宋体"/>
                <w:b/>
                <w:bCs/>
                <w:color w:val="auto"/>
                <w:sz w:val="21"/>
                <w:szCs w:val="21"/>
                <w:highlight w:val="none"/>
                <w:lang w:val="en-US" w:eastAsia="zh-CN"/>
              </w:rPr>
            </w:pPr>
            <w:r>
              <w:rPr>
                <w:rFonts w:ascii="Times New Roman" w:hAnsi="Times New Roman" w:eastAsia="宋体"/>
                <w:b/>
                <w:bCs/>
                <w:color w:val="auto"/>
                <w:sz w:val="21"/>
                <w:szCs w:val="21"/>
                <w:highlight w:val="none"/>
                <w:lang w:val="en-US" w:eastAsia="zh-CN"/>
              </w:rPr>
              <w:t>序号</w:t>
            </w:r>
          </w:p>
        </w:tc>
        <w:tc>
          <w:tcPr>
            <w:tcW w:w="1024" w:type="dxa"/>
            <w:noWrap w:val="0"/>
            <w:vAlign w:val="center"/>
          </w:tcPr>
          <w:p>
            <w:pPr>
              <w:widowControl/>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污染源</w:t>
            </w:r>
          </w:p>
        </w:tc>
        <w:tc>
          <w:tcPr>
            <w:tcW w:w="1155" w:type="dxa"/>
            <w:noWrap w:val="0"/>
            <w:vAlign w:val="center"/>
          </w:tcPr>
          <w:p>
            <w:pPr>
              <w:widowControl/>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非正常排放原因</w:t>
            </w:r>
          </w:p>
        </w:tc>
        <w:tc>
          <w:tcPr>
            <w:tcW w:w="855" w:type="dxa"/>
            <w:noWrap w:val="0"/>
            <w:vAlign w:val="center"/>
          </w:tcPr>
          <w:p>
            <w:pPr>
              <w:pStyle w:val="29"/>
              <w:pBdr>
                <w:bottom w:val="none" w:color="auto" w:sz="0" w:space="0"/>
              </w:pBdr>
              <w:snapToGrid/>
              <w:spacing w:line="240" w:lineRule="auto"/>
              <w:ind w:firstLine="0" w:firstLineChars="0"/>
              <w:rPr>
                <w:rFonts w:ascii="Times New Roman" w:hAnsi="Times New Roman" w:eastAsia="宋体"/>
                <w:b/>
                <w:bCs/>
                <w:color w:val="auto"/>
                <w:sz w:val="21"/>
                <w:szCs w:val="21"/>
                <w:highlight w:val="none"/>
                <w:lang w:val="en-US" w:eastAsia="zh-CN"/>
              </w:rPr>
            </w:pPr>
            <w:r>
              <w:rPr>
                <w:rFonts w:ascii="Times New Roman" w:hAnsi="Times New Roman" w:eastAsia="宋体"/>
                <w:b/>
                <w:bCs/>
                <w:color w:val="auto"/>
                <w:sz w:val="21"/>
                <w:szCs w:val="21"/>
                <w:highlight w:val="none"/>
                <w:lang w:val="en-US" w:eastAsia="zh-CN"/>
              </w:rPr>
              <w:t>污染物</w:t>
            </w:r>
          </w:p>
        </w:tc>
        <w:tc>
          <w:tcPr>
            <w:tcW w:w="1190" w:type="dxa"/>
            <w:noWrap w:val="0"/>
            <w:vAlign w:val="center"/>
          </w:tcPr>
          <w:p>
            <w:pPr>
              <w:widowControl/>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kern w:val="0"/>
                <w:sz w:val="21"/>
                <w:highlight w:val="none"/>
              </w:rPr>
              <w:t>非正常排放浓度（mg/m</w:t>
            </w:r>
            <w:r>
              <w:rPr>
                <w:rFonts w:ascii="Times New Roman" w:hAnsi="Times New Roman" w:eastAsia="宋体" w:cs="Times New Roman"/>
                <w:b/>
                <w:bCs/>
                <w:color w:val="auto"/>
                <w:kern w:val="0"/>
                <w:sz w:val="21"/>
                <w:highlight w:val="none"/>
                <w:vertAlign w:val="superscript"/>
              </w:rPr>
              <w:t>3</w:t>
            </w:r>
            <w:r>
              <w:rPr>
                <w:rFonts w:ascii="Times New Roman" w:hAnsi="Times New Roman" w:eastAsia="宋体" w:cs="Times New Roman"/>
                <w:b/>
                <w:bCs/>
                <w:color w:val="auto"/>
                <w:kern w:val="0"/>
                <w:sz w:val="21"/>
                <w:highlight w:val="none"/>
              </w:rPr>
              <w:t>)</w:t>
            </w:r>
          </w:p>
        </w:tc>
        <w:tc>
          <w:tcPr>
            <w:tcW w:w="1191" w:type="dxa"/>
            <w:noWrap w:val="0"/>
            <w:vAlign w:val="center"/>
          </w:tcPr>
          <w:p>
            <w:pPr>
              <w:widowControl/>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非正常排放速率（kg/h)</w:t>
            </w:r>
          </w:p>
        </w:tc>
        <w:tc>
          <w:tcPr>
            <w:tcW w:w="1065" w:type="dxa"/>
            <w:noWrap w:val="0"/>
            <w:vAlign w:val="center"/>
          </w:tcPr>
          <w:p>
            <w:pPr>
              <w:widowControl/>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单次持续时间/h</w:t>
            </w:r>
          </w:p>
        </w:tc>
        <w:tc>
          <w:tcPr>
            <w:tcW w:w="1015" w:type="dxa"/>
            <w:noWrap w:val="0"/>
            <w:vAlign w:val="center"/>
          </w:tcPr>
          <w:p>
            <w:pPr>
              <w:widowControl/>
              <w:spacing w:line="240" w:lineRule="auto"/>
              <w:ind w:firstLine="0" w:firstLineChars="0"/>
              <w:jc w:val="center"/>
              <w:rPr>
                <w:rFonts w:ascii="Times New Roman" w:hAnsi="Times New Roman" w:eastAsia="宋体" w:cs="Times New Roman"/>
                <w:b/>
                <w:bCs/>
                <w:color w:val="auto"/>
                <w:kern w:val="0"/>
                <w:sz w:val="21"/>
                <w:highlight w:val="none"/>
              </w:rPr>
            </w:pPr>
            <w:r>
              <w:rPr>
                <w:rFonts w:ascii="Times New Roman" w:hAnsi="Times New Roman" w:eastAsia="宋体" w:cs="Times New Roman"/>
                <w:b/>
                <w:bCs/>
                <w:color w:val="auto"/>
                <w:kern w:val="0"/>
                <w:sz w:val="21"/>
                <w:highlight w:val="none"/>
              </w:rPr>
              <w:t>年发生频次/次</w:t>
            </w:r>
          </w:p>
        </w:tc>
        <w:tc>
          <w:tcPr>
            <w:tcW w:w="1086" w:type="dxa"/>
            <w:noWrap w:val="0"/>
            <w:vAlign w:val="center"/>
          </w:tcPr>
          <w:p>
            <w:pPr>
              <w:pStyle w:val="29"/>
              <w:pBdr>
                <w:bottom w:val="none" w:color="auto" w:sz="0" w:space="0"/>
              </w:pBdr>
              <w:snapToGrid/>
              <w:spacing w:line="240" w:lineRule="auto"/>
              <w:ind w:firstLine="0" w:firstLineChars="0"/>
              <w:rPr>
                <w:rFonts w:ascii="Times New Roman" w:hAnsi="Times New Roman" w:eastAsia="宋体"/>
                <w:b/>
                <w:bCs/>
                <w:color w:val="auto"/>
                <w:sz w:val="21"/>
                <w:szCs w:val="21"/>
                <w:highlight w:val="none"/>
                <w:lang w:val="en-US" w:eastAsia="zh-CN"/>
              </w:rPr>
            </w:pPr>
            <w:r>
              <w:rPr>
                <w:rFonts w:ascii="Times New Roman" w:hAnsi="Times New Roman" w:eastAsia="宋体"/>
                <w:b/>
                <w:bCs/>
                <w:color w:val="auto"/>
                <w:sz w:val="21"/>
                <w:szCs w:val="21"/>
                <w:highlight w:val="none"/>
                <w:lang w:val="en-US" w:eastAsia="zh-CN"/>
              </w:rPr>
              <w:t>应对措施</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49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024"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①</w:t>
            </w:r>
          </w:p>
        </w:tc>
        <w:tc>
          <w:tcPr>
            <w:tcW w:w="115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废气处理设施故障</w:t>
            </w:r>
          </w:p>
        </w:tc>
        <w:tc>
          <w:tcPr>
            <w:tcW w:w="85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TSP</w:t>
            </w:r>
          </w:p>
        </w:tc>
        <w:tc>
          <w:tcPr>
            <w:tcW w:w="119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175.8</w:t>
            </w:r>
          </w:p>
        </w:tc>
        <w:tc>
          <w:tcPr>
            <w:tcW w:w="119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1.758</w:t>
            </w:r>
          </w:p>
        </w:tc>
        <w:tc>
          <w:tcPr>
            <w:tcW w:w="106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0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08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及时处置或停产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49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1024"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二级破碎①</w:t>
            </w:r>
          </w:p>
        </w:tc>
        <w:tc>
          <w:tcPr>
            <w:tcW w:w="115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废气处理设施故障</w:t>
            </w:r>
          </w:p>
        </w:tc>
        <w:tc>
          <w:tcPr>
            <w:tcW w:w="85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TSP</w:t>
            </w:r>
          </w:p>
        </w:tc>
        <w:tc>
          <w:tcPr>
            <w:tcW w:w="119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351.6</w:t>
            </w:r>
          </w:p>
        </w:tc>
        <w:tc>
          <w:tcPr>
            <w:tcW w:w="119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3.516</w:t>
            </w:r>
          </w:p>
        </w:tc>
        <w:tc>
          <w:tcPr>
            <w:tcW w:w="106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0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08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及时处置或停产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49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1024"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①</w:t>
            </w:r>
          </w:p>
        </w:tc>
        <w:tc>
          <w:tcPr>
            <w:tcW w:w="115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废气处理设施故障</w:t>
            </w:r>
          </w:p>
        </w:tc>
        <w:tc>
          <w:tcPr>
            <w:tcW w:w="85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TSP</w:t>
            </w:r>
          </w:p>
        </w:tc>
        <w:tc>
          <w:tcPr>
            <w:tcW w:w="119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703.1</w:t>
            </w:r>
          </w:p>
        </w:tc>
        <w:tc>
          <w:tcPr>
            <w:tcW w:w="1191"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7.031</w:t>
            </w:r>
          </w:p>
        </w:tc>
        <w:tc>
          <w:tcPr>
            <w:tcW w:w="106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0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08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及时处置或停产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490" w:type="dxa"/>
            <w:noWrap w:val="0"/>
            <w:vAlign w:val="center"/>
          </w:tcPr>
          <w:p>
            <w:pPr>
              <w:pStyle w:val="29"/>
              <w:pBdr>
                <w:bottom w:val="none" w:color="auto" w:sz="0" w:space="0"/>
              </w:pBdr>
              <w:snapToGrid/>
              <w:spacing w:line="240" w:lineRule="auto"/>
              <w:ind w:firstLine="0" w:firstLineChars="0"/>
              <w:rPr>
                <w:rFonts w:ascii="Times New Roman" w:hAnsi="Times New Roman" w:eastAsia="宋体"/>
                <w:color w:val="auto"/>
                <w:sz w:val="21"/>
                <w:highlight w:val="none"/>
                <w:lang w:val="en-US" w:eastAsia="zh-CN"/>
              </w:rPr>
            </w:pPr>
            <w:r>
              <w:rPr>
                <w:rFonts w:ascii="Times New Roman" w:hAnsi="Times New Roman" w:eastAsia="宋体"/>
                <w:color w:val="auto"/>
                <w:sz w:val="21"/>
                <w:szCs w:val="21"/>
                <w:highlight w:val="none"/>
                <w:lang w:val="en-US" w:eastAsia="zh-CN"/>
              </w:rPr>
              <w:t>4</w:t>
            </w:r>
          </w:p>
        </w:tc>
        <w:tc>
          <w:tcPr>
            <w:tcW w:w="1024"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②</w:t>
            </w:r>
          </w:p>
        </w:tc>
        <w:tc>
          <w:tcPr>
            <w:tcW w:w="115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废气处理设施故障</w:t>
            </w:r>
          </w:p>
        </w:tc>
        <w:tc>
          <w:tcPr>
            <w:tcW w:w="85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TSP</w:t>
            </w:r>
          </w:p>
        </w:tc>
        <w:tc>
          <w:tcPr>
            <w:tcW w:w="1190"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175.8</w:t>
            </w:r>
          </w:p>
        </w:tc>
        <w:tc>
          <w:tcPr>
            <w:tcW w:w="1191"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1.758</w:t>
            </w:r>
          </w:p>
        </w:tc>
        <w:tc>
          <w:tcPr>
            <w:tcW w:w="106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0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08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及时处置或停产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490" w:type="dxa"/>
            <w:noWrap w:val="0"/>
            <w:vAlign w:val="center"/>
          </w:tcPr>
          <w:p>
            <w:pPr>
              <w:pStyle w:val="29"/>
              <w:pBdr>
                <w:bottom w:val="none" w:color="auto" w:sz="0" w:space="0"/>
              </w:pBdr>
              <w:snapToGrid/>
              <w:spacing w:line="240" w:lineRule="auto"/>
              <w:ind w:firstLine="0" w:firstLineChars="0"/>
              <w:rPr>
                <w:rFonts w:ascii="Times New Roman" w:hAnsi="Times New Roman" w:eastAsia="宋体"/>
                <w:color w:val="auto"/>
                <w:sz w:val="21"/>
                <w:highlight w:val="none"/>
                <w:lang w:val="en-US" w:eastAsia="zh-CN"/>
              </w:rPr>
            </w:pPr>
            <w:r>
              <w:rPr>
                <w:rFonts w:ascii="Times New Roman" w:hAnsi="Times New Roman" w:eastAsia="宋体"/>
                <w:color w:val="auto"/>
                <w:sz w:val="21"/>
                <w:szCs w:val="21"/>
                <w:highlight w:val="none"/>
                <w:lang w:val="en-US" w:eastAsia="zh-CN"/>
              </w:rPr>
              <w:t>5</w:t>
            </w:r>
          </w:p>
        </w:tc>
        <w:tc>
          <w:tcPr>
            <w:tcW w:w="1024"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二级破碎筛分</w:t>
            </w:r>
            <w:r>
              <w:rPr>
                <w:rFonts w:hint="eastAsia" w:ascii="Times New Roman" w:hAnsi="Times New Roman" w:eastAsia="宋体"/>
                <w:color w:val="auto"/>
                <w:sz w:val="21"/>
                <w:highlight w:val="none"/>
              </w:rPr>
              <w:t>②</w:t>
            </w:r>
          </w:p>
        </w:tc>
        <w:tc>
          <w:tcPr>
            <w:tcW w:w="115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废气处理设施故障</w:t>
            </w:r>
          </w:p>
        </w:tc>
        <w:tc>
          <w:tcPr>
            <w:tcW w:w="85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TSP</w:t>
            </w:r>
          </w:p>
        </w:tc>
        <w:tc>
          <w:tcPr>
            <w:tcW w:w="1190"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351.6</w:t>
            </w:r>
          </w:p>
        </w:tc>
        <w:tc>
          <w:tcPr>
            <w:tcW w:w="1191"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3.516</w:t>
            </w:r>
          </w:p>
        </w:tc>
        <w:tc>
          <w:tcPr>
            <w:tcW w:w="106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0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08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及时处置或停产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490" w:type="dxa"/>
            <w:noWrap w:val="0"/>
            <w:vAlign w:val="center"/>
          </w:tcPr>
          <w:p>
            <w:pPr>
              <w:pStyle w:val="29"/>
              <w:pBdr>
                <w:bottom w:val="none" w:color="auto" w:sz="0" w:space="0"/>
              </w:pBdr>
              <w:snapToGrid/>
              <w:spacing w:line="240" w:lineRule="auto"/>
              <w:ind w:firstLine="0" w:firstLineChars="0"/>
              <w:rPr>
                <w:rFonts w:ascii="Times New Roman" w:hAnsi="Times New Roman" w:eastAsia="宋体"/>
                <w:color w:val="auto"/>
                <w:sz w:val="21"/>
                <w:highlight w:val="none"/>
                <w:lang w:val="en-US" w:eastAsia="zh-CN"/>
              </w:rPr>
            </w:pPr>
            <w:r>
              <w:rPr>
                <w:rFonts w:ascii="Times New Roman" w:hAnsi="Times New Roman" w:eastAsia="宋体"/>
                <w:color w:val="auto"/>
                <w:sz w:val="21"/>
                <w:szCs w:val="21"/>
                <w:highlight w:val="none"/>
                <w:lang w:val="en-US" w:eastAsia="zh-CN"/>
              </w:rPr>
              <w:t>6</w:t>
            </w:r>
          </w:p>
        </w:tc>
        <w:tc>
          <w:tcPr>
            <w:tcW w:w="1024"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②</w:t>
            </w:r>
          </w:p>
        </w:tc>
        <w:tc>
          <w:tcPr>
            <w:tcW w:w="115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废气处理设施故障</w:t>
            </w:r>
          </w:p>
        </w:tc>
        <w:tc>
          <w:tcPr>
            <w:tcW w:w="85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TSP</w:t>
            </w:r>
          </w:p>
        </w:tc>
        <w:tc>
          <w:tcPr>
            <w:tcW w:w="1190"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70.3</w:t>
            </w:r>
          </w:p>
        </w:tc>
        <w:tc>
          <w:tcPr>
            <w:tcW w:w="1191"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703</w:t>
            </w:r>
          </w:p>
        </w:tc>
        <w:tc>
          <w:tcPr>
            <w:tcW w:w="106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10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08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及时处置或停产</w:t>
            </w:r>
          </w:p>
        </w:tc>
      </w:tr>
    </w:tbl>
    <w:p>
      <w:pPr>
        <w:pStyle w:val="6"/>
        <w:rPr>
          <w:rFonts w:ascii="Times New Roman" w:hAnsi="Times New Roman" w:eastAsia="宋体"/>
          <w:color w:val="auto"/>
          <w:highlight w:val="none"/>
        </w:rPr>
      </w:pPr>
      <w:r>
        <w:rPr>
          <w:rFonts w:ascii="Times New Roman" w:hAnsi="Times New Roman" w:eastAsia="宋体"/>
          <w:color w:val="auto"/>
          <w:highlight w:val="none"/>
        </w:rPr>
        <w:t>4.2.1.7 大气环境影响评价结论</w:t>
      </w:r>
    </w:p>
    <w:bookmarkEnd w:id="350"/>
    <w:p>
      <w:pPr>
        <w:pStyle w:val="100"/>
        <w:spacing w:line="360" w:lineRule="auto"/>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lang w:val="en-US"/>
        </w:rPr>
        <w:t>项目所在区域</w:t>
      </w:r>
      <w:r>
        <w:rPr>
          <w:rFonts w:hint="eastAsia" w:ascii="Times New Roman" w:hAnsi="Times New Roman" w:eastAsia="宋体" w:cs="Times New Roman"/>
          <w:color w:val="auto"/>
          <w:highlight w:val="none"/>
          <w:lang w:val="en-US"/>
        </w:rPr>
        <w:t>三江县</w:t>
      </w:r>
      <w:r>
        <w:rPr>
          <w:rFonts w:ascii="Times New Roman" w:hAnsi="Times New Roman" w:eastAsia="宋体" w:cs="Times New Roman"/>
          <w:color w:val="auto"/>
          <w:highlight w:val="none"/>
          <w:lang w:val="en-US"/>
        </w:rPr>
        <w:t>为达标区，</w:t>
      </w:r>
      <w:r>
        <w:rPr>
          <w:rFonts w:ascii="Times New Roman" w:hAnsi="Times New Roman" w:eastAsia="宋体" w:cs="Times New Roman"/>
          <w:color w:val="auto"/>
          <w:highlight w:val="none"/>
        </w:rPr>
        <w:t>环境影响评价判别情况见表4.2-</w:t>
      </w:r>
      <w:r>
        <w:rPr>
          <w:rFonts w:hint="eastAsia" w:ascii="Times New Roman" w:hAnsi="Times New Roman" w:eastAsia="宋体" w:cs="Times New Roman"/>
          <w:color w:val="auto"/>
          <w:highlight w:val="none"/>
          <w:lang w:val="en-US"/>
        </w:rPr>
        <w:t>21</w:t>
      </w:r>
      <w:r>
        <w:rPr>
          <w:rFonts w:ascii="Times New Roman" w:hAnsi="Times New Roman" w:eastAsia="宋体" w:cs="Times New Roman"/>
          <w:color w:val="auto"/>
          <w:highlight w:val="none"/>
        </w:rPr>
        <w:t>。</w:t>
      </w:r>
    </w:p>
    <w:p>
      <w:pPr>
        <w:tabs>
          <w:tab w:val="left" w:pos="210"/>
          <w:tab w:val="left" w:pos="1400"/>
        </w:tabs>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表4.2-</w:t>
      </w:r>
      <w:r>
        <w:rPr>
          <w:rFonts w:hint="eastAsia" w:ascii="Times New Roman" w:hAnsi="Times New Roman" w:eastAsia="宋体" w:cs="Times New Roman"/>
          <w:b/>
          <w:bCs/>
          <w:color w:val="auto"/>
          <w:highlight w:val="none"/>
        </w:rPr>
        <w:t xml:space="preserve">21 </w:t>
      </w:r>
      <w:r>
        <w:rPr>
          <w:rFonts w:ascii="Times New Roman" w:hAnsi="Times New Roman" w:eastAsia="宋体" w:cs="Times New Roman"/>
          <w:b/>
          <w:bCs/>
          <w:color w:val="auto"/>
          <w:highlight w:val="none"/>
        </w:rPr>
        <w:t>达标区环境影响接受条件判别表</w:t>
      </w:r>
    </w:p>
    <w:tbl>
      <w:tblPr>
        <w:tblStyle w:val="48"/>
        <w:tblW w:w="924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81"/>
        <w:gridCol w:w="1651"/>
        <w:gridCol w:w="2090"/>
        <w:gridCol w:w="713"/>
        <w:gridCol w:w="1717"/>
        <w:gridCol w:w="11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2" w:type="dxa"/>
            <w:gridSpan w:val="7"/>
            <w:noWrap w:val="0"/>
            <w:vAlign w:val="center"/>
          </w:tcPr>
          <w:p>
            <w:pPr>
              <w:pStyle w:val="86"/>
              <w:spacing w:before="100" w:beforeAutospacing="1" w:after="100" w:afterAutospacing="1"/>
              <w:contextualSpacing/>
              <w:jc w:val="both"/>
              <w:textAlignment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一、新增污染源正常排放下污染物短期/长期浓度贡献值最大浓度占标率判定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noWrap w:val="0"/>
            <w:vAlign w:val="center"/>
          </w:tcPr>
          <w:p>
            <w:pPr>
              <w:pStyle w:val="86"/>
              <w:spacing w:before="100" w:beforeAutospacing="1" w:after="100" w:afterAutospacing="1"/>
              <w:contextualSpacing/>
              <w:textAlignment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序号</w:t>
            </w:r>
          </w:p>
        </w:tc>
        <w:tc>
          <w:tcPr>
            <w:tcW w:w="1181" w:type="dxa"/>
            <w:noWrap w:val="0"/>
            <w:vAlign w:val="center"/>
          </w:tcPr>
          <w:p>
            <w:pPr>
              <w:pStyle w:val="86"/>
              <w:spacing w:before="100" w:beforeAutospacing="1" w:after="100" w:afterAutospacing="1"/>
              <w:contextualSpacing/>
              <w:textAlignment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污染因子</w:t>
            </w:r>
          </w:p>
        </w:tc>
        <w:tc>
          <w:tcPr>
            <w:tcW w:w="1651" w:type="dxa"/>
            <w:noWrap w:val="0"/>
            <w:vAlign w:val="center"/>
          </w:tcPr>
          <w:p>
            <w:pPr>
              <w:pStyle w:val="86"/>
              <w:spacing w:before="100" w:beforeAutospacing="1" w:after="100" w:afterAutospacing="1"/>
              <w:contextualSpacing/>
              <w:textAlignment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平均时段</w:t>
            </w:r>
          </w:p>
        </w:tc>
        <w:tc>
          <w:tcPr>
            <w:tcW w:w="2803" w:type="dxa"/>
            <w:gridSpan w:val="2"/>
            <w:noWrap w:val="0"/>
            <w:vAlign w:val="center"/>
          </w:tcPr>
          <w:p>
            <w:pPr>
              <w:pStyle w:val="86"/>
              <w:spacing w:before="100" w:beforeAutospacing="1" w:after="100" w:afterAutospacing="1"/>
              <w:contextualSpacing/>
              <w:textAlignment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贡献值最大浓度占标率</w:t>
            </w:r>
            <w:r>
              <w:rPr>
                <w:rFonts w:hint="eastAsia" w:ascii="Times New Roman" w:hAnsi="Times New Roman" w:eastAsia="宋体" w:cs="Times New Roman"/>
                <w:color w:val="auto"/>
                <w:szCs w:val="21"/>
                <w:highlight w:val="none"/>
                <w:lang w:val="zh-CN"/>
              </w:rPr>
              <w:t>（</w:t>
            </w: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zh-CN"/>
              </w:rPr>
              <w:t>）</w:t>
            </w:r>
          </w:p>
        </w:tc>
        <w:tc>
          <w:tcPr>
            <w:tcW w:w="1717" w:type="dxa"/>
            <w:noWrap w:val="0"/>
            <w:vAlign w:val="center"/>
          </w:tcPr>
          <w:p>
            <w:pPr>
              <w:pStyle w:val="86"/>
              <w:spacing w:before="100" w:beforeAutospacing="1" w:after="100" w:afterAutospacing="1"/>
              <w:contextualSpacing/>
              <w:textAlignment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判别标准</w:t>
            </w:r>
            <w:r>
              <w:rPr>
                <w:rFonts w:hint="eastAsia" w:ascii="Times New Roman" w:hAnsi="Times New Roman" w:eastAsia="宋体" w:cs="Times New Roman"/>
                <w:color w:val="auto"/>
                <w:szCs w:val="21"/>
                <w:highlight w:val="none"/>
                <w:lang w:val="zh-CN"/>
              </w:rPr>
              <w:t>（</w:t>
            </w: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zh-CN"/>
              </w:rPr>
              <w:t>）</w:t>
            </w:r>
          </w:p>
        </w:tc>
        <w:tc>
          <w:tcPr>
            <w:tcW w:w="1179" w:type="dxa"/>
            <w:noWrap w:val="0"/>
            <w:vAlign w:val="center"/>
          </w:tcPr>
          <w:p>
            <w:pPr>
              <w:pStyle w:val="86"/>
              <w:spacing w:before="100" w:beforeAutospacing="1" w:after="100" w:afterAutospacing="1"/>
              <w:contextualSpacing/>
              <w:textAlignment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是否满足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711" w:type="dxa"/>
            <w:vMerge w:val="restart"/>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1</w:t>
            </w:r>
          </w:p>
        </w:tc>
        <w:tc>
          <w:tcPr>
            <w:tcW w:w="1181" w:type="dxa"/>
            <w:vMerge w:val="restart"/>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TSP</w:t>
            </w:r>
          </w:p>
        </w:tc>
        <w:tc>
          <w:tcPr>
            <w:tcW w:w="1651"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日平均</w:t>
            </w:r>
          </w:p>
        </w:tc>
        <w:tc>
          <w:tcPr>
            <w:tcW w:w="2803" w:type="dxa"/>
            <w:gridSpan w:val="2"/>
            <w:noWrap w:val="0"/>
            <w:vAlign w:val="center"/>
          </w:tcPr>
          <w:p>
            <w:pPr>
              <w:spacing w:line="240" w:lineRule="auto"/>
              <w:ind w:firstLine="0" w:firstLineChars="0"/>
              <w:jc w:val="center"/>
              <w:rPr>
                <w:rFonts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26.00</w:t>
            </w:r>
          </w:p>
        </w:tc>
        <w:tc>
          <w:tcPr>
            <w:tcW w:w="1717"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≤100</w:t>
            </w:r>
          </w:p>
        </w:tc>
        <w:tc>
          <w:tcPr>
            <w:tcW w:w="1179"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p>
        </w:tc>
        <w:tc>
          <w:tcPr>
            <w:tcW w:w="1181" w:type="dxa"/>
            <w:vMerge w:val="continue"/>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p>
        </w:tc>
        <w:tc>
          <w:tcPr>
            <w:tcW w:w="1651"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年平均</w:t>
            </w:r>
          </w:p>
        </w:tc>
        <w:tc>
          <w:tcPr>
            <w:tcW w:w="2803" w:type="dxa"/>
            <w:gridSpan w:val="2"/>
            <w:noWrap w:val="0"/>
            <w:vAlign w:val="center"/>
          </w:tcPr>
          <w:p>
            <w:pPr>
              <w:spacing w:line="240" w:lineRule="auto"/>
              <w:ind w:firstLine="0" w:firstLineChars="0"/>
              <w:jc w:val="center"/>
              <w:rPr>
                <w:rFonts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8.41</w:t>
            </w:r>
          </w:p>
        </w:tc>
        <w:tc>
          <w:tcPr>
            <w:tcW w:w="1717"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≤30</w:t>
            </w:r>
          </w:p>
        </w:tc>
        <w:tc>
          <w:tcPr>
            <w:tcW w:w="1179"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711" w:type="dxa"/>
            <w:vMerge w:val="restart"/>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2</w:t>
            </w:r>
          </w:p>
        </w:tc>
        <w:tc>
          <w:tcPr>
            <w:tcW w:w="1181" w:type="dxa"/>
            <w:vMerge w:val="restart"/>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PM</w:t>
            </w:r>
            <w:r>
              <w:rPr>
                <w:rFonts w:ascii="Times New Roman" w:hAnsi="Times New Roman" w:eastAsia="宋体" w:cs="Times New Roman"/>
                <w:b w:val="0"/>
                <w:bCs/>
                <w:color w:val="auto"/>
                <w:szCs w:val="21"/>
                <w:highlight w:val="none"/>
                <w:vertAlign w:val="subscript"/>
              </w:rPr>
              <w:t>10</w:t>
            </w:r>
          </w:p>
        </w:tc>
        <w:tc>
          <w:tcPr>
            <w:tcW w:w="1651"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日平均</w:t>
            </w:r>
          </w:p>
        </w:tc>
        <w:tc>
          <w:tcPr>
            <w:tcW w:w="2803" w:type="dxa"/>
            <w:gridSpan w:val="2"/>
            <w:noWrap w:val="0"/>
            <w:vAlign w:val="center"/>
          </w:tcPr>
          <w:p>
            <w:pPr>
              <w:spacing w:line="240" w:lineRule="auto"/>
              <w:ind w:firstLine="0" w:firstLineChars="0"/>
              <w:jc w:val="center"/>
              <w:rPr>
                <w:rFonts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14.55</w:t>
            </w:r>
          </w:p>
        </w:tc>
        <w:tc>
          <w:tcPr>
            <w:tcW w:w="1717"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≤100</w:t>
            </w:r>
          </w:p>
        </w:tc>
        <w:tc>
          <w:tcPr>
            <w:tcW w:w="1179"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p>
        </w:tc>
        <w:tc>
          <w:tcPr>
            <w:tcW w:w="1181" w:type="dxa"/>
            <w:vMerge w:val="continue"/>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p>
        </w:tc>
        <w:tc>
          <w:tcPr>
            <w:tcW w:w="1651"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年平均</w:t>
            </w:r>
          </w:p>
        </w:tc>
        <w:tc>
          <w:tcPr>
            <w:tcW w:w="2803" w:type="dxa"/>
            <w:gridSpan w:val="2"/>
            <w:noWrap w:val="0"/>
            <w:vAlign w:val="center"/>
          </w:tcPr>
          <w:p>
            <w:pPr>
              <w:spacing w:line="240" w:lineRule="auto"/>
              <w:ind w:firstLine="0" w:firstLineChars="0"/>
              <w:jc w:val="center"/>
              <w:rPr>
                <w:rFonts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7.11</w:t>
            </w:r>
          </w:p>
        </w:tc>
        <w:tc>
          <w:tcPr>
            <w:tcW w:w="1717"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≤30</w:t>
            </w:r>
          </w:p>
        </w:tc>
        <w:tc>
          <w:tcPr>
            <w:tcW w:w="1179"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711" w:type="dxa"/>
            <w:vMerge w:val="restart"/>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3</w:t>
            </w:r>
          </w:p>
        </w:tc>
        <w:tc>
          <w:tcPr>
            <w:tcW w:w="1181" w:type="dxa"/>
            <w:vMerge w:val="restart"/>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PM</w:t>
            </w:r>
            <w:r>
              <w:rPr>
                <w:rFonts w:ascii="Times New Roman" w:hAnsi="Times New Roman" w:eastAsia="宋体" w:cs="Times New Roman"/>
                <w:b w:val="0"/>
                <w:bCs/>
                <w:color w:val="auto"/>
                <w:szCs w:val="21"/>
                <w:highlight w:val="none"/>
                <w:vertAlign w:val="subscript"/>
              </w:rPr>
              <w:t>2.5</w:t>
            </w:r>
          </w:p>
        </w:tc>
        <w:tc>
          <w:tcPr>
            <w:tcW w:w="1651"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日平均</w:t>
            </w:r>
          </w:p>
        </w:tc>
        <w:tc>
          <w:tcPr>
            <w:tcW w:w="2803" w:type="dxa"/>
            <w:gridSpan w:val="2"/>
            <w:noWrap w:val="0"/>
            <w:vAlign w:val="center"/>
          </w:tcPr>
          <w:p>
            <w:pPr>
              <w:spacing w:line="240" w:lineRule="auto"/>
              <w:ind w:firstLine="0" w:firstLineChars="0"/>
              <w:jc w:val="center"/>
              <w:rPr>
                <w:rFonts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14.89</w:t>
            </w:r>
          </w:p>
        </w:tc>
        <w:tc>
          <w:tcPr>
            <w:tcW w:w="1717" w:type="dxa"/>
            <w:noWrap w:val="0"/>
            <w:vAlign w:val="center"/>
          </w:tcPr>
          <w:p>
            <w:pPr>
              <w:pStyle w:val="86"/>
              <w:spacing w:before="100" w:beforeAutospacing="1" w:after="100" w:afterAutospacing="1"/>
              <w:contextualSpacing/>
              <w:textAlignment w:val="center"/>
              <w:rPr>
                <w:rFonts w:hint="eastAsia"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≤10</w:t>
            </w:r>
            <w:r>
              <w:rPr>
                <w:rFonts w:hint="eastAsia" w:ascii="Times New Roman" w:hAnsi="Times New Roman" w:eastAsia="宋体" w:cs="Times New Roman"/>
                <w:b w:val="0"/>
                <w:bCs/>
                <w:color w:val="auto"/>
                <w:szCs w:val="21"/>
                <w:highlight w:val="none"/>
              </w:rPr>
              <w:t>0</w:t>
            </w:r>
          </w:p>
        </w:tc>
        <w:tc>
          <w:tcPr>
            <w:tcW w:w="1179"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p>
        </w:tc>
        <w:tc>
          <w:tcPr>
            <w:tcW w:w="1181" w:type="dxa"/>
            <w:vMerge w:val="continue"/>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p>
        </w:tc>
        <w:tc>
          <w:tcPr>
            <w:tcW w:w="1651"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年平均</w:t>
            </w:r>
          </w:p>
        </w:tc>
        <w:tc>
          <w:tcPr>
            <w:tcW w:w="2803" w:type="dxa"/>
            <w:gridSpan w:val="2"/>
            <w:noWrap w:val="0"/>
            <w:vAlign w:val="center"/>
          </w:tcPr>
          <w:p>
            <w:pPr>
              <w:spacing w:line="240" w:lineRule="auto"/>
              <w:ind w:firstLine="0" w:firstLineChars="0"/>
              <w:jc w:val="center"/>
              <w:rPr>
                <w:rFonts w:ascii="Times New Roman" w:hAnsi="Times New Roman" w:eastAsia="宋体" w:cs="Times New Roman"/>
                <w:bCs/>
                <w:color w:val="auto"/>
                <w:highlight w:val="none"/>
              </w:rPr>
            </w:pPr>
            <w:r>
              <w:rPr>
                <w:rFonts w:hint="eastAsia" w:ascii="Times New Roman" w:hAnsi="Times New Roman" w:eastAsia="宋体" w:cs="Times New Roman"/>
                <w:color w:val="auto"/>
                <w:sz w:val="21"/>
                <w:highlight w:val="none"/>
              </w:rPr>
              <w:t>7.21</w:t>
            </w:r>
          </w:p>
        </w:tc>
        <w:tc>
          <w:tcPr>
            <w:tcW w:w="1717"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≤30</w:t>
            </w:r>
          </w:p>
        </w:tc>
        <w:tc>
          <w:tcPr>
            <w:tcW w:w="1179"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2" w:type="dxa"/>
            <w:gridSpan w:val="7"/>
            <w:noWrap w:val="0"/>
            <w:vAlign w:val="center"/>
          </w:tcPr>
          <w:p>
            <w:pPr>
              <w:pStyle w:val="86"/>
              <w:spacing w:before="100" w:beforeAutospacing="1" w:after="100" w:afterAutospacing="1"/>
              <w:contextualSpacing/>
              <w:jc w:val="both"/>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二、现状达标污染物的叠加值浓度达标判定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noWrap w:val="0"/>
            <w:vAlign w:val="center"/>
          </w:tcPr>
          <w:p>
            <w:pPr>
              <w:pStyle w:val="86"/>
              <w:spacing w:before="100" w:beforeAutospacing="1" w:after="100" w:afterAutospacing="1"/>
              <w:contextualSpacing/>
              <w:textAlignment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序号</w:t>
            </w:r>
          </w:p>
        </w:tc>
        <w:tc>
          <w:tcPr>
            <w:tcW w:w="1181" w:type="dxa"/>
            <w:noWrap w:val="0"/>
            <w:vAlign w:val="center"/>
          </w:tcPr>
          <w:p>
            <w:pPr>
              <w:pStyle w:val="86"/>
              <w:spacing w:before="100" w:beforeAutospacing="1" w:after="100" w:afterAutospacing="1"/>
              <w:contextualSpacing/>
              <w:textAlignment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污染因子</w:t>
            </w:r>
          </w:p>
        </w:tc>
        <w:tc>
          <w:tcPr>
            <w:tcW w:w="1651" w:type="dxa"/>
            <w:noWrap w:val="0"/>
            <w:vAlign w:val="center"/>
          </w:tcPr>
          <w:p>
            <w:pPr>
              <w:pStyle w:val="86"/>
              <w:spacing w:before="100" w:beforeAutospacing="1" w:after="100" w:afterAutospacing="1"/>
              <w:contextualSpacing/>
              <w:textAlignment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平均时段</w:t>
            </w:r>
          </w:p>
        </w:tc>
        <w:tc>
          <w:tcPr>
            <w:tcW w:w="2090" w:type="dxa"/>
            <w:noWrap w:val="0"/>
            <w:vAlign w:val="center"/>
          </w:tcPr>
          <w:p>
            <w:pPr>
              <w:pStyle w:val="86"/>
              <w:spacing w:before="100" w:beforeAutospacing="1" w:after="100" w:afterAutospacing="1"/>
              <w:contextualSpacing/>
              <w:textAlignment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叠加浓度</w:t>
            </w:r>
            <w:r>
              <w:rPr>
                <w:rFonts w:hint="eastAsia" w:ascii="Times New Roman" w:hAnsi="Times New Roman" w:eastAsia="宋体" w:cs="Times New Roman"/>
                <w:color w:val="auto"/>
                <w:szCs w:val="21"/>
                <w:highlight w:val="none"/>
                <w:lang w:val="zh-CN"/>
              </w:rPr>
              <w:t>（</w:t>
            </w:r>
            <w:r>
              <w:rPr>
                <w:rFonts w:ascii="Times New Roman" w:hAnsi="Times New Roman" w:eastAsia="宋体" w:cs="Times New Roman"/>
                <w:b w:val="0"/>
                <w:bCs/>
                <w:color w:val="auto"/>
                <w:szCs w:val="21"/>
                <w:highlight w:val="none"/>
              </w:rPr>
              <w:t>mg/m</w:t>
            </w:r>
            <w:r>
              <w:rPr>
                <w:rFonts w:ascii="Times New Roman" w:hAnsi="Times New Roman" w:eastAsia="宋体" w:cs="Times New Roman"/>
                <w:b w:val="0"/>
                <w:bCs/>
                <w:color w:val="auto"/>
                <w:szCs w:val="21"/>
                <w:highlight w:val="none"/>
                <w:vertAlign w:val="superscript"/>
              </w:rPr>
              <w:t>3</w:t>
            </w:r>
            <w:r>
              <w:rPr>
                <w:rFonts w:hint="eastAsia" w:ascii="Times New Roman" w:hAnsi="Times New Roman" w:eastAsia="宋体" w:cs="Times New Roman"/>
                <w:color w:val="auto"/>
                <w:szCs w:val="21"/>
                <w:highlight w:val="none"/>
                <w:lang w:val="zh-CN"/>
              </w:rPr>
              <w:t>）</w:t>
            </w:r>
          </w:p>
        </w:tc>
        <w:tc>
          <w:tcPr>
            <w:tcW w:w="2430" w:type="dxa"/>
            <w:gridSpan w:val="2"/>
            <w:noWrap w:val="0"/>
            <w:vAlign w:val="center"/>
          </w:tcPr>
          <w:p>
            <w:pPr>
              <w:pStyle w:val="86"/>
              <w:spacing w:before="100" w:beforeAutospacing="1" w:after="100" w:afterAutospacing="1"/>
              <w:contextualSpacing/>
              <w:textAlignment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环境质量标准</w:t>
            </w:r>
            <w:r>
              <w:rPr>
                <w:rFonts w:hint="eastAsia" w:ascii="Times New Roman" w:hAnsi="Times New Roman" w:eastAsia="宋体" w:cs="Times New Roman"/>
                <w:color w:val="auto"/>
                <w:szCs w:val="21"/>
                <w:highlight w:val="none"/>
                <w:lang w:val="zh-CN"/>
              </w:rPr>
              <w:t>（</w:t>
            </w:r>
            <w:r>
              <w:rPr>
                <w:rFonts w:ascii="Times New Roman" w:hAnsi="Times New Roman" w:eastAsia="宋体" w:cs="Times New Roman"/>
                <w:b w:val="0"/>
                <w:bCs/>
                <w:color w:val="auto"/>
                <w:szCs w:val="21"/>
                <w:highlight w:val="none"/>
              </w:rPr>
              <w:t xml:space="preserve"> mg/m</w:t>
            </w:r>
            <w:r>
              <w:rPr>
                <w:rFonts w:ascii="Times New Roman" w:hAnsi="Times New Roman" w:eastAsia="宋体" w:cs="Times New Roman"/>
                <w:b w:val="0"/>
                <w:bCs/>
                <w:color w:val="auto"/>
                <w:szCs w:val="21"/>
                <w:highlight w:val="none"/>
                <w:vertAlign w:val="superscript"/>
              </w:rPr>
              <w:t>3</w:t>
            </w:r>
            <w:r>
              <w:rPr>
                <w:rFonts w:hint="eastAsia" w:ascii="Times New Roman" w:hAnsi="Times New Roman" w:eastAsia="宋体" w:cs="Times New Roman"/>
                <w:color w:val="auto"/>
                <w:szCs w:val="21"/>
                <w:highlight w:val="none"/>
                <w:lang w:val="zh-CN"/>
              </w:rPr>
              <w:t>）</w:t>
            </w:r>
          </w:p>
        </w:tc>
        <w:tc>
          <w:tcPr>
            <w:tcW w:w="1179" w:type="dxa"/>
            <w:noWrap w:val="0"/>
            <w:vAlign w:val="center"/>
          </w:tcPr>
          <w:p>
            <w:pPr>
              <w:pStyle w:val="86"/>
              <w:spacing w:before="100" w:beforeAutospacing="1" w:after="100" w:afterAutospacing="1"/>
              <w:contextualSpacing/>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lang w:val="zh-CN"/>
              </w:rPr>
              <w:t>是否满足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1</w:t>
            </w:r>
          </w:p>
        </w:tc>
        <w:tc>
          <w:tcPr>
            <w:tcW w:w="1181"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TSP</w:t>
            </w:r>
          </w:p>
        </w:tc>
        <w:tc>
          <w:tcPr>
            <w:tcW w:w="1651"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日均值</w:t>
            </w:r>
          </w:p>
        </w:tc>
        <w:tc>
          <w:tcPr>
            <w:tcW w:w="209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9.90E-02</w:t>
            </w:r>
          </w:p>
        </w:tc>
        <w:tc>
          <w:tcPr>
            <w:tcW w:w="2430" w:type="dxa"/>
            <w:gridSpan w:val="2"/>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0.3</w:t>
            </w:r>
          </w:p>
        </w:tc>
        <w:tc>
          <w:tcPr>
            <w:tcW w:w="1179"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restart"/>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2</w:t>
            </w:r>
          </w:p>
        </w:tc>
        <w:tc>
          <w:tcPr>
            <w:tcW w:w="1181" w:type="dxa"/>
            <w:vMerge w:val="restart"/>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PM</w:t>
            </w:r>
            <w:r>
              <w:rPr>
                <w:rFonts w:ascii="Times New Roman" w:hAnsi="Times New Roman" w:eastAsia="宋体" w:cs="Times New Roman"/>
                <w:b w:val="0"/>
                <w:bCs/>
                <w:color w:val="auto"/>
                <w:szCs w:val="21"/>
                <w:highlight w:val="none"/>
                <w:vertAlign w:val="subscript"/>
              </w:rPr>
              <w:t>10</w:t>
            </w:r>
          </w:p>
        </w:tc>
        <w:tc>
          <w:tcPr>
            <w:tcW w:w="1651"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保证率日均值</w:t>
            </w:r>
          </w:p>
        </w:tc>
        <w:tc>
          <w:tcPr>
            <w:tcW w:w="209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1.05E-01</w:t>
            </w:r>
          </w:p>
        </w:tc>
        <w:tc>
          <w:tcPr>
            <w:tcW w:w="2430" w:type="dxa"/>
            <w:gridSpan w:val="2"/>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0.15</w:t>
            </w:r>
          </w:p>
        </w:tc>
        <w:tc>
          <w:tcPr>
            <w:tcW w:w="1179"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p>
        </w:tc>
        <w:tc>
          <w:tcPr>
            <w:tcW w:w="1181" w:type="dxa"/>
            <w:vMerge w:val="continue"/>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p>
        </w:tc>
        <w:tc>
          <w:tcPr>
            <w:tcW w:w="1651"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年均值</w:t>
            </w:r>
          </w:p>
        </w:tc>
        <w:tc>
          <w:tcPr>
            <w:tcW w:w="209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5.12E-02</w:t>
            </w:r>
          </w:p>
        </w:tc>
        <w:tc>
          <w:tcPr>
            <w:tcW w:w="2430" w:type="dxa"/>
            <w:gridSpan w:val="2"/>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 xml:space="preserve">0.07 </w:t>
            </w:r>
          </w:p>
        </w:tc>
        <w:tc>
          <w:tcPr>
            <w:tcW w:w="1179"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restart"/>
            <w:noWrap w:val="0"/>
            <w:vAlign w:val="center"/>
          </w:tcPr>
          <w:p>
            <w:pPr>
              <w:pStyle w:val="86"/>
              <w:spacing w:before="100" w:beforeAutospacing="1" w:after="100" w:afterAutospacing="1"/>
              <w:contextualSpacing/>
              <w:textAlignment w:val="center"/>
              <w:rPr>
                <w:rFonts w:hint="eastAsia" w:ascii="Times New Roman" w:hAnsi="Times New Roman" w:eastAsia="宋体" w:cs="Times New Roman"/>
                <w:b w:val="0"/>
                <w:bCs/>
                <w:color w:val="auto"/>
                <w:szCs w:val="21"/>
                <w:highlight w:val="none"/>
              </w:rPr>
            </w:pPr>
            <w:r>
              <w:rPr>
                <w:rFonts w:hint="eastAsia" w:ascii="Times New Roman" w:hAnsi="Times New Roman" w:eastAsia="宋体" w:cs="Times New Roman"/>
                <w:b w:val="0"/>
                <w:bCs/>
                <w:color w:val="auto"/>
                <w:szCs w:val="21"/>
                <w:highlight w:val="none"/>
              </w:rPr>
              <w:t>3</w:t>
            </w:r>
          </w:p>
        </w:tc>
        <w:tc>
          <w:tcPr>
            <w:tcW w:w="1181" w:type="dxa"/>
            <w:vMerge w:val="restart"/>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PM</w:t>
            </w:r>
            <w:r>
              <w:rPr>
                <w:rFonts w:hint="eastAsia" w:ascii="Times New Roman" w:hAnsi="Times New Roman" w:eastAsia="宋体" w:cs="Times New Roman"/>
                <w:b w:val="0"/>
                <w:bCs/>
                <w:color w:val="auto"/>
                <w:szCs w:val="21"/>
                <w:highlight w:val="none"/>
                <w:vertAlign w:val="subscript"/>
              </w:rPr>
              <w:t>2.5</w:t>
            </w:r>
          </w:p>
        </w:tc>
        <w:tc>
          <w:tcPr>
            <w:tcW w:w="1651"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保证率日均值</w:t>
            </w:r>
          </w:p>
        </w:tc>
        <w:tc>
          <w:tcPr>
            <w:tcW w:w="209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7.20E-02</w:t>
            </w:r>
          </w:p>
        </w:tc>
        <w:tc>
          <w:tcPr>
            <w:tcW w:w="2430" w:type="dxa"/>
            <w:gridSpan w:val="2"/>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0.</w:t>
            </w:r>
            <w:r>
              <w:rPr>
                <w:rFonts w:hint="eastAsia" w:ascii="Times New Roman" w:hAnsi="Times New Roman" w:eastAsia="宋体" w:cs="Times New Roman"/>
                <w:b w:val="0"/>
                <w:bCs/>
                <w:color w:val="auto"/>
                <w:szCs w:val="21"/>
                <w:highlight w:val="none"/>
              </w:rPr>
              <w:t>075</w:t>
            </w:r>
          </w:p>
        </w:tc>
        <w:tc>
          <w:tcPr>
            <w:tcW w:w="1179"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p>
        </w:tc>
        <w:tc>
          <w:tcPr>
            <w:tcW w:w="1181" w:type="dxa"/>
            <w:vMerge w:val="continue"/>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p>
        </w:tc>
        <w:tc>
          <w:tcPr>
            <w:tcW w:w="1651"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年均值</w:t>
            </w:r>
          </w:p>
        </w:tc>
        <w:tc>
          <w:tcPr>
            <w:tcW w:w="209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3.40E-02</w:t>
            </w:r>
          </w:p>
        </w:tc>
        <w:tc>
          <w:tcPr>
            <w:tcW w:w="2430" w:type="dxa"/>
            <w:gridSpan w:val="2"/>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0.0</w:t>
            </w:r>
            <w:r>
              <w:rPr>
                <w:rFonts w:hint="eastAsia" w:ascii="Times New Roman" w:hAnsi="Times New Roman" w:eastAsia="宋体" w:cs="Times New Roman"/>
                <w:b w:val="0"/>
                <w:bCs/>
                <w:color w:val="auto"/>
                <w:szCs w:val="21"/>
                <w:highlight w:val="none"/>
              </w:rPr>
              <w:t>35</w:t>
            </w:r>
          </w:p>
        </w:tc>
        <w:tc>
          <w:tcPr>
            <w:tcW w:w="1179" w:type="dxa"/>
            <w:noWrap w:val="0"/>
            <w:vAlign w:val="center"/>
          </w:tcPr>
          <w:p>
            <w:pPr>
              <w:pStyle w:val="86"/>
              <w:spacing w:before="100" w:beforeAutospacing="1" w:after="100" w:afterAutospacing="1"/>
              <w:contextualSpacing/>
              <w:textAlignment w:val="center"/>
              <w:rPr>
                <w:rFonts w:ascii="Times New Roman" w:hAnsi="Times New Roman" w:eastAsia="宋体" w:cs="Times New Roman"/>
                <w:b w:val="0"/>
                <w:bCs/>
                <w:color w:val="auto"/>
                <w:szCs w:val="21"/>
                <w:highlight w:val="none"/>
              </w:rPr>
            </w:pPr>
            <w:r>
              <w:rPr>
                <w:rFonts w:ascii="Times New Roman" w:hAnsi="Times New Roman" w:eastAsia="宋体" w:cs="Times New Roman"/>
                <w:b w:val="0"/>
                <w:bCs/>
                <w:color w:val="auto"/>
                <w:szCs w:val="21"/>
                <w:highlight w:val="none"/>
              </w:rPr>
              <w:t>是</w:t>
            </w:r>
          </w:p>
        </w:tc>
      </w:tr>
    </w:tbl>
    <w:p>
      <w:pPr>
        <w:pStyle w:val="100"/>
        <w:spacing w:line="240" w:lineRule="exact"/>
        <w:ind w:firstLine="0" w:firstLine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注：TSP叠加</w:t>
      </w:r>
      <w:r>
        <w:rPr>
          <w:rFonts w:hint="eastAsia" w:ascii="Times New Roman" w:hAnsi="Times New Roman" w:eastAsia="宋体" w:cs="Times New Roman"/>
          <w:color w:val="auto"/>
          <w:sz w:val="21"/>
          <w:szCs w:val="21"/>
          <w:highlight w:val="none"/>
          <w:lang w:val="en-US"/>
        </w:rPr>
        <w:t>背景</w:t>
      </w:r>
      <w:r>
        <w:rPr>
          <w:rFonts w:ascii="Times New Roman" w:hAnsi="Times New Roman" w:eastAsia="宋体" w:cs="Times New Roman"/>
          <w:color w:val="auto"/>
          <w:sz w:val="21"/>
          <w:szCs w:val="21"/>
          <w:highlight w:val="none"/>
        </w:rPr>
        <w:t>浓度无保证率日均值和年均值，因此采用</w:t>
      </w:r>
      <w:r>
        <w:rPr>
          <w:rFonts w:hint="eastAsia" w:ascii="Times New Roman" w:hAnsi="Times New Roman" w:eastAsia="宋体" w:cs="Times New Roman"/>
          <w:color w:val="auto"/>
          <w:sz w:val="21"/>
          <w:szCs w:val="21"/>
          <w:highlight w:val="none"/>
          <w:lang w:val="en-US"/>
        </w:rPr>
        <w:t>监测最大</w:t>
      </w:r>
      <w:r>
        <w:rPr>
          <w:rFonts w:ascii="Times New Roman" w:hAnsi="Times New Roman" w:eastAsia="宋体" w:cs="Times New Roman"/>
          <w:color w:val="auto"/>
          <w:sz w:val="21"/>
          <w:szCs w:val="21"/>
          <w:highlight w:val="none"/>
        </w:rPr>
        <w:t>日均值进行</w:t>
      </w:r>
      <w:r>
        <w:rPr>
          <w:rFonts w:hint="eastAsia" w:ascii="Times New Roman" w:hAnsi="Times New Roman" w:eastAsia="宋体" w:cs="Times New Roman"/>
          <w:color w:val="auto"/>
          <w:sz w:val="21"/>
          <w:szCs w:val="21"/>
          <w:highlight w:val="none"/>
          <w:lang w:val="en-US"/>
        </w:rPr>
        <w:t>叠加</w:t>
      </w:r>
      <w:r>
        <w:rPr>
          <w:rFonts w:ascii="Times New Roman" w:hAnsi="Times New Roman" w:eastAsia="宋体" w:cs="Times New Roman"/>
          <w:color w:val="auto"/>
          <w:sz w:val="21"/>
          <w:szCs w:val="21"/>
          <w:highlight w:val="none"/>
        </w:rPr>
        <w:t>。</w:t>
      </w:r>
    </w:p>
    <w:p>
      <w:pPr>
        <w:pStyle w:val="100"/>
        <w:spacing w:line="240" w:lineRule="exact"/>
        <w:ind w:firstLine="0" w:firstLineChars="0"/>
        <w:rPr>
          <w:rFonts w:ascii="Times New Roman" w:hAnsi="Times New Roman" w:eastAsia="宋体" w:cs="Times New Roman"/>
          <w:color w:val="auto"/>
          <w:sz w:val="21"/>
          <w:szCs w:val="21"/>
          <w:highlight w:val="none"/>
        </w:rPr>
      </w:pPr>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根据上表统计可知，本项目新增污染源正常排放下各污染物短期浓度贡献值的最大浓度占标率小于100%；新增污染源正常排放下各污染物年均浓度贡献值的最大浓度占标率小于30%；TSP</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PM</w:t>
      </w:r>
      <w:r>
        <w:rPr>
          <w:rFonts w:ascii="Times New Roman" w:hAnsi="Times New Roman" w:eastAsia="宋体" w:cs="Times New Roman"/>
          <w:color w:val="auto"/>
          <w:highlight w:val="none"/>
          <w:vertAlign w:val="subscript"/>
        </w:rPr>
        <w:t>10</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PM</w:t>
      </w:r>
      <w:r>
        <w:rPr>
          <w:rFonts w:ascii="Times New Roman" w:hAnsi="Times New Roman" w:eastAsia="宋体" w:cs="Times New Roman"/>
          <w:color w:val="auto"/>
          <w:highlight w:val="none"/>
          <w:vertAlign w:val="subscript"/>
        </w:rPr>
        <w:t>2.5</w:t>
      </w:r>
      <w:r>
        <w:rPr>
          <w:rFonts w:ascii="Times New Roman" w:hAnsi="Times New Roman" w:eastAsia="宋体" w:cs="Times New Roman"/>
          <w:color w:val="auto"/>
          <w:highlight w:val="none"/>
        </w:rPr>
        <w:t>叠加现状浓度后符合环境质量标准。</w:t>
      </w:r>
    </w:p>
    <w:p>
      <w:pPr>
        <w:snapToGrid w:val="0"/>
        <w:ind w:firstLine="480"/>
        <w:rPr>
          <w:rFonts w:ascii="Times New Roman" w:hAnsi="Times New Roman" w:eastAsia="宋体" w:cs="Times New Roman"/>
          <w:color w:val="auto"/>
          <w:kern w:val="0"/>
          <w:highlight w:val="none"/>
        </w:rPr>
      </w:pPr>
      <w:r>
        <w:rPr>
          <w:rFonts w:ascii="Times New Roman" w:hAnsi="Times New Roman" w:eastAsia="宋体" w:cs="Times New Roman"/>
          <w:color w:val="auto"/>
          <w:highlight w:val="none"/>
        </w:rPr>
        <w:t>综上，本项目大气环境环境影响可以接受。</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本项目厂界浓度均满足厂界浓度限值，不需设置大气环境防护距离。</w:t>
      </w:r>
    </w:p>
    <w:p>
      <w:pPr>
        <w:pStyle w:val="5"/>
        <w:rPr>
          <w:rFonts w:ascii="Times New Roman" w:hAnsi="Times New Roman" w:eastAsia="宋体"/>
          <w:color w:val="auto"/>
          <w:highlight w:val="none"/>
        </w:rPr>
      </w:pPr>
      <w:r>
        <w:rPr>
          <w:rFonts w:ascii="Times New Roman" w:hAnsi="Times New Roman" w:eastAsia="宋体"/>
          <w:color w:val="auto"/>
          <w:highlight w:val="none"/>
        </w:rPr>
        <w:t>4.2.2 运营期地表水环境影响预测与评价</w:t>
      </w:r>
    </w:p>
    <w:p>
      <w:pPr>
        <w:pStyle w:val="6"/>
        <w:rPr>
          <w:rFonts w:ascii="Times New Roman" w:hAnsi="Times New Roman" w:eastAsia="宋体"/>
          <w:color w:val="auto"/>
          <w:highlight w:val="none"/>
        </w:rPr>
      </w:pPr>
      <w:bookmarkStart w:id="351" w:name="_Toc1084"/>
      <w:bookmarkStart w:id="352" w:name="_Toc29810"/>
      <w:bookmarkStart w:id="353" w:name="_Toc8132"/>
      <w:bookmarkStart w:id="354" w:name="_Toc264142445"/>
      <w:bookmarkStart w:id="355" w:name="_Toc22892"/>
      <w:bookmarkStart w:id="356" w:name="_Toc5835"/>
      <w:bookmarkStart w:id="357" w:name="_Toc29663"/>
      <w:bookmarkStart w:id="358" w:name="_Toc12576"/>
      <w:bookmarkStart w:id="359" w:name="_Toc14029"/>
      <w:bookmarkStart w:id="360" w:name="_Toc19623"/>
      <w:bookmarkStart w:id="361" w:name="_Toc13271"/>
      <w:r>
        <w:rPr>
          <w:rFonts w:ascii="Times New Roman" w:hAnsi="Times New Roman" w:eastAsia="宋体"/>
          <w:color w:val="auto"/>
          <w:highlight w:val="none"/>
        </w:rPr>
        <w:t xml:space="preserve">4.2.2.1 </w:t>
      </w:r>
      <w:bookmarkStart w:id="362" w:name="_Toc9684"/>
      <w:r>
        <w:rPr>
          <w:rFonts w:ascii="Times New Roman" w:hAnsi="Times New Roman" w:eastAsia="宋体"/>
          <w:color w:val="auto"/>
          <w:highlight w:val="none"/>
        </w:rPr>
        <w:t>水污染控制和水环境影响减缓措施有效性评价</w:t>
      </w:r>
    </w:p>
    <w:bookmarkEnd w:id="351"/>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1、生产废水</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矿区生产主要涉水环节有</w:t>
      </w:r>
      <w:r>
        <w:rPr>
          <w:rFonts w:ascii="Times New Roman" w:hAnsi="Times New Roman" w:eastAsia="宋体" w:cs="Times New Roman"/>
          <w:color w:val="auto"/>
          <w:spacing w:val="-2"/>
          <w:kern w:val="0"/>
          <w:highlight w:val="none"/>
        </w:rPr>
        <w:t>凿岩打孔用水、爆破抑尘用水、矿山内运输道路抑尘用水、破碎筛分喷淋降尘</w:t>
      </w:r>
      <w:r>
        <w:rPr>
          <w:rFonts w:hint="eastAsia" w:ascii="Times New Roman" w:hAnsi="Times New Roman" w:eastAsia="宋体" w:cs="Times New Roman"/>
          <w:color w:val="auto"/>
          <w:spacing w:val="-2"/>
          <w:kern w:val="0"/>
          <w:highlight w:val="none"/>
        </w:rPr>
        <w:t>用水</w:t>
      </w:r>
      <w:r>
        <w:rPr>
          <w:rFonts w:ascii="Times New Roman" w:hAnsi="Times New Roman" w:eastAsia="宋体" w:cs="Times New Roman"/>
          <w:color w:val="auto"/>
          <w:spacing w:val="-2"/>
          <w:kern w:val="0"/>
          <w:highlight w:val="none"/>
        </w:rPr>
        <w:t>、堆场洒水降尘</w:t>
      </w:r>
      <w:r>
        <w:rPr>
          <w:rFonts w:hint="eastAsia" w:ascii="Times New Roman" w:hAnsi="Times New Roman" w:eastAsia="宋体" w:cs="Times New Roman"/>
          <w:color w:val="auto"/>
          <w:spacing w:val="-2"/>
          <w:kern w:val="0"/>
          <w:highlight w:val="none"/>
        </w:rPr>
        <w:t>用水、雾炮机洒水降尘用水、车辆清洗用水、洗砂用水</w:t>
      </w:r>
      <w:r>
        <w:rPr>
          <w:rFonts w:ascii="Times New Roman" w:hAnsi="Times New Roman" w:eastAsia="宋体" w:cs="Times New Roman"/>
          <w:color w:val="auto"/>
          <w:highlight w:val="none"/>
        </w:rPr>
        <w:t>。</w:t>
      </w:r>
    </w:p>
    <w:p>
      <w:pPr>
        <w:ind w:firstLine="472"/>
        <w:rPr>
          <w:rFonts w:ascii="Times New Roman" w:hAnsi="Times New Roman" w:eastAsia="宋体" w:cs="Times New Roman"/>
          <w:color w:val="auto"/>
          <w:spacing w:val="-2"/>
          <w:kern w:val="0"/>
          <w:highlight w:val="none"/>
        </w:rPr>
      </w:pPr>
      <w:r>
        <w:rPr>
          <w:rFonts w:ascii="Times New Roman" w:hAnsi="Times New Roman" w:eastAsia="宋体" w:cs="Times New Roman"/>
          <w:color w:val="auto"/>
          <w:spacing w:val="-2"/>
          <w:kern w:val="0"/>
          <w:highlight w:val="none"/>
        </w:rPr>
        <w:t>凿岩打孔用水量为</w:t>
      </w:r>
      <w:r>
        <w:rPr>
          <w:rFonts w:hint="eastAsia" w:ascii="Times New Roman" w:hAnsi="Times New Roman" w:eastAsia="宋体" w:cs="Times New Roman"/>
          <w:color w:val="auto"/>
          <w:spacing w:val="-2"/>
          <w:kern w:val="0"/>
          <w:highlight w:val="none"/>
        </w:rPr>
        <w:t>500</w:t>
      </w:r>
      <w:r>
        <w:rPr>
          <w:rFonts w:ascii="Times New Roman" w:hAnsi="Times New Roman" w:eastAsia="宋体" w:cs="Times New Roman"/>
          <w:color w:val="auto"/>
          <w:spacing w:val="-2"/>
          <w:kern w:val="0"/>
          <w:highlight w:val="none"/>
        </w:rPr>
        <w:t>m</w:t>
      </w:r>
      <w:r>
        <w:rPr>
          <w:rFonts w:ascii="Times New Roman" w:hAnsi="Times New Roman" w:eastAsia="宋体" w:cs="Times New Roman"/>
          <w:color w:val="auto"/>
          <w:spacing w:val="-2"/>
          <w:kern w:val="0"/>
          <w:highlight w:val="none"/>
          <w:vertAlign w:val="superscript"/>
        </w:rPr>
        <w:t>3</w:t>
      </w:r>
      <w:r>
        <w:rPr>
          <w:rFonts w:ascii="Times New Roman" w:hAnsi="Times New Roman" w:eastAsia="宋体" w:cs="Times New Roman"/>
          <w:color w:val="auto"/>
          <w:spacing w:val="-2"/>
          <w:kern w:val="0"/>
          <w:highlight w:val="none"/>
        </w:rPr>
        <w:t>/a，爆破抑尘用水量为</w:t>
      </w:r>
      <w:r>
        <w:rPr>
          <w:rFonts w:hint="eastAsia" w:ascii="Times New Roman" w:hAnsi="Times New Roman" w:eastAsia="宋体" w:cs="Times New Roman"/>
          <w:color w:val="auto"/>
          <w:spacing w:val="-2"/>
          <w:kern w:val="0"/>
          <w:highlight w:val="none"/>
        </w:rPr>
        <w:t>250</w:t>
      </w:r>
      <w:r>
        <w:rPr>
          <w:rFonts w:ascii="Times New Roman" w:hAnsi="Times New Roman" w:eastAsia="宋体" w:cs="Times New Roman"/>
          <w:color w:val="auto"/>
          <w:spacing w:val="-2"/>
          <w:kern w:val="0"/>
          <w:highlight w:val="none"/>
        </w:rPr>
        <w:t>m</w:t>
      </w:r>
      <w:r>
        <w:rPr>
          <w:rFonts w:ascii="Times New Roman" w:hAnsi="Times New Roman" w:eastAsia="宋体" w:cs="Times New Roman"/>
          <w:color w:val="auto"/>
          <w:spacing w:val="-2"/>
          <w:kern w:val="0"/>
          <w:highlight w:val="none"/>
          <w:vertAlign w:val="superscript"/>
        </w:rPr>
        <w:t>3</w:t>
      </w:r>
      <w:r>
        <w:rPr>
          <w:rFonts w:ascii="Times New Roman" w:hAnsi="Times New Roman" w:eastAsia="宋体" w:cs="Times New Roman"/>
          <w:color w:val="auto"/>
          <w:spacing w:val="-2"/>
          <w:kern w:val="0"/>
          <w:highlight w:val="none"/>
        </w:rPr>
        <w:t>/a，破碎筛分洒水降尘用水量</w:t>
      </w:r>
      <w:r>
        <w:rPr>
          <w:rFonts w:hint="eastAsia" w:ascii="Times New Roman" w:hAnsi="Times New Roman" w:eastAsia="宋体" w:cs="Times New Roman"/>
          <w:color w:val="auto"/>
          <w:spacing w:val="-2"/>
          <w:kern w:val="0"/>
          <w:highlight w:val="none"/>
        </w:rPr>
        <w:t>10000</w:t>
      </w:r>
      <w:r>
        <w:rPr>
          <w:rFonts w:ascii="Times New Roman" w:hAnsi="Times New Roman" w:eastAsia="宋体" w:cs="Times New Roman"/>
          <w:color w:val="auto"/>
          <w:spacing w:val="-2"/>
          <w:kern w:val="0"/>
          <w:highlight w:val="none"/>
        </w:rPr>
        <w:t>m</w:t>
      </w:r>
      <w:r>
        <w:rPr>
          <w:rFonts w:ascii="Times New Roman" w:hAnsi="Times New Roman" w:eastAsia="宋体" w:cs="Times New Roman"/>
          <w:color w:val="auto"/>
          <w:spacing w:val="-2"/>
          <w:kern w:val="0"/>
          <w:highlight w:val="none"/>
          <w:vertAlign w:val="superscript"/>
        </w:rPr>
        <w:t>3</w:t>
      </w:r>
      <w:r>
        <w:rPr>
          <w:rFonts w:ascii="Times New Roman" w:hAnsi="Times New Roman" w:eastAsia="宋体" w:cs="Times New Roman"/>
          <w:color w:val="auto"/>
          <w:spacing w:val="-2"/>
          <w:kern w:val="0"/>
          <w:highlight w:val="none"/>
        </w:rPr>
        <w:t>/a，这部分水将全部蒸发或渗透入矿石</w:t>
      </w:r>
      <w:r>
        <w:rPr>
          <w:rFonts w:hint="eastAsia" w:ascii="Times New Roman" w:hAnsi="Times New Roman" w:eastAsia="宋体" w:cs="Times New Roman"/>
          <w:color w:val="auto"/>
          <w:spacing w:val="-2"/>
          <w:kern w:val="0"/>
          <w:highlight w:val="none"/>
        </w:rPr>
        <w:t>堆</w:t>
      </w:r>
      <w:r>
        <w:rPr>
          <w:rFonts w:ascii="Times New Roman" w:hAnsi="Times New Roman" w:eastAsia="宋体" w:cs="Times New Roman"/>
          <w:color w:val="auto"/>
          <w:spacing w:val="-2"/>
          <w:kern w:val="0"/>
          <w:highlight w:val="none"/>
        </w:rPr>
        <w:t>中；矿山内运输道路抑尘用水</w:t>
      </w:r>
      <w:r>
        <w:rPr>
          <w:rFonts w:hint="eastAsia" w:ascii="Times New Roman" w:hAnsi="Times New Roman" w:eastAsia="宋体" w:cs="Times New Roman"/>
          <w:color w:val="auto"/>
          <w:spacing w:val="-2"/>
          <w:kern w:val="0"/>
          <w:highlight w:val="none"/>
        </w:rPr>
        <w:t>3600</w:t>
      </w:r>
      <w:r>
        <w:rPr>
          <w:rFonts w:ascii="Times New Roman" w:hAnsi="Times New Roman" w:eastAsia="宋体" w:cs="Times New Roman"/>
          <w:color w:val="auto"/>
          <w:spacing w:val="-2"/>
          <w:kern w:val="0"/>
          <w:highlight w:val="none"/>
        </w:rPr>
        <w:t>m</w:t>
      </w:r>
      <w:r>
        <w:rPr>
          <w:rFonts w:ascii="Times New Roman" w:hAnsi="Times New Roman" w:eastAsia="宋体" w:cs="Times New Roman"/>
          <w:color w:val="auto"/>
          <w:spacing w:val="-2"/>
          <w:kern w:val="0"/>
          <w:highlight w:val="none"/>
          <w:vertAlign w:val="superscript"/>
        </w:rPr>
        <w:t>3</w:t>
      </w:r>
      <w:r>
        <w:rPr>
          <w:rFonts w:ascii="Times New Roman" w:hAnsi="Times New Roman" w:eastAsia="宋体" w:cs="Times New Roman"/>
          <w:color w:val="auto"/>
          <w:spacing w:val="-2"/>
          <w:kern w:val="0"/>
          <w:highlight w:val="none"/>
        </w:rPr>
        <w:t>/a，这部分水将全部蒸发和渗透到地面；堆场洒水降尘用水量</w:t>
      </w:r>
      <w:r>
        <w:rPr>
          <w:rFonts w:hint="eastAsia" w:ascii="Times New Roman" w:hAnsi="Times New Roman" w:eastAsia="宋体" w:cs="Times New Roman"/>
          <w:color w:val="auto"/>
          <w:spacing w:val="-2"/>
          <w:kern w:val="0"/>
          <w:highlight w:val="none"/>
        </w:rPr>
        <w:t>4800</w:t>
      </w:r>
      <w:r>
        <w:rPr>
          <w:rFonts w:ascii="Times New Roman" w:hAnsi="Times New Roman" w:eastAsia="宋体" w:cs="Times New Roman"/>
          <w:color w:val="auto"/>
          <w:spacing w:val="-2"/>
          <w:kern w:val="0"/>
          <w:highlight w:val="none"/>
        </w:rPr>
        <w:t>m</w:t>
      </w:r>
      <w:r>
        <w:rPr>
          <w:rFonts w:ascii="Times New Roman" w:hAnsi="Times New Roman" w:eastAsia="宋体" w:cs="Times New Roman"/>
          <w:color w:val="auto"/>
          <w:spacing w:val="-2"/>
          <w:kern w:val="0"/>
          <w:highlight w:val="none"/>
          <w:vertAlign w:val="superscript"/>
        </w:rPr>
        <w:t>3</w:t>
      </w:r>
      <w:r>
        <w:rPr>
          <w:rFonts w:ascii="Times New Roman" w:hAnsi="Times New Roman" w:eastAsia="宋体" w:cs="Times New Roman"/>
          <w:color w:val="auto"/>
          <w:spacing w:val="-2"/>
          <w:kern w:val="0"/>
          <w:highlight w:val="none"/>
        </w:rPr>
        <w:t>/a，</w:t>
      </w:r>
      <w:r>
        <w:rPr>
          <w:rFonts w:hint="eastAsia" w:ascii="Times New Roman" w:hAnsi="Times New Roman" w:eastAsia="宋体" w:cs="Times New Roman"/>
          <w:color w:val="auto"/>
          <w:spacing w:val="-2"/>
          <w:kern w:val="0"/>
          <w:highlight w:val="none"/>
        </w:rPr>
        <w:t>炮雾机洒水降尘用水量960m</w:t>
      </w:r>
      <w:r>
        <w:rPr>
          <w:rFonts w:hint="eastAsia" w:ascii="Times New Roman" w:hAnsi="Times New Roman" w:eastAsia="宋体" w:cs="Times New Roman"/>
          <w:color w:val="auto"/>
          <w:spacing w:val="-2"/>
          <w:kern w:val="0"/>
          <w:highlight w:val="none"/>
          <w:vertAlign w:val="superscript"/>
        </w:rPr>
        <w:t>3</w:t>
      </w:r>
      <w:r>
        <w:rPr>
          <w:rFonts w:hint="eastAsia" w:ascii="Times New Roman" w:hAnsi="Times New Roman" w:eastAsia="宋体" w:cs="Times New Roman"/>
          <w:color w:val="auto"/>
          <w:spacing w:val="-2"/>
          <w:kern w:val="0"/>
          <w:highlight w:val="none"/>
        </w:rPr>
        <w:t>/a，</w:t>
      </w:r>
      <w:r>
        <w:rPr>
          <w:rFonts w:ascii="Times New Roman" w:hAnsi="Times New Roman" w:eastAsia="宋体" w:cs="Times New Roman"/>
          <w:color w:val="auto"/>
          <w:spacing w:val="-2"/>
          <w:kern w:val="0"/>
          <w:highlight w:val="none"/>
        </w:rPr>
        <w:t>这部分水被矿石吸收和蒸发，没有废水外排</w:t>
      </w:r>
      <w:r>
        <w:rPr>
          <w:rFonts w:hint="eastAsia" w:ascii="Times New Roman" w:hAnsi="Times New Roman" w:eastAsia="宋体" w:cs="Times New Roman"/>
          <w:color w:val="auto"/>
          <w:spacing w:val="-2"/>
          <w:kern w:val="0"/>
          <w:highlight w:val="none"/>
        </w:rPr>
        <w:t>；车辆清洗产生的废水量840m</w:t>
      </w:r>
      <w:r>
        <w:rPr>
          <w:rFonts w:hint="eastAsia" w:ascii="Times New Roman" w:hAnsi="Times New Roman" w:eastAsia="宋体" w:cs="Times New Roman"/>
          <w:color w:val="auto"/>
          <w:spacing w:val="-2"/>
          <w:kern w:val="0"/>
          <w:highlight w:val="none"/>
          <w:vertAlign w:val="superscript"/>
        </w:rPr>
        <w:t>3</w:t>
      </w:r>
      <w:r>
        <w:rPr>
          <w:rFonts w:hint="eastAsia" w:ascii="Times New Roman" w:hAnsi="Times New Roman" w:eastAsia="宋体" w:cs="Times New Roman"/>
          <w:color w:val="auto"/>
          <w:spacing w:val="-2"/>
          <w:kern w:val="0"/>
          <w:highlight w:val="none"/>
        </w:rPr>
        <w:t>/a，</w:t>
      </w:r>
      <w:r>
        <w:rPr>
          <w:rFonts w:ascii="Times New Roman" w:hAnsi="Times New Roman" w:eastAsia="宋体" w:cs="Times New Roman"/>
          <w:color w:val="auto"/>
          <w:highlight w:val="none"/>
        </w:rPr>
        <w:t>冲洗废水主要含泥砂，污染物为SS。项目在自动洗车平台处设</w:t>
      </w:r>
      <w:r>
        <w:rPr>
          <w:rFonts w:hint="eastAsia" w:ascii="Times New Roman" w:hAnsi="Times New Roman" w:eastAsia="宋体" w:cs="Times New Roman"/>
          <w:color w:val="auto"/>
          <w:highlight w:val="none"/>
        </w:rPr>
        <w:t>隔油</w:t>
      </w:r>
      <w:r>
        <w:rPr>
          <w:rFonts w:ascii="Times New Roman" w:hAnsi="Times New Roman" w:eastAsia="宋体" w:cs="Times New Roman"/>
          <w:color w:val="auto"/>
          <w:highlight w:val="none"/>
        </w:rPr>
        <w:t>沉砂池，废水处理后循环利用。</w:t>
      </w:r>
      <w:r>
        <w:rPr>
          <w:rFonts w:hint="eastAsia" w:ascii="Times New Roman" w:hAnsi="Times New Roman" w:eastAsia="宋体" w:cs="Times New Roman"/>
          <w:color w:val="auto"/>
          <w:highlight w:val="none"/>
        </w:rPr>
        <w:t>洗砂废水75000</w:t>
      </w:r>
      <w:r>
        <w:rPr>
          <w:rFonts w:ascii="Times New Roman" w:hAnsi="Times New Roman" w:eastAsia="宋体" w:cs="Times New Roman"/>
          <w:color w:val="auto"/>
          <w:spacing w:val="-2"/>
          <w:kern w:val="0"/>
          <w:highlight w:val="none"/>
        </w:rPr>
        <w:t>m</w:t>
      </w:r>
      <w:r>
        <w:rPr>
          <w:rFonts w:ascii="Times New Roman" w:hAnsi="Times New Roman" w:eastAsia="宋体" w:cs="Times New Roman"/>
          <w:color w:val="auto"/>
          <w:spacing w:val="-2"/>
          <w:kern w:val="0"/>
          <w:highlight w:val="none"/>
          <w:vertAlign w:val="superscript"/>
        </w:rPr>
        <w:t>3</w:t>
      </w:r>
      <w:r>
        <w:rPr>
          <w:rFonts w:ascii="Times New Roman" w:hAnsi="Times New Roman" w:eastAsia="宋体" w:cs="Times New Roman"/>
          <w:color w:val="auto"/>
          <w:spacing w:val="-2"/>
          <w:kern w:val="0"/>
          <w:highlight w:val="none"/>
        </w:rPr>
        <w:t>/a</w:t>
      </w:r>
      <w:r>
        <w:rPr>
          <w:rFonts w:hint="eastAsia" w:ascii="Times New Roman" w:hAnsi="Times New Roman" w:eastAsia="宋体" w:cs="Times New Roman"/>
          <w:color w:val="auto"/>
          <w:highlight w:val="none"/>
        </w:rPr>
        <w:t>，废水处理后循环使用不外排。</w:t>
      </w:r>
      <w:r>
        <w:rPr>
          <w:rFonts w:ascii="Times New Roman" w:hAnsi="Times New Roman" w:eastAsia="宋体" w:cs="Times New Roman"/>
          <w:color w:val="auto"/>
          <w:spacing w:val="-2"/>
          <w:kern w:val="0"/>
          <w:highlight w:val="none"/>
        </w:rPr>
        <w:t>生产废水均处理得当，对周围水环境影响不大。</w:t>
      </w:r>
    </w:p>
    <w:p>
      <w:pPr>
        <w:ind w:firstLine="480"/>
        <w:rPr>
          <w:rFonts w:ascii="Times New Roman" w:hAnsi="Times New Roman" w:eastAsia="宋体" w:cs="Times New Roman"/>
          <w:color w:val="auto"/>
          <w:highlight w:val="none"/>
        </w:rPr>
      </w:pPr>
      <w:bookmarkStart w:id="363" w:name="_Toc22524"/>
      <w:r>
        <w:rPr>
          <w:rFonts w:ascii="Times New Roman" w:hAnsi="Times New Roman" w:eastAsia="宋体" w:cs="Times New Roman"/>
          <w:color w:val="auto"/>
          <w:highlight w:val="none"/>
        </w:rPr>
        <w:t>2、</w:t>
      </w:r>
      <w:bookmarkEnd w:id="362"/>
      <w:r>
        <w:rPr>
          <w:rFonts w:ascii="Times New Roman" w:hAnsi="Times New Roman" w:eastAsia="宋体" w:cs="Times New Roman"/>
          <w:color w:val="auto"/>
          <w:highlight w:val="none"/>
        </w:rPr>
        <w:t>矿区初期雨水影响分析</w:t>
      </w:r>
      <w:bookmarkEnd w:id="363"/>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u w:val="single"/>
        </w:rPr>
        <w:t>根据工程分析，暴雨时</w:t>
      </w:r>
      <w:r>
        <w:rPr>
          <w:rFonts w:hint="eastAsia" w:ascii="Times New Roman" w:hAnsi="Times New Roman" w:eastAsia="宋体" w:cs="Times New Roman"/>
          <w:color w:val="auto"/>
          <w:highlight w:val="none"/>
          <w:u w:val="single"/>
        </w:rPr>
        <w:t>对</w:t>
      </w:r>
      <w:r>
        <w:rPr>
          <w:rFonts w:ascii="Times New Roman" w:hAnsi="Times New Roman" w:eastAsia="宋体" w:cs="Times New Roman"/>
          <w:color w:val="auto"/>
          <w:highlight w:val="none"/>
          <w:u w:val="single"/>
        </w:rPr>
        <w:t>降雨过程中前30min的初期雨水进行收集。项目</w:t>
      </w:r>
      <w:r>
        <w:rPr>
          <w:rFonts w:hint="eastAsia"/>
          <w:color w:val="auto"/>
          <w:highlight w:val="none"/>
          <w:u w:val="single"/>
          <w:lang w:eastAsia="zh-CN"/>
        </w:rPr>
        <w:t>破碎场①</w:t>
      </w:r>
      <w:r>
        <w:rPr>
          <w:rFonts w:hint="eastAsia" w:ascii="Times New Roman" w:hAnsi="Times New Roman" w:eastAsia="宋体" w:cs="Times New Roman"/>
          <w:color w:val="auto"/>
          <w:highlight w:val="none"/>
          <w:u w:val="single"/>
        </w:rPr>
        <w:t>、</w:t>
      </w:r>
      <w:r>
        <w:rPr>
          <w:rFonts w:hint="eastAsia" w:cs="Times New Roman"/>
          <w:color w:val="auto"/>
          <w:highlight w:val="none"/>
          <w:u w:val="single"/>
          <w:lang w:eastAsia="zh-CN"/>
        </w:rPr>
        <w:t>破碎场②</w:t>
      </w:r>
      <w:r>
        <w:rPr>
          <w:rFonts w:ascii="Times New Roman" w:hAnsi="Times New Roman" w:eastAsia="宋体" w:cs="Times New Roman"/>
          <w:color w:val="auto"/>
          <w:highlight w:val="none"/>
          <w:u w:val="single"/>
        </w:rPr>
        <w:t>初期雨水收集</w:t>
      </w:r>
      <w:r>
        <w:rPr>
          <w:rFonts w:hint="eastAsia" w:cs="Times New Roman"/>
          <w:color w:val="auto"/>
          <w:highlight w:val="none"/>
          <w:u w:val="single"/>
          <w:lang w:val="en-US" w:eastAsia="zh-CN"/>
        </w:rPr>
        <w:t>总</w:t>
      </w:r>
      <w:r>
        <w:rPr>
          <w:rFonts w:ascii="Times New Roman" w:hAnsi="Times New Roman" w:eastAsia="宋体" w:cs="Times New Roman"/>
          <w:color w:val="auto"/>
          <w:highlight w:val="none"/>
          <w:u w:val="single"/>
        </w:rPr>
        <w:t>量为</w:t>
      </w:r>
      <w:r>
        <w:rPr>
          <w:rFonts w:hint="eastAsia" w:cs="Times New Roman"/>
          <w:color w:val="auto"/>
          <w:highlight w:val="none"/>
          <w:u w:val="single"/>
          <w:lang w:val="en-US" w:eastAsia="zh-CN"/>
        </w:rPr>
        <w:t>401</w:t>
      </w:r>
      <w:r>
        <w:rPr>
          <w:rFonts w:ascii="Times New Roman" w:hAnsi="Times New Roman" w:eastAsia="宋体" w:cs="Times New Roman"/>
          <w:color w:val="auto"/>
          <w:kern w:val="0"/>
          <w:highlight w:val="none"/>
          <w:u w:val="single"/>
        </w:rPr>
        <w:t>m</w:t>
      </w:r>
      <w:r>
        <w:rPr>
          <w:rFonts w:ascii="Times New Roman" w:hAnsi="Times New Roman" w:eastAsia="宋体" w:cs="Times New Roman"/>
          <w:color w:val="auto"/>
          <w:kern w:val="0"/>
          <w:highlight w:val="none"/>
          <w:u w:val="single"/>
          <w:vertAlign w:val="superscript"/>
        </w:rPr>
        <w:t>3</w:t>
      </w:r>
      <w:r>
        <w:rPr>
          <w:rFonts w:ascii="Times New Roman" w:hAnsi="Times New Roman" w:eastAsia="宋体" w:cs="Times New Roman"/>
          <w:color w:val="auto"/>
          <w:kern w:val="0"/>
          <w:highlight w:val="none"/>
          <w:u w:val="single"/>
        </w:rPr>
        <w:t>/次</w:t>
      </w:r>
      <w:r>
        <w:rPr>
          <w:rFonts w:ascii="Times New Roman" w:hAnsi="Times New Roman" w:eastAsia="宋体" w:cs="Times New Roman"/>
          <w:color w:val="auto"/>
          <w:highlight w:val="none"/>
          <w:u w:val="single"/>
        </w:rPr>
        <w:t>，污染物主要以悬浮物为主</w:t>
      </w:r>
      <w:r>
        <w:rPr>
          <w:rFonts w:ascii="Times New Roman" w:hAnsi="Times New Roman" w:eastAsia="宋体" w:cs="Times New Roman"/>
          <w:color w:val="auto"/>
          <w:highlight w:val="none"/>
        </w:rPr>
        <w:t>。本评价要求矿区矿山</w:t>
      </w:r>
      <w:r>
        <w:rPr>
          <w:rFonts w:hint="eastAsia" w:ascii="Times New Roman" w:hAnsi="Times New Roman" w:eastAsia="宋体" w:cs="Times New Roman"/>
          <w:color w:val="auto"/>
          <w:highlight w:val="none"/>
        </w:rPr>
        <w:t>沿山道路</w:t>
      </w:r>
      <w:r>
        <w:rPr>
          <w:rFonts w:ascii="Times New Roman" w:hAnsi="Times New Roman" w:eastAsia="宋体" w:cs="Times New Roman"/>
          <w:color w:val="auto"/>
          <w:highlight w:val="none"/>
        </w:rPr>
        <w:t>周边设置截排水沟，</w:t>
      </w:r>
      <w:r>
        <w:rPr>
          <w:rFonts w:hint="eastAsia" w:ascii="Times New Roman" w:hAnsi="Times New Roman" w:eastAsia="宋体" w:cs="Times New Roman"/>
          <w:color w:val="auto"/>
          <w:highlight w:val="none"/>
        </w:rPr>
        <w:t>将采区和加工区初期雨水导入截排水沟中</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同时在截排水沟底部建设</w:t>
      </w:r>
      <w:r>
        <w:rPr>
          <w:rFonts w:ascii="Times New Roman" w:hAnsi="Times New Roman" w:eastAsia="宋体" w:cs="Times New Roman"/>
          <w:color w:val="auto"/>
          <w:highlight w:val="none"/>
        </w:rPr>
        <w:t>2座初期雨水沉沙池</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矿区内采区和加工区前30min初期雨水经收集进入沉砂池沉淀后，上层清水可用于矿区洒水降尘。</w:t>
      </w:r>
    </w:p>
    <w:p>
      <w:pPr>
        <w:ind w:firstLine="480"/>
        <w:rPr>
          <w:rFonts w:hint="eastAsia" w:ascii="Times New Roman" w:hAnsi="Times New Roman" w:eastAsia="宋体" w:cs="Times New Roman"/>
          <w:color w:val="auto"/>
          <w:highlight w:val="none"/>
        </w:rPr>
      </w:pPr>
      <w:r>
        <w:rPr>
          <w:rFonts w:ascii="Times New Roman" w:hAnsi="Times New Roman" w:eastAsia="宋体" w:cs="Times New Roman"/>
          <w:color w:val="auto"/>
          <w:highlight w:val="none"/>
          <w:u w:val="single"/>
        </w:rPr>
        <w:t>降雨形成的地表径流冲刷开采区地表及裸露的岩石，导致地表径流中悬浮物浓度较大，</w:t>
      </w:r>
      <w:r>
        <w:rPr>
          <w:rFonts w:hint="eastAsia" w:ascii="Times New Roman" w:hAnsi="Times New Roman" w:eastAsia="宋体" w:cs="Times New Roman"/>
          <w:color w:val="auto"/>
          <w:highlight w:val="none"/>
          <w:u w:val="single"/>
        </w:rPr>
        <w:t>约为</w:t>
      </w:r>
      <w:r>
        <w:rPr>
          <w:rFonts w:ascii="Times New Roman" w:hAnsi="Times New Roman" w:eastAsia="宋体" w:cs="Times New Roman"/>
          <w:color w:val="auto"/>
          <w:highlight w:val="none"/>
          <w:u w:val="single"/>
        </w:rPr>
        <w:t>500mg/L。通过在</w:t>
      </w:r>
      <w:r>
        <w:rPr>
          <w:rFonts w:hint="eastAsia" w:cs="Times New Roman"/>
          <w:color w:val="auto"/>
          <w:highlight w:val="none"/>
          <w:u w:val="single"/>
          <w:lang w:eastAsia="zh-CN"/>
        </w:rPr>
        <w:t>破碎场①</w:t>
      </w:r>
      <w:r>
        <w:rPr>
          <w:rFonts w:hint="eastAsia" w:ascii="Times New Roman" w:hAnsi="Times New Roman" w:eastAsia="宋体" w:cs="Times New Roman"/>
          <w:color w:val="auto"/>
          <w:highlight w:val="none"/>
          <w:u w:val="single"/>
        </w:rPr>
        <w:t>的上山道路周边</w:t>
      </w:r>
      <w:r>
        <w:rPr>
          <w:rFonts w:ascii="Times New Roman" w:hAnsi="Times New Roman" w:eastAsia="宋体" w:cs="Times New Roman"/>
          <w:color w:val="auto"/>
          <w:highlight w:val="none"/>
          <w:u w:val="single"/>
        </w:rPr>
        <w:t>设置截排水沟</w:t>
      </w:r>
      <w:r>
        <w:rPr>
          <w:rFonts w:hint="eastAsia" w:cs="Times New Roman"/>
          <w:color w:val="auto"/>
          <w:highlight w:val="none"/>
          <w:u w:val="single"/>
          <w:lang w:eastAsia="zh-CN"/>
        </w:rPr>
        <w:t>，</w:t>
      </w:r>
      <w:r>
        <w:rPr>
          <w:rFonts w:hint="eastAsia" w:cs="Times New Roman"/>
          <w:color w:val="auto"/>
          <w:highlight w:val="none"/>
          <w:u w:val="single"/>
          <w:lang w:val="en-US" w:eastAsia="zh-CN"/>
        </w:rPr>
        <w:t>同时在破碎场</w:t>
      </w:r>
      <w:r>
        <w:rPr>
          <w:rFonts w:hint="eastAsia" w:cs="Times New Roman"/>
          <w:color w:val="auto"/>
          <w:highlight w:val="none"/>
          <w:u w:val="single"/>
          <w:lang w:eastAsia="zh-CN"/>
        </w:rPr>
        <w:t>①泄洪通道</w:t>
      </w:r>
      <w:r>
        <w:rPr>
          <w:rFonts w:hint="eastAsia" w:cs="Times New Roman"/>
          <w:color w:val="auto"/>
          <w:highlight w:val="none"/>
          <w:u w:val="single"/>
          <w:lang w:val="en-US" w:eastAsia="zh-CN"/>
        </w:rPr>
        <w:t>边设置导流沟，将堆料场</w:t>
      </w:r>
      <w:r>
        <w:rPr>
          <w:rFonts w:hint="eastAsia" w:ascii="宋体" w:hAnsi="宋体" w:eastAsia="宋体" w:cs="宋体"/>
          <w:color w:val="auto"/>
          <w:highlight w:val="none"/>
          <w:u w:val="single"/>
          <w:lang w:val="en-US" w:eastAsia="zh-CN"/>
        </w:rPr>
        <w:t>①②③④</w:t>
      </w:r>
      <w:r>
        <w:rPr>
          <w:rFonts w:hint="eastAsia" w:cs="Times New Roman"/>
          <w:color w:val="auto"/>
          <w:highlight w:val="none"/>
          <w:u w:val="single"/>
          <w:lang w:val="en-US" w:eastAsia="zh-CN"/>
        </w:rPr>
        <w:t>初期雨水引入</w:t>
      </w:r>
      <w:r>
        <w:rPr>
          <w:rFonts w:ascii="Times New Roman" w:hAnsi="Times New Roman" w:eastAsia="宋体" w:cs="Times New Roman"/>
          <w:color w:val="auto"/>
          <w:highlight w:val="none"/>
          <w:u w:val="single"/>
        </w:rPr>
        <w:t>1#沉砂池</w:t>
      </w:r>
      <w:r>
        <w:rPr>
          <w:rFonts w:hint="eastAsia" w:cs="Times New Roman"/>
          <w:color w:val="auto"/>
          <w:highlight w:val="none"/>
          <w:u w:val="single"/>
          <w:lang w:eastAsia="zh-CN"/>
        </w:rPr>
        <w:t>，</w:t>
      </w:r>
      <w:r>
        <w:rPr>
          <w:rFonts w:hint="eastAsia" w:cs="Times New Roman"/>
          <w:color w:val="auto"/>
          <w:highlight w:val="none"/>
          <w:u w:val="single"/>
          <w:lang w:val="en-US" w:eastAsia="zh-CN"/>
        </w:rPr>
        <w:t>在</w:t>
      </w:r>
      <w:r>
        <w:rPr>
          <w:rFonts w:hint="eastAsia" w:cs="Times New Roman"/>
          <w:color w:val="auto"/>
          <w:highlight w:val="none"/>
          <w:u w:val="single"/>
          <w:lang w:eastAsia="zh-CN"/>
        </w:rPr>
        <w:t>破碎场②</w:t>
      </w:r>
      <w:r>
        <w:rPr>
          <w:rFonts w:hint="eastAsia" w:ascii="Times New Roman" w:hAnsi="Times New Roman" w:eastAsia="宋体" w:cs="Times New Roman"/>
          <w:color w:val="auto"/>
          <w:highlight w:val="none"/>
          <w:u w:val="single"/>
        </w:rPr>
        <w:t>的</w:t>
      </w:r>
      <w:r>
        <w:rPr>
          <w:rFonts w:hint="eastAsia" w:cs="Times New Roman"/>
          <w:color w:val="auto"/>
          <w:highlight w:val="none"/>
          <w:u w:val="single"/>
          <w:lang w:val="en-US" w:eastAsia="zh-CN"/>
        </w:rPr>
        <w:t>破碎加工区和堆料场</w:t>
      </w:r>
      <w:r>
        <w:rPr>
          <w:rFonts w:hint="eastAsia" w:ascii="Times New Roman" w:hAnsi="Times New Roman" w:eastAsia="宋体" w:cs="Times New Roman"/>
          <w:color w:val="auto"/>
          <w:highlight w:val="none"/>
          <w:u w:val="single"/>
        </w:rPr>
        <w:t>周边</w:t>
      </w:r>
      <w:r>
        <w:rPr>
          <w:rFonts w:ascii="Times New Roman" w:hAnsi="Times New Roman" w:eastAsia="宋体" w:cs="Times New Roman"/>
          <w:color w:val="auto"/>
          <w:highlight w:val="none"/>
          <w:u w:val="single"/>
        </w:rPr>
        <w:t>设置截排水沟</w:t>
      </w:r>
      <w:r>
        <w:rPr>
          <w:rFonts w:hint="eastAsia" w:ascii="Times New Roman" w:hAnsi="Times New Roman" w:eastAsia="宋体" w:cs="Times New Roman"/>
          <w:color w:val="auto"/>
          <w:highlight w:val="none"/>
          <w:u w:val="single"/>
        </w:rPr>
        <w:t>，可</w:t>
      </w:r>
      <w:r>
        <w:rPr>
          <w:rFonts w:ascii="Times New Roman" w:hAnsi="Times New Roman" w:eastAsia="宋体" w:cs="Times New Roman"/>
          <w:color w:val="auto"/>
          <w:highlight w:val="none"/>
          <w:u w:val="single"/>
        </w:rPr>
        <w:t>将</w:t>
      </w:r>
      <w:r>
        <w:rPr>
          <w:rFonts w:hint="eastAsia" w:ascii="Times New Roman" w:hAnsi="Times New Roman" w:eastAsia="宋体" w:cs="Times New Roman"/>
          <w:color w:val="auto"/>
          <w:highlight w:val="none"/>
          <w:u w:val="single"/>
        </w:rPr>
        <w:t>矿区内</w:t>
      </w:r>
      <w:r>
        <w:rPr>
          <w:rFonts w:ascii="Times New Roman" w:hAnsi="Times New Roman" w:eastAsia="宋体" w:cs="Times New Roman"/>
          <w:color w:val="auto"/>
          <w:highlight w:val="none"/>
          <w:u w:val="single"/>
        </w:rPr>
        <w:t>地表径流引至</w:t>
      </w:r>
      <w:r>
        <w:rPr>
          <w:rFonts w:hint="eastAsia" w:ascii="Times New Roman" w:hAnsi="Times New Roman" w:eastAsia="宋体" w:cs="Times New Roman"/>
          <w:color w:val="auto"/>
          <w:highlight w:val="none"/>
          <w:u w:val="single"/>
        </w:rPr>
        <w:t>矿区</w:t>
      </w:r>
      <w:r>
        <w:rPr>
          <w:rFonts w:hint="eastAsia" w:cs="Times New Roman"/>
          <w:color w:val="auto"/>
          <w:highlight w:val="none"/>
          <w:u w:val="single"/>
          <w:lang w:eastAsia="zh-CN"/>
        </w:rPr>
        <w:t>破碎场①</w:t>
      </w:r>
      <w:r>
        <w:rPr>
          <w:rFonts w:hint="eastAsia" w:ascii="Times New Roman" w:hAnsi="Times New Roman" w:eastAsia="宋体" w:cs="Times New Roman"/>
          <w:color w:val="auto"/>
          <w:highlight w:val="none"/>
          <w:u w:val="single"/>
        </w:rPr>
        <w:t>中部</w:t>
      </w:r>
      <w:r>
        <w:rPr>
          <w:rFonts w:ascii="Times New Roman" w:hAnsi="Times New Roman" w:eastAsia="宋体" w:cs="Times New Roman"/>
          <w:color w:val="auto"/>
          <w:highlight w:val="none"/>
          <w:u w:val="single"/>
        </w:rPr>
        <w:t>的1#沉砂池（容积为</w:t>
      </w:r>
      <w:r>
        <w:rPr>
          <w:rFonts w:hint="eastAsia" w:cs="Times New Roman"/>
          <w:color w:val="auto"/>
          <w:highlight w:val="none"/>
          <w:u w:val="single"/>
          <w:lang w:val="en-US" w:eastAsia="zh-CN"/>
        </w:rPr>
        <w:t>3</w:t>
      </w:r>
      <w:r>
        <w:rPr>
          <w:rFonts w:hint="eastAsia" w:ascii="Times New Roman" w:hAnsi="Times New Roman" w:eastAsia="宋体" w:cs="Times New Roman"/>
          <w:color w:val="auto"/>
          <w:highlight w:val="none"/>
          <w:u w:val="single"/>
        </w:rPr>
        <w:t>0</w:t>
      </w:r>
      <w:r>
        <w:rPr>
          <w:rFonts w:ascii="Times New Roman" w:hAnsi="Times New Roman" w:eastAsia="宋体" w:cs="Times New Roman"/>
          <w:color w:val="auto"/>
          <w:highlight w:val="none"/>
          <w:u w:val="single"/>
        </w:rPr>
        <w:t>0m</w:t>
      </w:r>
      <w:r>
        <w:rPr>
          <w:rFonts w:ascii="Times New Roman" w:hAnsi="Times New Roman" w:eastAsia="宋体" w:cs="Times New Roman"/>
          <w:color w:val="auto"/>
          <w:highlight w:val="none"/>
          <w:u w:val="single"/>
          <w:vertAlign w:val="superscript"/>
        </w:rPr>
        <w:t>3</w:t>
      </w:r>
      <w:r>
        <w:rPr>
          <w:rFonts w:ascii="Times New Roman" w:hAnsi="Times New Roman" w:eastAsia="宋体" w:cs="Times New Roman"/>
          <w:color w:val="auto"/>
          <w:highlight w:val="none"/>
          <w:u w:val="single"/>
        </w:rPr>
        <w:t>）和</w:t>
      </w:r>
      <w:r>
        <w:rPr>
          <w:rFonts w:hint="eastAsia" w:ascii="Times New Roman" w:hAnsi="Times New Roman" w:eastAsia="宋体" w:cs="Times New Roman"/>
          <w:color w:val="auto"/>
          <w:highlight w:val="none"/>
          <w:u w:val="single"/>
        </w:rPr>
        <w:t>矿区</w:t>
      </w:r>
      <w:r>
        <w:rPr>
          <w:rFonts w:hint="eastAsia" w:cs="Times New Roman"/>
          <w:color w:val="auto"/>
          <w:highlight w:val="none"/>
          <w:u w:val="single"/>
          <w:lang w:eastAsia="zh-CN"/>
        </w:rPr>
        <w:t>破碎场②</w:t>
      </w:r>
      <w:r>
        <w:rPr>
          <w:rFonts w:hint="eastAsia" w:ascii="Times New Roman" w:hAnsi="Times New Roman" w:eastAsia="宋体" w:cs="Times New Roman"/>
          <w:color w:val="auto"/>
          <w:highlight w:val="none"/>
          <w:u w:val="single"/>
        </w:rPr>
        <w:t>西部</w:t>
      </w:r>
      <w:r>
        <w:rPr>
          <w:rFonts w:ascii="Times New Roman" w:hAnsi="Times New Roman" w:eastAsia="宋体" w:cs="Times New Roman"/>
          <w:color w:val="auto"/>
          <w:highlight w:val="none"/>
          <w:u w:val="single"/>
        </w:rPr>
        <w:t>的2#沉砂池（容积为</w:t>
      </w:r>
      <w:r>
        <w:rPr>
          <w:rFonts w:hint="eastAsia" w:cs="Times New Roman"/>
          <w:color w:val="auto"/>
          <w:highlight w:val="none"/>
          <w:u w:val="single"/>
          <w:lang w:val="en-US" w:eastAsia="zh-CN"/>
        </w:rPr>
        <w:t>2</w:t>
      </w:r>
      <w:r>
        <w:rPr>
          <w:rFonts w:hint="eastAsia" w:ascii="Times New Roman" w:hAnsi="Times New Roman" w:eastAsia="宋体" w:cs="Times New Roman"/>
          <w:color w:val="auto"/>
          <w:highlight w:val="none"/>
          <w:u w:val="single"/>
        </w:rPr>
        <w:t>00</w:t>
      </w:r>
      <w:r>
        <w:rPr>
          <w:rFonts w:ascii="Times New Roman" w:hAnsi="Times New Roman" w:eastAsia="宋体" w:cs="Times New Roman"/>
          <w:color w:val="auto"/>
          <w:highlight w:val="none"/>
          <w:u w:val="single"/>
        </w:rPr>
        <w:t>m</w:t>
      </w:r>
      <w:r>
        <w:rPr>
          <w:rFonts w:ascii="Times New Roman" w:hAnsi="Times New Roman" w:eastAsia="宋体" w:cs="Times New Roman"/>
          <w:color w:val="auto"/>
          <w:highlight w:val="none"/>
          <w:u w:val="single"/>
          <w:vertAlign w:val="superscript"/>
        </w:rPr>
        <w:t>3</w:t>
      </w:r>
      <w:r>
        <w:rPr>
          <w:rFonts w:ascii="Times New Roman" w:hAnsi="Times New Roman" w:eastAsia="宋体" w:cs="Times New Roman"/>
          <w:color w:val="auto"/>
          <w:highlight w:val="none"/>
          <w:u w:val="single"/>
        </w:rPr>
        <w:t>），初期雨水</w:t>
      </w:r>
      <w:r>
        <w:rPr>
          <w:rFonts w:hint="eastAsia" w:cs="Times New Roman"/>
          <w:color w:val="auto"/>
          <w:highlight w:val="none"/>
          <w:u w:val="single"/>
          <w:lang w:val="en-US" w:eastAsia="zh-CN"/>
        </w:rPr>
        <w:t>总</w:t>
      </w:r>
      <w:r>
        <w:rPr>
          <w:rFonts w:ascii="Times New Roman" w:hAnsi="Times New Roman" w:eastAsia="宋体" w:cs="Times New Roman"/>
          <w:color w:val="auto"/>
          <w:highlight w:val="none"/>
          <w:u w:val="single"/>
        </w:rPr>
        <w:t>量占沉砂池总容积的</w:t>
      </w:r>
      <w:r>
        <w:rPr>
          <w:rFonts w:hint="eastAsia" w:cs="Times New Roman"/>
          <w:color w:val="auto"/>
          <w:highlight w:val="none"/>
          <w:u w:val="single"/>
          <w:lang w:val="en-US" w:eastAsia="zh-CN"/>
        </w:rPr>
        <w:t>80.2</w:t>
      </w:r>
      <w:r>
        <w:rPr>
          <w:rFonts w:ascii="Times New Roman" w:hAnsi="Times New Roman" w:eastAsia="宋体" w:cs="Times New Roman"/>
          <w:color w:val="auto"/>
          <w:highlight w:val="none"/>
          <w:u w:val="single"/>
        </w:rPr>
        <w:t>%，</w:t>
      </w:r>
      <w:r>
        <w:rPr>
          <w:rFonts w:ascii="Times New Roman" w:hAnsi="Times New Roman" w:eastAsia="宋体" w:cs="Times New Roman"/>
          <w:color w:val="auto"/>
          <w:highlight w:val="none"/>
          <w:u w:val="single"/>
        </w:rPr>
        <w:t>满足初期雨水收集容量要求。</w:t>
      </w:r>
      <w:r>
        <w:rPr>
          <w:rFonts w:hint="eastAsia" w:ascii="Times New Roman" w:hAnsi="Times New Roman" w:eastAsia="宋体" w:cs="Times New Roman"/>
          <w:color w:val="auto"/>
          <w:highlight w:val="none"/>
        </w:rPr>
        <w:t>项目</w:t>
      </w:r>
      <w:r>
        <w:rPr>
          <w:rFonts w:ascii="Times New Roman" w:hAnsi="Times New Roman" w:eastAsia="宋体" w:cs="Times New Roman"/>
          <w:color w:val="auto"/>
          <w:highlight w:val="none"/>
        </w:rPr>
        <w:t>初期雨水沉砂池</w:t>
      </w:r>
      <w:r>
        <w:rPr>
          <w:rFonts w:hint="eastAsia" w:ascii="Times New Roman" w:hAnsi="Times New Roman" w:eastAsia="宋体" w:cs="Times New Roman"/>
          <w:color w:val="auto"/>
          <w:highlight w:val="none"/>
        </w:rPr>
        <w:t>沿矿山地势建设于矿山最低处，池底经开挖后最低标高约+222m，低于矿区内最低标高+227m，有利于地表径流的收集。由截排水沟进行导流，可收集矿区内初期雨水。根据项目矿山上山道路和生产线布局，沿上山道路修建截排水沟较为合理，</w:t>
      </w:r>
      <w:r>
        <w:rPr>
          <w:rFonts w:ascii="Times New Roman" w:hAnsi="Times New Roman" w:eastAsia="宋体" w:cs="Times New Roman"/>
          <w:color w:val="auto"/>
          <w:highlight w:val="none"/>
        </w:rPr>
        <w:t>初期雨水</w:t>
      </w:r>
      <w:r>
        <w:rPr>
          <w:rFonts w:hint="eastAsia" w:ascii="Times New Roman" w:hAnsi="Times New Roman" w:eastAsia="宋体" w:cs="Times New Roman"/>
          <w:color w:val="auto"/>
          <w:highlight w:val="none"/>
        </w:rPr>
        <w:t>总</w:t>
      </w:r>
      <w:r>
        <w:rPr>
          <w:rFonts w:ascii="Times New Roman" w:hAnsi="Times New Roman" w:eastAsia="宋体" w:cs="Times New Roman"/>
          <w:color w:val="auto"/>
          <w:highlight w:val="none"/>
        </w:rPr>
        <w:t>容量</w:t>
      </w:r>
      <w:r>
        <w:rPr>
          <w:rFonts w:hint="eastAsia" w:ascii="Times New Roman" w:hAnsi="Times New Roman" w:eastAsia="宋体" w:cs="Times New Roman"/>
          <w:color w:val="auto"/>
          <w:highlight w:val="none"/>
        </w:rPr>
        <w:t>满足矿区初期雨水收集要求，布置合理。</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矿山</w:t>
      </w:r>
      <w:r>
        <w:rPr>
          <w:rFonts w:ascii="Times New Roman" w:hAnsi="Times New Roman" w:eastAsia="宋体" w:cs="Times New Roman"/>
          <w:color w:val="auto"/>
          <w:highlight w:val="none"/>
        </w:rPr>
        <w:t>初期雨水</w:t>
      </w:r>
      <w:r>
        <w:rPr>
          <w:rFonts w:hint="eastAsia" w:ascii="Times New Roman" w:hAnsi="Times New Roman" w:eastAsia="宋体" w:cs="Times New Roman"/>
          <w:color w:val="auto"/>
          <w:highlight w:val="none"/>
        </w:rPr>
        <w:t>中主要污染物为SS，成分为易于沉降的硅质岩颗粒，在沉砂池内可很快沉淀，本项目初期雨水</w:t>
      </w:r>
      <w:r>
        <w:rPr>
          <w:rFonts w:ascii="Times New Roman" w:hAnsi="Times New Roman" w:eastAsia="宋体" w:cs="Times New Roman"/>
          <w:color w:val="auto"/>
          <w:highlight w:val="none"/>
        </w:rPr>
        <w:t>经4~6h自然沉淀后，上层清水用于矿区洒水降尘，下层沉渣定期清理，用于矿区道路平整，对环境影响不大。</w:t>
      </w:r>
      <w:r>
        <w:rPr>
          <w:rFonts w:hint="eastAsia" w:ascii="Times New Roman" w:hAnsi="Times New Roman" w:eastAsia="宋体" w:cs="Times New Roman"/>
          <w:color w:val="auto"/>
          <w:highlight w:val="none"/>
          <w:u w:val="single"/>
        </w:rPr>
        <w:t>初期雨水经沉砂池收集后，未经沉砂池收集的雨水中主要污染物SS浓度较低，这主要是因为矿区地表经雨水冲刷后，地表裸露的颗粒物大部分混合在下雨前30min阶段的雨水中，经冲刷30min后地表已经趋于平滑，可混合在雨水中的地表颗粒物已经较少，下雨前30min雨水已经由沉砂池合理收集，下雨30min之后的雨水中悬浮物浓度较低，可下降至100mg/L以下，本项目下雨30min之后的</w:t>
      </w:r>
      <w:r>
        <w:rPr>
          <w:rFonts w:hint="eastAsia" w:cs="Times New Roman"/>
          <w:color w:val="auto"/>
          <w:highlight w:val="none"/>
          <w:u w:val="single"/>
          <w:lang w:val="en-US" w:eastAsia="zh-CN"/>
        </w:rPr>
        <w:t>中后期</w:t>
      </w:r>
      <w:r>
        <w:rPr>
          <w:rFonts w:hint="eastAsia" w:ascii="Times New Roman" w:hAnsi="Times New Roman" w:eastAsia="宋体" w:cs="Times New Roman"/>
          <w:color w:val="auto"/>
          <w:highlight w:val="none"/>
          <w:u w:val="single"/>
        </w:rPr>
        <w:t>雨水由地表径流排入项目南面</w:t>
      </w:r>
      <w:r>
        <w:rPr>
          <w:rFonts w:hint="eastAsia" w:ascii="Times New Roman" w:hAnsi="Times New Roman" w:eastAsia="宋体"/>
          <w:color w:val="auto"/>
          <w:highlight w:val="none"/>
          <w:u w:val="single"/>
        </w:rPr>
        <w:t>无名小沟</w:t>
      </w:r>
      <w:r>
        <w:rPr>
          <w:rFonts w:hint="eastAsia" w:ascii="Times New Roman" w:hAnsi="Times New Roman" w:eastAsia="宋体" w:cs="Times New Roman"/>
          <w:color w:val="auto"/>
          <w:highlight w:val="none"/>
          <w:u w:val="single"/>
        </w:rPr>
        <w:t>，排水对周边水质影响不大。</w:t>
      </w:r>
    </w:p>
    <w:p>
      <w:pPr>
        <w:ind w:firstLine="480"/>
        <w:rPr>
          <w:rFonts w:ascii="Times New Roman" w:hAnsi="Times New Roman" w:eastAsia="宋体" w:cs="Times New Roman"/>
          <w:color w:val="auto"/>
          <w:highlight w:val="none"/>
        </w:rPr>
      </w:pPr>
      <w:bookmarkStart w:id="364" w:name="_Toc1028"/>
      <w:r>
        <w:rPr>
          <w:rFonts w:ascii="Times New Roman" w:hAnsi="Times New Roman" w:eastAsia="宋体" w:cs="Times New Roman"/>
          <w:color w:val="auto"/>
          <w:highlight w:val="none"/>
        </w:rPr>
        <w:t>3、生活污水影响分析</w:t>
      </w:r>
      <w:bookmarkEnd w:id="364"/>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根据工程分析可知，生活污水主要污染物以COD</w:t>
      </w:r>
      <w:r>
        <w:rPr>
          <w:rFonts w:ascii="Times New Roman" w:hAnsi="Times New Roman" w:eastAsia="宋体" w:cs="Times New Roman"/>
          <w:color w:val="auto"/>
          <w:highlight w:val="none"/>
          <w:vertAlign w:val="subscript"/>
        </w:rPr>
        <w:t>Cr</w:t>
      </w:r>
      <w:r>
        <w:rPr>
          <w:rFonts w:ascii="Times New Roman" w:hAnsi="Times New Roman" w:eastAsia="宋体" w:cs="Times New Roman"/>
          <w:color w:val="auto"/>
          <w:highlight w:val="none"/>
        </w:rPr>
        <w:t>、悬浮物、BOD</w:t>
      </w:r>
      <w:r>
        <w:rPr>
          <w:rFonts w:ascii="Times New Roman" w:hAnsi="Times New Roman" w:eastAsia="宋体" w:cs="Times New Roman"/>
          <w:color w:val="auto"/>
          <w:highlight w:val="none"/>
          <w:vertAlign w:val="subscript"/>
        </w:rPr>
        <w:t>5</w:t>
      </w:r>
      <w:r>
        <w:rPr>
          <w:rFonts w:ascii="Times New Roman" w:hAnsi="Times New Roman" w:eastAsia="宋体" w:cs="Times New Roman"/>
          <w:color w:val="auto"/>
          <w:highlight w:val="none"/>
        </w:rPr>
        <w:t>、氨氮和动植物油为主。餐厨废水隔油处理后与</w:t>
      </w:r>
      <w:r>
        <w:rPr>
          <w:rFonts w:ascii="Times New Roman" w:hAnsi="Times New Roman" w:eastAsia="宋体" w:cs="Times New Roman"/>
          <w:bCs/>
          <w:color w:val="auto"/>
          <w:highlight w:val="none"/>
        </w:rPr>
        <w:t>生活污水经化粪池后用于周边旱地施肥。</w:t>
      </w:r>
      <w:r>
        <w:rPr>
          <w:rFonts w:ascii="Times New Roman" w:hAnsi="Times New Roman" w:eastAsia="宋体" w:cs="Times New Roman"/>
          <w:color w:val="auto"/>
          <w:highlight w:val="none"/>
        </w:rPr>
        <w:t>生活污水中水分大部分自然蒸发掉，废水中的COD</w:t>
      </w:r>
      <w:r>
        <w:rPr>
          <w:rFonts w:ascii="Times New Roman" w:hAnsi="Times New Roman" w:eastAsia="宋体" w:cs="Times New Roman"/>
          <w:color w:val="auto"/>
          <w:highlight w:val="none"/>
          <w:vertAlign w:val="subscript"/>
        </w:rPr>
        <w:t>Cr</w:t>
      </w:r>
      <w:r>
        <w:rPr>
          <w:rFonts w:ascii="Times New Roman" w:hAnsi="Times New Roman" w:eastAsia="宋体" w:cs="Times New Roman"/>
          <w:color w:val="auto"/>
          <w:highlight w:val="none"/>
        </w:rPr>
        <w:t>、氨氮、BOD</w:t>
      </w:r>
      <w:r>
        <w:rPr>
          <w:rFonts w:ascii="Times New Roman" w:hAnsi="Times New Roman" w:eastAsia="宋体" w:cs="Times New Roman"/>
          <w:color w:val="auto"/>
          <w:highlight w:val="none"/>
          <w:vertAlign w:val="subscript"/>
        </w:rPr>
        <w:t>5</w:t>
      </w:r>
      <w:r>
        <w:rPr>
          <w:rFonts w:ascii="Times New Roman" w:hAnsi="Times New Roman" w:eastAsia="宋体" w:cs="Times New Roman"/>
          <w:color w:val="auto"/>
          <w:highlight w:val="none"/>
        </w:rPr>
        <w:t>等被植被吸收，基本不会残留于在地表而进入附近水体，因此项目生活污水不会对周边水体产生影响。项目混合污水施肥处位于矿区东面</w:t>
      </w:r>
      <w:r>
        <w:rPr>
          <w:rFonts w:hint="eastAsia" w:ascii="Times New Roman" w:hAnsi="Times New Roman" w:eastAsia="宋体" w:cs="Times New Roman"/>
          <w:color w:val="auto"/>
          <w:highlight w:val="none"/>
        </w:rPr>
        <w:t>和西面</w:t>
      </w:r>
      <w:r>
        <w:rPr>
          <w:rFonts w:ascii="Times New Roman" w:hAnsi="Times New Roman" w:eastAsia="宋体" w:cs="Times New Roman"/>
          <w:color w:val="auto"/>
          <w:highlight w:val="none"/>
        </w:rPr>
        <w:t>（见附图7），处理后污水经人工作业施肥于周边旱地，采取以上措施后，生活污水对周边的影响较小。</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4、对周边村屯饮水影响分析</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根据项目设计，采区和加工区初期雨水经矿区周边截排水沟流入沉砂池，经4~6h自然沉淀后，上层清水用于矿区洒水降尘，下层沉渣定期清理，用于矿区道路平整，初期雨水对周边地表水体环境影响不大。</w:t>
      </w:r>
    </w:p>
    <w:p>
      <w:pPr>
        <w:ind w:firstLine="480"/>
        <w:rPr>
          <w:rFonts w:ascii="Times New Roman" w:hAnsi="Times New Roman" w:eastAsia="宋体" w:cs="Times New Roman"/>
          <w:color w:val="auto"/>
          <w:highlight w:val="none"/>
          <w:lang w:bidi="ar"/>
        </w:rPr>
      </w:pPr>
      <w:r>
        <w:rPr>
          <w:rFonts w:ascii="Times New Roman" w:hAnsi="Times New Roman" w:eastAsia="宋体" w:cs="Times New Roman"/>
          <w:color w:val="auto"/>
          <w:highlight w:val="none"/>
          <w:lang w:bidi="ar"/>
        </w:rPr>
        <w:t>项目所在区域环境保护目标</w:t>
      </w:r>
      <w:r>
        <w:rPr>
          <w:rFonts w:hint="eastAsia" w:ascii="Times New Roman" w:hAnsi="Times New Roman" w:eastAsia="宋体" w:cs="Times New Roman"/>
          <w:color w:val="auto"/>
          <w:highlight w:val="none"/>
          <w:lang w:bidi="ar"/>
        </w:rPr>
        <w:t>部分</w:t>
      </w:r>
      <w:r>
        <w:rPr>
          <w:rFonts w:ascii="Times New Roman" w:hAnsi="Times New Roman" w:eastAsia="宋体" w:cs="Times New Roman"/>
          <w:color w:val="auto"/>
          <w:highlight w:val="none"/>
          <w:lang w:bidi="ar"/>
        </w:rPr>
        <w:t>以地下水为日常生活用水水源。根据矿区水文地质条件，</w:t>
      </w:r>
      <w:r>
        <w:rPr>
          <w:rFonts w:hint="eastAsia" w:ascii="Times New Roman" w:hAnsi="Times New Roman" w:eastAsia="宋体" w:cs="Times New Roman"/>
          <w:color w:val="auto"/>
          <w:highlight w:val="none"/>
          <w:lang w:bidi="ar"/>
        </w:rPr>
        <w:t>地下水类型主要为碎屑岩基岩裂隙水</w:t>
      </w:r>
      <w:r>
        <w:rPr>
          <w:rFonts w:ascii="Times New Roman" w:hAnsi="Times New Roman" w:eastAsia="宋体" w:cs="Times New Roman"/>
          <w:color w:val="auto"/>
          <w:highlight w:val="none"/>
          <w:lang w:bidi="ar"/>
        </w:rPr>
        <w:t>，地下水主要赋存、运移于地下溶蚀裂隙中，</w:t>
      </w:r>
      <w:r>
        <w:rPr>
          <w:rFonts w:hint="eastAsia" w:ascii="Times New Roman" w:hAnsi="Times New Roman" w:eastAsia="宋体" w:cs="Times New Roman"/>
          <w:color w:val="auto"/>
          <w:highlight w:val="none"/>
          <w:lang w:bidi="ar"/>
        </w:rPr>
        <w:t>当地的最低侵蚀基准面为+200m标高左右，矿区开采的资源储量在+447m～+227m标高之间</w:t>
      </w:r>
      <w:r>
        <w:rPr>
          <w:rFonts w:ascii="Times New Roman" w:hAnsi="Times New Roman" w:eastAsia="宋体" w:cs="Times New Roman"/>
          <w:color w:val="auto"/>
          <w:highlight w:val="none"/>
          <w:lang w:bidi="ar"/>
        </w:rPr>
        <w:t>矿山开采基本不会扰动地下水。</w:t>
      </w:r>
    </w:p>
    <w:p>
      <w:pPr>
        <w:numPr>
          <w:ilvl w:val="0"/>
          <w:numId w:val="11"/>
        </w:numPr>
        <w:ind w:firstLine="480"/>
        <w:rPr>
          <w:rFonts w:hint="eastAsia" w:ascii="Times New Roman" w:hAnsi="Times New Roman" w:eastAsia="宋体" w:cs="Times New Roman"/>
          <w:color w:val="auto"/>
          <w:highlight w:val="none"/>
        </w:rPr>
      </w:pPr>
      <w:r>
        <w:rPr>
          <w:rFonts w:ascii="Times New Roman" w:hAnsi="Times New Roman" w:eastAsia="宋体" w:cs="Times New Roman"/>
          <w:color w:val="auto"/>
          <w:highlight w:val="none"/>
        </w:rPr>
        <w:t>对</w:t>
      </w:r>
      <w:r>
        <w:rPr>
          <w:rFonts w:hint="eastAsia" w:ascii="Times New Roman" w:hAnsi="Times New Roman" w:eastAsia="宋体" w:cs="Times New Roman"/>
          <w:color w:val="auto"/>
          <w:highlight w:val="none"/>
        </w:rPr>
        <w:t>饮用水水源保护区影响分析</w:t>
      </w:r>
    </w:p>
    <w:p>
      <w:pPr>
        <w:ind w:firstLine="480"/>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本项目的生产废水通过蒸发、渗透到地面、被矿石吸收、循环利用等形式进行处理，生产废水处理得当，均不外排。</w:t>
      </w:r>
      <w:r>
        <w:rPr>
          <w:rFonts w:ascii="Times New Roman" w:hAnsi="Times New Roman" w:eastAsia="宋体" w:cs="Times New Roman"/>
          <w:color w:val="auto"/>
          <w:highlight w:val="none"/>
        </w:rPr>
        <w:t>餐厨废水隔油处理后与</w:t>
      </w:r>
      <w:r>
        <w:rPr>
          <w:rFonts w:ascii="Times New Roman" w:hAnsi="Times New Roman" w:eastAsia="宋体" w:cs="Times New Roman"/>
          <w:bCs/>
          <w:color w:val="auto"/>
          <w:highlight w:val="none"/>
        </w:rPr>
        <w:t>生活污水经化粪池后用于周边旱地施肥。</w:t>
      </w:r>
      <w:r>
        <w:rPr>
          <w:rFonts w:ascii="Times New Roman" w:hAnsi="Times New Roman" w:eastAsia="宋体" w:cs="Times New Roman"/>
          <w:color w:val="auto"/>
          <w:highlight w:val="none"/>
        </w:rPr>
        <w:t>生活污水中水分大部分自然蒸发掉，废水中的COD</w:t>
      </w:r>
      <w:r>
        <w:rPr>
          <w:rFonts w:ascii="Times New Roman" w:hAnsi="Times New Roman" w:eastAsia="宋体" w:cs="Times New Roman"/>
          <w:color w:val="auto"/>
          <w:highlight w:val="none"/>
          <w:vertAlign w:val="subscript"/>
        </w:rPr>
        <w:t>Cr</w:t>
      </w:r>
      <w:r>
        <w:rPr>
          <w:rFonts w:ascii="Times New Roman" w:hAnsi="Times New Roman" w:eastAsia="宋体" w:cs="Times New Roman"/>
          <w:color w:val="auto"/>
          <w:highlight w:val="none"/>
        </w:rPr>
        <w:t>、氨氮、BOD</w:t>
      </w:r>
      <w:r>
        <w:rPr>
          <w:rFonts w:ascii="Times New Roman" w:hAnsi="Times New Roman" w:eastAsia="宋体" w:cs="Times New Roman"/>
          <w:color w:val="auto"/>
          <w:highlight w:val="none"/>
          <w:vertAlign w:val="subscript"/>
        </w:rPr>
        <w:t>5</w:t>
      </w:r>
      <w:r>
        <w:rPr>
          <w:rFonts w:ascii="Times New Roman" w:hAnsi="Times New Roman" w:eastAsia="宋体" w:cs="Times New Roman"/>
          <w:color w:val="auto"/>
          <w:highlight w:val="none"/>
        </w:rPr>
        <w:t>等被植被吸收，基本不会残留于在地表而进入附近水体，因此项目生活污水不会对周边水体产生影响</w:t>
      </w:r>
      <w:r>
        <w:rPr>
          <w:rFonts w:hint="eastAsia" w:ascii="Times New Roman" w:hAnsi="Times New Roman" w:eastAsia="宋体" w:cs="Times New Roman"/>
          <w:color w:val="auto"/>
          <w:highlight w:val="none"/>
        </w:rPr>
        <w:t>。本项目对</w:t>
      </w:r>
      <w:r>
        <w:rPr>
          <w:rFonts w:hint="eastAsia" w:ascii="Times New Roman" w:hAnsi="Times New Roman" w:eastAsia="宋体" w:cs="Times New Roman"/>
          <w:color w:val="auto"/>
          <w:szCs w:val="24"/>
          <w:highlight w:val="none"/>
        </w:rPr>
        <w:t>项目西南面1000m三江县县城</w:t>
      </w:r>
      <w:r>
        <w:rPr>
          <w:rFonts w:ascii="Times New Roman" w:hAnsi="Times New Roman" w:eastAsia="宋体" w:cs="Times New Roman"/>
          <w:color w:val="auto"/>
          <w:szCs w:val="24"/>
          <w:highlight w:val="none"/>
        </w:rPr>
        <w:t>饮用水水源保护区</w:t>
      </w:r>
      <w:r>
        <w:rPr>
          <w:rFonts w:hint="eastAsia" w:ascii="Times New Roman" w:hAnsi="Times New Roman" w:eastAsia="宋体" w:cs="Times New Roman"/>
          <w:color w:val="auto"/>
          <w:szCs w:val="24"/>
          <w:highlight w:val="none"/>
        </w:rPr>
        <w:t>、西南面550m斗江镇饮用水源地保护区的水环境影响不大。</w:t>
      </w:r>
    </w:p>
    <w:p>
      <w:pPr>
        <w:pStyle w:val="6"/>
        <w:rPr>
          <w:rFonts w:ascii="Times New Roman" w:hAnsi="Times New Roman" w:eastAsia="宋体"/>
          <w:color w:val="auto"/>
          <w:highlight w:val="none"/>
        </w:rPr>
      </w:pPr>
      <w:r>
        <w:rPr>
          <w:rFonts w:ascii="Times New Roman" w:hAnsi="Times New Roman" w:eastAsia="宋体"/>
          <w:color w:val="auto"/>
          <w:highlight w:val="none"/>
        </w:rPr>
        <w:t>4.2.2.2 依托污水处理设施的环境可行性评价</w:t>
      </w:r>
    </w:p>
    <w:p>
      <w:pPr>
        <w:ind w:firstLine="480"/>
        <w:rPr>
          <w:rFonts w:hint="eastAsia"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rPr>
        <w:t>本项目食堂废水及生活废水依托现有化粪池处理后用于周围农田施肥，项目生活废水均不外排</w:t>
      </w:r>
      <w:r>
        <w:rPr>
          <w:rFonts w:ascii="Times New Roman" w:hAnsi="Times New Roman" w:eastAsia="宋体" w:cs="Times New Roman"/>
          <w:color w:val="auto"/>
          <w:highlight w:val="none"/>
          <w:u w:val="none"/>
        </w:rPr>
        <w:t>。</w:t>
      </w:r>
      <w:r>
        <w:rPr>
          <w:rFonts w:hint="eastAsia" w:ascii="Times New Roman" w:hAnsi="Times New Roman" w:eastAsia="宋体" w:cs="Times New Roman"/>
          <w:color w:val="auto"/>
          <w:highlight w:val="none"/>
          <w:u w:val="none"/>
        </w:rPr>
        <w:t>项目</w:t>
      </w:r>
      <w:r>
        <w:rPr>
          <w:rFonts w:hint="eastAsia" w:cs="Times New Roman"/>
          <w:color w:val="auto"/>
          <w:highlight w:val="none"/>
          <w:u w:val="none"/>
          <w:lang w:eastAsia="zh-CN"/>
        </w:rPr>
        <w:t>破碎场①</w:t>
      </w:r>
      <w:r>
        <w:rPr>
          <w:rFonts w:hint="eastAsia" w:ascii="Times New Roman" w:hAnsi="Times New Roman" w:eastAsia="宋体" w:cs="Times New Roman"/>
          <w:color w:val="auto"/>
          <w:highlight w:val="none"/>
          <w:u w:val="none"/>
        </w:rPr>
        <w:t>和</w:t>
      </w:r>
      <w:r>
        <w:rPr>
          <w:rFonts w:hint="eastAsia" w:cs="Times New Roman"/>
          <w:color w:val="auto"/>
          <w:highlight w:val="none"/>
          <w:u w:val="none"/>
          <w:lang w:eastAsia="zh-CN"/>
        </w:rPr>
        <w:t>破碎场②</w:t>
      </w:r>
      <w:r>
        <w:rPr>
          <w:rFonts w:hint="eastAsia" w:ascii="Times New Roman" w:hAnsi="Times New Roman" w:eastAsia="宋体" w:cs="Times New Roman"/>
          <w:color w:val="auto"/>
          <w:highlight w:val="none"/>
          <w:u w:val="none"/>
        </w:rPr>
        <w:t>均设置</w:t>
      </w:r>
      <w:r>
        <w:rPr>
          <w:rFonts w:ascii="Times New Roman" w:hAnsi="Times New Roman" w:eastAsia="宋体" w:cs="Times New Roman"/>
          <w:color w:val="auto"/>
          <w:highlight w:val="none"/>
          <w:u w:val="none"/>
        </w:rPr>
        <w:t>化粪池</w:t>
      </w:r>
      <w:r>
        <w:rPr>
          <w:rFonts w:hint="eastAsia" w:ascii="Times New Roman" w:hAnsi="Times New Roman" w:eastAsia="宋体" w:cs="Times New Roman"/>
          <w:color w:val="auto"/>
          <w:highlight w:val="none"/>
          <w:u w:val="none"/>
        </w:rPr>
        <w:t>，分别</w:t>
      </w:r>
      <w:r>
        <w:rPr>
          <w:rFonts w:ascii="Times New Roman" w:hAnsi="Times New Roman" w:eastAsia="宋体" w:cs="Times New Roman"/>
          <w:color w:val="auto"/>
          <w:highlight w:val="none"/>
          <w:u w:val="none"/>
        </w:rPr>
        <w:t>位于</w:t>
      </w:r>
      <w:r>
        <w:rPr>
          <w:rFonts w:hint="eastAsia" w:ascii="Times New Roman" w:hAnsi="Times New Roman" w:eastAsia="宋体" w:cs="Times New Roman"/>
          <w:color w:val="auto"/>
          <w:highlight w:val="none"/>
          <w:u w:val="none"/>
        </w:rPr>
        <w:t>矿区东侧和西南侧</w:t>
      </w:r>
      <w:r>
        <w:rPr>
          <w:rFonts w:ascii="Times New Roman" w:hAnsi="Times New Roman" w:eastAsia="宋体" w:cs="Times New Roman"/>
          <w:color w:val="auto"/>
          <w:highlight w:val="none"/>
          <w:u w:val="none"/>
        </w:rPr>
        <w:t>，有效容积</w:t>
      </w:r>
      <w:r>
        <w:rPr>
          <w:rFonts w:hint="eastAsia" w:ascii="Times New Roman" w:hAnsi="Times New Roman" w:eastAsia="宋体" w:cs="Times New Roman"/>
          <w:color w:val="auto"/>
          <w:highlight w:val="none"/>
          <w:u w:val="none"/>
        </w:rPr>
        <w:t>均</w:t>
      </w:r>
      <w:r>
        <w:rPr>
          <w:rFonts w:ascii="Times New Roman" w:hAnsi="Times New Roman" w:eastAsia="宋体" w:cs="Times New Roman"/>
          <w:color w:val="auto"/>
          <w:highlight w:val="none"/>
          <w:u w:val="none"/>
        </w:rPr>
        <w:t>为20m</w:t>
      </w:r>
      <w:r>
        <w:rPr>
          <w:rFonts w:ascii="Times New Roman" w:hAnsi="Times New Roman" w:eastAsia="宋体" w:cs="Times New Roman"/>
          <w:color w:val="auto"/>
          <w:highlight w:val="none"/>
          <w:u w:val="none"/>
          <w:vertAlign w:val="superscript"/>
        </w:rPr>
        <w:t>3</w:t>
      </w:r>
      <w:r>
        <w:rPr>
          <w:rFonts w:ascii="Times New Roman" w:hAnsi="Times New Roman" w:eastAsia="宋体" w:cs="Times New Roman"/>
          <w:color w:val="auto"/>
          <w:highlight w:val="none"/>
          <w:u w:val="none"/>
        </w:rPr>
        <w:t>，本项目员工生活污水产生量约为</w:t>
      </w:r>
      <w:r>
        <w:rPr>
          <w:rFonts w:hint="eastAsia" w:ascii="Times New Roman" w:hAnsi="Times New Roman" w:eastAsia="宋体" w:cs="Times New Roman"/>
          <w:color w:val="auto"/>
          <w:highlight w:val="none"/>
          <w:u w:val="none"/>
        </w:rPr>
        <w:t>5.4</w:t>
      </w:r>
      <w:r>
        <w:rPr>
          <w:rFonts w:ascii="Times New Roman" w:hAnsi="Times New Roman" w:eastAsia="宋体" w:cs="Times New Roman"/>
          <w:color w:val="auto"/>
          <w:highlight w:val="none"/>
          <w:u w:val="none"/>
        </w:rPr>
        <w:t>m</w:t>
      </w:r>
      <w:r>
        <w:rPr>
          <w:rFonts w:ascii="Times New Roman" w:hAnsi="Times New Roman" w:eastAsia="宋体" w:cs="Times New Roman"/>
          <w:color w:val="auto"/>
          <w:highlight w:val="none"/>
          <w:u w:val="none"/>
          <w:vertAlign w:val="superscript"/>
        </w:rPr>
        <w:t>3</w:t>
      </w:r>
      <w:r>
        <w:rPr>
          <w:rFonts w:ascii="Times New Roman" w:hAnsi="Times New Roman" w:eastAsia="宋体" w:cs="Times New Roman"/>
          <w:color w:val="auto"/>
          <w:highlight w:val="none"/>
          <w:u w:val="none"/>
        </w:rPr>
        <w:t>/d，能够满足停留时间24h，该化粪池适用于本项目生活污水排放规模。</w:t>
      </w:r>
      <w:r>
        <w:rPr>
          <w:rFonts w:ascii="Times New Roman" w:hAnsi="Times New Roman" w:eastAsia="宋体" w:cs="Times New Roman"/>
          <w:color w:val="auto"/>
          <w:highlight w:val="none"/>
          <w:u w:val="single"/>
        </w:rPr>
        <w:t>初期雨水</w:t>
      </w:r>
      <w:r>
        <w:rPr>
          <w:rFonts w:hint="eastAsia" w:cs="Times New Roman"/>
          <w:color w:val="auto"/>
          <w:highlight w:val="none"/>
          <w:u w:val="single"/>
          <w:lang w:val="en-US" w:eastAsia="zh-CN"/>
        </w:rPr>
        <w:t>总量</w:t>
      </w:r>
      <w:r>
        <w:rPr>
          <w:rFonts w:ascii="Times New Roman" w:hAnsi="Times New Roman" w:eastAsia="宋体" w:cs="Times New Roman"/>
          <w:color w:val="auto"/>
          <w:highlight w:val="none"/>
          <w:u w:val="single"/>
        </w:rPr>
        <w:t>为</w:t>
      </w:r>
      <w:r>
        <w:rPr>
          <w:rFonts w:hint="eastAsia" w:cs="Times New Roman"/>
          <w:color w:val="auto"/>
          <w:kern w:val="0"/>
          <w:highlight w:val="none"/>
          <w:u w:val="single"/>
          <w:lang w:val="en-US" w:eastAsia="zh-CN"/>
        </w:rPr>
        <w:t>401</w:t>
      </w:r>
      <w:r>
        <w:rPr>
          <w:rFonts w:ascii="Times New Roman" w:hAnsi="Times New Roman" w:eastAsia="宋体" w:cs="Times New Roman"/>
          <w:color w:val="auto"/>
          <w:kern w:val="0"/>
          <w:highlight w:val="none"/>
          <w:u w:val="single"/>
        </w:rPr>
        <w:t>m</w:t>
      </w:r>
      <w:r>
        <w:rPr>
          <w:rFonts w:ascii="Times New Roman" w:hAnsi="Times New Roman" w:eastAsia="宋体" w:cs="Times New Roman"/>
          <w:color w:val="auto"/>
          <w:kern w:val="0"/>
          <w:highlight w:val="none"/>
          <w:u w:val="single"/>
          <w:vertAlign w:val="superscript"/>
        </w:rPr>
        <w:t>3</w:t>
      </w:r>
      <w:r>
        <w:rPr>
          <w:rFonts w:hint="eastAsia" w:cs="Times New Roman"/>
          <w:color w:val="auto"/>
          <w:kern w:val="0"/>
          <w:highlight w:val="none"/>
          <w:u w:val="single"/>
          <w:vertAlign w:val="baseline"/>
          <w:lang w:val="en-US" w:eastAsia="zh-CN"/>
        </w:rPr>
        <w:t>/次</w:t>
      </w:r>
      <w:r>
        <w:rPr>
          <w:rFonts w:ascii="Times New Roman" w:hAnsi="Times New Roman" w:eastAsia="宋体" w:cs="Times New Roman"/>
          <w:color w:val="auto"/>
          <w:highlight w:val="none"/>
          <w:u w:val="single"/>
        </w:rPr>
        <w:t>，占沉砂池总容积（</w:t>
      </w:r>
      <w:r>
        <w:rPr>
          <w:rFonts w:hint="eastAsia" w:cs="Times New Roman"/>
          <w:color w:val="auto"/>
          <w:highlight w:val="none"/>
          <w:u w:val="single"/>
          <w:lang w:val="en-US" w:eastAsia="zh-CN"/>
        </w:rPr>
        <w:t>5</w:t>
      </w:r>
      <w:r>
        <w:rPr>
          <w:rFonts w:ascii="Times New Roman" w:hAnsi="Times New Roman" w:eastAsia="宋体" w:cs="Times New Roman"/>
          <w:color w:val="auto"/>
          <w:highlight w:val="none"/>
          <w:u w:val="single"/>
        </w:rPr>
        <w:t>00m</w:t>
      </w:r>
      <w:r>
        <w:rPr>
          <w:rFonts w:ascii="Times New Roman" w:hAnsi="Times New Roman" w:eastAsia="宋体" w:cs="Times New Roman"/>
          <w:color w:val="auto"/>
          <w:highlight w:val="none"/>
          <w:u w:val="single"/>
          <w:vertAlign w:val="superscript"/>
        </w:rPr>
        <w:t>3</w:t>
      </w:r>
      <w:r>
        <w:rPr>
          <w:rFonts w:ascii="Times New Roman" w:hAnsi="Times New Roman" w:eastAsia="宋体" w:cs="Times New Roman"/>
          <w:color w:val="auto"/>
          <w:highlight w:val="none"/>
          <w:u w:val="single"/>
        </w:rPr>
        <w:t>）的</w:t>
      </w:r>
      <w:r>
        <w:rPr>
          <w:rFonts w:hint="eastAsia" w:cs="Times New Roman"/>
          <w:color w:val="auto"/>
          <w:highlight w:val="none"/>
          <w:u w:val="single"/>
          <w:lang w:val="en-US" w:eastAsia="zh-CN"/>
        </w:rPr>
        <w:t>80.2</w:t>
      </w:r>
      <w:r>
        <w:rPr>
          <w:rFonts w:ascii="Times New Roman" w:hAnsi="Times New Roman" w:eastAsia="宋体" w:cs="Times New Roman"/>
          <w:color w:val="auto"/>
          <w:highlight w:val="none"/>
          <w:u w:val="single"/>
        </w:rPr>
        <w:t>%，</w:t>
      </w:r>
      <w:r>
        <w:rPr>
          <w:rFonts w:ascii="Times New Roman" w:hAnsi="Times New Roman" w:eastAsia="宋体" w:cs="Times New Roman"/>
          <w:color w:val="auto"/>
          <w:highlight w:val="none"/>
          <w:u w:val="single"/>
        </w:rPr>
        <w:t>初期雨水满足初期雨水收集容量要求。初期雨水经4~6h自然沉淀后，上层清水用于矿区洒水降尘，下层沉渣定期清理，用于矿区道路平整。</w:t>
      </w:r>
      <w:r>
        <w:rPr>
          <w:rFonts w:hint="eastAsia"/>
          <w:color w:val="auto"/>
          <w:highlight w:val="none"/>
          <w:u w:val="single"/>
        </w:rPr>
        <w:t>中后期雨水直接排</w:t>
      </w:r>
      <w:r>
        <w:rPr>
          <w:rFonts w:hint="eastAsia"/>
          <w:color w:val="auto"/>
          <w:highlight w:val="none"/>
          <w:u w:val="single"/>
          <w:lang w:val="en-US" w:eastAsia="zh-CN"/>
        </w:rPr>
        <w:t>入矿区周边无名小沟</w:t>
      </w:r>
      <w:r>
        <w:rPr>
          <w:rFonts w:hint="eastAsia"/>
          <w:color w:val="auto"/>
          <w:highlight w:val="none"/>
          <w:u w:val="single"/>
        </w:rPr>
        <w:t>。</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项目产生的废水经过有效处理后，对周围的水环境影响不大。</w:t>
      </w:r>
    </w:p>
    <w:p>
      <w:pPr>
        <w:pStyle w:val="6"/>
        <w:rPr>
          <w:rFonts w:ascii="Times New Roman" w:hAnsi="Times New Roman" w:eastAsia="宋体"/>
          <w:color w:val="auto"/>
          <w:highlight w:val="none"/>
        </w:rPr>
      </w:pPr>
      <w:r>
        <w:rPr>
          <w:rFonts w:ascii="Times New Roman" w:hAnsi="Times New Roman" w:eastAsia="宋体"/>
          <w:color w:val="auto"/>
          <w:highlight w:val="none"/>
        </w:rPr>
        <w:t>4.2.2.3 污染源排放量核算</w:t>
      </w:r>
    </w:p>
    <w:p>
      <w:pPr>
        <w:ind w:firstLine="480"/>
        <w:rPr>
          <w:rFonts w:ascii="Times New Roman" w:hAnsi="Times New Roman" w:eastAsia="宋体" w:cs="Times New Roman"/>
          <w:color w:val="auto"/>
          <w:highlight w:val="none"/>
        </w:rPr>
        <w:sectPr>
          <w:pgSz w:w="11900" w:h="16838"/>
          <w:pgMar w:top="1417" w:right="1417" w:bottom="1417" w:left="1417" w:header="850" w:footer="850" w:gutter="0"/>
          <w:pgBorders>
            <w:top w:val="none" w:sz="0" w:space="0"/>
            <w:left w:val="none" w:sz="0" w:space="0"/>
            <w:bottom w:val="none" w:sz="0" w:space="0"/>
            <w:right w:val="none" w:sz="0" w:space="0"/>
          </w:pgBorders>
          <w:cols w:space="720" w:num="1"/>
          <w:docGrid w:linePitch="326" w:charSpace="0"/>
        </w:sectPr>
      </w:pPr>
      <w:r>
        <w:rPr>
          <w:rFonts w:ascii="Times New Roman" w:hAnsi="Times New Roman" w:eastAsia="宋体" w:cs="Times New Roman"/>
          <w:color w:val="auto"/>
          <w:highlight w:val="none"/>
        </w:rPr>
        <w:t>项目混合污水经化粪池处理后用于周边旱地施肥</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初期雨水收集沉淀后用于矿区洒水降尘</w:t>
      </w:r>
      <w:r>
        <w:rPr>
          <w:rFonts w:hint="eastAsia" w:ascii="Times New Roman" w:hAnsi="Times New Roman" w:eastAsia="宋体" w:cs="Times New Roman"/>
          <w:color w:val="auto"/>
          <w:highlight w:val="none"/>
        </w:rPr>
        <w:t>；车辆清洗废水和洗砂废水循环使用；</w:t>
      </w:r>
      <w:r>
        <w:rPr>
          <w:rFonts w:ascii="Times New Roman" w:hAnsi="Times New Roman" w:eastAsia="宋体" w:cs="Times New Roman"/>
          <w:color w:val="auto"/>
          <w:highlight w:val="none"/>
        </w:rPr>
        <w:t>日常生产过程没有废水外排，不设置废水排放口，污染源排放量核算信息见下表4.2-</w:t>
      </w:r>
      <w:r>
        <w:rPr>
          <w:rFonts w:hint="eastAsia" w:ascii="Times New Roman" w:hAnsi="Times New Roman" w:eastAsia="宋体" w:cs="Times New Roman"/>
          <w:color w:val="auto"/>
          <w:highlight w:val="none"/>
        </w:rPr>
        <w:t>23</w:t>
      </w:r>
      <w:r>
        <w:rPr>
          <w:rFonts w:ascii="Times New Roman" w:hAnsi="Times New Roman" w:eastAsia="宋体" w:cs="Times New Roman"/>
          <w:color w:val="auto"/>
          <w:highlight w:val="none"/>
        </w:rPr>
        <w:t>、表4.2-</w:t>
      </w:r>
      <w:r>
        <w:rPr>
          <w:rFonts w:hint="eastAsia" w:ascii="Times New Roman" w:hAnsi="Times New Roman" w:eastAsia="宋体" w:cs="Times New Roman"/>
          <w:color w:val="auto"/>
          <w:highlight w:val="none"/>
        </w:rPr>
        <w:t>24</w:t>
      </w:r>
      <w:r>
        <w:rPr>
          <w:rFonts w:ascii="Times New Roman" w:hAnsi="Times New Roman" w:eastAsia="宋体" w:cs="Times New Roman"/>
          <w:color w:val="auto"/>
          <w:highlight w:val="none"/>
        </w:rPr>
        <w:t>。</w:t>
      </w:r>
    </w:p>
    <w:p>
      <w:pPr>
        <w:pStyle w:val="12"/>
        <w:spacing w:line="240" w:lineRule="auto"/>
        <w:ind w:firstLineChars="0"/>
        <w:jc w:val="center"/>
        <w:rPr>
          <w:rFonts w:ascii="Times New Roman" w:hAnsi="Times New Roman" w:eastAsia="宋体"/>
          <w:b/>
          <w:bCs/>
          <w:color w:val="auto"/>
          <w:szCs w:val="24"/>
          <w:highlight w:val="none"/>
        </w:rPr>
      </w:pPr>
      <w:r>
        <w:rPr>
          <w:rFonts w:hint="eastAsia" w:ascii="Times New Roman" w:hAnsi="Times New Roman" w:eastAsia="宋体"/>
          <w:b/>
          <w:bCs/>
          <w:color w:val="auto"/>
          <w:szCs w:val="24"/>
          <w:highlight w:val="none"/>
          <w:lang w:val="en-US" w:eastAsia="zh-CN"/>
        </w:rPr>
        <w:t>表</w:t>
      </w:r>
      <w:r>
        <w:rPr>
          <w:rFonts w:ascii="Times New Roman" w:hAnsi="Times New Roman" w:eastAsia="宋体"/>
          <w:b/>
          <w:bCs/>
          <w:color w:val="auto"/>
          <w:szCs w:val="24"/>
          <w:highlight w:val="none"/>
        </w:rPr>
        <w:t>4.2-</w:t>
      </w:r>
      <w:r>
        <w:rPr>
          <w:rFonts w:hint="eastAsia" w:ascii="Times New Roman" w:hAnsi="Times New Roman" w:eastAsia="宋体"/>
          <w:b/>
          <w:bCs/>
          <w:color w:val="auto"/>
          <w:szCs w:val="24"/>
          <w:highlight w:val="none"/>
        </w:rPr>
        <w:t>23</w:t>
      </w:r>
      <w:r>
        <w:rPr>
          <w:rFonts w:ascii="Times New Roman" w:hAnsi="Times New Roman" w:eastAsia="宋体"/>
          <w:b/>
          <w:bCs/>
          <w:color w:val="auto"/>
          <w:szCs w:val="24"/>
          <w:highlight w:val="none"/>
        </w:rPr>
        <w:t xml:space="preserve"> 项目废水类别、污染物及污染治理设施信息表</w:t>
      </w:r>
    </w:p>
    <w:tbl>
      <w:tblPr>
        <w:tblStyle w:val="48"/>
        <w:tblW w:w="1422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6"/>
        <w:gridCol w:w="1307"/>
        <w:gridCol w:w="1410"/>
        <w:gridCol w:w="1307"/>
        <w:gridCol w:w="1453"/>
        <w:gridCol w:w="1410"/>
        <w:gridCol w:w="1564"/>
        <w:gridCol w:w="1684"/>
        <w:gridCol w:w="819"/>
        <w:gridCol w:w="1397"/>
        <w:gridCol w:w="13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blHeader/>
          <w:jc w:val="center"/>
        </w:trPr>
        <w:tc>
          <w:tcPr>
            <w:tcW w:w="476"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序号</w:t>
            </w:r>
          </w:p>
        </w:tc>
        <w:tc>
          <w:tcPr>
            <w:tcW w:w="1307"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废水类别</w:t>
            </w:r>
            <w:r>
              <w:rPr>
                <w:rFonts w:ascii="Times New Roman" w:hAnsi="Times New Roman" w:eastAsia="宋体" w:cs="Times New Roman"/>
                <w:b/>
                <w:bCs/>
                <w:color w:val="auto"/>
                <w:sz w:val="18"/>
                <w:szCs w:val="18"/>
                <w:highlight w:val="none"/>
                <w:vertAlign w:val="superscript"/>
              </w:rPr>
              <w:t>a</w:t>
            </w:r>
          </w:p>
        </w:tc>
        <w:tc>
          <w:tcPr>
            <w:tcW w:w="1410"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污染物</w:t>
            </w:r>
          </w:p>
          <w:p>
            <w:pPr>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种类</w:t>
            </w:r>
            <w:r>
              <w:rPr>
                <w:rFonts w:ascii="Times New Roman" w:hAnsi="Times New Roman" w:eastAsia="宋体" w:cs="Times New Roman"/>
                <w:b/>
                <w:bCs/>
                <w:color w:val="auto"/>
                <w:sz w:val="18"/>
                <w:szCs w:val="18"/>
                <w:highlight w:val="none"/>
                <w:vertAlign w:val="superscript"/>
              </w:rPr>
              <w:t>b</w:t>
            </w:r>
          </w:p>
        </w:tc>
        <w:tc>
          <w:tcPr>
            <w:tcW w:w="1307"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排放去向</w:t>
            </w:r>
            <w:r>
              <w:rPr>
                <w:rFonts w:ascii="Times New Roman" w:hAnsi="Times New Roman" w:eastAsia="宋体" w:cs="Times New Roman"/>
                <w:b/>
                <w:bCs/>
                <w:color w:val="auto"/>
                <w:sz w:val="18"/>
                <w:szCs w:val="18"/>
                <w:highlight w:val="none"/>
                <w:vertAlign w:val="superscript"/>
              </w:rPr>
              <w:t>c</w:t>
            </w:r>
          </w:p>
        </w:tc>
        <w:tc>
          <w:tcPr>
            <w:tcW w:w="1453"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排放规律</w:t>
            </w:r>
            <w:r>
              <w:rPr>
                <w:rFonts w:ascii="Times New Roman" w:hAnsi="Times New Roman" w:eastAsia="宋体" w:cs="Times New Roman"/>
                <w:b/>
                <w:bCs/>
                <w:color w:val="auto"/>
                <w:sz w:val="18"/>
                <w:szCs w:val="18"/>
                <w:highlight w:val="none"/>
                <w:vertAlign w:val="superscript"/>
              </w:rPr>
              <w:t>d</w:t>
            </w:r>
          </w:p>
        </w:tc>
        <w:tc>
          <w:tcPr>
            <w:tcW w:w="4658" w:type="dxa"/>
            <w:gridSpan w:val="3"/>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污染治理设施</w:t>
            </w:r>
          </w:p>
        </w:tc>
        <w:tc>
          <w:tcPr>
            <w:tcW w:w="819"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排放口编号</w:t>
            </w:r>
            <w:r>
              <w:rPr>
                <w:rFonts w:ascii="Times New Roman" w:hAnsi="Times New Roman" w:eastAsia="宋体" w:cs="Times New Roman"/>
                <w:b/>
                <w:bCs/>
                <w:color w:val="auto"/>
                <w:sz w:val="18"/>
                <w:szCs w:val="18"/>
                <w:highlight w:val="none"/>
                <w:vertAlign w:val="superscript"/>
              </w:rPr>
              <w:t>f</w:t>
            </w:r>
          </w:p>
        </w:tc>
        <w:tc>
          <w:tcPr>
            <w:tcW w:w="1397"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排放口设置是否符合要求</w:t>
            </w:r>
            <w:r>
              <w:rPr>
                <w:rFonts w:ascii="Times New Roman" w:hAnsi="Times New Roman" w:eastAsia="宋体" w:cs="Times New Roman"/>
                <w:b/>
                <w:bCs/>
                <w:color w:val="auto"/>
                <w:sz w:val="18"/>
                <w:szCs w:val="18"/>
                <w:highlight w:val="none"/>
                <w:vertAlign w:val="superscript"/>
              </w:rPr>
              <w:t>g</w:t>
            </w:r>
          </w:p>
        </w:tc>
        <w:tc>
          <w:tcPr>
            <w:tcW w:w="1393"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排放口</w:t>
            </w:r>
          </w:p>
          <w:p>
            <w:pPr>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blHeader/>
          <w:jc w:val="center"/>
        </w:trPr>
        <w:tc>
          <w:tcPr>
            <w:tcW w:w="476"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p>
        </w:tc>
        <w:tc>
          <w:tcPr>
            <w:tcW w:w="130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p>
        </w:tc>
        <w:tc>
          <w:tcPr>
            <w:tcW w:w="1410"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p>
        </w:tc>
        <w:tc>
          <w:tcPr>
            <w:tcW w:w="130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p>
        </w:tc>
        <w:tc>
          <w:tcPr>
            <w:tcW w:w="145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p>
        </w:tc>
        <w:tc>
          <w:tcPr>
            <w:tcW w:w="1410"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污染治理</w:t>
            </w:r>
          </w:p>
          <w:p>
            <w:pPr>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设施编号</w:t>
            </w:r>
          </w:p>
        </w:tc>
        <w:tc>
          <w:tcPr>
            <w:tcW w:w="1564"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污染治理设施</w:t>
            </w:r>
          </w:p>
          <w:p>
            <w:pPr>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名称</w:t>
            </w:r>
            <w:r>
              <w:rPr>
                <w:rFonts w:ascii="Times New Roman" w:hAnsi="Times New Roman" w:eastAsia="宋体" w:cs="Times New Roman"/>
                <w:b/>
                <w:bCs/>
                <w:color w:val="auto"/>
                <w:sz w:val="18"/>
                <w:szCs w:val="18"/>
                <w:highlight w:val="none"/>
                <w:vertAlign w:val="superscript"/>
              </w:rPr>
              <w:t>e</w:t>
            </w:r>
          </w:p>
        </w:tc>
        <w:tc>
          <w:tcPr>
            <w:tcW w:w="1684"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污染治理设施工艺</w:t>
            </w:r>
          </w:p>
        </w:tc>
        <w:tc>
          <w:tcPr>
            <w:tcW w:w="819"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p>
        </w:tc>
        <w:tc>
          <w:tcPr>
            <w:tcW w:w="1397"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p>
        </w:tc>
        <w:tc>
          <w:tcPr>
            <w:tcW w:w="139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47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w:t>
            </w:r>
          </w:p>
        </w:tc>
        <w:tc>
          <w:tcPr>
            <w:tcW w:w="130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初期雨水</w:t>
            </w:r>
          </w:p>
        </w:tc>
        <w:tc>
          <w:tcPr>
            <w:tcW w:w="1410" w:type="dxa"/>
            <w:noWrap w:val="0"/>
            <w:vAlign w:val="center"/>
          </w:tcPr>
          <w:p>
            <w:pPr>
              <w:pStyle w:val="89"/>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SS</w:t>
            </w:r>
          </w:p>
        </w:tc>
        <w:tc>
          <w:tcPr>
            <w:tcW w:w="130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不排放</w:t>
            </w:r>
          </w:p>
        </w:tc>
        <w:tc>
          <w:tcPr>
            <w:tcW w:w="145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无规律</w:t>
            </w:r>
          </w:p>
        </w:tc>
        <w:tc>
          <w:tcPr>
            <w:tcW w:w="14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156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沉砂池</w:t>
            </w:r>
          </w:p>
        </w:tc>
        <w:tc>
          <w:tcPr>
            <w:tcW w:w="168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自然沉淀</w:t>
            </w:r>
          </w:p>
        </w:tc>
        <w:tc>
          <w:tcPr>
            <w:tcW w:w="81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139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未设置排放口</w:t>
            </w:r>
          </w:p>
        </w:tc>
        <w:tc>
          <w:tcPr>
            <w:tcW w:w="139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未设置排放口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47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w:t>
            </w:r>
          </w:p>
        </w:tc>
        <w:tc>
          <w:tcPr>
            <w:tcW w:w="130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车辆清洗废水</w:t>
            </w:r>
          </w:p>
        </w:tc>
        <w:tc>
          <w:tcPr>
            <w:tcW w:w="1410" w:type="dxa"/>
            <w:noWrap w:val="0"/>
            <w:vAlign w:val="center"/>
          </w:tcPr>
          <w:p>
            <w:pPr>
              <w:pStyle w:val="89"/>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SS、石油类</w:t>
            </w:r>
          </w:p>
        </w:tc>
        <w:tc>
          <w:tcPr>
            <w:tcW w:w="130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不排放</w:t>
            </w:r>
          </w:p>
        </w:tc>
        <w:tc>
          <w:tcPr>
            <w:tcW w:w="145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无规律</w:t>
            </w:r>
          </w:p>
        </w:tc>
        <w:tc>
          <w:tcPr>
            <w:tcW w:w="141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w:t>
            </w:r>
          </w:p>
        </w:tc>
        <w:tc>
          <w:tcPr>
            <w:tcW w:w="156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隔油沉砂池</w:t>
            </w:r>
          </w:p>
        </w:tc>
        <w:tc>
          <w:tcPr>
            <w:tcW w:w="168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自然沉淀</w:t>
            </w:r>
          </w:p>
        </w:tc>
        <w:tc>
          <w:tcPr>
            <w:tcW w:w="819"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w:t>
            </w:r>
          </w:p>
        </w:tc>
        <w:tc>
          <w:tcPr>
            <w:tcW w:w="139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未设置排放口</w:t>
            </w:r>
          </w:p>
        </w:tc>
        <w:tc>
          <w:tcPr>
            <w:tcW w:w="139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未设置排放口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476"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3</w:t>
            </w:r>
          </w:p>
        </w:tc>
        <w:tc>
          <w:tcPr>
            <w:tcW w:w="130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洗砂废水</w:t>
            </w:r>
          </w:p>
        </w:tc>
        <w:tc>
          <w:tcPr>
            <w:tcW w:w="1410" w:type="dxa"/>
            <w:noWrap w:val="0"/>
            <w:vAlign w:val="center"/>
          </w:tcPr>
          <w:p>
            <w:pPr>
              <w:pStyle w:val="89"/>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SS</w:t>
            </w:r>
          </w:p>
        </w:tc>
        <w:tc>
          <w:tcPr>
            <w:tcW w:w="130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不排放</w:t>
            </w:r>
          </w:p>
        </w:tc>
        <w:tc>
          <w:tcPr>
            <w:tcW w:w="145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无规律</w:t>
            </w:r>
          </w:p>
        </w:tc>
        <w:tc>
          <w:tcPr>
            <w:tcW w:w="14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w:t>
            </w:r>
          </w:p>
        </w:tc>
        <w:tc>
          <w:tcPr>
            <w:tcW w:w="156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沉砂池</w:t>
            </w:r>
          </w:p>
        </w:tc>
        <w:tc>
          <w:tcPr>
            <w:tcW w:w="168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自然沉淀</w:t>
            </w:r>
          </w:p>
        </w:tc>
        <w:tc>
          <w:tcPr>
            <w:tcW w:w="81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p>
        </w:tc>
        <w:tc>
          <w:tcPr>
            <w:tcW w:w="139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未设置排放口</w:t>
            </w:r>
          </w:p>
        </w:tc>
        <w:tc>
          <w:tcPr>
            <w:tcW w:w="139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未设置排放口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476"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4</w:t>
            </w:r>
          </w:p>
        </w:tc>
        <w:tc>
          <w:tcPr>
            <w:tcW w:w="130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综合污水</w:t>
            </w:r>
          </w:p>
        </w:tc>
        <w:tc>
          <w:tcPr>
            <w:tcW w:w="14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COD</w:t>
            </w:r>
            <w:r>
              <w:rPr>
                <w:rFonts w:ascii="Times New Roman" w:hAnsi="Times New Roman" w:eastAsia="宋体" w:cs="Times New Roman"/>
                <w:color w:val="auto"/>
                <w:sz w:val="18"/>
                <w:szCs w:val="18"/>
                <w:highlight w:val="none"/>
                <w:vertAlign w:val="subscript"/>
              </w:rPr>
              <w:t>Cr</w:t>
            </w:r>
            <w:r>
              <w:rPr>
                <w:rFonts w:ascii="Times New Roman" w:hAnsi="Times New Roman" w:eastAsia="宋体" w:cs="Times New Roman"/>
                <w:color w:val="auto"/>
                <w:sz w:val="18"/>
                <w:szCs w:val="18"/>
                <w:highlight w:val="none"/>
              </w:rPr>
              <w:t>、BOD</w:t>
            </w:r>
            <w:r>
              <w:rPr>
                <w:rFonts w:ascii="Times New Roman" w:hAnsi="Times New Roman" w:eastAsia="宋体" w:cs="Times New Roman"/>
                <w:color w:val="auto"/>
                <w:sz w:val="18"/>
                <w:szCs w:val="18"/>
                <w:highlight w:val="none"/>
                <w:vertAlign w:val="subscript"/>
              </w:rPr>
              <w:t>5</w:t>
            </w:r>
            <w:r>
              <w:rPr>
                <w:rFonts w:ascii="Times New Roman" w:hAnsi="Times New Roman" w:eastAsia="宋体" w:cs="Times New Roman"/>
                <w:color w:val="auto"/>
                <w:sz w:val="18"/>
                <w:szCs w:val="18"/>
                <w:highlight w:val="none"/>
              </w:rPr>
              <w:t>、</w:t>
            </w:r>
          </w:p>
          <w:p>
            <w:pPr>
              <w:pStyle w:val="89"/>
              <w:jc w:val="both"/>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SS、NH</w:t>
            </w:r>
            <w:r>
              <w:rPr>
                <w:rFonts w:ascii="Times New Roman" w:hAnsi="Times New Roman" w:eastAsia="宋体" w:cs="Times New Roman"/>
                <w:color w:val="auto"/>
                <w:sz w:val="18"/>
                <w:szCs w:val="18"/>
                <w:highlight w:val="none"/>
                <w:vertAlign w:val="subscript"/>
              </w:rPr>
              <w:t>3</w:t>
            </w:r>
            <w:r>
              <w:rPr>
                <w:rFonts w:ascii="Times New Roman" w:hAnsi="Times New Roman" w:eastAsia="宋体" w:cs="Times New Roman"/>
                <w:color w:val="auto"/>
                <w:sz w:val="18"/>
                <w:szCs w:val="18"/>
                <w:highlight w:val="none"/>
              </w:rPr>
              <w:t>-N、动植物油</w:t>
            </w:r>
          </w:p>
        </w:tc>
        <w:tc>
          <w:tcPr>
            <w:tcW w:w="130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周边</w:t>
            </w:r>
            <w:r>
              <w:rPr>
                <w:rFonts w:ascii="Times New Roman" w:hAnsi="Times New Roman" w:eastAsia="宋体" w:cs="Times New Roman"/>
                <w:color w:val="auto"/>
                <w:sz w:val="18"/>
                <w:szCs w:val="18"/>
                <w:highlight w:val="none"/>
              </w:rPr>
              <w:t>旱地施肥</w:t>
            </w:r>
          </w:p>
        </w:tc>
        <w:tc>
          <w:tcPr>
            <w:tcW w:w="145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无规律</w:t>
            </w:r>
          </w:p>
        </w:tc>
        <w:tc>
          <w:tcPr>
            <w:tcW w:w="14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156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化粪池</w:t>
            </w:r>
          </w:p>
        </w:tc>
        <w:tc>
          <w:tcPr>
            <w:tcW w:w="168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沉淀+厌氧</w:t>
            </w:r>
            <w:r>
              <w:rPr>
                <w:rFonts w:hint="eastAsia" w:ascii="Times New Roman" w:hAnsi="Times New Roman" w:eastAsia="宋体" w:cs="Times New Roman"/>
                <w:color w:val="auto"/>
                <w:sz w:val="18"/>
                <w:szCs w:val="18"/>
                <w:highlight w:val="none"/>
              </w:rPr>
              <w:t>发酵</w:t>
            </w:r>
          </w:p>
        </w:tc>
        <w:tc>
          <w:tcPr>
            <w:tcW w:w="81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1397"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未设置排放口</w:t>
            </w:r>
          </w:p>
        </w:tc>
        <w:tc>
          <w:tcPr>
            <w:tcW w:w="139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未设置排放口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4220" w:type="dxa"/>
            <w:gridSpan w:val="11"/>
            <w:noWrap w:val="0"/>
            <w:vAlign w:val="center"/>
          </w:tcPr>
          <w:p>
            <w:pPr>
              <w:pStyle w:val="128"/>
              <w:spacing w:line="240" w:lineRule="auto"/>
              <w:ind w:firstLine="0" w:firstLineChars="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vertAlign w:val="superscript"/>
              </w:rPr>
              <w:t xml:space="preserve">a </w:t>
            </w:r>
            <w:r>
              <w:rPr>
                <w:rFonts w:ascii="Times New Roman" w:hAnsi="Times New Roman" w:eastAsia="宋体" w:cs="Times New Roman"/>
                <w:color w:val="auto"/>
                <w:sz w:val="18"/>
                <w:szCs w:val="18"/>
                <w:highlight w:val="none"/>
              </w:rPr>
              <w:t>指产生废水的工艺、工序，或废水类型的名称。</w:t>
            </w:r>
          </w:p>
          <w:p>
            <w:pPr>
              <w:pStyle w:val="128"/>
              <w:spacing w:line="240" w:lineRule="auto"/>
              <w:ind w:firstLine="0" w:firstLineChars="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vertAlign w:val="superscript"/>
              </w:rPr>
              <w:t xml:space="preserve">b </w:t>
            </w:r>
            <w:r>
              <w:rPr>
                <w:rFonts w:ascii="Times New Roman" w:hAnsi="Times New Roman" w:eastAsia="宋体" w:cs="Times New Roman"/>
                <w:color w:val="auto"/>
                <w:sz w:val="18"/>
                <w:szCs w:val="18"/>
                <w:highlight w:val="none"/>
              </w:rPr>
              <w:t>指产生的主要污染物类型，以相应排放标准中确定的污染因子为准。</w:t>
            </w:r>
          </w:p>
          <w:p>
            <w:pPr>
              <w:pStyle w:val="128"/>
              <w:spacing w:line="240" w:lineRule="auto"/>
              <w:ind w:firstLine="0" w:firstLineChars="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vertAlign w:val="superscript"/>
              </w:rPr>
              <w:t xml:space="preserve">c </w:t>
            </w:r>
            <w:r>
              <w:rPr>
                <w:rFonts w:ascii="Times New Roman" w:hAnsi="Times New Roman" w:eastAsia="宋体" w:cs="Times New Roman"/>
                <w:color w:val="auto"/>
                <w:sz w:val="18"/>
                <w:szCs w:val="18"/>
                <w:highlight w:val="none"/>
              </w:rPr>
              <w:t>包括不外排；排至厂内综合污水处理站；直接进入海域；直接进入江河、湖、库等水环境；进入城市下水道（再入江河、湖、库）；进入城市下水道（再入沿海海域）；进入城市污水处理厂；直接进入污灌农田；进入地渗或蒸发地；进入其他单位；工业废水集中处理厂；其他（包括回用等）。对于工艺、工序产生的废水，“不外排”指全部在工序内部循环使用，“排至厂内综合污水处理站”指工序废水经处理后排至综合处理站。对于综合污水处理站，“不外排”指全厂废水经处理后全部回用不排放。</w:t>
            </w:r>
          </w:p>
          <w:p>
            <w:pPr>
              <w:pStyle w:val="128"/>
              <w:spacing w:line="240" w:lineRule="auto"/>
              <w:ind w:firstLine="0" w:firstLineChars="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vertAlign w:val="superscript"/>
              </w:rPr>
              <w:t xml:space="preserve">d </w:t>
            </w:r>
            <w:r>
              <w:rPr>
                <w:rFonts w:ascii="Times New Roman" w:hAnsi="Times New Roman" w:eastAsia="宋体" w:cs="Times New Roman"/>
                <w:color w:val="auto"/>
                <w:sz w:val="18"/>
                <w:szCs w:val="18"/>
                <w:highlight w:val="none"/>
              </w:rPr>
              <w:t>包括连续排放，流量稳定；连续排放，流量不稳定，但有周期性规律；连续排放，流量不稳定，但有规律，且不属于周期性规律；连续排放，流量不稳定，属于冲击型排放；连续排放，流量不稳定且无规律，但不属于冲击型排放；间断排放，排放期间流量稳定；间断排放，排放期间流量不稳定，但有周期性规律；间断排放，排放期间流量不稳定，但有规律，且不属于非周期性规律；间断排放，排放期间流量不稳定，属于冲击型排放；间断排放，排放期间流量不稳定且无规律，但不属于冲击型排放。</w:t>
            </w:r>
          </w:p>
          <w:p>
            <w:pPr>
              <w:pStyle w:val="128"/>
              <w:spacing w:line="240" w:lineRule="auto"/>
              <w:ind w:firstLine="0" w:firstLineChars="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vertAlign w:val="superscript"/>
              </w:rPr>
              <w:t xml:space="preserve">e </w:t>
            </w:r>
            <w:r>
              <w:rPr>
                <w:rFonts w:ascii="Times New Roman" w:hAnsi="Times New Roman" w:eastAsia="宋体" w:cs="Times New Roman"/>
                <w:color w:val="auto"/>
                <w:sz w:val="18"/>
                <w:szCs w:val="18"/>
                <w:highlight w:val="none"/>
              </w:rPr>
              <w:t>指主要污水处理设施名称，如“综合污水处理站”“生活污水处理系统”等。</w:t>
            </w:r>
          </w:p>
          <w:p>
            <w:pPr>
              <w:pStyle w:val="128"/>
              <w:spacing w:line="240" w:lineRule="auto"/>
              <w:ind w:firstLine="0" w:firstLineChars="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vertAlign w:val="superscript"/>
              </w:rPr>
              <w:t xml:space="preserve">f </w:t>
            </w:r>
            <w:r>
              <w:rPr>
                <w:rFonts w:ascii="Times New Roman" w:hAnsi="Times New Roman" w:eastAsia="宋体" w:cs="Times New Roman"/>
                <w:color w:val="auto"/>
                <w:sz w:val="18"/>
                <w:szCs w:val="18"/>
                <w:highlight w:val="none"/>
              </w:rPr>
              <w:t>排放口编号可按地方环境管理部门现有编号进行填写或由企业根据国家相关规范进行编制。</w:t>
            </w:r>
          </w:p>
          <w:p>
            <w:pPr>
              <w:adjustRightInd w:val="0"/>
              <w:snapToGrid w:val="0"/>
              <w:spacing w:line="240" w:lineRule="auto"/>
              <w:ind w:firstLine="0" w:firstLineChars="0"/>
              <w:jc w:val="left"/>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vertAlign w:val="superscript"/>
              </w:rPr>
              <w:t xml:space="preserve">g </w:t>
            </w:r>
            <w:r>
              <w:rPr>
                <w:rFonts w:ascii="Times New Roman" w:hAnsi="Times New Roman" w:eastAsia="宋体" w:cs="Times New Roman"/>
                <w:color w:val="auto"/>
                <w:sz w:val="18"/>
                <w:szCs w:val="18"/>
                <w:highlight w:val="none"/>
              </w:rPr>
              <w:t>指排放口设置是否符合排放口规范化整治技术要求等相关文件的规定。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06" w:hRule="atLeast"/>
          <w:jc w:val="center"/>
        </w:trPr>
        <w:tc>
          <w:tcPr>
            <w:tcW w:w="14220" w:type="dxa"/>
            <w:gridSpan w:val="11"/>
            <w:noWrap w:val="0"/>
            <w:vAlign w:val="center"/>
          </w:tcPr>
          <w:p>
            <w:pPr>
              <w:adjustRightInd w:val="0"/>
              <w:snapToGrid w:val="0"/>
              <w:spacing w:line="240" w:lineRule="auto"/>
              <w:ind w:firstLine="0" w:firstLineChars="0"/>
              <w:jc w:val="left"/>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vertAlign w:val="superscript"/>
              </w:rPr>
              <w:t>a</w:t>
            </w:r>
            <w:r>
              <w:rPr>
                <w:rFonts w:ascii="Times New Roman" w:hAnsi="Times New Roman" w:eastAsia="宋体" w:cs="Times New Roman"/>
                <w:color w:val="auto"/>
                <w:sz w:val="18"/>
                <w:szCs w:val="18"/>
                <w:highlight w:val="none"/>
              </w:rPr>
              <w:t xml:space="preserve"> 指对应排放口需执行的国家或地方污染物排放标准以及其他按规定商定建设项目水污染物排放控制要求的协议，据此确定的排放浓度限值。</w:t>
            </w:r>
          </w:p>
        </w:tc>
      </w:tr>
    </w:tbl>
    <w:p>
      <w:pPr>
        <w:pStyle w:val="12"/>
        <w:spacing w:line="240" w:lineRule="auto"/>
        <w:ind w:firstLineChars="0"/>
        <w:jc w:val="center"/>
        <w:rPr>
          <w:rFonts w:ascii="Times New Roman" w:hAnsi="Times New Roman" w:eastAsia="宋体"/>
          <w:b/>
          <w:bCs/>
          <w:color w:val="auto"/>
          <w:szCs w:val="24"/>
          <w:highlight w:val="none"/>
        </w:rPr>
      </w:pPr>
    </w:p>
    <w:p>
      <w:pPr>
        <w:pStyle w:val="12"/>
        <w:spacing w:line="240" w:lineRule="auto"/>
        <w:ind w:firstLineChars="0"/>
        <w:jc w:val="center"/>
        <w:rPr>
          <w:rFonts w:ascii="Times New Roman" w:hAnsi="Times New Roman" w:eastAsia="宋体"/>
          <w:b/>
          <w:bCs/>
          <w:color w:val="auto"/>
          <w:szCs w:val="24"/>
          <w:highlight w:val="none"/>
        </w:rPr>
      </w:pPr>
      <w:r>
        <w:rPr>
          <w:rFonts w:hint="eastAsia" w:ascii="Times New Roman" w:hAnsi="Times New Roman" w:eastAsia="宋体"/>
          <w:b/>
          <w:bCs/>
          <w:color w:val="auto"/>
          <w:szCs w:val="24"/>
          <w:highlight w:val="none"/>
          <w:lang w:val="en-US" w:eastAsia="zh-CN"/>
        </w:rPr>
        <w:t>表</w:t>
      </w:r>
      <w:r>
        <w:rPr>
          <w:rFonts w:ascii="Times New Roman" w:hAnsi="Times New Roman" w:eastAsia="宋体"/>
          <w:b/>
          <w:bCs/>
          <w:color w:val="auto"/>
          <w:szCs w:val="24"/>
          <w:highlight w:val="none"/>
        </w:rPr>
        <w:t>4.2-</w:t>
      </w:r>
      <w:r>
        <w:rPr>
          <w:rFonts w:hint="eastAsia" w:ascii="Times New Roman" w:hAnsi="Times New Roman" w:eastAsia="宋体"/>
          <w:b/>
          <w:bCs/>
          <w:color w:val="auto"/>
          <w:szCs w:val="24"/>
          <w:highlight w:val="none"/>
        </w:rPr>
        <w:t>24</w:t>
      </w:r>
      <w:r>
        <w:rPr>
          <w:rFonts w:ascii="Times New Roman" w:hAnsi="Times New Roman" w:eastAsia="宋体"/>
          <w:b/>
          <w:bCs/>
          <w:color w:val="auto"/>
          <w:szCs w:val="24"/>
          <w:highlight w:val="none"/>
        </w:rPr>
        <w:t xml:space="preserve"> 废水污染物排放信息表</w:t>
      </w:r>
    </w:p>
    <w:tbl>
      <w:tblPr>
        <w:tblStyle w:val="48"/>
        <w:tblW w:w="140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51"/>
        <w:gridCol w:w="1295"/>
        <w:gridCol w:w="2390"/>
        <w:gridCol w:w="1899"/>
        <w:gridCol w:w="1979"/>
        <w:gridCol w:w="1976"/>
        <w:gridCol w:w="1978"/>
        <w:gridCol w:w="15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49" w:hRule="atLeast"/>
        </w:trPr>
        <w:tc>
          <w:tcPr>
            <w:tcW w:w="951" w:type="dxa"/>
            <w:noWrap w:val="0"/>
            <w:vAlign w:val="center"/>
          </w:tcPr>
          <w:p>
            <w:pPr>
              <w:pStyle w:val="121"/>
              <w:adjustRightInd w:val="0"/>
              <w:snapToGrid w:val="0"/>
              <w:spacing w:line="240" w:lineRule="auto"/>
              <w:ind w:firstLine="0" w:firstLineChars="0"/>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序号</w:t>
            </w:r>
          </w:p>
        </w:tc>
        <w:tc>
          <w:tcPr>
            <w:tcW w:w="1295" w:type="dxa"/>
            <w:noWrap w:val="0"/>
            <w:vAlign w:val="center"/>
          </w:tcPr>
          <w:p>
            <w:pPr>
              <w:pStyle w:val="121"/>
              <w:adjustRightInd w:val="0"/>
              <w:snapToGrid w:val="0"/>
              <w:spacing w:line="240" w:lineRule="auto"/>
              <w:ind w:firstLine="0" w:firstLineChars="0"/>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排放口编号</w:t>
            </w:r>
          </w:p>
        </w:tc>
        <w:tc>
          <w:tcPr>
            <w:tcW w:w="2390" w:type="dxa"/>
            <w:noWrap w:val="0"/>
            <w:vAlign w:val="center"/>
          </w:tcPr>
          <w:p>
            <w:pPr>
              <w:pStyle w:val="121"/>
              <w:adjustRightInd w:val="0"/>
              <w:snapToGrid w:val="0"/>
              <w:spacing w:line="240" w:lineRule="auto"/>
              <w:ind w:firstLine="0" w:firstLineChars="0"/>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污染物种类</w:t>
            </w:r>
          </w:p>
        </w:tc>
        <w:tc>
          <w:tcPr>
            <w:tcW w:w="1899" w:type="dxa"/>
            <w:noWrap w:val="0"/>
            <w:vAlign w:val="center"/>
          </w:tcPr>
          <w:p>
            <w:pPr>
              <w:pStyle w:val="121"/>
              <w:adjustRightInd w:val="0"/>
              <w:snapToGrid w:val="0"/>
              <w:spacing w:line="240" w:lineRule="auto"/>
              <w:ind w:firstLine="0" w:firstLineChars="0"/>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排放浓度（mg/L）</w:t>
            </w:r>
          </w:p>
        </w:tc>
        <w:tc>
          <w:tcPr>
            <w:tcW w:w="1979" w:type="dxa"/>
            <w:noWrap w:val="0"/>
            <w:vAlign w:val="center"/>
          </w:tcPr>
          <w:p>
            <w:pPr>
              <w:pStyle w:val="121"/>
              <w:adjustRightInd w:val="0"/>
              <w:snapToGrid w:val="0"/>
              <w:spacing w:line="240" w:lineRule="auto"/>
              <w:ind w:firstLine="0" w:firstLineChars="0"/>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新增日排放量（kg/d）</w:t>
            </w:r>
          </w:p>
        </w:tc>
        <w:tc>
          <w:tcPr>
            <w:tcW w:w="1976" w:type="dxa"/>
            <w:noWrap w:val="0"/>
            <w:vAlign w:val="center"/>
          </w:tcPr>
          <w:p>
            <w:pPr>
              <w:pStyle w:val="121"/>
              <w:adjustRightInd w:val="0"/>
              <w:snapToGrid w:val="0"/>
              <w:spacing w:line="240" w:lineRule="auto"/>
              <w:ind w:firstLine="0" w:firstLineChars="0"/>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全厂日排放量（kg/d）</w:t>
            </w:r>
          </w:p>
        </w:tc>
        <w:tc>
          <w:tcPr>
            <w:tcW w:w="1978" w:type="dxa"/>
            <w:noWrap w:val="0"/>
            <w:vAlign w:val="center"/>
          </w:tcPr>
          <w:p>
            <w:pPr>
              <w:pStyle w:val="121"/>
              <w:adjustRightInd w:val="0"/>
              <w:snapToGrid w:val="0"/>
              <w:spacing w:line="240" w:lineRule="auto"/>
              <w:ind w:firstLine="0" w:firstLineChars="0"/>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新增年排放量（t/a）</w:t>
            </w:r>
          </w:p>
        </w:tc>
        <w:tc>
          <w:tcPr>
            <w:tcW w:w="1536" w:type="dxa"/>
            <w:noWrap w:val="0"/>
            <w:vAlign w:val="center"/>
          </w:tcPr>
          <w:p>
            <w:pPr>
              <w:pStyle w:val="121"/>
              <w:adjustRightInd w:val="0"/>
              <w:snapToGrid w:val="0"/>
              <w:spacing w:line="240" w:lineRule="auto"/>
              <w:ind w:firstLine="0" w:firstLineChars="0"/>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全厂年排放量（t/a）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49" w:hRule="atLeast"/>
        </w:trPr>
        <w:tc>
          <w:tcPr>
            <w:tcW w:w="951" w:type="dxa"/>
            <w:vMerge w:val="restart"/>
            <w:noWrap w:val="0"/>
            <w:vAlign w:val="center"/>
          </w:tcPr>
          <w:p>
            <w:pPr>
              <w:pStyle w:val="121"/>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w:t>
            </w:r>
          </w:p>
        </w:tc>
        <w:tc>
          <w:tcPr>
            <w:tcW w:w="1295" w:type="dxa"/>
            <w:vMerge w:val="restart"/>
            <w:noWrap w:val="0"/>
            <w:vAlign w:val="center"/>
          </w:tcPr>
          <w:p>
            <w:pPr>
              <w:pStyle w:val="121"/>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p>
        </w:tc>
        <w:tc>
          <w:tcPr>
            <w:tcW w:w="2390" w:type="dxa"/>
            <w:noWrap w:val="0"/>
            <w:vAlign w:val="center"/>
          </w:tcPr>
          <w:p>
            <w:pPr>
              <w:pStyle w:val="121"/>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五日生化需氧量</w:t>
            </w:r>
          </w:p>
        </w:tc>
        <w:tc>
          <w:tcPr>
            <w:tcW w:w="189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97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97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97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53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49" w:hRule="atLeast"/>
        </w:trPr>
        <w:tc>
          <w:tcPr>
            <w:tcW w:w="951" w:type="dxa"/>
            <w:vMerge w:val="continue"/>
            <w:noWrap w:val="0"/>
            <w:vAlign w:val="center"/>
          </w:tcPr>
          <w:p>
            <w:pPr>
              <w:pStyle w:val="121"/>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p>
        </w:tc>
        <w:tc>
          <w:tcPr>
            <w:tcW w:w="1295" w:type="dxa"/>
            <w:vMerge w:val="continue"/>
            <w:noWrap w:val="0"/>
            <w:vAlign w:val="center"/>
          </w:tcPr>
          <w:p>
            <w:pPr>
              <w:pStyle w:val="121"/>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p>
        </w:tc>
        <w:tc>
          <w:tcPr>
            <w:tcW w:w="2390" w:type="dxa"/>
            <w:noWrap w:val="0"/>
            <w:vAlign w:val="center"/>
          </w:tcPr>
          <w:p>
            <w:pPr>
              <w:pStyle w:val="121"/>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悬浮物</w:t>
            </w:r>
          </w:p>
        </w:tc>
        <w:tc>
          <w:tcPr>
            <w:tcW w:w="189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97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97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97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53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49" w:hRule="atLeast"/>
        </w:trPr>
        <w:tc>
          <w:tcPr>
            <w:tcW w:w="951" w:type="dxa"/>
            <w:vMerge w:val="continue"/>
            <w:noWrap w:val="0"/>
            <w:vAlign w:val="center"/>
          </w:tcPr>
          <w:p>
            <w:pPr>
              <w:pStyle w:val="121"/>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p>
        </w:tc>
        <w:tc>
          <w:tcPr>
            <w:tcW w:w="1295" w:type="dxa"/>
            <w:vMerge w:val="continue"/>
            <w:noWrap w:val="0"/>
            <w:vAlign w:val="center"/>
          </w:tcPr>
          <w:p>
            <w:pPr>
              <w:pStyle w:val="121"/>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p>
        </w:tc>
        <w:tc>
          <w:tcPr>
            <w:tcW w:w="2390" w:type="dxa"/>
            <w:noWrap w:val="0"/>
            <w:vAlign w:val="center"/>
          </w:tcPr>
          <w:p>
            <w:pPr>
              <w:pStyle w:val="121"/>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氨氮</w:t>
            </w:r>
          </w:p>
        </w:tc>
        <w:tc>
          <w:tcPr>
            <w:tcW w:w="189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97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97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97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53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49" w:hRule="atLeast"/>
        </w:trPr>
        <w:tc>
          <w:tcPr>
            <w:tcW w:w="951" w:type="dxa"/>
            <w:vMerge w:val="continue"/>
            <w:noWrap w:val="0"/>
            <w:vAlign w:val="center"/>
          </w:tcPr>
          <w:p>
            <w:pPr>
              <w:pStyle w:val="121"/>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p>
        </w:tc>
        <w:tc>
          <w:tcPr>
            <w:tcW w:w="1295" w:type="dxa"/>
            <w:vMerge w:val="continue"/>
            <w:noWrap w:val="0"/>
            <w:vAlign w:val="center"/>
          </w:tcPr>
          <w:p>
            <w:pPr>
              <w:pStyle w:val="121"/>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p>
        </w:tc>
        <w:tc>
          <w:tcPr>
            <w:tcW w:w="2390" w:type="dxa"/>
            <w:noWrap w:val="0"/>
            <w:vAlign w:val="center"/>
          </w:tcPr>
          <w:p>
            <w:pPr>
              <w:pStyle w:val="121"/>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化学需氧量</w:t>
            </w:r>
          </w:p>
        </w:tc>
        <w:tc>
          <w:tcPr>
            <w:tcW w:w="189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97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97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97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lang w:bidi="ar"/>
              </w:rPr>
            </w:pPr>
            <w:r>
              <w:rPr>
                <w:rFonts w:ascii="Times New Roman" w:hAnsi="Times New Roman" w:eastAsia="宋体" w:cs="Times New Roman"/>
                <w:color w:val="auto"/>
                <w:sz w:val="21"/>
                <w:highlight w:val="none"/>
              </w:rPr>
              <w:t>0</w:t>
            </w:r>
          </w:p>
        </w:tc>
        <w:tc>
          <w:tcPr>
            <w:tcW w:w="153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49" w:hRule="atLeast"/>
        </w:trPr>
        <w:tc>
          <w:tcPr>
            <w:tcW w:w="951" w:type="dxa"/>
            <w:vMerge w:val="continue"/>
            <w:noWrap w:val="0"/>
            <w:vAlign w:val="center"/>
          </w:tcPr>
          <w:p>
            <w:pPr>
              <w:pStyle w:val="121"/>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p>
        </w:tc>
        <w:tc>
          <w:tcPr>
            <w:tcW w:w="1295" w:type="dxa"/>
            <w:vMerge w:val="continue"/>
            <w:noWrap w:val="0"/>
            <w:vAlign w:val="center"/>
          </w:tcPr>
          <w:p>
            <w:pPr>
              <w:pStyle w:val="121"/>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p>
        </w:tc>
        <w:tc>
          <w:tcPr>
            <w:tcW w:w="2390" w:type="dxa"/>
            <w:noWrap w:val="0"/>
            <w:vAlign w:val="center"/>
          </w:tcPr>
          <w:p>
            <w:pPr>
              <w:pStyle w:val="121"/>
              <w:adjustRightInd w:val="0"/>
              <w:snapToGrid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动植物油</w:t>
            </w:r>
          </w:p>
        </w:tc>
        <w:tc>
          <w:tcPr>
            <w:tcW w:w="189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97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97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c>
          <w:tcPr>
            <w:tcW w:w="197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lang w:bidi="ar"/>
              </w:rPr>
            </w:pPr>
            <w:r>
              <w:rPr>
                <w:rFonts w:ascii="Times New Roman" w:hAnsi="Times New Roman" w:eastAsia="宋体" w:cs="Times New Roman"/>
                <w:color w:val="auto"/>
                <w:sz w:val="21"/>
                <w:highlight w:val="none"/>
              </w:rPr>
              <w:t>0</w:t>
            </w:r>
          </w:p>
        </w:tc>
        <w:tc>
          <w:tcPr>
            <w:tcW w:w="153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r>
    </w:tbl>
    <w:p>
      <w:pPr>
        <w:ind w:firstLine="480"/>
        <w:rPr>
          <w:rFonts w:ascii="Times New Roman" w:hAnsi="Times New Roman" w:eastAsia="宋体" w:cs="Times New Roman"/>
          <w:color w:val="auto"/>
          <w:highlight w:val="none"/>
        </w:rPr>
        <w:sectPr>
          <w:pgSz w:w="16838" w:h="11900" w:orient="landscape"/>
          <w:pgMar w:top="1417" w:right="1417" w:bottom="1417" w:left="1417" w:header="850" w:footer="850" w:gutter="0"/>
          <w:pgBorders>
            <w:top w:val="none" w:sz="0" w:space="0"/>
            <w:left w:val="none" w:sz="0" w:space="0"/>
            <w:bottom w:val="none" w:sz="0" w:space="0"/>
            <w:right w:val="none" w:sz="0" w:space="0"/>
          </w:pgBorders>
          <w:cols w:space="720" w:num="1"/>
          <w:docGrid w:linePitch="326" w:charSpace="0"/>
        </w:sectPr>
      </w:pPr>
    </w:p>
    <w:p>
      <w:pPr>
        <w:pStyle w:val="5"/>
        <w:widowControl/>
        <w:rPr>
          <w:rFonts w:ascii="Times New Roman" w:hAnsi="Times New Roman" w:eastAsia="宋体"/>
          <w:color w:val="auto"/>
          <w:highlight w:val="none"/>
        </w:rPr>
      </w:pPr>
      <w:r>
        <w:rPr>
          <w:rFonts w:ascii="Times New Roman" w:hAnsi="Times New Roman" w:eastAsia="宋体"/>
          <w:color w:val="auto"/>
          <w:highlight w:val="none"/>
        </w:rPr>
        <w:t>4.2.3 运营期地下水影响分析</w:t>
      </w:r>
    </w:p>
    <w:p>
      <w:pPr>
        <w:widowControl/>
        <w:ind w:firstLine="480"/>
        <w:rPr>
          <w:rFonts w:ascii="Times New Roman" w:hAnsi="Times New Roman" w:eastAsia="宋体" w:cs="Times New Roman"/>
          <w:color w:val="auto"/>
          <w:kern w:val="0"/>
          <w:highlight w:val="none"/>
          <w:lang w:bidi="ar"/>
        </w:rPr>
      </w:pPr>
      <w:r>
        <w:rPr>
          <w:rFonts w:ascii="Times New Roman" w:hAnsi="Times New Roman" w:eastAsia="宋体" w:cs="Times New Roman"/>
          <w:color w:val="auto"/>
          <w:kern w:val="0"/>
          <w:highlight w:val="none"/>
          <w:lang w:bidi="ar"/>
        </w:rPr>
        <w:t>雨季矿区淋滤水主要包括采场淋滤水、堆料场、</w:t>
      </w:r>
      <w:r>
        <w:rPr>
          <w:rFonts w:hint="eastAsia" w:ascii="Times New Roman" w:hAnsi="Times New Roman" w:eastAsia="宋体" w:cs="Times New Roman"/>
          <w:color w:val="auto"/>
          <w:kern w:val="0"/>
          <w:highlight w:val="none"/>
          <w:lang w:val="en-US" w:eastAsia="zh-CN" w:bidi="ar"/>
        </w:rPr>
        <w:t>临时</w:t>
      </w:r>
      <w:r>
        <w:rPr>
          <w:rFonts w:hint="eastAsia" w:ascii="Times New Roman" w:hAnsi="Times New Roman" w:eastAsia="宋体" w:cs="Times New Roman"/>
          <w:color w:val="auto"/>
          <w:kern w:val="0"/>
          <w:highlight w:val="none"/>
          <w:lang w:bidi="ar"/>
        </w:rPr>
        <w:t>排</w:t>
      </w:r>
      <w:r>
        <w:rPr>
          <w:rFonts w:ascii="Times New Roman" w:hAnsi="Times New Roman" w:eastAsia="宋体" w:cs="Times New Roman"/>
          <w:color w:val="auto"/>
          <w:kern w:val="0"/>
          <w:highlight w:val="none"/>
          <w:lang w:bidi="ar"/>
        </w:rPr>
        <w:t>土场淋滤水等。矿山开采白云石矿，矿区雨季淋滤水主要污染物为悬浮物，浓度约为500mg/L。设计在矿山周边设置截排水沟，将矿山采区和加工区初期雨水通过截排水沟排入沉砂池沉淀后用于洒水降尘。项目为</w:t>
      </w:r>
      <w:r>
        <w:rPr>
          <w:rFonts w:hint="eastAsia" w:ascii="Times New Roman" w:hAnsi="Times New Roman" w:eastAsia="宋体" w:cs="Times New Roman"/>
          <w:color w:val="auto"/>
          <w:kern w:val="0"/>
          <w:highlight w:val="none"/>
          <w:lang w:bidi="ar"/>
        </w:rPr>
        <w:t>硅质岩</w:t>
      </w:r>
      <w:r>
        <w:rPr>
          <w:rFonts w:ascii="Times New Roman" w:hAnsi="Times New Roman" w:eastAsia="宋体" w:cs="Times New Roman"/>
          <w:color w:val="auto"/>
          <w:kern w:val="0"/>
          <w:highlight w:val="none"/>
          <w:lang w:bidi="ar"/>
        </w:rPr>
        <w:t>矿开采，采场及</w:t>
      </w:r>
      <w:r>
        <w:rPr>
          <w:rFonts w:hint="eastAsia" w:ascii="Times New Roman" w:hAnsi="Times New Roman" w:eastAsia="宋体" w:cs="Times New Roman"/>
          <w:color w:val="auto"/>
          <w:kern w:val="0"/>
          <w:highlight w:val="none"/>
          <w:lang w:val="en-US" w:eastAsia="zh-CN" w:bidi="ar"/>
        </w:rPr>
        <w:t>临时</w:t>
      </w:r>
      <w:r>
        <w:rPr>
          <w:rFonts w:hint="eastAsia" w:ascii="Times New Roman" w:hAnsi="Times New Roman" w:eastAsia="宋体" w:cs="Times New Roman"/>
          <w:color w:val="auto"/>
          <w:kern w:val="0"/>
          <w:highlight w:val="none"/>
          <w:lang w:bidi="ar"/>
        </w:rPr>
        <w:t>排</w:t>
      </w:r>
      <w:r>
        <w:rPr>
          <w:rFonts w:ascii="Times New Roman" w:hAnsi="Times New Roman" w:eastAsia="宋体" w:cs="Times New Roman"/>
          <w:color w:val="auto"/>
          <w:kern w:val="0"/>
          <w:highlight w:val="none"/>
          <w:lang w:bidi="ar"/>
        </w:rPr>
        <w:t>土场淋滤水水质较简单，通过类比其它同类型矿山，露天采场淋滤水中主要污染物为悬浮物，不含重金属，其它污染物含量较小，因此项目开采对地下水水质影响较小。</w:t>
      </w:r>
    </w:p>
    <w:p>
      <w:pPr>
        <w:widowControl/>
        <w:ind w:firstLine="480"/>
        <w:rPr>
          <w:rFonts w:ascii="Times New Roman" w:hAnsi="Times New Roman" w:eastAsia="宋体" w:cs="Times New Roman"/>
          <w:color w:val="auto"/>
          <w:kern w:val="0"/>
          <w:highlight w:val="none"/>
          <w:lang w:bidi="ar"/>
        </w:rPr>
      </w:pPr>
      <w:r>
        <w:rPr>
          <w:rFonts w:ascii="Times New Roman" w:hAnsi="Times New Roman" w:eastAsia="宋体" w:cs="Times New Roman"/>
          <w:color w:val="auto"/>
          <w:kern w:val="0"/>
          <w:highlight w:val="none"/>
          <w:lang w:bidi="ar"/>
        </w:rPr>
        <w:t>项目为露天矿山，根据现场调查及资料查询，项目矿区一带不属于水源地保护区和地下水的补给区。结合区域地下水赋存条件，项目最低开采标高为+</w:t>
      </w:r>
      <w:r>
        <w:rPr>
          <w:rFonts w:hint="eastAsia" w:ascii="Times New Roman" w:hAnsi="Times New Roman" w:eastAsia="宋体" w:cs="Times New Roman"/>
          <w:color w:val="auto"/>
          <w:kern w:val="0"/>
          <w:highlight w:val="none"/>
          <w:lang w:bidi="ar"/>
        </w:rPr>
        <w:t>227</w:t>
      </w:r>
      <w:r>
        <w:rPr>
          <w:rFonts w:ascii="Times New Roman" w:hAnsi="Times New Roman" w:eastAsia="宋体" w:cs="Times New Roman"/>
          <w:color w:val="auto"/>
          <w:kern w:val="0"/>
          <w:highlight w:val="none"/>
          <w:lang w:bidi="ar"/>
        </w:rPr>
        <w:t>m，高于当地地下水水位，从现有开采面实地调查，地下水在目前控制的矿体分布地段不积蓄，即无地下水赋存，因此，矿山开采不会影响区域地下水含水层。此外，根据开发利用方案设计，矿山采过程中无涌水产生，矿山的开采不会阻断地下水的补给，对于地下水水位的影响不大。</w:t>
      </w:r>
      <w:r>
        <w:rPr>
          <w:rFonts w:hint="eastAsia" w:ascii="Times New Roman" w:hAnsi="Times New Roman" w:eastAsia="宋体" w:cs="Times New Roman"/>
          <w:color w:val="auto"/>
          <w:kern w:val="0"/>
          <w:highlight w:val="none"/>
          <w:lang w:bidi="ar"/>
        </w:rPr>
        <w:t>本</w:t>
      </w:r>
      <w:r>
        <w:rPr>
          <w:rFonts w:ascii="Times New Roman" w:hAnsi="Times New Roman" w:eastAsia="宋体" w:cs="Times New Roman"/>
          <w:color w:val="auto"/>
          <w:kern w:val="0"/>
          <w:highlight w:val="none"/>
          <w:lang w:bidi="ar"/>
        </w:rPr>
        <w:t>项目日常生产生活</w:t>
      </w:r>
      <w:r>
        <w:rPr>
          <w:rFonts w:hint="eastAsia" w:ascii="Times New Roman" w:hAnsi="Times New Roman" w:eastAsia="宋体" w:cs="Times New Roman"/>
          <w:color w:val="auto"/>
          <w:kern w:val="0"/>
          <w:highlight w:val="none"/>
          <w:lang w:bidi="ar"/>
        </w:rPr>
        <w:t>不消耗地下水，</w:t>
      </w:r>
      <w:r>
        <w:rPr>
          <w:rFonts w:ascii="Times New Roman" w:hAnsi="Times New Roman" w:eastAsia="宋体" w:cs="Times New Roman"/>
          <w:color w:val="auto"/>
          <w:kern w:val="0"/>
          <w:highlight w:val="none"/>
          <w:lang w:bidi="ar"/>
        </w:rPr>
        <w:t>对区域地下水水位</w:t>
      </w:r>
      <w:r>
        <w:rPr>
          <w:rFonts w:hint="eastAsia" w:ascii="Times New Roman" w:hAnsi="Times New Roman" w:eastAsia="宋体" w:cs="Times New Roman"/>
          <w:color w:val="auto"/>
          <w:kern w:val="0"/>
          <w:highlight w:val="none"/>
          <w:lang w:bidi="ar"/>
        </w:rPr>
        <w:t>无</w:t>
      </w:r>
      <w:r>
        <w:rPr>
          <w:rFonts w:ascii="Times New Roman" w:hAnsi="Times New Roman" w:eastAsia="宋体" w:cs="Times New Roman"/>
          <w:color w:val="auto"/>
          <w:kern w:val="0"/>
          <w:highlight w:val="none"/>
          <w:lang w:bidi="ar"/>
        </w:rPr>
        <w:t>影响。</w:t>
      </w:r>
    </w:p>
    <w:p>
      <w:pPr>
        <w:pStyle w:val="5"/>
        <w:rPr>
          <w:rFonts w:ascii="Times New Roman" w:hAnsi="Times New Roman" w:eastAsia="宋体"/>
          <w:color w:val="auto"/>
          <w:highlight w:val="none"/>
        </w:rPr>
      </w:pPr>
      <w:bookmarkStart w:id="365" w:name="_Toc13811"/>
      <w:bookmarkStart w:id="366" w:name="_Toc2112"/>
      <w:r>
        <w:rPr>
          <w:rFonts w:ascii="Times New Roman" w:hAnsi="Times New Roman" w:eastAsia="宋体"/>
          <w:color w:val="auto"/>
          <w:highlight w:val="none"/>
        </w:rPr>
        <w:t>4.2.4 声环境影响</w:t>
      </w:r>
      <w:bookmarkEnd w:id="352"/>
      <w:bookmarkEnd w:id="353"/>
      <w:bookmarkEnd w:id="354"/>
      <w:bookmarkEnd w:id="355"/>
      <w:bookmarkEnd w:id="356"/>
      <w:bookmarkEnd w:id="357"/>
      <w:bookmarkEnd w:id="358"/>
      <w:bookmarkEnd w:id="359"/>
      <w:bookmarkEnd w:id="360"/>
      <w:bookmarkEnd w:id="361"/>
      <w:r>
        <w:rPr>
          <w:rFonts w:ascii="Times New Roman" w:hAnsi="Times New Roman" w:eastAsia="宋体"/>
          <w:color w:val="auto"/>
          <w:highlight w:val="none"/>
        </w:rPr>
        <w:t>预测与评价</w:t>
      </w:r>
      <w:bookmarkEnd w:id="365"/>
      <w:bookmarkEnd w:id="366"/>
    </w:p>
    <w:p>
      <w:pPr>
        <w:pStyle w:val="6"/>
        <w:tabs>
          <w:tab w:val="left" w:pos="1390"/>
        </w:tabs>
        <w:rPr>
          <w:rFonts w:ascii="Times New Roman" w:hAnsi="Times New Roman" w:eastAsia="宋体"/>
          <w:color w:val="auto"/>
          <w:highlight w:val="none"/>
        </w:rPr>
      </w:pPr>
      <w:bookmarkStart w:id="367" w:name="_Toc10243"/>
      <w:r>
        <w:rPr>
          <w:rFonts w:ascii="Times New Roman" w:hAnsi="Times New Roman" w:eastAsia="宋体"/>
          <w:color w:val="auto"/>
          <w:highlight w:val="none"/>
        </w:rPr>
        <w:t>4.2.4.1 主要噪声源及源强</w:t>
      </w:r>
      <w:bookmarkEnd w:id="367"/>
    </w:p>
    <w:p>
      <w:pPr>
        <w:tabs>
          <w:tab w:val="left" w:pos="-213"/>
        </w:tabs>
        <w:ind w:firstLine="480"/>
        <w:rPr>
          <w:rFonts w:ascii="Times New Roman" w:hAnsi="Times New Roman" w:eastAsia="宋体" w:cs="Times New Roman"/>
          <w:color w:val="auto"/>
          <w:szCs w:val="20"/>
          <w:highlight w:val="none"/>
        </w:rPr>
      </w:pPr>
      <w:r>
        <w:rPr>
          <w:rFonts w:hint="eastAsia" w:ascii="Times New Roman" w:hAnsi="Times New Roman" w:eastAsia="宋体" w:cs="Times New Roman"/>
          <w:color w:val="auto"/>
          <w:szCs w:val="20"/>
          <w:highlight w:val="none"/>
        </w:rPr>
        <w:t>项目生产过程中钻孔、爆破、采装、破碎等工序都将产生不同程度的噪声。根据项目矿山采用生产工艺流程及所选设备，产生高噪声的设备主要有液压潜孔钻机、挖掘机、空压机、破碎机，其中以爆破时产生的噪声强度最大，爆破噪声是瞬时的，只能造成短时影响。各作业工序产生的噪声见表4.2-25所示。</w:t>
      </w:r>
    </w:p>
    <w:p>
      <w:pPr>
        <w:adjustRightInd w:val="0"/>
        <w:snapToGrid w:val="0"/>
        <w:spacing w:line="240" w:lineRule="auto"/>
        <w:ind w:firstLine="0" w:firstLineChars="0"/>
        <w:jc w:val="center"/>
        <w:rPr>
          <w:rFonts w:ascii="Times New Roman" w:hAnsi="Times New Roman" w:eastAsia="宋体" w:cs="Times New Roman"/>
          <w:b/>
          <w:color w:val="auto"/>
          <w:szCs w:val="20"/>
          <w:highlight w:val="none"/>
        </w:rPr>
      </w:pPr>
      <w:bookmarkStart w:id="368" w:name="_Toc13059"/>
      <w:r>
        <w:rPr>
          <w:rFonts w:ascii="Times New Roman" w:hAnsi="Times New Roman" w:eastAsia="宋体" w:cs="Times New Roman"/>
          <w:b/>
          <w:color w:val="auto"/>
          <w:szCs w:val="20"/>
          <w:highlight w:val="none"/>
        </w:rPr>
        <w:t>表</w:t>
      </w:r>
      <w:r>
        <w:rPr>
          <w:rFonts w:hint="eastAsia" w:ascii="Times New Roman" w:hAnsi="Times New Roman" w:eastAsia="宋体" w:cs="Times New Roman"/>
          <w:b/>
          <w:color w:val="auto"/>
          <w:szCs w:val="20"/>
          <w:highlight w:val="none"/>
        </w:rPr>
        <w:t>4.2-25</w:t>
      </w:r>
      <w:r>
        <w:rPr>
          <w:rFonts w:ascii="Times New Roman" w:hAnsi="Times New Roman" w:eastAsia="宋体" w:cs="Times New Roman"/>
          <w:b/>
          <w:color w:val="auto"/>
          <w:szCs w:val="20"/>
          <w:highlight w:val="none"/>
        </w:rPr>
        <w:t xml:space="preserve"> 项目主要噪声源强及防治措施一栏表（单位：dB(A)）</w:t>
      </w:r>
    </w:p>
    <w:tbl>
      <w:tblPr>
        <w:tblStyle w:val="48"/>
        <w:tblW w:w="9071"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1173"/>
        <w:gridCol w:w="753"/>
        <w:gridCol w:w="1057"/>
        <w:gridCol w:w="1236"/>
        <w:gridCol w:w="1023"/>
        <w:gridCol w:w="2412"/>
        <w:gridCol w:w="1417"/>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设备</w:t>
            </w:r>
          </w:p>
        </w:tc>
        <w:tc>
          <w:tcPr>
            <w:tcW w:w="753" w:type="dxa"/>
            <w:noWrap w:val="0"/>
            <w:vAlign w:val="center"/>
          </w:tcPr>
          <w:p>
            <w:pPr>
              <w:widowControl/>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数量</w:t>
            </w:r>
          </w:p>
        </w:tc>
        <w:tc>
          <w:tcPr>
            <w:tcW w:w="1057" w:type="dxa"/>
            <w:noWrap w:val="0"/>
            <w:vAlign w:val="center"/>
          </w:tcPr>
          <w:p>
            <w:pPr>
              <w:widowControl/>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声压级</w:t>
            </w:r>
          </w:p>
        </w:tc>
        <w:tc>
          <w:tcPr>
            <w:tcW w:w="1236" w:type="dxa"/>
            <w:noWrap w:val="0"/>
            <w:vAlign w:val="center"/>
          </w:tcPr>
          <w:p>
            <w:pPr>
              <w:widowControl/>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排放特征</w:t>
            </w:r>
          </w:p>
        </w:tc>
        <w:tc>
          <w:tcPr>
            <w:tcW w:w="1023" w:type="dxa"/>
            <w:noWrap w:val="0"/>
            <w:vAlign w:val="center"/>
          </w:tcPr>
          <w:p>
            <w:pPr>
              <w:widowControl/>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位置</w:t>
            </w:r>
          </w:p>
        </w:tc>
        <w:tc>
          <w:tcPr>
            <w:tcW w:w="2412" w:type="dxa"/>
            <w:noWrap w:val="0"/>
            <w:vAlign w:val="center"/>
          </w:tcPr>
          <w:p>
            <w:pPr>
              <w:widowControl/>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bCs/>
                <w:color w:val="auto"/>
                <w:sz w:val="21"/>
                <w:highlight w:val="none"/>
              </w:rPr>
              <w:t>降噪措施</w:t>
            </w:r>
          </w:p>
        </w:tc>
        <w:tc>
          <w:tcPr>
            <w:tcW w:w="1417" w:type="dxa"/>
            <w:noWrap w:val="0"/>
            <w:vAlign w:val="center"/>
          </w:tcPr>
          <w:p>
            <w:pPr>
              <w:widowControl/>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bCs/>
                <w:color w:val="auto"/>
                <w:sz w:val="21"/>
                <w:highlight w:val="none"/>
              </w:rPr>
              <w:t>降噪后源强</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潜孔钻机</w:t>
            </w:r>
          </w:p>
        </w:tc>
        <w:tc>
          <w:tcPr>
            <w:tcW w:w="75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2</w:t>
            </w:r>
          </w:p>
        </w:tc>
        <w:tc>
          <w:tcPr>
            <w:tcW w:w="105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95~100</w:t>
            </w:r>
          </w:p>
        </w:tc>
        <w:tc>
          <w:tcPr>
            <w:tcW w:w="1236" w:type="dxa"/>
            <w:noWrap w:val="0"/>
            <w:vAlign w:val="center"/>
          </w:tcPr>
          <w:p>
            <w:pPr>
              <w:spacing w:line="240" w:lineRule="auto"/>
              <w:ind w:firstLine="0" w:firstLineChars="0"/>
              <w:jc w:val="center"/>
              <w:rPr>
                <w:rFonts w:ascii="Times New Roman" w:hAnsi="Times New Roman" w:eastAsia="宋体" w:cs="Times New Roman"/>
                <w:bCs/>
                <w:color w:val="auto"/>
                <w:kern w:val="0"/>
                <w:sz w:val="21"/>
                <w:highlight w:val="none"/>
              </w:rPr>
            </w:pPr>
            <w:r>
              <w:rPr>
                <w:rFonts w:ascii="Times New Roman" w:hAnsi="Times New Roman" w:eastAsia="宋体" w:cs="Times New Roman"/>
                <w:color w:val="auto"/>
                <w:sz w:val="21"/>
                <w:highlight w:val="none"/>
              </w:rPr>
              <w:t>间断</w:t>
            </w:r>
          </w:p>
        </w:tc>
        <w:tc>
          <w:tcPr>
            <w:tcW w:w="1023" w:type="dxa"/>
            <w:vMerge w:val="restart"/>
            <w:noWrap w:val="0"/>
            <w:vAlign w:val="center"/>
          </w:tcPr>
          <w:p>
            <w:pPr>
              <w:spacing w:line="240" w:lineRule="auto"/>
              <w:ind w:firstLine="0" w:firstLineChars="0"/>
              <w:jc w:val="center"/>
              <w:rPr>
                <w:rFonts w:ascii="Times New Roman" w:hAnsi="Times New Roman" w:eastAsia="宋体" w:cs="Times New Roman"/>
                <w:bCs/>
                <w:color w:val="auto"/>
                <w:kern w:val="0"/>
                <w:sz w:val="21"/>
                <w:highlight w:val="none"/>
              </w:rPr>
            </w:pPr>
            <w:r>
              <w:rPr>
                <w:rFonts w:ascii="Times New Roman" w:hAnsi="Times New Roman" w:eastAsia="宋体" w:cs="Times New Roman"/>
                <w:bCs/>
                <w:color w:val="auto"/>
                <w:kern w:val="0"/>
                <w:sz w:val="21"/>
                <w:highlight w:val="none"/>
              </w:rPr>
              <w:t>开采区</w:t>
            </w:r>
          </w:p>
        </w:tc>
        <w:tc>
          <w:tcPr>
            <w:tcW w:w="2412"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kern w:val="0"/>
                <w:sz w:val="21"/>
                <w:highlight w:val="none"/>
              </w:rPr>
              <w:t>选择低噪音设备</w:t>
            </w:r>
          </w:p>
        </w:tc>
        <w:tc>
          <w:tcPr>
            <w:tcW w:w="141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90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挖掘机</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6</w:t>
            </w:r>
          </w:p>
        </w:tc>
        <w:tc>
          <w:tcPr>
            <w:tcW w:w="105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80～90</w:t>
            </w:r>
          </w:p>
        </w:tc>
        <w:tc>
          <w:tcPr>
            <w:tcW w:w="1236"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间断</w:t>
            </w:r>
          </w:p>
        </w:tc>
        <w:tc>
          <w:tcPr>
            <w:tcW w:w="1023" w:type="dxa"/>
            <w:vMerge w:val="continue"/>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p>
        </w:tc>
        <w:tc>
          <w:tcPr>
            <w:tcW w:w="2412" w:type="dxa"/>
            <w:vMerge w:val="continue"/>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p>
        </w:tc>
        <w:tc>
          <w:tcPr>
            <w:tcW w:w="141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空压机</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2</w:t>
            </w:r>
          </w:p>
        </w:tc>
        <w:tc>
          <w:tcPr>
            <w:tcW w:w="105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90~95</w:t>
            </w:r>
          </w:p>
        </w:tc>
        <w:tc>
          <w:tcPr>
            <w:tcW w:w="1236"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间断</w:t>
            </w:r>
          </w:p>
        </w:tc>
        <w:tc>
          <w:tcPr>
            <w:tcW w:w="1023" w:type="dxa"/>
            <w:vMerge w:val="continue"/>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p>
        </w:tc>
        <w:tc>
          <w:tcPr>
            <w:tcW w:w="2412" w:type="dxa"/>
            <w:vMerge w:val="continue"/>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p>
        </w:tc>
        <w:tc>
          <w:tcPr>
            <w:tcW w:w="1417" w:type="dxa"/>
            <w:noWrap w:val="0"/>
            <w:vAlign w:val="center"/>
          </w:tcPr>
          <w:p>
            <w:pPr>
              <w:keepNext/>
              <w:keepLines/>
              <w:spacing w:line="240" w:lineRule="auto"/>
              <w:ind w:left="420" w:hanging="420" w:hangingChars="20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w:t>
            </w:r>
            <w:r>
              <w:rPr>
                <w:rFonts w:hint="eastAsia" w:ascii="Times New Roman" w:hAnsi="Times New Roman" w:eastAsia="宋体" w:cs="Times New Roman"/>
                <w:color w:val="auto"/>
                <w:sz w:val="21"/>
                <w:highlight w:val="none"/>
              </w:rPr>
              <w:t>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爆破</w:t>
            </w:r>
          </w:p>
        </w:tc>
        <w:tc>
          <w:tcPr>
            <w:tcW w:w="753"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05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115</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间断</w:t>
            </w:r>
          </w:p>
        </w:tc>
        <w:tc>
          <w:tcPr>
            <w:tcW w:w="1023" w:type="dxa"/>
            <w:vMerge w:val="continue"/>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p>
        </w:tc>
        <w:tc>
          <w:tcPr>
            <w:tcW w:w="2412"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中深孔爆破</w:t>
            </w: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110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破碎机</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4</w:t>
            </w:r>
          </w:p>
        </w:tc>
        <w:tc>
          <w:tcPr>
            <w:tcW w:w="105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90</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持续</w:t>
            </w:r>
          </w:p>
        </w:tc>
        <w:tc>
          <w:tcPr>
            <w:tcW w:w="1023" w:type="dxa"/>
            <w:vMerge w:val="restart"/>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破碎生产线</w:t>
            </w:r>
          </w:p>
        </w:tc>
        <w:tc>
          <w:tcPr>
            <w:tcW w:w="2412" w:type="dxa"/>
            <w:vMerge w:val="restart"/>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kern w:val="0"/>
                <w:sz w:val="21"/>
                <w:highlight w:val="none"/>
              </w:rPr>
              <w:t>基础减震、隔声</w:t>
            </w:r>
            <w:r>
              <w:rPr>
                <w:rFonts w:hint="eastAsia" w:ascii="Times New Roman" w:hAnsi="Times New Roman" w:eastAsia="宋体" w:cs="Times New Roman"/>
                <w:bCs/>
                <w:color w:val="auto"/>
                <w:kern w:val="0"/>
                <w:sz w:val="21"/>
                <w:highlight w:val="none"/>
              </w:rPr>
              <w:t>、</w:t>
            </w:r>
            <w:r>
              <w:rPr>
                <w:rFonts w:ascii="Times New Roman" w:hAnsi="Times New Roman" w:eastAsia="宋体" w:cs="Times New Roman"/>
                <w:bCs/>
                <w:color w:val="auto"/>
                <w:kern w:val="0"/>
                <w:sz w:val="21"/>
                <w:highlight w:val="none"/>
              </w:rPr>
              <w:t>选择低噪音设备</w:t>
            </w: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80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振动筛</w:t>
            </w:r>
          </w:p>
        </w:tc>
        <w:tc>
          <w:tcPr>
            <w:tcW w:w="75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10</w:t>
            </w:r>
          </w:p>
        </w:tc>
        <w:tc>
          <w:tcPr>
            <w:tcW w:w="105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70~80</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持续</w:t>
            </w:r>
          </w:p>
        </w:tc>
        <w:tc>
          <w:tcPr>
            <w:tcW w:w="1023" w:type="dxa"/>
            <w:vMerge w:val="continue"/>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p>
        </w:tc>
        <w:tc>
          <w:tcPr>
            <w:tcW w:w="2412" w:type="dxa"/>
            <w:vMerge w:val="continue"/>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70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bCs/>
                <w:color w:val="auto"/>
                <w:sz w:val="21"/>
                <w:highlight w:val="none"/>
              </w:rPr>
              <w:t>圆锥</w:t>
            </w:r>
            <w:r>
              <w:rPr>
                <w:rFonts w:ascii="Times New Roman" w:hAnsi="Times New Roman" w:eastAsia="宋体" w:cs="Times New Roman"/>
                <w:bCs/>
                <w:color w:val="auto"/>
                <w:sz w:val="21"/>
                <w:highlight w:val="none"/>
              </w:rPr>
              <w:t>机</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4</w:t>
            </w:r>
          </w:p>
        </w:tc>
        <w:tc>
          <w:tcPr>
            <w:tcW w:w="105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bCs/>
                <w:color w:val="auto"/>
                <w:sz w:val="21"/>
                <w:highlight w:val="none"/>
              </w:rPr>
              <w:t>8</w:t>
            </w:r>
            <w:r>
              <w:rPr>
                <w:rFonts w:ascii="Times New Roman" w:hAnsi="Times New Roman" w:eastAsia="宋体" w:cs="Times New Roman"/>
                <w:bCs/>
                <w:color w:val="auto"/>
                <w:sz w:val="21"/>
                <w:highlight w:val="none"/>
              </w:rPr>
              <w:t>0~</w:t>
            </w:r>
            <w:r>
              <w:rPr>
                <w:rFonts w:hint="eastAsia" w:ascii="Times New Roman" w:hAnsi="Times New Roman" w:eastAsia="宋体" w:cs="Times New Roman"/>
                <w:bCs/>
                <w:color w:val="auto"/>
                <w:sz w:val="21"/>
                <w:highlight w:val="none"/>
              </w:rPr>
              <w:t>9</w:t>
            </w:r>
            <w:r>
              <w:rPr>
                <w:rFonts w:ascii="Times New Roman" w:hAnsi="Times New Roman" w:eastAsia="宋体" w:cs="Times New Roman"/>
                <w:bCs/>
                <w:color w:val="auto"/>
                <w:sz w:val="21"/>
                <w:highlight w:val="none"/>
              </w:rPr>
              <w:t>0</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持续</w:t>
            </w:r>
          </w:p>
        </w:tc>
        <w:tc>
          <w:tcPr>
            <w:tcW w:w="1023" w:type="dxa"/>
            <w:vMerge w:val="continue"/>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p>
        </w:tc>
        <w:tc>
          <w:tcPr>
            <w:tcW w:w="2412" w:type="dxa"/>
            <w:vMerge w:val="continue"/>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8</w:t>
            </w:r>
            <w:r>
              <w:rPr>
                <w:rFonts w:ascii="Times New Roman" w:hAnsi="Times New Roman" w:eastAsia="宋体" w:cs="Times New Roman"/>
                <w:color w:val="auto"/>
                <w:kern w:val="0"/>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制沙机</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w:t>
            </w:r>
          </w:p>
        </w:tc>
        <w:tc>
          <w:tcPr>
            <w:tcW w:w="1057"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bCs/>
                <w:color w:val="auto"/>
                <w:sz w:val="21"/>
                <w:highlight w:val="none"/>
              </w:rPr>
              <w:t>8</w:t>
            </w:r>
            <w:r>
              <w:rPr>
                <w:rFonts w:ascii="Times New Roman" w:hAnsi="Times New Roman" w:eastAsia="宋体" w:cs="Times New Roman"/>
                <w:bCs/>
                <w:color w:val="auto"/>
                <w:sz w:val="21"/>
                <w:highlight w:val="none"/>
              </w:rPr>
              <w:t>0~9</w:t>
            </w:r>
            <w:r>
              <w:rPr>
                <w:rFonts w:hint="eastAsia" w:ascii="Times New Roman" w:hAnsi="Times New Roman" w:eastAsia="宋体" w:cs="Times New Roman"/>
                <w:bCs/>
                <w:color w:val="auto"/>
                <w:sz w:val="21"/>
                <w:highlight w:val="none"/>
              </w:rPr>
              <w:t>0</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间断</w:t>
            </w:r>
          </w:p>
        </w:tc>
        <w:tc>
          <w:tcPr>
            <w:tcW w:w="1023" w:type="dxa"/>
            <w:vMerge w:val="continue"/>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p>
        </w:tc>
        <w:tc>
          <w:tcPr>
            <w:tcW w:w="2412" w:type="dxa"/>
            <w:vMerge w:val="continue"/>
            <w:noWrap w:val="0"/>
            <w:vAlign w:val="center"/>
          </w:tcPr>
          <w:p>
            <w:pPr>
              <w:spacing w:line="240" w:lineRule="auto"/>
              <w:ind w:firstLine="0" w:firstLineChars="0"/>
              <w:jc w:val="center"/>
              <w:rPr>
                <w:rFonts w:ascii="Times New Roman" w:hAnsi="Times New Roman" w:eastAsia="宋体" w:cs="Times New Roman"/>
                <w:color w:val="auto"/>
                <w:kern w:val="0"/>
                <w:sz w:val="21"/>
                <w:highlight w:val="none"/>
              </w:rPr>
            </w:pP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7</w:t>
            </w:r>
            <w:r>
              <w:rPr>
                <w:rFonts w:ascii="Times New Roman" w:hAnsi="Times New Roman" w:eastAsia="宋体" w:cs="Times New Roman"/>
                <w:color w:val="auto"/>
                <w:kern w:val="0"/>
                <w:sz w:val="21"/>
                <w:highlight w:val="none"/>
              </w:rPr>
              <w:t>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水泵</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2</w:t>
            </w:r>
          </w:p>
        </w:tc>
        <w:tc>
          <w:tcPr>
            <w:tcW w:w="1057" w:type="dxa"/>
            <w:noWrap w:val="0"/>
            <w:vAlign w:val="center"/>
          </w:tcPr>
          <w:p>
            <w:pPr>
              <w:keepNext/>
              <w:keepLines/>
              <w:spacing w:line="240" w:lineRule="auto"/>
              <w:ind w:left="420" w:hanging="420" w:hangingChars="20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80~90</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间断</w:t>
            </w:r>
          </w:p>
        </w:tc>
        <w:tc>
          <w:tcPr>
            <w:tcW w:w="102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水泵房</w:t>
            </w:r>
          </w:p>
        </w:tc>
        <w:tc>
          <w:tcPr>
            <w:tcW w:w="2412"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kern w:val="0"/>
                <w:sz w:val="21"/>
                <w:highlight w:val="none"/>
              </w:rPr>
              <w:t>基础减震、墙体隔音等</w:t>
            </w: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80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1173"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bCs/>
                <w:color w:val="auto"/>
                <w:kern w:val="0"/>
                <w:sz w:val="21"/>
                <w:highlight w:val="none"/>
              </w:rPr>
              <w:t>自卸汽车</w:t>
            </w:r>
          </w:p>
        </w:tc>
        <w:tc>
          <w:tcPr>
            <w:tcW w:w="75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8</w:t>
            </w:r>
          </w:p>
        </w:tc>
        <w:tc>
          <w:tcPr>
            <w:tcW w:w="105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70~80</w:t>
            </w:r>
          </w:p>
        </w:tc>
        <w:tc>
          <w:tcPr>
            <w:tcW w:w="1236"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间断</w:t>
            </w:r>
          </w:p>
        </w:tc>
        <w:tc>
          <w:tcPr>
            <w:tcW w:w="1023" w:type="dxa"/>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矿区内</w:t>
            </w:r>
          </w:p>
        </w:tc>
        <w:tc>
          <w:tcPr>
            <w:tcW w:w="2412"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严禁超载，减速慢行</w:t>
            </w:r>
          </w:p>
        </w:tc>
        <w:tc>
          <w:tcPr>
            <w:tcW w:w="1417" w:type="dxa"/>
            <w:noWrap w:val="0"/>
            <w:vAlign w:val="center"/>
          </w:tcPr>
          <w:p>
            <w:pPr>
              <w:widowControl/>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70</w:t>
            </w:r>
          </w:p>
        </w:tc>
      </w:tr>
    </w:tbl>
    <w:p>
      <w:pPr>
        <w:pStyle w:val="6"/>
        <w:numPr>
          <w:ilvl w:val="3"/>
          <w:numId w:val="0"/>
        </w:numPr>
        <w:tabs>
          <w:tab w:val="left" w:pos="1390"/>
        </w:tabs>
        <w:rPr>
          <w:rFonts w:ascii="Times New Roman" w:hAnsi="Times New Roman" w:eastAsia="宋体"/>
          <w:color w:val="auto"/>
          <w:highlight w:val="none"/>
        </w:rPr>
      </w:pPr>
      <w:r>
        <w:rPr>
          <w:rFonts w:ascii="Times New Roman" w:hAnsi="Times New Roman" w:eastAsia="宋体"/>
          <w:color w:val="auto"/>
          <w:highlight w:val="none"/>
        </w:rPr>
        <w:t>4.2.4.2 噪声环境影响预测</w:t>
      </w:r>
      <w:bookmarkEnd w:id="368"/>
      <w:r>
        <w:rPr>
          <w:rFonts w:ascii="Times New Roman" w:hAnsi="Times New Roman" w:eastAsia="宋体"/>
          <w:color w:val="auto"/>
          <w:highlight w:val="none"/>
        </w:rPr>
        <w:t>模式</w:t>
      </w:r>
      <w:r>
        <w:rPr>
          <w:rFonts w:ascii="Times New Roman" w:hAnsi="Times New Roman" w:eastAsia="宋体"/>
          <w:b w:val="0"/>
          <w:bCs w:val="0"/>
          <w:color w:val="auto"/>
          <w:highlight w:val="none"/>
        </w:rPr>
        <w:t xml:space="preserve"> </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根据建设项目噪声排放特点（施工机械噪声可近似作为点声源处理），并结合《环境影响评价技术导则声环境》（HJ</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2.4-2009）的要求，采用噪声点源衰减公式、等效声级贡献值公式、噪声叠加公式对固定声源进行预测。</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（1）点源衰减公式：</w:t>
      </w:r>
    </w:p>
    <w:p>
      <w:pPr>
        <w:ind w:firstLine="48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inline distT="0" distB="0" distL="114300" distR="114300">
            <wp:extent cx="2350770" cy="455930"/>
            <wp:effectExtent l="0" t="0" r="11430" b="1270"/>
            <wp:docPr id="63"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26"/>
                    <pic:cNvPicPr>
                      <a:picLocks noChangeAspect="1"/>
                    </pic:cNvPicPr>
                  </pic:nvPicPr>
                  <pic:blipFill>
                    <a:blip r:embed="rId87"/>
                    <a:stretch>
                      <a:fillRect/>
                    </a:stretch>
                  </pic:blipFill>
                  <pic:spPr>
                    <a:xfrm>
                      <a:off x="0" y="0"/>
                      <a:ext cx="2350770" cy="455930"/>
                    </a:xfrm>
                    <a:prstGeom prst="rect">
                      <a:avLst/>
                    </a:prstGeom>
                    <a:noFill/>
                    <a:ln>
                      <a:noFill/>
                    </a:ln>
                  </pic:spPr>
                </pic:pic>
              </a:graphicData>
            </a:graphic>
          </wp:inline>
        </w:drawing>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式中：L</w:t>
      </w:r>
      <w:r>
        <w:rPr>
          <w:rFonts w:ascii="Times New Roman" w:hAnsi="Times New Roman" w:eastAsia="宋体" w:cs="Times New Roman"/>
          <w:color w:val="auto"/>
          <w:highlight w:val="none"/>
          <w:vertAlign w:val="subscript"/>
        </w:rPr>
        <w:t>p</w:t>
      </w:r>
      <w:r>
        <w:rPr>
          <w:rFonts w:ascii="Times New Roman" w:hAnsi="Times New Roman" w:eastAsia="宋体" w:cs="Times New Roman"/>
          <w:color w:val="auto"/>
          <w:highlight w:val="none"/>
        </w:rPr>
        <w:t>（r）、L</w:t>
      </w:r>
      <w:r>
        <w:rPr>
          <w:rFonts w:ascii="Times New Roman" w:hAnsi="Times New Roman" w:eastAsia="宋体" w:cs="Times New Roman"/>
          <w:color w:val="auto"/>
          <w:highlight w:val="none"/>
          <w:vertAlign w:val="subscript"/>
        </w:rPr>
        <w:t>p</w:t>
      </w:r>
      <w:r>
        <w:rPr>
          <w:rFonts w:ascii="Times New Roman" w:hAnsi="Times New Roman" w:eastAsia="宋体" w:cs="Times New Roman"/>
          <w:color w:val="auto"/>
          <w:highlight w:val="none"/>
        </w:rPr>
        <w:t>（r</w:t>
      </w:r>
      <w:r>
        <w:rPr>
          <w:rFonts w:ascii="Times New Roman" w:hAnsi="Times New Roman" w:eastAsia="宋体" w:cs="Times New Roman"/>
          <w:color w:val="auto"/>
          <w:highlight w:val="none"/>
          <w:vertAlign w:val="subscript"/>
        </w:rPr>
        <w:t>0</w:t>
      </w:r>
      <w:r>
        <w:rPr>
          <w:rFonts w:ascii="Times New Roman" w:hAnsi="Times New Roman" w:eastAsia="宋体" w:cs="Times New Roman"/>
          <w:color w:val="auto"/>
          <w:highlight w:val="none"/>
        </w:rPr>
        <w:t>）——距声源 r、r</w:t>
      </w:r>
      <w:r>
        <w:rPr>
          <w:rFonts w:ascii="Times New Roman" w:hAnsi="Times New Roman" w:eastAsia="宋体" w:cs="Times New Roman"/>
          <w:color w:val="auto"/>
          <w:highlight w:val="none"/>
          <w:vertAlign w:val="subscript"/>
        </w:rPr>
        <w:t>0</w:t>
      </w:r>
      <w:r>
        <w:rPr>
          <w:rFonts w:ascii="Times New Roman" w:hAnsi="Times New Roman" w:eastAsia="宋体" w:cs="Times New Roman"/>
          <w:color w:val="auto"/>
          <w:highlight w:val="none"/>
        </w:rPr>
        <w:t>处的噪声值，dB(A)；</w:t>
      </w:r>
    </w:p>
    <w:p>
      <w:pPr>
        <w:ind w:firstLine="1200" w:firstLineChars="500"/>
        <w:rPr>
          <w:rFonts w:ascii="Times New Roman" w:hAnsi="Times New Roman" w:eastAsia="宋体" w:cs="Times New Roman"/>
          <w:color w:val="auto"/>
          <w:highlight w:val="none"/>
        </w:rPr>
      </w:pPr>
      <w:r>
        <w:rPr>
          <w:rFonts w:ascii="Times New Roman" w:hAnsi="Times New Roman" w:eastAsia="宋体" w:cs="Times New Roman"/>
          <w:color w:val="auto"/>
          <w:highlight w:val="none"/>
        </w:rPr>
        <w:t>r、r</w:t>
      </w:r>
      <w:r>
        <w:rPr>
          <w:rFonts w:ascii="Times New Roman" w:hAnsi="Times New Roman" w:eastAsia="宋体" w:cs="Times New Roman"/>
          <w:color w:val="auto"/>
          <w:highlight w:val="none"/>
          <w:vertAlign w:val="subscript"/>
        </w:rPr>
        <w:t>0</w:t>
      </w:r>
      <w:r>
        <w:rPr>
          <w:rFonts w:ascii="Times New Roman" w:hAnsi="Times New Roman" w:eastAsia="宋体" w:cs="Times New Roman"/>
          <w:color w:val="auto"/>
          <w:highlight w:val="none"/>
        </w:rPr>
        <w:t>——预测点距声源的距离。</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（2）等效声级贡献值计算公式：</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position w:val="-30"/>
          <w:highlight w:val="none"/>
        </w:rPr>
        <w:pict>
          <v:shape id="_x0000_s1046" o:spid="_x0000_s1046" o:spt="75" type="#_x0000_t75" style="position:absolute;left:0pt;margin-left:183.75pt;margin-top:3.5pt;height:36pt;width:130pt;mso-wrap-distance-bottom:0pt;mso-wrap-distance-top:0pt;z-index:251673600;mso-width-relative:page;mso-height-relative:page;" o:ole="t" filled="f" o:preferrelative="t" stroked="f" coordsize="21600,21600">
            <v:path/>
            <v:fill on="f" focussize="0,0"/>
            <v:stroke on="f"/>
            <v:imagedata r:id="rId89" o:title=""/>
            <o:lock v:ext="edit" aspectratio="t"/>
            <w10:wrap type="topAndBottom"/>
          </v:shape>
          <o:OLEObject Type="Embed" ProgID="Equation.3" ShapeID="_x0000_s1046" DrawAspect="Content" ObjectID="_1468075734" r:id="rId88">
            <o:LockedField>false</o:LockedField>
          </o:OLEObject>
        </w:pict>
      </w:r>
      <w:r>
        <w:rPr>
          <w:rFonts w:ascii="Times New Roman" w:hAnsi="Times New Roman" w:eastAsia="宋体" w:cs="Times New Roman"/>
          <w:color w:val="auto"/>
          <w:highlight w:val="none"/>
        </w:rPr>
        <w:t>式中：L</w:t>
      </w:r>
      <w:r>
        <w:rPr>
          <w:rFonts w:ascii="Times New Roman" w:hAnsi="Times New Roman" w:eastAsia="宋体" w:cs="Times New Roman"/>
          <w:color w:val="auto"/>
          <w:highlight w:val="none"/>
          <w:vertAlign w:val="subscript"/>
        </w:rPr>
        <w:t>eqg</w:t>
      </w:r>
      <w:r>
        <w:rPr>
          <w:rFonts w:ascii="Times New Roman" w:hAnsi="Times New Roman" w:eastAsia="宋体" w:cs="Times New Roman"/>
          <w:color w:val="auto"/>
          <w:highlight w:val="none"/>
        </w:rPr>
        <w:t>——声源在预测点的等效声级贡献值，dB(A)；</w:t>
      </w:r>
    </w:p>
    <w:p>
      <w:pPr>
        <w:ind w:firstLine="1200" w:firstLineChars="500"/>
        <w:rPr>
          <w:rFonts w:ascii="Times New Roman" w:hAnsi="Times New Roman" w:eastAsia="宋体" w:cs="Times New Roman"/>
          <w:color w:val="auto"/>
          <w:highlight w:val="none"/>
        </w:rPr>
      </w:pPr>
      <w:r>
        <w:rPr>
          <w:rFonts w:ascii="Times New Roman" w:hAnsi="Times New Roman" w:eastAsia="宋体" w:cs="Times New Roman"/>
          <w:color w:val="auto"/>
          <w:highlight w:val="none"/>
        </w:rPr>
        <w:t>L</w:t>
      </w:r>
      <w:r>
        <w:rPr>
          <w:rFonts w:ascii="Times New Roman" w:hAnsi="Times New Roman" w:eastAsia="宋体" w:cs="Times New Roman"/>
          <w:color w:val="auto"/>
          <w:highlight w:val="none"/>
          <w:vertAlign w:val="subscript"/>
        </w:rPr>
        <w:t>Ai</w:t>
      </w:r>
      <w:r>
        <w:rPr>
          <w:rFonts w:ascii="Times New Roman" w:hAnsi="Times New Roman" w:eastAsia="宋体" w:cs="Times New Roman"/>
          <w:color w:val="auto"/>
          <w:highlight w:val="none"/>
        </w:rPr>
        <w:t>——i 声源在预测点产生的 A 声级，dB(A)；</w:t>
      </w:r>
    </w:p>
    <w:p>
      <w:pPr>
        <w:ind w:firstLine="1200" w:firstLineChars="500"/>
        <w:rPr>
          <w:rFonts w:ascii="Times New Roman" w:hAnsi="Times New Roman" w:eastAsia="宋体" w:cs="Times New Roman"/>
          <w:color w:val="auto"/>
          <w:highlight w:val="none"/>
        </w:rPr>
      </w:pPr>
      <w:r>
        <w:rPr>
          <w:rFonts w:ascii="Times New Roman" w:hAnsi="Times New Roman" w:eastAsia="宋体" w:cs="Times New Roman"/>
          <w:color w:val="auto"/>
          <w:highlight w:val="none"/>
        </w:rPr>
        <w:t>T——预测计算的时间段，s；</w:t>
      </w:r>
    </w:p>
    <w:p>
      <w:pPr>
        <w:ind w:firstLine="1200" w:firstLineChars="500"/>
        <w:rPr>
          <w:rFonts w:ascii="Times New Roman" w:hAnsi="Times New Roman" w:eastAsia="宋体" w:cs="Times New Roman"/>
          <w:color w:val="auto"/>
          <w:highlight w:val="none"/>
        </w:rPr>
      </w:pPr>
      <w:r>
        <w:rPr>
          <w:rFonts w:ascii="Times New Roman" w:hAnsi="Times New Roman" w:eastAsia="宋体" w:cs="Times New Roman"/>
          <w:color w:val="auto"/>
          <w:highlight w:val="none"/>
        </w:rPr>
        <w:t>t</w:t>
      </w:r>
      <w:r>
        <w:rPr>
          <w:rFonts w:ascii="Times New Roman" w:hAnsi="Times New Roman" w:eastAsia="宋体" w:cs="Times New Roman"/>
          <w:color w:val="auto"/>
          <w:highlight w:val="none"/>
          <w:vertAlign w:val="subscript"/>
        </w:rPr>
        <w:t>i</w:t>
      </w:r>
      <w:r>
        <w:rPr>
          <w:rFonts w:ascii="Times New Roman" w:hAnsi="Times New Roman" w:eastAsia="宋体" w:cs="Times New Roman"/>
          <w:color w:val="auto"/>
          <w:highlight w:val="none"/>
        </w:rPr>
        <w:t>——i 声源在 T 时段内的运行时间，s。</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（3）噪声叠加公式：</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position w:val="-14"/>
          <w:highlight w:val="none"/>
        </w:rPr>
        <w:pict>
          <v:shape id="_x0000_s1047" o:spid="_x0000_s1047" o:spt="75" type="#_x0000_t75" style="position:absolute;left:0pt;margin-left:162pt;margin-top:6.5pt;height:21pt;width:134pt;mso-wrap-distance-bottom:0pt;mso-wrap-distance-top:0pt;z-index:251674624;mso-width-relative:page;mso-height-relative:page;" o:ole="t" filled="f" o:preferrelative="t" stroked="f" coordsize="21600,21600">
            <v:path/>
            <v:fill on="f" focussize="0,0"/>
            <v:stroke on="f"/>
            <v:imagedata r:id="rId91" o:title=""/>
            <o:lock v:ext="edit" aspectratio="t"/>
            <w10:wrap type="topAndBottom"/>
          </v:shape>
          <o:OLEObject Type="Embed" ProgID="Equation.3" ShapeID="_x0000_s1047" DrawAspect="Content" ObjectID="_1468075735" r:id="rId90">
            <o:LockedField>false</o:LockedField>
          </o:OLEObject>
        </w:pict>
      </w:r>
      <w:r>
        <w:rPr>
          <w:rFonts w:ascii="Times New Roman" w:hAnsi="Times New Roman" w:eastAsia="宋体" w:cs="Times New Roman"/>
          <w:color w:val="auto"/>
          <w:highlight w:val="none"/>
        </w:rPr>
        <w:t>式中：L</w:t>
      </w:r>
      <w:r>
        <w:rPr>
          <w:rFonts w:ascii="Times New Roman" w:hAnsi="Times New Roman" w:eastAsia="宋体" w:cs="Times New Roman"/>
          <w:color w:val="auto"/>
          <w:highlight w:val="none"/>
          <w:vertAlign w:val="subscript"/>
        </w:rPr>
        <w:t>eqg</w:t>
      </w:r>
      <w:r>
        <w:rPr>
          <w:rFonts w:ascii="Times New Roman" w:hAnsi="Times New Roman" w:eastAsia="宋体" w:cs="Times New Roman"/>
          <w:color w:val="auto"/>
          <w:highlight w:val="none"/>
        </w:rPr>
        <w:t>—— 建设项目声源在预测点的等效声级贡献值，dB(A)；</w:t>
      </w:r>
    </w:p>
    <w:p>
      <w:pPr>
        <w:ind w:firstLine="1200" w:firstLineChars="500"/>
        <w:rPr>
          <w:rFonts w:ascii="Times New Roman" w:hAnsi="Times New Roman" w:eastAsia="宋体" w:cs="Times New Roman"/>
          <w:b/>
          <w:bCs/>
          <w:color w:val="auto"/>
          <w:highlight w:val="none"/>
        </w:rPr>
      </w:pPr>
      <w:r>
        <w:rPr>
          <w:rFonts w:ascii="Times New Roman" w:hAnsi="Times New Roman" w:eastAsia="宋体" w:cs="Times New Roman"/>
          <w:color w:val="auto"/>
          <w:highlight w:val="none"/>
        </w:rPr>
        <w:t>L</w:t>
      </w:r>
      <w:r>
        <w:rPr>
          <w:rFonts w:ascii="Times New Roman" w:hAnsi="Times New Roman" w:eastAsia="宋体" w:cs="Times New Roman"/>
          <w:color w:val="auto"/>
          <w:highlight w:val="none"/>
          <w:vertAlign w:val="subscript"/>
        </w:rPr>
        <w:t>eqb</w:t>
      </w:r>
      <w:r>
        <w:rPr>
          <w:rFonts w:ascii="Times New Roman" w:hAnsi="Times New Roman" w:eastAsia="宋体" w:cs="Times New Roman"/>
          <w:color w:val="auto"/>
          <w:highlight w:val="none"/>
        </w:rPr>
        <w:t>—— 预测点的背景值，dB(A)。</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（4）运输车辆等线声源采用以下模式进行预测</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position w:val="-32"/>
          <w:highlight w:val="none"/>
        </w:rPr>
        <w:pict>
          <v:shape id="_x0000_s1048" o:spid="_x0000_s1048" o:spt="75" type="#_x0000_t75" style="position:absolute;left:0pt;margin-left:167.25pt;margin-top:5.25pt;height:38pt;width:131pt;mso-wrap-distance-bottom:0pt;mso-wrap-distance-top:0pt;z-index:251675648;mso-width-relative:page;mso-height-relative:page;" o:ole="t" filled="f" o:preferrelative="t" stroked="f" coordsize="21600,21600">
            <v:path/>
            <v:fill on="f" focussize="0,0"/>
            <v:stroke on="f"/>
            <v:imagedata r:id="rId93" o:title=""/>
            <o:lock v:ext="edit" aspectratio="t"/>
            <w10:wrap type="topAndBottom"/>
          </v:shape>
          <o:OLEObject Type="Embed" ProgID="Equation.3" ShapeID="_x0000_s1048" DrawAspect="Content" ObjectID="_1468075736" r:id="rId92">
            <o:LockedField>false</o:LockedField>
          </o:OLEObject>
        </w:pict>
      </w:r>
      <w:r>
        <w:rPr>
          <w:rFonts w:ascii="Times New Roman" w:hAnsi="Times New Roman" w:eastAsia="宋体" w:cs="Times New Roman"/>
          <w:color w:val="auto"/>
          <w:highlight w:val="none"/>
        </w:rPr>
        <w:t>式中：</w:t>
      </w:r>
    </w:p>
    <w:p>
      <w:pPr>
        <w:ind w:firstLine="1200" w:firstLineChars="500"/>
        <w:rPr>
          <w:rFonts w:ascii="Times New Roman" w:hAnsi="Times New Roman" w:eastAsia="宋体" w:cs="Times New Roman"/>
          <w:color w:val="auto"/>
          <w:highlight w:val="none"/>
        </w:rPr>
      </w:pPr>
      <w:r>
        <w:rPr>
          <w:rFonts w:ascii="Times New Roman" w:hAnsi="Times New Roman" w:eastAsia="宋体" w:cs="Times New Roman"/>
          <w:color w:val="auto"/>
          <w:highlight w:val="none"/>
        </w:rPr>
        <w:t>L</w:t>
      </w:r>
      <w:r>
        <w:rPr>
          <w:rFonts w:ascii="Times New Roman" w:hAnsi="Times New Roman" w:eastAsia="宋体" w:cs="Times New Roman"/>
          <w:color w:val="auto"/>
          <w:highlight w:val="none"/>
          <w:vertAlign w:val="subscript"/>
        </w:rPr>
        <w:t>oct</w:t>
      </w:r>
      <w:r>
        <w:rPr>
          <w:rFonts w:ascii="Times New Roman" w:hAnsi="Times New Roman" w:eastAsia="宋体" w:cs="Times New Roman"/>
          <w:color w:val="auto"/>
          <w:highlight w:val="none"/>
        </w:rPr>
        <w:t>（r）——点（线）声源在预测点产生的声压级，dB（A）；</w:t>
      </w:r>
    </w:p>
    <w:p>
      <w:pPr>
        <w:ind w:firstLine="1200" w:firstLineChars="500"/>
        <w:rPr>
          <w:rFonts w:ascii="Times New Roman" w:hAnsi="Times New Roman" w:eastAsia="宋体" w:cs="Times New Roman"/>
          <w:color w:val="auto"/>
          <w:highlight w:val="none"/>
        </w:rPr>
      </w:pPr>
      <w:r>
        <w:rPr>
          <w:rFonts w:ascii="Times New Roman" w:hAnsi="Times New Roman" w:eastAsia="宋体" w:cs="Times New Roman"/>
          <w:color w:val="auto"/>
          <w:highlight w:val="none"/>
        </w:rPr>
        <w:t>L</w:t>
      </w:r>
      <w:r>
        <w:rPr>
          <w:rFonts w:ascii="Times New Roman" w:hAnsi="Times New Roman" w:eastAsia="宋体" w:cs="Times New Roman"/>
          <w:color w:val="auto"/>
          <w:highlight w:val="none"/>
          <w:vertAlign w:val="subscript"/>
        </w:rPr>
        <w:t>oct</w:t>
      </w:r>
      <w:r>
        <w:rPr>
          <w:rFonts w:ascii="Times New Roman" w:hAnsi="Times New Roman" w:eastAsia="宋体" w:cs="Times New Roman"/>
          <w:color w:val="auto"/>
          <w:highlight w:val="none"/>
        </w:rPr>
        <w:t>（r</w:t>
      </w:r>
      <w:r>
        <w:rPr>
          <w:rFonts w:ascii="Times New Roman" w:hAnsi="Times New Roman" w:eastAsia="宋体" w:cs="Times New Roman"/>
          <w:color w:val="auto"/>
          <w:highlight w:val="none"/>
          <w:vertAlign w:val="subscript"/>
        </w:rPr>
        <w:t>0</w:t>
      </w:r>
      <w:r>
        <w:rPr>
          <w:rFonts w:ascii="Times New Roman" w:hAnsi="Times New Roman" w:eastAsia="宋体" w:cs="Times New Roman"/>
          <w:color w:val="auto"/>
          <w:highlight w:val="none"/>
        </w:rPr>
        <w:t>）——参考位置r</w:t>
      </w:r>
      <w:r>
        <w:rPr>
          <w:rFonts w:ascii="Times New Roman" w:hAnsi="Times New Roman" w:eastAsia="宋体" w:cs="Times New Roman"/>
          <w:color w:val="auto"/>
          <w:highlight w:val="none"/>
          <w:vertAlign w:val="subscript"/>
        </w:rPr>
        <w:t>0</w:t>
      </w:r>
      <w:r>
        <w:rPr>
          <w:rFonts w:ascii="Times New Roman" w:hAnsi="Times New Roman" w:eastAsia="宋体" w:cs="Times New Roman"/>
          <w:color w:val="auto"/>
          <w:highlight w:val="none"/>
        </w:rPr>
        <w:t>处的声压级，dB（A）；</w:t>
      </w:r>
    </w:p>
    <w:p>
      <w:pPr>
        <w:ind w:firstLine="1200" w:firstLineChars="500"/>
        <w:rPr>
          <w:rFonts w:ascii="Times New Roman" w:hAnsi="Times New Roman" w:eastAsia="宋体" w:cs="Times New Roman"/>
          <w:color w:val="auto"/>
          <w:highlight w:val="none"/>
        </w:rPr>
      </w:pPr>
      <w:r>
        <w:rPr>
          <w:rFonts w:ascii="Times New Roman" w:hAnsi="Times New Roman" w:eastAsia="宋体" w:cs="Times New Roman"/>
          <w:color w:val="auto"/>
          <w:highlight w:val="none"/>
        </w:rPr>
        <w:t>r——预测点距声源的距离，m；</w:t>
      </w:r>
    </w:p>
    <w:p>
      <w:pPr>
        <w:ind w:firstLine="1200" w:firstLineChars="500"/>
        <w:rPr>
          <w:rFonts w:ascii="Times New Roman" w:hAnsi="Times New Roman" w:eastAsia="宋体" w:cs="Times New Roman"/>
          <w:b/>
          <w:bCs/>
          <w:color w:val="auto"/>
          <w:highlight w:val="none"/>
        </w:rPr>
      </w:pPr>
      <w:r>
        <w:rPr>
          <w:rFonts w:ascii="Times New Roman" w:hAnsi="Times New Roman" w:eastAsia="宋体" w:cs="Times New Roman"/>
          <w:color w:val="auto"/>
          <w:highlight w:val="none"/>
        </w:rPr>
        <w:t>r</w:t>
      </w:r>
      <w:r>
        <w:rPr>
          <w:rFonts w:ascii="Times New Roman" w:hAnsi="Times New Roman" w:eastAsia="宋体" w:cs="Times New Roman"/>
          <w:color w:val="auto"/>
          <w:highlight w:val="none"/>
          <w:vertAlign w:val="subscript"/>
        </w:rPr>
        <w:t>0</w:t>
      </w:r>
      <w:r>
        <w:rPr>
          <w:rFonts w:ascii="Times New Roman" w:hAnsi="Times New Roman" w:eastAsia="宋体" w:cs="Times New Roman"/>
          <w:color w:val="auto"/>
          <w:highlight w:val="none"/>
        </w:rPr>
        <w:t>——参考位置距声源的距离，m</w:t>
      </w:r>
    </w:p>
    <w:p>
      <w:pPr>
        <w:ind w:firstLine="0" w:firstLineChars="0"/>
        <w:jc w:val="left"/>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4.2.4.3 评价标准</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项目厂界执行《工业企业厂界环境噪声排放标准》（GB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12348-2008）2类标准。</w:t>
      </w:r>
    </w:p>
    <w:p>
      <w:pPr>
        <w:ind w:firstLine="0" w:firstLineChars="0"/>
        <w:jc w:val="left"/>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4.2.4.4 噪声预测结果及评价</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（1）矿区生产设备噪声影响分析</w:t>
      </w:r>
    </w:p>
    <w:p>
      <w:pPr>
        <w:ind w:firstLine="480"/>
        <w:rPr>
          <w:rFonts w:ascii="Times New Roman" w:hAnsi="Times New Roman" w:eastAsia="宋体" w:cs="Times New Roman"/>
          <w:b/>
          <w:bCs/>
          <w:color w:val="auto"/>
          <w:highlight w:val="none"/>
        </w:rPr>
      </w:pPr>
      <w:r>
        <w:rPr>
          <w:rFonts w:ascii="Times New Roman" w:hAnsi="Times New Roman" w:eastAsia="宋体" w:cs="Times New Roman"/>
          <w:color w:val="auto"/>
          <w:highlight w:val="none"/>
        </w:rPr>
        <w:t>由于开采区域的变化，项目矿山开采设备也随之移动，噪声源不固定。各生产设备在不同距离噪声预测值见表4.2-</w:t>
      </w:r>
      <w:r>
        <w:rPr>
          <w:rFonts w:hint="eastAsia" w:ascii="Times New Roman" w:hAnsi="Times New Roman" w:eastAsia="宋体" w:cs="Times New Roman"/>
          <w:color w:val="auto"/>
          <w:highlight w:val="none"/>
        </w:rPr>
        <w:t>26</w:t>
      </w:r>
      <w:r>
        <w:rPr>
          <w:rFonts w:ascii="Times New Roman" w:hAnsi="Times New Roman" w:eastAsia="宋体" w:cs="Times New Roman"/>
          <w:color w:val="auto"/>
          <w:highlight w:val="none"/>
        </w:rPr>
        <w:t>；声源在场界产生的等效声级预测结果见表4.2-</w:t>
      </w:r>
      <w:r>
        <w:rPr>
          <w:rFonts w:hint="eastAsia" w:ascii="Times New Roman" w:hAnsi="Times New Roman" w:eastAsia="宋体" w:cs="Times New Roman"/>
          <w:color w:val="auto"/>
          <w:highlight w:val="none"/>
        </w:rPr>
        <w:t>27</w:t>
      </w:r>
      <w:r>
        <w:rPr>
          <w:rFonts w:ascii="Times New Roman" w:hAnsi="Times New Roman" w:eastAsia="宋体" w:cs="Times New Roman"/>
          <w:color w:val="auto"/>
          <w:highlight w:val="none"/>
        </w:rPr>
        <w:t>。项目矿区噪声等值线图见图4.2-1</w:t>
      </w: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w:t>
      </w:r>
    </w:p>
    <w:p>
      <w:pPr>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表4.2-</w:t>
      </w:r>
      <w:r>
        <w:rPr>
          <w:rFonts w:hint="eastAsia" w:ascii="Times New Roman" w:hAnsi="Times New Roman" w:eastAsia="宋体" w:cs="Times New Roman"/>
          <w:b/>
          <w:bCs/>
          <w:color w:val="auto"/>
          <w:highlight w:val="none"/>
        </w:rPr>
        <w:t>27</w:t>
      </w:r>
      <w:r>
        <w:rPr>
          <w:rFonts w:ascii="Times New Roman" w:hAnsi="Times New Roman" w:eastAsia="宋体" w:cs="Times New Roman"/>
          <w:b/>
          <w:bCs/>
          <w:color w:val="auto"/>
          <w:highlight w:val="none"/>
        </w:rPr>
        <w:t xml:space="preserve"> 各生产设备在不同距离的噪声预测值</w:t>
      </w:r>
    </w:p>
    <w:tbl>
      <w:tblPr>
        <w:tblStyle w:val="48"/>
        <w:tblW w:w="9088"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595"/>
        <w:gridCol w:w="826"/>
        <w:gridCol w:w="826"/>
        <w:gridCol w:w="826"/>
        <w:gridCol w:w="826"/>
        <w:gridCol w:w="827"/>
        <w:gridCol w:w="826"/>
        <w:gridCol w:w="828"/>
        <w:gridCol w:w="825"/>
        <w:gridCol w:w="82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056" w:type="dxa"/>
            <w:vMerge w:val="restart"/>
            <w:tcBorders>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噪声源</w:t>
            </w:r>
          </w:p>
        </w:tc>
        <w:tc>
          <w:tcPr>
            <w:tcW w:w="8032" w:type="dxa"/>
            <w:gridSpan w:val="10"/>
            <w:tcBorders>
              <w:left w:val="single" w:color="auto" w:sz="4" w:space="0"/>
              <w:bottom w:val="single" w:color="auto" w:sz="4" w:space="0"/>
            </w:tcBorders>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距离声源不同距离的噪声预测值 dB（A）</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056" w:type="dxa"/>
            <w:vMerge w:val="continue"/>
            <w:tcBorders>
              <w:top w:val="single" w:color="auto" w:sz="12" w:space="0"/>
              <w:bottom w:val="single" w:color="auto" w:sz="4" w:space="0"/>
              <w:right w:val="single" w:color="auto" w:sz="4" w:space="0"/>
            </w:tcBorders>
            <w:noWrap w:val="0"/>
            <w:vAlign w:val="center"/>
          </w:tcPr>
          <w:p>
            <w:pPr>
              <w:widowControl/>
              <w:spacing w:line="240" w:lineRule="auto"/>
              <w:ind w:firstLine="0" w:firstLineChars="0"/>
              <w:jc w:val="left"/>
              <w:rPr>
                <w:rFonts w:ascii="Times New Roman" w:hAnsi="Times New Roman" w:eastAsia="宋体" w:cs="Times New Roman"/>
                <w:b/>
                <w:bCs/>
                <w:color w:val="auto"/>
                <w:sz w:val="21"/>
                <w:highlight w:val="none"/>
              </w:rPr>
            </w:pPr>
          </w:p>
        </w:tc>
        <w:tc>
          <w:tcPr>
            <w:tcW w:w="5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10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20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30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50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60</w:t>
            </w:r>
          </w:p>
        </w:tc>
        <w:tc>
          <w:tcPr>
            <w:tcW w:w="82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80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100</w:t>
            </w:r>
          </w:p>
        </w:tc>
        <w:tc>
          <w:tcPr>
            <w:tcW w:w="82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120</w:t>
            </w:r>
          </w:p>
        </w:tc>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150</w:t>
            </w:r>
          </w:p>
        </w:tc>
        <w:tc>
          <w:tcPr>
            <w:tcW w:w="827" w:type="dxa"/>
            <w:tcBorders>
              <w:top w:val="single" w:color="auto" w:sz="4" w:space="0"/>
              <w:left w:val="single" w:color="auto" w:sz="4" w:space="0"/>
              <w:bottom w:val="single" w:color="auto" w:sz="4" w:space="0"/>
            </w:tcBorders>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200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056" w:type="dxa"/>
            <w:tcBorders>
              <w:top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潜孔钻机</w:t>
            </w:r>
          </w:p>
        </w:tc>
        <w:tc>
          <w:tcPr>
            <w:tcW w:w="5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70.0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64.0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60.5</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56.0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54.4</w:t>
            </w:r>
          </w:p>
        </w:tc>
        <w:tc>
          <w:tcPr>
            <w:tcW w:w="82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51.9</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50.0</w:t>
            </w:r>
          </w:p>
        </w:tc>
        <w:tc>
          <w:tcPr>
            <w:tcW w:w="82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48.4</w:t>
            </w:r>
          </w:p>
        </w:tc>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46.5</w:t>
            </w:r>
          </w:p>
        </w:tc>
        <w:tc>
          <w:tcPr>
            <w:tcW w:w="827" w:type="dxa"/>
            <w:tcBorders>
              <w:top w:val="single" w:color="auto" w:sz="4" w:space="0"/>
              <w:left w:val="single" w:color="auto" w:sz="4" w:space="0"/>
              <w:bottom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44.0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056" w:type="dxa"/>
            <w:tcBorders>
              <w:top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挖掘机</w:t>
            </w:r>
          </w:p>
        </w:tc>
        <w:tc>
          <w:tcPr>
            <w:tcW w:w="5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60.0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54.0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50.5</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46.0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44.4</w:t>
            </w:r>
          </w:p>
        </w:tc>
        <w:tc>
          <w:tcPr>
            <w:tcW w:w="82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41.9</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40.0</w:t>
            </w:r>
          </w:p>
        </w:tc>
        <w:tc>
          <w:tcPr>
            <w:tcW w:w="82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38.4</w:t>
            </w:r>
          </w:p>
        </w:tc>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36.5</w:t>
            </w:r>
          </w:p>
        </w:tc>
        <w:tc>
          <w:tcPr>
            <w:tcW w:w="827" w:type="dxa"/>
            <w:tcBorders>
              <w:top w:val="single" w:color="auto" w:sz="4" w:space="0"/>
              <w:left w:val="single" w:color="auto" w:sz="4" w:space="0"/>
              <w:bottom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34.0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056" w:type="dxa"/>
            <w:tcBorders>
              <w:top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装载机</w:t>
            </w:r>
          </w:p>
        </w:tc>
        <w:tc>
          <w:tcPr>
            <w:tcW w:w="5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60.0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54.0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50.5</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46.0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44.4</w:t>
            </w:r>
          </w:p>
        </w:tc>
        <w:tc>
          <w:tcPr>
            <w:tcW w:w="82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41.9</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40.0</w:t>
            </w:r>
          </w:p>
        </w:tc>
        <w:tc>
          <w:tcPr>
            <w:tcW w:w="82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38.4</w:t>
            </w:r>
          </w:p>
        </w:tc>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36.5</w:t>
            </w:r>
          </w:p>
        </w:tc>
        <w:tc>
          <w:tcPr>
            <w:tcW w:w="827" w:type="dxa"/>
            <w:tcBorders>
              <w:top w:val="single" w:color="auto" w:sz="4" w:space="0"/>
              <w:left w:val="single" w:color="auto" w:sz="4" w:space="0"/>
              <w:bottom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34.0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056" w:type="dxa"/>
            <w:tcBorders>
              <w:top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破碎机</w:t>
            </w:r>
          </w:p>
        </w:tc>
        <w:tc>
          <w:tcPr>
            <w:tcW w:w="5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60.0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54.0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50.5</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46.0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44.4</w:t>
            </w:r>
          </w:p>
        </w:tc>
        <w:tc>
          <w:tcPr>
            <w:tcW w:w="82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41.9</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40.0</w:t>
            </w:r>
          </w:p>
        </w:tc>
        <w:tc>
          <w:tcPr>
            <w:tcW w:w="82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38.4</w:t>
            </w:r>
          </w:p>
        </w:tc>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36.5</w:t>
            </w:r>
          </w:p>
        </w:tc>
        <w:tc>
          <w:tcPr>
            <w:tcW w:w="827" w:type="dxa"/>
            <w:tcBorders>
              <w:top w:val="single" w:color="auto" w:sz="4" w:space="0"/>
              <w:left w:val="single" w:color="auto" w:sz="4" w:space="0"/>
              <w:bottom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34.0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056" w:type="dxa"/>
            <w:tcBorders>
              <w:top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振动筛</w:t>
            </w:r>
          </w:p>
        </w:tc>
        <w:tc>
          <w:tcPr>
            <w:tcW w:w="5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50.0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44.0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40.5</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36.0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34.4</w:t>
            </w:r>
          </w:p>
        </w:tc>
        <w:tc>
          <w:tcPr>
            <w:tcW w:w="82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31.9</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30.0</w:t>
            </w:r>
          </w:p>
        </w:tc>
        <w:tc>
          <w:tcPr>
            <w:tcW w:w="82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28.4</w:t>
            </w:r>
          </w:p>
        </w:tc>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26.5</w:t>
            </w:r>
          </w:p>
        </w:tc>
        <w:tc>
          <w:tcPr>
            <w:tcW w:w="827" w:type="dxa"/>
            <w:tcBorders>
              <w:top w:val="single" w:color="auto" w:sz="4" w:space="0"/>
              <w:left w:val="single" w:color="auto" w:sz="4" w:space="0"/>
              <w:bottom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24.0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056" w:type="dxa"/>
            <w:tcBorders>
              <w:top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圆锥机</w:t>
            </w:r>
          </w:p>
        </w:tc>
        <w:tc>
          <w:tcPr>
            <w:tcW w:w="5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60.0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54.0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50.5</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46.0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44.4</w:t>
            </w:r>
          </w:p>
        </w:tc>
        <w:tc>
          <w:tcPr>
            <w:tcW w:w="82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41.9</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40.0</w:t>
            </w:r>
          </w:p>
        </w:tc>
        <w:tc>
          <w:tcPr>
            <w:tcW w:w="82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38.4</w:t>
            </w:r>
          </w:p>
        </w:tc>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36.5</w:t>
            </w:r>
          </w:p>
        </w:tc>
        <w:tc>
          <w:tcPr>
            <w:tcW w:w="827" w:type="dxa"/>
            <w:tcBorders>
              <w:top w:val="single" w:color="auto" w:sz="4" w:space="0"/>
              <w:left w:val="single" w:color="auto" w:sz="4" w:space="0"/>
              <w:bottom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34.0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056" w:type="dxa"/>
            <w:tcBorders>
              <w:top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制沙机</w:t>
            </w:r>
          </w:p>
        </w:tc>
        <w:tc>
          <w:tcPr>
            <w:tcW w:w="5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55.0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50.0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45.5</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41.0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39.4</w:t>
            </w:r>
          </w:p>
        </w:tc>
        <w:tc>
          <w:tcPr>
            <w:tcW w:w="82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36.9</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35.0</w:t>
            </w:r>
          </w:p>
        </w:tc>
        <w:tc>
          <w:tcPr>
            <w:tcW w:w="82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33.4</w:t>
            </w:r>
          </w:p>
        </w:tc>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31.5</w:t>
            </w:r>
          </w:p>
        </w:tc>
        <w:tc>
          <w:tcPr>
            <w:tcW w:w="827" w:type="dxa"/>
            <w:tcBorders>
              <w:top w:val="single" w:color="auto" w:sz="4" w:space="0"/>
              <w:left w:val="single" w:color="auto" w:sz="4" w:space="0"/>
              <w:bottom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29.0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056" w:type="dxa"/>
            <w:tcBorders>
              <w:top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空压机</w:t>
            </w:r>
          </w:p>
        </w:tc>
        <w:tc>
          <w:tcPr>
            <w:tcW w:w="5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65.0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59.0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55.5</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51.0</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49.4</w:t>
            </w:r>
          </w:p>
        </w:tc>
        <w:tc>
          <w:tcPr>
            <w:tcW w:w="82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46.9</w:t>
            </w: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45.0</w:t>
            </w:r>
          </w:p>
        </w:tc>
        <w:tc>
          <w:tcPr>
            <w:tcW w:w="82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43.4</w:t>
            </w:r>
          </w:p>
        </w:tc>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41.5</w:t>
            </w:r>
          </w:p>
        </w:tc>
        <w:tc>
          <w:tcPr>
            <w:tcW w:w="827" w:type="dxa"/>
            <w:tcBorders>
              <w:top w:val="single" w:color="auto" w:sz="4" w:space="0"/>
              <w:left w:val="single" w:color="auto" w:sz="4" w:space="0"/>
              <w:bottom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39.0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056" w:type="dxa"/>
            <w:tcBorders>
              <w:top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水泵</w:t>
            </w:r>
          </w:p>
        </w:tc>
        <w:tc>
          <w:tcPr>
            <w:tcW w:w="595" w:type="dxa"/>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60.0</w:t>
            </w:r>
          </w:p>
        </w:tc>
        <w:tc>
          <w:tcPr>
            <w:tcW w:w="826" w:type="dxa"/>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54.0</w:t>
            </w:r>
          </w:p>
        </w:tc>
        <w:tc>
          <w:tcPr>
            <w:tcW w:w="826" w:type="dxa"/>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50.5</w:t>
            </w:r>
          </w:p>
        </w:tc>
        <w:tc>
          <w:tcPr>
            <w:tcW w:w="826" w:type="dxa"/>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46.0</w:t>
            </w:r>
          </w:p>
        </w:tc>
        <w:tc>
          <w:tcPr>
            <w:tcW w:w="826" w:type="dxa"/>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44.4</w:t>
            </w:r>
          </w:p>
        </w:tc>
        <w:tc>
          <w:tcPr>
            <w:tcW w:w="827" w:type="dxa"/>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41.9</w:t>
            </w:r>
          </w:p>
        </w:tc>
        <w:tc>
          <w:tcPr>
            <w:tcW w:w="826" w:type="dxa"/>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40.0</w:t>
            </w:r>
          </w:p>
        </w:tc>
        <w:tc>
          <w:tcPr>
            <w:tcW w:w="828" w:type="dxa"/>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38.4</w:t>
            </w:r>
          </w:p>
        </w:tc>
        <w:tc>
          <w:tcPr>
            <w:tcW w:w="825" w:type="dxa"/>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36.5</w:t>
            </w:r>
          </w:p>
        </w:tc>
        <w:tc>
          <w:tcPr>
            <w:tcW w:w="827" w:type="dxa"/>
            <w:tcBorders>
              <w:top w:val="single" w:color="auto" w:sz="4" w:space="0"/>
              <w:lef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34.0</w:t>
            </w:r>
          </w:p>
        </w:tc>
      </w:tr>
    </w:tbl>
    <w:p>
      <w:pPr>
        <w:adjustRightInd w:val="0"/>
        <w:snapToGrid w:val="0"/>
        <w:spacing w:line="240" w:lineRule="auto"/>
        <w:ind w:firstLine="0" w:firstLineChars="0"/>
        <w:jc w:val="center"/>
        <w:rPr>
          <w:rFonts w:ascii="Times New Roman" w:hAnsi="Times New Roman" w:eastAsia="宋体" w:cs="Times New Roman"/>
          <w:b/>
          <w:bCs/>
          <w:color w:val="auto"/>
          <w:highlight w:val="none"/>
        </w:rPr>
      </w:pPr>
    </w:p>
    <w:p>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表4.2-</w:t>
      </w:r>
      <w:r>
        <w:rPr>
          <w:rFonts w:hint="eastAsia" w:ascii="Times New Roman" w:hAnsi="Times New Roman" w:eastAsia="宋体" w:cs="Times New Roman"/>
          <w:b/>
          <w:bCs/>
          <w:color w:val="auto"/>
          <w:highlight w:val="none"/>
        </w:rPr>
        <w:t>27</w:t>
      </w:r>
      <w:r>
        <w:rPr>
          <w:rFonts w:ascii="Times New Roman" w:hAnsi="Times New Roman" w:eastAsia="宋体" w:cs="Times New Roman"/>
          <w:b/>
          <w:bCs/>
          <w:color w:val="auto"/>
          <w:highlight w:val="none"/>
        </w:rPr>
        <w:t xml:space="preserve"> 项目矿区厂界噪声预测结果表（单位：</w:t>
      </w:r>
      <w:r>
        <w:rPr>
          <w:rFonts w:ascii="Times New Roman" w:hAnsi="Times New Roman" w:eastAsia="宋体" w:cs="Times New Roman"/>
          <w:b/>
          <w:bCs/>
          <w:color w:val="auto"/>
          <w:sz w:val="21"/>
          <w:highlight w:val="none"/>
        </w:rPr>
        <w:t>dB（A）</w:t>
      </w:r>
      <w:r>
        <w:rPr>
          <w:rFonts w:ascii="Times New Roman" w:hAnsi="Times New Roman" w:eastAsia="宋体" w:cs="Times New Roman"/>
          <w:b/>
          <w:bCs/>
          <w:color w:val="auto"/>
          <w:highlight w:val="none"/>
        </w:rPr>
        <w:t>）</w:t>
      </w:r>
    </w:p>
    <w:tbl>
      <w:tblPr>
        <w:tblStyle w:val="48"/>
        <w:tblW w:w="9140"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639"/>
        <w:gridCol w:w="1268"/>
        <w:gridCol w:w="816"/>
        <w:gridCol w:w="1714"/>
        <w:gridCol w:w="1337"/>
        <w:gridCol w:w="1605"/>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400" w:type="dxa"/>
            <w:gridSpan w:val="2"/>
            <w:vMerge w:val="restart"/>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预测点名称</w:t>
            </w:r>
          </w:p>
        </w:tc>
        <w:tc>
          <w:tcPr>
            <w:tcW w:w="1268"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背景值</w:t>
            </w:r>
          </w:p>
        </w:tc>
        <w:tc>
          <w:tcPr>
            <w:tcW w:w="816"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贡献值</w:t>
            </w:r>
          </w:p>
        </w:tc>
        <w:tc>
          <w:tcPr>
            <w:tcW w:w="1714"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厂界噪声预测值</w:t>
            </w:r>
          </w:p>
        </w:tc>
        <w:tc>
          <w:tcPr>
            <w:tcW w:w="1337"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标准值</w:t>
            </w:r>
          </w:p>
        </w:tc>
        <w:tc>
          <w:tcPr>
            <w:tcW w:w="1605" w:type="dxa"/>
            <w:vMerge w:val="restart"/>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达标情况</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400" w:type="dxa"/>
            <w:gridSpan w:val="2"/>
            <w:vMerge w:val="continue"/>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p>
        </w:tc>
        <w:tc>
          <w:tcPr>
            <w:tcW w:w="1268"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b/>
                <w:bCs/>
                <w:color w:val="auto"/>
                <w:sz w:val="21"/>
                <w:highlight w:val="none"/>
              </w:rPr>
              <w:t>昼间</w:t>
            </w:r>
          </w:p>
        </w:tc>
        <w:tc>
          <w:tcPr>
            <w:tcW w:w="816"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昼间</w:t>
            </w:r>
          </w:p>
        </w:tc>
        <w:tc>
          <w:tcPr>
            <w:tcW w:w="1714"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昼间</w:t>
            </w:r>
          </w:p>
        </w:tc>
        <w:tc>
          <w:tcPr>
            <w:tcW w:w="1337"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昼间</w:t>
            </w:r>
          </w:p>
        </w:tc>
        <w:tc>
          <w:tcPr>
            <w:tcW w:w="1605" w:type="dxa"/>
            <w:vMerge w:val="continue"/>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61" w:type="dxa"/>
            <w:vMerge w:val="restart"/>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厂界</w:t>
            </w:r>
          </w:p>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噪声</w:t>
            </w:r>
          </w:p>
        </w:tc>
        <w:tc>
          <w:tcPr>
            <w:tcW w:w="1639"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东面厂界</w:t>
            </w:r>
          </w:p>
        </w:tc>
        <w:tc>
          <w:tcPr>
            <w:tcW w:w="1268"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53.0</w:t>
            </w:r>
          </w:p>
        </w:tc>
        <w:tc>
          <w:tcPr>
            <w:tcW w:w="816"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37.5</w:t>
            </w:r>
          </w:p>
        </w:tc>
        <w:tc>
          <w:tcPr>
            <w:tcW w:w="1714"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53.1</w:t>
            </w:r>
          </w:p>
        </w:tc>
        <w:tc>
          <w:tcPr>
            <w:tcW w:w="1337"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60</w:t>
            </w:r>
          </w:p>
        </w:tc>
        <w:tc>
          <w:tcPr>
            <w:tcW w:w="1605"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61" w:type="dxa"/>
            <w:vMerge w:val="continue"/>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39"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南面厂界</w:t>
            </w:r>
          </w:p>
        </w:tc>
        <w:tc>
          <w:tcPr>
            <w:tcW w:w="1268"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56.9</w:t>
            </w:r>
          </w:p>
        </w:tc>
        <w:tc>
          <w:tcPr>
            <w:tcW w:w="816"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35.4</w:t>
            </w:r>
          </w:p>
        </w:tc>
        <w:tc>
          <w:tcPr>
            <w:tcW w:w="1714"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56.9</w:t>
            </w:r>
          </w:p>
        </w:tc>
        <w:tc>
          <w:tcPr>
            <w:tcW w:w="1337"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60</w:t>
            </w:r>
          </w:p>
        </w:tc>
        <w:tc>
          <w:tcPr>
            <w:tcW w:w="1605"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61" w:type="dxa"/>
            <w:vMerge w:val="continue"/>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39"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西面厂界</w:t>
            </w:r>
          </w:p>
        </w:tc>
        <w:tc>
          <w:tcPr>
            <w:tcW w:w="1268"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53.8</w:t>
            </w:r>
          </w:p>
        </w:tc>
        <w:tc>
          <w:tcPr>
            <w:tcW w:w="816"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36.0</w:t>
            </w:r>
          </w:p>
        </w:tc>
        <w:tc>
          <w:tcPr>
            <w:tcW w:w="1714"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53.4</w:t>
            </w:r>
          </w:p>
        </w:tc>
        <w:tc>
          <w:tcPr>
            <w:tcW w:w="1337"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60</w:t>
            </w:r>
          </w:p>
        </w:tc>
        <w:tc>
          <w:tcPr>
            <w:tcW w:w="1605"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61" w:type="dxa"/>
            <w:vMerge w:val="continue"/>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639"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北面厂界</w:t>
            </w:r>
          </w:p>
        </w:tc>
        <w:tc>
          <w:tcPr>
            <w:tcW w:w="1268"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56.2</w:t>
            </w:r>
          </w:p>
        </w:tc>
        <w:tc>
          <w:tcPr>
            <w:tcW w:w="816"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31.3</w:t>
            </w:r>
          </w:p>
        </w:tc>
        <w:tc>
          <w:tcPr>
            <w:tcW w:w="1714"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56.2</w:t>
            </w:r>
          </w:p>
        </w:tc>
        <w:tc>
          <w:tcPr>
            <w:tcW w:w="1337"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60</w:t>
            </w:r>
          </w:p>
        </w:tc>
        <w:tc>
          <w:tcPr>
            <w:tcW w:w="1605"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达标</w:t>
            </w:r>
          </w:p>
        </w:tc>
      </w:tr>
    </w:tbl>
    <w:p>
      <w:pPr>
        <w:adjustRightInd w:val="0"/>
        <w:snapToGrid w:val="0"/>
        <w:spacing w:line="240" w:lineRule="auto"/>
        <w:ind w:firstLine="0" w:firstLineChars="0"/>
        <w:rPr>
          <w:rFonts w:ascii="Times New Roman" w:hAnsi="Times New Roman" w:eastAsia="宋体" w:cs="Times New Roman"/>
          <w:b/>
          <w:bCs/>
          <w:color w:val="auto"/>
          <w:highlight w:val="none"/>
        </w:rPr>
      </w:pPr>
    </w:p>
    <w:p>
      <w:pPr>
        <w:ind w:firstLine="0" w:firstLineChars="0"/>
        <w:jc w:val="center"/>
        <w:rPr>
          <w:rFonts w:hint="eastAsia"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drawing>
          <wp:inline distT="0" distB="0" distL="114300" distR="114300">
            <wp:extent cx="5727700" cy="3876040"/>
            <wp:effectExtent l="15875" t="15875" r="28575" b="32385"/>
            <wp:docPr id="64" name="图片 327" descr="声环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27" descr="声环境图"/>
                    <pic:cNvPicPr>
                      <a:picLocks noChangeAspect="1"/>
                    </pic:cNvPicPr>
                  </pic:nvPicPr>
                  <pic:blipFill>
                    <a:blip r:embed="rId94"/>
                    <a:stretch>
                      <a:fillRect/>
                    </a:stretch>
                  </pic:blipFill>
                  <pic:spPr>
                    <a:xfrm>
                      <a:off x="0" y="0"/>
                      <a:ext cx="5727700" cy="3876040"/>
                    </a:xfrm>
                    <a:prstGeom prst="rect">
                      <a:avLst/>
                    </a:prstGeom>
                    <a:noFill/>
                    <a:ln w="15875" cap="flat" cmpd="sng">
                      <a:solidFill>
                        <a:srgbClr val="000000"/>
                      </a:solidFill>
                      <a:prstDash val="solid"/>
                      <a:miter/>
                      <a:headEnd type="none" w="med" len="med"/>
                      <a:tailEnd type="none" w="med" len="med"/>
                    </a:ln>
                  </pic:spPr>
                </pic:pic>
              </a:graphicData>
            </a:graphic>
          </wp:inline>
        </w:drawing>
      </w:r>
    </w:p>
    <w:p>
      <w:pPr>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图4.2-1</w:t>
      </w:r>
      <w:r>
        <w:rPr>
          <w:rFonts w:hint="eastAsia" w:ascii="Times New Roman" w:hAnsi="Times New Roman" w:eastAsia="宋体" w:cs="Times New Roman"/>
          <w:b/>
          <w:bCs/>
          <w:color w:val="auto"/>
          <w:highlight w:val="none"/>
        </w:rPr>
        <w:t>0</w:t>
      </w:r>
      <w:r>
        <w:rPr>
          <w:rFonts w:ascii="Times New Roman" w:hAnsi="Times New Roman" w:eastAsia="宋体" w:cs="Times New Roman"/>
          <w:b/>
          <w:bCs/>
          <w:color w:val="auto"/>
          <w:highlight w:val="none"/>
        </w:rPr>
        <w:t xml:space="preserve"> 项目营运期噪声贡献值等直线分布图</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由图4.2-1</w:t>
      </w: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和表4.2-</w:t>
      </w:r>
      <w:r>
        <w:rPr>
          <w:rFonts w:hint="eastAsia" w:ascii="Times New Roman" w:hAnsi="Times New Roman" w:eastAsia="宋体" w:cs="Times New Roman"/>
          <w:color w:val="auto"/>
          <w:highlight w:val="none"/>
        </w:rPr>
        <w:t>27</w:t>
      </w:r>
      <w:r>
        <w:rPr>
          <w:rFonts w:ascii="Times New Roman" w:hAnsi="Times New Roman" w:eastAsia="宋体" w:cs="Times New Roman"/>
          <w:color w:val="auto"/>
          <w:highlight w:val="none"/>
        </w:rPr>
        <w:t>可知，项目建成后昼间厂界噪声预测值满足《工业企业厂界环境噪声排放标准》（GB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12348-2008）2类标准，项目最近居民区距离采矿场约为</w:t>
      </w:r>
      <w:r>
        <w:rPr>
          <w:rFonts w:hint="eastAsia" w:ascii="Times New Roman" w:hAnsi="Times New Roman" w:eastAsia="宋体" w:cs="Times New Roman"/>
          <w:color w:val="auto"/>
          <w:highlight w:val="none"/>
        </w:rPr>
        <w:t>500</w:t>
      </w:r>
      <w:r>
        <w:rPr>
          <w:rFonts w:ascii="Times New Roman" w:hAnsi="Times New Roman" w:eastAsia="宋体" w:cs="Times New Roman"/>
          <w:color w:val="auto"/>
          <w:highlight w:val="none"/>
        </w:rPr>
        <w:t>m，噪声对敏感点的影响较小。</w:t>
      </w:r>
    </w:p>
    <w:p>
      <w:pPr>
        <w:spacing w:line="500" w:lineRule="exact"/>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（2）爆破噪声影响分析</w:t>
      </w:r>
    </w:p>
    <w:p>
      <w:pPr>
        <w:spacing w:line="500" w:lineRule="exact"/>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爆破噪声为瞬间噪声，它持续时间短，但强度大。本项目爆破噪声源强值按110 dB（A）计，采用点声源预测模式：</w:t>
      </w:r>
    </w:p>
    <w:p>
      <w:pPr>
        <w:ind w:firstLine="480"/>
        <w:jc w:val="center"/>
        <w:rPr>
          <w:rFonts w:ascii="Times New Roman" w:hAnsi="Times New Roman" w:eastAsia="宋体" w:cs="Times New Roman"/>
          <w:color w:val="auto"/>
          <w:highlight w:val="none"/>
        </w:rPr>
      </w:pPr>
      <w:bookmarkStart w:id="369" w:name="_Toc17437"/>
      <w:r>
        <w:rPr>
          <w:rFonts w:ascii="Times New Roman" w:hAnsi="Times New Roman" w:eastAsia="宋体" w:cs="Times New Roman"/>
          <w:color w:val="auto"/>
          <w:highlight w:val="none"/>
        </w:rPr>
        <w:drawing>
          <wp:inline distT="0" distB="0" distL="114300" distR="114300">
            <wp:extent cx="2350770" cy="539750"/>
            <wp:effectExtent l="0" t="0" r="11430" b="12700"/>
            <wp:docPr id="65"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28"/>
                    <pic:cNvPicPr>
                      <a:picLocks noChangeAspect="1"/>
                    </pic:cNvPicPr>
                  </pic:nvPicPr>
                  <pic:blipFill>
                    <a:blip r:embed="rId87"/>
                    <a:stretch>
                      <a:fillRect/>
                    </a:stretch>
                  </pic:blipFill>
                  <pic:spPr>
                    <a:xfrm>
                      <a:off x="0" y="0"/>
                      <a:ext cx="2350770" cy="539750"/>
                    </a:xfrm>
                    <a:prstGeom prst="rect">
                      <a:avLst/>
                    </a:prstGeom>
                    <a:noFill/>
                    <a:ln>
                      <a:noFill/>
                    </a:ln>
                  </pic:spPr>
                </pic:pic>
              </a:graphicData>
            </a:graphic>
          </wp:inline>
        </w:drawing>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式中：L</w:t>
      </w:r>
      <w:r>
        <w:rPr>
          <w:rFonts w:ascii="Times New Roman" w:hAnsi="Times New Roman" w:eastAsia="宋体" w:cs="Times New Roman"/>
          <w:color w:val="auto"/>
          <w:highlight w:val="none"/>
          <w:vertAlign w:val="subscript"/>
        </w:rPr>
        <w:t>p</w:t>
      </w:r>
      <w:r>
        <w:rPr>
          <w:rFonts w:ascii="Times New Roman" w:hAnsi="Times New Roman" w:eastAsia="宋体" w:cs="Times New Roman"/>
          <w:color w:val="auto"/>
          <w:highlight w:val="none"/>
        </w:rPr>
        <w:t>（r）、L</w:t>
      </w:r>
      <w:r>
        <w:rPr>
          <w:rFonts w:ascii="Times New Roman" w:hAnsi="Times New Roman" w:eastAsia="宋体" w:cs="Times New Roman"/>
          <w:color w:val="auto"/>
          <w:highlight w:val="none"/>
          <w:vertAlign w:val="subscript"/>
        </w:rPr>
        <w:t>p</w:t>
      </w:r>
      <w:r>
        <w:rPr>
          <w:rFonts w:ascii="Times New Roman" w:hAnsi="Times New Roman" w:eastAsia="宋体" w:cs="Times New Roman"/>
          <w:color w:val="auto"/>
          <w:highlight w:val="none"/>
        </w:rPr>
        <w:t>（r</w:t>
      </w:r>
      <w:r>
        <w:rPr>
          <w:rFonts w:ascii="Times New Roman" w:hAnsi="Times New Roman" w:eastAsia="宋体" w:cs="Times New Roman"/>
          <w:color w:val="auto"/>
          <w:highlight w:val="none"/>
          <w:vertAlign w:val="subscript"/>
        </w:rPr>
        <w:t>0</w:t>
      </w:r>
      <w:r>
        <w:rPr>
          <w:rFonts w:ascii="Times New Roman" w:hAnsi="Times New Roman" w:eastAsia="宋体" w:cs="Times New Roman"/>
          <w:color w:val="auto"/>
          <w:highlight w:val="none"/>
        </w:rPr>
        <w:t>）——距声源 r、r</w:t>
      </w:r>
      <w:r>
        <w:rPr>
          <w:rFonts w:ascii="Times New Roman" w:hAnsi="Times New Roman" w:eastAsia="宋体" w:cs="Times New Roman"/>
          <w:color w:val="auto"/>
          <w:highlight w:val="none"/>
          <w:vertAlign w:val="subscript"/>
        </w:rPr>
        <w:t>0</w:t>
      </w:r>
      <w:r>
        <w:rPr>
          <w:rFonts w:ascii="Times New Roman" w:hAnsi="Times New Roman" w:eastAsia="宋体" w:cs="Times New Roman"/>
          <w:color w:val="auto"/>
          <w:highlight w:val="none"/>
        </w:rPr>
        <w:t>处的噪声值，dB(A)；</w:t>
      </w:r>
    </w:p>
    <w:p>
      <w:pPr>
        <w:ind w:firstLine="1200" w:firstLineChars="500"/>
        <w:rPr>
          <w:rFonts w:ascii="Times New Roman" w:hAnsi="Times New Roman" w:eastAsia="宋体" w:cs="Times New Roman"/>
          <w:color w:val="auto"/>
          <w:highlight w:val="none"/>
        </w:rPr>
      </w:pPr>
      <w:r>
        <w:rPr>
          <w:rFonts w:ascii="Times New Roman" w:hAnsi="Times New Roman" w:eastAsia="宋体" w:cs="Times New Roman"/>
          <w:color w:val="auto"/>
          <w:highlight w:val="none"/>
        </w:rPr>
        <w:t>r、r</w:t>
      </w:r>
      <w:r>
        <w:rPr>
          <w:rFonts w:ascii="Times New Roman" w:hAnsi="Times New Roman" w:eastAsia="宋体" w:cs="Times New Roman"/>
          <w:color w:val="auto"/>
          <w:highlight w:val="none"/>
          <w:vertAlign w:val="subscript"/>
        </w:rPr>
        <w:t>0</w:t>
      </w:r>
      <w:r>
        <w:rPr>
          <w:rFonts w:ascii="Times New Roman" w:hAnsi="Times New Roman" w:eastAsia="宋体" w:cs="Times New Roman"/>
          <w:color w:val="auto"/>
          <w:highlight w:val="none"/>
        </w:rPr>
        <w:t>——预测点距声源的距离。</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爆破噪声随距离衰减量计算结果见下表。</w:t>
      </w:r>
    </w:p>
    <w:p>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b/>
          <w:bCs/>
          <w:color w:val="auto"/>
          <w:highlight w:val="none"/>
        </w:rPr>
        <w:t>表</w:t>
      </w:r>
      <w:r>
        <w:rPr>
          <w:rFonts w:ascii="Times New Roman" w:hAnsi="Times New Roman" w:eastAsia="宋体" w:cs="Times New Roman"/>
          <w:b/>
          <w:bCs/>
          <w:color w:val="auto"/>
          <w:highlight w:val="none"/>
        </w:rPr>
        <w:t>4.2-</w:t>
      </w:r>
      <w:r>
        <w:rPr>
          <w:rFonts w:hint="eastAsia" w:ascii="Times New Roman" w:hAnsi="Times New Roman" w:eastAsia="宋体" w:cs="Times New Roman"/>
          <w:b/>
          <w:bCs/>
          <w:color w:val="auto"/>
          <w:highlight w:val="none"/>
        </w:rPr>
        <w:t xml:space="preserve">28 </w:t>
      </w:r>
      <w:r>
        <w:rPr>
          <w:rFonts w:ascii="Times New Roman" w:hAnsi="Times New Roman" w:eastAsia="宋体" w:cs="Times New Roman"/>
          <w:b/>
          <w:bCs/>
          <w:color w:val="auto"/>
          <w:highlight w:val="none"/>
        </w:rPr>
        <w:t>项目矿区厂界噪声预测结果表（单位：</w:t>
      </w:r>
      <w:r>
        <w:rPr>
          <w:rFonts w:ascii="Times New Roman" w:hAnsi="Times New Roman" w:eastAsia="宋体" w:cs="Times New Roman"/>
          <w:b/>
          <w:bCs/>
          <w:color w:val="auto"/>
          <w:sz w:val="21"/>
          <w:highlight w:val="none"/>
        </w:rPr>
        <w:t>dB（A）</w:t>
      </w:r>
      <w:r>
        <w:rPr>
          <w:rFonts w:ascii="Times New Roman" w:hAnsi="Times New Roman" w:eastAsia="宋体" w:cs="Times New Roman"/>
          <w:b/>
          <w:bCs/>
          <w:color w:val="auto"/>
          <w:highlight w:val="none"/>
        </w:rPr>
        <w:t>）</w:t>
      </w:r>
    </w:p>
    <w:tbl>
      <w:tblPr>
        <w:tblStyle w:val="48"/>
        <w:tblW w:w="921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754"/>
        <w:gridCol w:w="925"/>
        <w:gridCol w:w="925"/>
        <w:gridCol w:w="925"/>
        <w:gridCol w:w="925"/>
        <w:gridCol w:w="926"/>
        <w:gridCol w:w="926"/>
        <w:gridCol w:w="913"/>
        <w:gridCol w:w="9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1096" w:type="dxa"/>
            <w:noWrap w:val="0"/>
            <w:vAlign w:val="center"/>
          </w:tcPr>
          <w:p>
            <w:pPr>
              <w:ind w:firstLine="0" w:firstLineChars="0"/>
              <w:rPr>
                <w:rFonts w:hint="eastAsia"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距离（m）</w:t>
            </w:r>
          </w:p>
        </w:tc>
        <w:tc>
          <w:tcPr>
            <w:tcW w:w="754" w:type="dxa"/>
            <w:noWrap w:val="0"/>
            <w:vAlign w:val="center"/>
          </w:tcPr>
          <w:p>
            <w:pPr>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10</w:t>
            </w:r>
          </w:p>
        </w:tc>
        <w:tc>
          <w:tcPr>
            <w:tcW w:w="925" w:type="dxa"/>
            <w:noWrap w:val="0"/>
            <w:vAlign w:val="center"/>
          </w:tcPr>
          <w:p>
            <w:pPr>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20</w:t>
            </w:r>
          </w:p>
        </w:tc>
        <w:tc>
          <w:tcPr>
            <w:tcW w:w="925" w:type="dxa"/>
            <w:noWrap w:val="0"/>
            <w:vAlign w:val="center"/>
          </w:tcPr>
          <w:p>
            <w:pPr>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50</w:t>
            </w:r>
          </w:p>
        </w:tc>
        <w:tc>
          <w:tcPr>
            <w:tcW w:w="925" w:type="dxa"/>
            <w:noWrap w:val="0"/>
            <w:vAlign w:val="center"/>
          </w:tcPr>
          <w:p>
            <w:pPr>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100</w:t>
            </w:r>
          </w:p>
        </w:tc>
        <w:tc>
          <w:tcPr>
            <w:tcW w:w="925" w:type="dxa"/>
            <w:noWrap w:val="0"/>
            <w:vAlign w:val="center"/>
          </w:tcPr>
          <w:p>
            <w:pPr>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200</w:t>
            </w:r>
          </w:p>
        </w:tc>
        <w:tc>
          <w:tcPr>
            <w:tcW w:w="926" w:type="dxa"/>
            <w:noWrap w:val="0"/>
            <w:vAlign w:val="center"/>
          </w:tcPr>
          <w:p>
            <w:pPr>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300</w:t>
            </w:r>
          </w:p>
        </w:tc>
        <w:tc>
          <w:tcPr>
            <w:tcW w:w="926" w:type="dxa"/>
            <w:noWrap w:val="0"/>
            <w:vAlign w:val="center"/>
          </w:tcPr>
          <w:p>
            <w:pPr>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400</w:t>
            </w:r>
          </w:p>
        </w:tc>
        <w:tc>
          <w:tcPr>
            <w:tcW w:w="913" w:type="dxa"/>
            <w:noWrap w:val="0"/>
            <w:vAlign w:val="center"/>
          </w:tcPr>
          <w:p>
            <w:pPr>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500</w:t>
            </w:r>
          </w:p>
        </w:tc>
        <w:tc>
          <w:tcPr>
            <w:tcW w:w="902" w:type="dxa"/>
            <w:noWrap w:val="0"/>
            <w:vAlign w:val="center"/>
          </w:tcPr>
          <w:p>
            <w:pPr>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096" w:type="dxa"/>
            <w:noWrap w:val="0"/>
            <w:vAlign w:val="center"/>
          </w:tcPr>
          <w:p>
            <w:pPr>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噪声值</w:t>
            </w:r>
          </w:p>
        </w:tc>
        <w:tc>
          <w:tcPr>
            <w:tcW w:w="754" w:type="dxa"/>
            <w:noWrap w:val="0"/>
            <w:vAlign w:val="center"/>
          </w:tcPr>
          <w:p>
            <w:pPr>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90</w:t>
            </w:r>
          </w:p>
        </w:tc>
        <w:tc>
          <w:tcPr>
            <w:tcW w:w="925" w:type="dxa"/>
            <w:noWrap w:val="0"/>
            <w:vAlign w:val="center"/>
          </w:tcPr>
          <w:p>
            <w:pPr>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84</w:t>
            </w:r>
          </w:p>
        </w:tc>
        <w:tc>
          <w:tcPr>
            <w:tcW w:w="925" w:type="dxa"/>
            <w:noWrap w:val="0"/>
            <w:vAlign w:val="center"/>
          </w:tcPr>
          <w:p>
            <w:pPr>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76</w:t>
            </w:r>
          </w:p>
        </w:tc>
        <w:tc>
          <w:tcPr>
            <w:tcW w:w="925" w:type="dxa"/>
            <w:noWrap w:val="0"/>
            <w:vAlign w:val="center"/>
          </w:tcPr>
          <w:p>
            <w:pPr>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70</w:t>
            </w:r>
          </w:p>
        </w:tc>
        <w:tc>
          <w:tcPr>
            <w:tcW w:w="925" w:type="dxa"/>
            <w:noWrap w:val="0"/>
            <w:vAlign w:val="center"/>
          </w:tcPr>
          <w:p>
            <w:pPr>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64</w:t>
            </w:r>
          </w:p>
        </w:tc>
        <w:tc>
          <w:tcPr>
            <w:tcW w:w="926" w:type="dxa"/>
            <w:noWrap w:val="0"/>
            <w:vAlign w:val="center"/>
          </w:tcPr>
          <w:p>
            <w:pPr>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60.5</w:t>
            </w:r>
          </w:p>
        </w:tc>
        <w:tc>
          <w:tcPr>
            <w:tcW w:w="926" w:type="dxa"/>
            <w:noWrap w:val="0"/>
            <w:vAlign w:val="center"/>
          </w:tcPr>
          <w:p>
            <w:pPr>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58.0</w:t>
            </w:r>
          </w:p>
        </w:tc>
        <w:tc>
          <w:tcPr>
            <w:tcW w:w="913" w:type="dxa"/>
            <w:noWrap w:val="0"/>
            <w:vAlign w:val="center"/>
          </w:tcPr>
          <w:p>
            <w:pPr>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56.0</w:t>
            </w:r>
          </w:p>
        </w:tc>
        <w:tc>
          <w:tcPr>
            <w:tcW w:w="902" w:type="dxa"/>
            <w:noWrap w:val="0"/>
            <w:vAlign w:val="center"/>
          </w:tcPr>
          <w:p>
            <w:pPr>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54.4</w:t>
            </w:r>
          </w:p>
        </w:tc>
      </w:tr>
    </w:tbl>
    <w:p>
      <w:pPr>
        <w:ind w:firstLine="480"/>
        <w:rPr>
          <w:rFonts w:hint="eastAsia" w:ascii="Times New Roman" w:hAnsi="Times New Roman" w:eastAsia="宋体" w:cs="Times New Roman"/>
          <w:color w:val="auto"/>
          <w:highlight w:val="none"/>
        </w:rPr>
      </w:pPr>
      <w:r>
        <w:rPr>
          <w:rFonts w:ascii="Times New Roman" w:hAnsi="Times New Roman" w:eastAsia="宋体" w:cs="Times New Roman"/>
          <w:color w:val="auto"/>
          <w:highlight w:val="none"/>
        </w:rPr>
        <w:t>由上表可知，爆破引起的噪声传播到</w:t>
      </w:r>
      <w:r>
        <w:rPr>
          <w:rFonts w:hint="eastAsia" w:ascii="Times New Roman" w:hAnsi="Times New Roman" w:eastAsia="宋体" w:cs="Times New Roman"/>
          <w:color w:val="auto"/>
          <w:highlight w:val="none"/>
        </w:rPr>
        <w:t>1</w:t>
      </w:r>
      <w:r>
        <w:rPr>
          <w:rFonts w:ascii="Times New Roman" w:hAnsi="Times New Roman" w:eastAsia="宋体" w:cs="Times New Roman"/>
          <w:color w:val="auto"/>
          <w:highlight w:val="none"/>
        </w:rPr>
        <w:t>0m左右可达</w:t>
      </w:r>
      <w:r>
        <w:rPr>
          <w:rFonts w:hint="eastAsia" w:ascii="Times New Roman" w:hAnsi="Times New Roman" w:eastAsia="宋体" w:cs="Times New Roman"/>
          <w:color w:val="auto"/>
          <w:highlight w:val="none"/>
        </w:rPr>
        <w:t>到《爆破安全规程》（GB</w:t>
      </w:r>
      <w:r>
        <w:rPr>
          <w:rFonts w:hint="eastAsia" w:ascii="Times New Roman" w:hAnsi="Times New Roman" w:eastAsia="宋体" w:cs="Times New Roman"/>
          <w:color w:val="auto"/>
          <w:highlight w:val="none"/>
          <w:lang w:val="en-US" w:eastAsia="zh-CN"/>
        </w:rPr>
        <w:t xml:space="preserve"> </w:t>
      </w:r>
      <w:r>
        <w:rPr>
          <w:rFonts w:hint="eastAsia" w:ascii="Times New Roman" w:hAnsi="Times New Roman" w:eastAsia="宋体" w:cs="Times New Roman"/>
          <w:color w:val="auto"/>
          <w:highlight w:val="none"/>
        </w:rPr>
        <w:t>6722-2014）中2类区的标准限值（昼间100dB（A））</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距离最近项目的敏感点为东面</w:t>
      </w:r>
      <w:r>
        <w:rPr>
          <w:rFonts w:ascii="Times New Roman" w:hAnsi="Times New Roman" w:eastAsia="宋体" w:cs="Times New Roman"/>
          <w:color w:val="auto"/>
          <w:highlight w:val="none"/>
        </w:rPr>
        <w:t>约</w:t>
      </w:r>
      <w:r>
        <w:rPr>
          <w:rFonts w:hint="eastAsia" w:ascii="Times New Roman" w:hAnsi="Times New Roman" w:eastAsia="宋体" w:cs="Times New Roman"/>
          <w:color w:val="auto"/>
          <w:highlight w:val="none"/>
        </w:rPr>
        <w:t>500</w:t>
      </w:r>
      <w:r>
        <w:rPr>
          <w:rFonts w:ascii="Times New Roman" w:hAnsi="Times New Roman" w:eastAsia="宋体" w:cs="Times New Roman"/>
          <w:color w:val="auto"/>
          <w:highlight w:val="none"/>
        </w:rPr>
        <w:t>m</w:t>
      </w:r>
      <w:r>
        <w:rPr>
          <w:rFonts w:hint="eastAsia" w:ascii="Times New Roman" w:hAnsi="Times New Roman" w:eastAsia="宋体" w:cs="Times New Roman"/>
          <w:color w:val="auto"/>
          <w:highlight w:val="none"/>
        </w:rPr>
        <w:t>的东恒</w:t>
      </w:r>
      <w:r>
        <w:rPr>
          <w:rFonts w:ascii="Times New Roman" w:hAnsi="Times New Roman" w:eastAsia="宋体" w:cs="Times New Roman"/>
          <w:color w:val="auto"/>
          <w:highlight w:val="none"/>
        </w:rPr>
        <w:t>屯</w:t>
      </w:r>
      <w:r>
        <w:rPr>
          <w:rFonts w:hint="eastAsia" w:ascii="Times New Roman" w:hAnsi="Times New Roman" w:eastAsia="宋体" w:cs="Times New Roman"/>
          <w:color w:val="auto"/>
          <w:highlight w:val="none"/>
        </w:rPr>
        <w:t>，故爆破对周围敏感点影响不大。</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但为了尽量降低爆破噪声对矿山周边环境的影响，建设单位应加强管理，明确爆破时段，合理安排爆破时间。同时，不断优化爆破工艺，减少单次炸药使用量，采取分段爆破和延时爆破方式，对爆破时采取的起爆方法、操作方式、炮孔布置、炮泥材质、堵塞方法等进行合理的设计，降低爆破噪声源强。项目矿山爆破均安排在昼间进行，爆破噪声为瞬时性强声，属于突发性噪声，影响不具有长期污染性，因此爆破产生的噪声影响可为环境接受，对周边环境敏感点影响不大。</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爆破噪声将会对矿区及周围一定范围内野生动物的活动和栖息产生一定影响，使其群落组成和数量发生一定变化。但这种影响只是引起野生动物暂时的、局部的迁移，待工程结束这种影响亦结束，因而不会使评价区野生动物物种数发生变化，其种群数量也不会发生明显变化。</w:t>
      </w:r>
    </w:p>
    <w:p>
      <w:pPr>
        <w:pStyle w:val="6"/>
        <w:tabs>
          <w:tab w:val="left" w:pos="1390"/>
        </w:tabs>
        <w:spacing w:line="500" w:lineRule="exact"/>
        <w:rPr>
          <w:rFonts w:ascii="Times New Roman" w:hAnsi="Times New Roman" w:eastAsia="宋体"/>
          <w:color w:val="auto"/>
          <w:highlight w:val="none"/>
        </w:rPr>
      </w:pPr>
      <w:r>
        <w:rPr>
          <w:rFonts w:ascii="Times New Roman" w:hAnsi="Times New Roman" w:eastAsia="宋体"/>
          <w:color w:val="auto"/>
          <w:highlight w:val="none"/>
        </w:rPr>
        <w:t>4.2.4.3 运输噪声影响分析</w:t>
      </w:r>
      <w:bookmarkEnd w:id="369"/>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u w:val="single"/>
        </w:rPr>
        <w:t>本项目</w:t>
      </w:r>
      <w:r>
        <w:rPr>
          <w:rFonts w:hint="eastAsia" w:ascii="Times New Roman" w:hAnsi="Times New Roman" w:eastAsia="宋体" w:cs="Times New Roman"/>
          <w:color w:val="auto"/>
          <w:szCs w:val="24"/>
          <w:highlight w:val="none"/>
          <w:u w:val="single"/>
        </w:rPr>
        <w:t>年开采加工矿石50万t</w:t>
      </w:r>
      <w:r>
        <w:rPr>
          <w:rFonts w:ascii="Times New Roman" w:hAnsi="Times New Roman" w:eastAsia="宋体" w:cs="Times New Roman"/>
          <w:color w:val="auto"/>
          <w:highlight w:val="none"/>
          <w:u w:val="single"/>
        </w:rPr>
        <w:t>，项目</w:t>
      </w:r>
      <w:r>
        <w:rPr>
          <w:rFonts w:hint="eastAsia" w:cs="Times New Roman"/>
          <w:color w:val="auto"/>
          <w:highlight w:val="none"/>
          <w:u w:val="single"/>
          <w:lang w:val="en-US" w:eastAsia="zh-CN"/>
        </w:rPr>
        <w:t>对外</w:t>
      </w:r>
      <w:r>
        <w:rPr>
          <w:rFonts w:ascii="Times New Roman" w:hAnsi="Times New Roman" w:eastAsia="宋体" w:cs="Times New Roman"/>
          <w:color w:val="auto"/>
          <w:highlight w:val="none"/>
          <w:u w:val="single"/>
        </w:rPr>
        <w:t>运输工作</w:t>
      </w:r>
      <w:r>
        <w:rPr>
          <w:rFonts w:hint="eastAsia" w:ascii="Times New Roman" w:hAnsi="Times New Roman" w:eastAsia="宋体" w:cs="Times New Roman"/>
          <w:color w:val="auto"/>
          <w:highlight w:val="none"/>
          <w:u w:val="single"/>
        </w:rPr>
        <w:t>多</w:t>
      </w:r>
      <w:r>
        <w:rPr>
          <w:rFonts w:ascii="Times New Roman" w:hAnsi="Times New Roman" w:eastAsia="宋体" w:cs="Times New Roman"/>
          <w:color w:val="auto"/>
          <w:highlight w:val="none"/>
          <w:u w:val="single"/>
        </w:rPr>
        <w:t>在白天进行，</w:t>
      </w:r>
      <w:r>
        <w:rPr>
          <w:rFonts w:hint="eastAsia" w:cs="Times New Roman"/>
          <w:color w:val="auto"/>
          <w:highlight w:val="none"/>
          <w:u w:val="single"/>
          <w:lang w:val="en-US" w:eastAsia="zh-CN"/>
        </w:rPr>
        <w:t>货车运输矿石产品</w:t>
      </w:r>
      <w:r>
        <w:rPr>
          <w:rFonts w:ascii="Times New Roman" w:hAnsi="Times New Roman" w:eastAsia="宋体" w:cs="Times New Roman"/>
          <w:color w:val="auto"/>
          <w:highlight w:val="none"/>
          <w:u w:val="single"/>
        </w:rPr>
        <w:t>从堆矿场到</w:t>
      </w:r>
      <w:r>
        <w:rPr>
          <w:rFonts w:hint="eastAsia" w:ascii="Times New Roman" w:hAnsi="Times New Roman" w:eastAsia="宋体" w:cs="Times New Roman"/>
          <w:color w:val="auto"/>
          <w:highlight w:val="none"/>
          <w:u w:val="single"/>
        </w:rPr>
        <w:t>国道G321</w:t>
      </w:r>
      <w:r>
        <w:rPr>
          <w:rFonts w:ascii="Times New Roman" w:hAnsi="Times New Roman" w:eastAsia="宋体" w:cs="Times New Roman"/>
          <w:color w:val="auto"/>
          <w:highlight w:val="none"/>
          <w:u w:val="single"/>
        </w:rPr>
        <w:t>（约</w:t>
      </w:r>
      <w:r>
        <w:rPr>
          <w:rFonts w:hint="eastAsia" w:ascii="Times New Roman" w:hAnsi="Times New Roman" w:eastAsia="宋体" w:cs="Times New Roman"/>
          <w:color w:val="auto"/>
          <w:highlight w:val="none"/>
          <w:u w:val="single"/>
        </w:rPr>
        <w:t>2250</w:t>
      </w:r>
      <w:r>
        <w:rPr>
          <w:rFonts w:ascii="Times New Roman" w:hAnsi="Times New Roman" w:eastAsia="宋体" w:cs="Times New Roman"/>
          <w:color w:val="auto"/>
          <w:highlight w:val="none"/>
          <w:u w:val="single"/>
        </w:rPr>
        <w:t>m）</w:t>
      </w:r>
      <w:r>
        <w:rPr>
          <w:rFonts w:hint="eastAsia" w:cs="Times New Roman"/>
          <w:color w:val="auto"/>
          <w:highlight w:val="none"/>
          <w:u w:val="single"/>
          <w:lang w:val="en-US" w:eastAsia="zh-CN"/>
        </w:rPr>
        <w:t>需行驶经过乡村道路，车辆运输过程</w:t>
      </w:r>
      <w:r>
        <w:rPr>
          <w:rFonts w:ascii="Times New Roman" w:hAnsi="Times New Roman" w:eastAsia="宋体" w:cs="Times New Roman"/>
          <w:color w:val="auto"/>
          <w:highlight w:val="none"/>
          <w:u w:val="single"/>
        </w:rPr>
        <w:t>对道路两侧敏感点</w:t>
      </w:r>
      <w:r>
        <w:rPr>
          <w:rFonts w:hint="eastAsia" w:cs="Times New Roman"/>
          <w:color w:val="auto"/>
          <w:highlight w:val="none"/>
          <w:u w:val="single"/>
          <w:lang w:val="en-US" w:eastAsia="zh-CN"/>
        </w:rPr>
        <w:t>产生</w:t>
      </w:r>
      <w:r>
        <w:rPr>
          <w:rFonts w:ascii="Times New Roman" w:hAnsi="Times New Roman" w:eastAsia="宋体" w:cs="Times New Roman"/>
          <w:color w:val="auto"/>
          <w:highlight w:val="none"/>
          <w:u w:val="single"/>
        </w:rPr>
        <w:t>交通噪声影响。本项目矿石产品运输采用载重</w:t>
      </w:r>
      <w:r>
        <w:rPr>
          <w:rFonts w:hint="eastAsia" w:cs="Times New Roman"/>
          <w:color w:val="auto"/>
          <w:highlight w:val="none"/>
          <w:u w:val="single"/>
          <w:lang w:val="en-US" w:eastAsia="zh-CN"/>
        </w:rPr>
        <w:t>6</w:t>
      </w:r>
      <w:r>
        <w:rPr>
          <w:rFonts w:hint="eastAsia" w:ascii="Times New Roman" w:hAnsi="Times New Roman" w:eastAsia="宋体" w:cs="Times New Roman"/>
          <w:color w:val="auto"/>
          <w:highlight w:val="none"/>
          <w:u w:val="single"/>
        </w:rPr>
        <w:t>0</w:t>
      </w:r>
      <w:r>
        <w:rPr>
          <w:rFonts w:ascii="Times New Roman" w:hAnsi="Times New Roman" w:eastAsia="宋体" w:cs="Times New Roman"/>
          <w:color w:val="auto"/>
          <w:highlight w:val="none"/>
          <w:u w:val="single"/>
        </w:rPr>
        <w:t>t汽车，运输量</w:t>
      </w:r>
      <w:r>
        <w:rPr>
          <w:rFonts w:hint="eastAsia" w:cs="Times New Roman"/>
          <w:color w:val="auto"/>
          <w:highlight w:val="none"/>
          <w:u w:val="single"/>
          <w:lang w:val="en-US" w:eastAsia="zh-CN"/>
        </w:rPr>
        <w:t>28</w:t>
      </w:r>
      <w:r>
        <w:rPr>
          <w:rFonts w:ascii="Times New Roman" w:hAnsi="Times New Roman" w:eastAsia="宋体" w:cs="Times New Roman"/>
          <w:color w:val="auto"/>
          <w:highlight w:val="none"/>
          <w:u w:val="single"/>
        </w:rPr>
        <w:t>辆次/天，限速15km/h，产生的噪声源强约为70~80dB(A)。</w:t>
      </w:r>
      <w:r>
        <w:rPr>
          <w:rFonts w:ascii="Times New Roman" w:hAnsi="Times New Roman" w:eastAsia="宋体" w:cs="Times New Roman"/>
          <w:color w:val="auto"/>
          <w:highlight w:val="none"/>
        </w:rPr>
        <w:t>由于项目运输车流量较小，车速较慢，产生的噪声源强不大。因此，本次噪声预测只考虑噪声距离衰减，不考虑其它衰减因素，采用无限长线声源几何发散衰减计算公式进行简单预测，预测值详见表4.2-</w:t>
      </w:r>
      <w:r>
        <w:rPr>
          <w:rFonts w:hint="eastAsia" w:ascii="Times New Roman" w:hAnsi="Times New Roman" w:eastAsia="宋体" w:cs="Times New Roman"/>
          <w:color w:val="auto"/>
          <w:highlight w:val="none"/>
        </w:rPr>
        <w:t>29</w:t>
      </w:r>
      <w:r>
        <w:rPr>
          <w:rFonts w:ascii="Times New Roman" w:hAnsi="Times New Roman" w:eastAsia="宋体" w:cs="Times New Roman"/>
          <w:color w:val="auto"/>
          <w:highlight w:val="none"/>
        </w:rPr>
        <w:t>。</w:t>
      </w:r>
    </w:p>
    <w:p>
      <w:pPr>
        <w:spacing w:line="240" w:lineRule="auto"/>
        <w:ind w:firstLine="482"/>
        <w:jc w:val="center"/>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表4.2-</w:t>
      </w:r>
      <w:r>
        <w:rPr>
          <w:rFonts w:hint="eastAsia" w:ascii="Times New Roman" w:hAnsi="Times New Roman" w:eastAsia="宋体" w:cs="Times New Roman"/>
          <w:b/>
          <w:bCs/>
          <w:color w:val="auto"/>
          <w:highlight w:val="none"/>
        </w:rPr>
        <w:t>29</w:t>
      </w:r>
      <w:r>
        <w:rPr>
          <w:rFonts w:ascii="Times New Roman" w:hAnsi="Times New Roman" w:eastAsia="宋体" w:cs="Times New Roman"/>
          <w:b/>
          <w:bCs/>
          <w:color w:val="auto"/>
          <w:highlight w:val="none"/>
        </w:rPr>
        <w:t xml:space="preserve"> 项目运输噪声预测结果表  单位：dB（A）</w:t>
      </w:r>
    </w:p>
    <w:tbl>
      <w:tblPr>
        <w:tblStyle w:val="48"/>
        <w:tblW w:w="9088"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906"/>
        <w:gridCol w:w="746"/>
        <w:gridCol w:w="827"/>
        <w:gridCol w:w="828"/>
        <w:gridCol w:w="826"/>
        <w:gridCol w:w="828"/>
        <w:gridCol w:w="826"/>
        <w:gridCol w:w="828"/>
        <w:gridCol w:w="826"/>
        <w:gridCol w:w="828"/>
        <w:gridCol w:w="819"/>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时段</w:t>
            </w:r>
          </w:p>
        </w:tc>
        <w:tc>
          <w:tcPr>
            <w:tcW w:w="8182" w:type="dxa"/>
            <w:gridSpan w:val="10"/>
            <w:noWrap w:val="0"/>
            <w:vAlign w:val="center"/>
          </w:tcPr>
          <w:p>
            <w:pPr>
              <w:spacing w:line="240" w:lineRule="auto"/>
              <w:ind w:firstLine="422"/>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距离道路中心不同水平距离处的交通噪声值</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Merge w:val="continue"/>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p>
        </w:tc>
        <w:tc>
          <w:tcPr>
            <w:tcW w:w="746"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1m</w:t>
            </w:r>
          </w:p>
        </w:tc>
        <w:tc>
          <w:tcPr>
            <w:tcW w:w="827"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5m</w:t>
            </w:r>
          </w:p>
        </w:tc>
        <w:tc>
          <w:tcPr>
            <w:tcW w:w="828"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10m</w:t>
            </w:r>
          </w:p>
        </w:tc>
        <w:tc>
          <w:tcPr>
            <w:tcW w:w="826"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20m</w:t>
            </w:r>
          </w:p>
        </w:tc>
        <w:tc>
          <w:tcPr>
            <w:tcW w:w="828"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50m</w:t>
            </w:r>
          </w:p>
        </w:tc>
        <w:tc>
          <w:tcPr>
            <w:tcW w:w="826"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80m</w:t>
            </w:r>
          </w:p>
        </w:tc>
        <w:tc>
          <w:tcPr>
            <w:tcW w:w="828"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100m</w:t>
            </w:r>
          </w:p>
        </w:tc>
        <w:tc>
          <w:tcPr>
            <w:tcW w:w="826"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120m</w:t>
            </w:r>
          </w:p>
        </w:tc>
        <w:tc>
          <w:tcPr>
            <w:tcW w:w="828"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160m</w:t>
            </w:r>
          </w:p>
        </w:tc>
        <w:tc>
          <w:tcPr>
            <w:tcW w:w="819"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200m</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noWrap w:val="0"/>
            <w:vAlign w:val="center"/>
          </w:tcPr>
          <w:p>
            <w:pPr>
              <w:spacing w:line="240" w:lineRule="auto"/>
              <w:ind w:firstLine="0" w:firstLineChars="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贡献值</w:t>
            </w:r>
          </w:p>
        </w:tc>
        <w:tc>
          <w:tcPr>
            <w:tcW w:w="74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70</w:t>
            </w:r>
          </w:p>
        </w:tc>
        <w:tc>
          <w:tcPr>
            <w:tcW w:w="82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56</w:t>
            </w:r>
          </w:p>
        </w:tc>
        <w:tc>
          <w:tcPr>
            <w:tcW w:w="82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50</w:t>
            </w:r>
          </w:p>
        </w:tc>
        <w:tc>
          <w:tcPr>
            <w:tcW w:w="82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44</w:t>
            </w:r>
          </w:p>
        </w:tc>
        <w:tc>
          <w:tcPr>
            <w:tcW w:w="82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36</w:t>
            </w:r>
          </w:p>
        </w:tc>
        <w:tc>
          <w:tcPr>
            <w:tcW w:w="82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31.9</w:t>
            </w:r>
          </w:p>
        </w:tc>
        <w:tc>
          <w:tcPr>
            <w:tcW w:w="82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30</w:t>
            </w:r>
          </w:p>
        </w:tc>
        <w:tc>
          <w:tcPr>
            <w:tcW w:w="82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28.4</w:t>
            </w:r>
          </w:p>
        </w:tc>
        <w:tc>
          <w:tcPr>
            <w:tcW w:w="82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26.0</w:t>
            </w:r>
          </w:p>
        </w:tc>
        <w:tc>
          <w:tcPr>
            <w:tcW w:w="81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24.0</w:t>
            </w:r>
          </w:p>
        </w:tc>
      </w:tr>
    </w:tbl>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项目运输</w:t>
      </w:r>
      <w:r>
        <w:rPr>
          <w:rFonts w:hint="eastAsia" w:ascii="Times New Roman" w:hAnsi="Times New Roman" w:eastAsia="宋体" w:cs="Times New Roman"/>
          <w:color w:val="auto"/>
          <w:highlight w:val="none"/>
        </w:rPr>
        <w:t>多</w:t>
      </w:r>
      <w:r>
        <w:rPr>
          <w:rFonts w:ascii="Times New Roman" w:hAnsi="Times New Roman" w:eastAsia="宋体" w:cs="Times New Roman"/>
          <w:color w:val="auto"/>
          <w:highlight w:val="none"/>
        </w:rPr>
        <w:t>安排在昼间，由</w:t>
      </w:r>
      <w:r>
        <w:rPr>
          <w:rFonts w:hint="eastAsia" w:ascii="Times New Roman" w:hAnsi="Times New Roman" w:eastAsia="宋体" w:cs="Times New Roman"/>
          <w:color w:val="auto"/>
          <w:highlight w:val="none"/>
        </w:rPr>
        <w:t>上表预测结果</w:t>
      </w:r>
      <w:r>
        <w:rPr>
          <w:rFonts w:ascii="Times New Roman" w:hAnsi="Times New Roman" w:eastAsia="宋体" w:cs="Times New Roman"/>
          <w:color w:val="auto"/>
          <w:highlight w:val="none"/>
        </w:rPr>
        <w:t>可知，项目昼间运输噪声在5m外即可达到《声环境质量标准》（GB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3096-2008）2类标准（昼间≤60dB(A)）。项目运输线路旁无敏感点，运输车辆在控制车速，禁止鸣笛等情况下，运输交通噪声对环境影响不大。</w:t>
      </w:r>
    </w:p>
    <w:p>
      <w:pPr>
        <w:pStyle w:val="6"/>
        <w:tabs>
          <w:tab w:val="left" w:pos="1390"/>
        </w:tabs>
        <w:spacing w:line="500" w:lineRule="exact"/>
        <w:rPr>
          <w:rFonts w:ascii="Times New Roman" w:hAnsi="Times New Roman" w:eastAsia="宋体"/>
          <w:color w:val="auto"/>
          <w:highlight w:val="none"/>
        </w:rPr>
      </w:pPr>
      <w:bookmarkStart w:id="370" w:name="_Toc26545"/>
      <w:r>
        <w:rPr>
          <w:rFonts w:ascii="Times New Roman" w:hAnsi="Times New Roman" w:eastAsia="宋体"/>
          <w:color w:val="auto"/>
          <w:highlight w:val="none"/>
        </w:rPr>
        <w:t>4.2.4.4 噪声影响评价结论</w:t>
      </w:r>
      <w:bookmarkEnd w:id="370"/>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山开采各种机械设备选用低噪声设备，并分散在矿区各处。通过对各种机械加强设备保养，对空压机消声，减振，运输车辆严禁超载，禁止鸣笛等措施后，噪声贡献值对矿区边界噪声影响不大。经预测，项目场界排放噪声可达到《工业企业厂界环境噪声排放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12348-2008）2类标准限值要求。项目声环境影响评价范围内无医院、学校和村庄等声环境敏感点，矿山生产噪声不存在扰民现象。另外，为高噪声设备操作人员提供耳塞、耳罩、头盔等防护用品，有效保护职工的身心健康。</w:t>
      </w:r>
    </w:p>
    <w:p>
      <w:pPr>
        <w:pStyle w:val="5"/>
        <w:rPr>
          <w:rFonts w:ascii="Times New Roman" w:hAnsi="Times New Roman" w:eastAsia="宋体"/>
          <w:color w:val="auto"/>
          <w:highlight w:val="none"/>
        </w:rPr>
      </w:pPr>
      <w:bookmarkStart w:id="371" w:name="_Toc8027"/>
      <w:bookmarkStart w:id="372" w:name="_Toc28858"/>
      <w:r>
        <w:rPr>
          <w:rFonts w:ascii="Times New Roman" w:hAnsi="Times New Roman" w:eastAsia="宋体"/>
          <w:color w:val="auto"/>
          <w:highlight w:val="none"/>
        </w:rPr>
        <w:t>4.2.5 爆破振动及冲击波影响预测与评价</w:t>
      </w:r>
      <w:bookmarkEnd w:id="371"/>
      <w:bookmarkEnd w:id="372"/>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矿山钻孔、爆破会对周边环境产生一定程度的振动。振动影响主要是爆破、空压机、钻机等作业时所造成的。</w:t>
      </w:r>
    </w:p>
    <w:p>
      <w:pPr>
        <w:pStyle w:val="6"/>
        <w:rPr>
          <w:rFonts w:ascii="Times New Roman" w:hAnsi="Times New Roman" w:eastAsia="宋体"/>
          <w:color w:val="auto"/>
          <w:highlight w:val="none"/>
        </w:rPr>
      </w:pPr>
      <w:bookmarkStart w:id="373" w:name="_Toc20735"/>
      <w:r>
        <w:rPr>
          <w:rFonts w:ascii="Times New Roman" w:hAnsi="Times New Roman" w:eastAsia="宋体"/>
          <w:color w:val="auto"/>
          <w:highlight w:val="none"/>
        </w:rPr>
        <w:t>4.2.5.1 爆炸振动的影响分析</w:t>
      </w:r>
      <w:bookmarkEnd w:id="373"/>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振动所产生的影响可能对临近的建筑物造成破坏，其中空压机和钻机产生的振动，其严重程度与噪声相当，可分别采用间接隔振和地基减振处理措施加以削减。矿山开采的振动影响主要还是来自于爆破作业。</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根据项目开发利用方案穿孔爆破设计，本项目拟6天爆破一次，每次爆破布置24个炮孔</w:t>
      </w:r>
      <w:r>
        <w:rPr>
          <w:rFonts w:ascii="Times New Roman" w:hAnsi="Times New Roman" w:eastAsia="宋体" w:cs="Times New Roman"/>
          <w:color w:val="auto"/>
          <w:highlight w:val="none"/>
        </w:rPr>
        <w:t>，一次起爆最大炸药量</w:t>
      </w:r>
      <w:r>
        <w:rPr>
          <w:rFonts w:hint="eastAsia" w:ascii="Times New Roman" w:hAnsi="Times New Roman" w:eastAsia="宋体" w:cs="Times New Roman"/>
          <w:color w:val="auto"/>
          <w:highlight w:val="none"/>
        </w:rPr>
        <w:t>为2304</w:t>
      </w:r>
      <w:r>
        <w:rPr>
          <w:rFonts w:ascii="Times New Roman" w:hAnsi="Times New Roman" w:eastAsia="宋体" w:cs="Times New Roman"/>
          <w:color w:val="auto"/>
          <w:highlight w:val="none"/>
        </w:rPr>
        <w:t>kg。</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以上穿孔爆破参数可根据爆破条件进行优化设计、调整，改善爆破效果。</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本矿山爆破作业使用</w:t>
      </w:r>
      <w:r>
        <w:rPr>
          <w:rFonts w:hint="eastAsia" w:ascii="Times New Roman" w:hAnsi="Times New Roman" w:eastAsia="宋体" w:cs="Times New Roman"/>
          <w:color w:val="auto"/>
          <w:highlight w:val="none"/>
        </w:rPr>
        <w:t>乳化</w:t>
      </w:r>
      <w:r>
        <w:rPr>
          <w:rFonts w:ascii="Times New Roman" w:hAnsi="Times New Roman" w:eastAsia="宋体" w:cs="Times New Roman"/>
          <w:color w:val="auto"/>
          <w:highlight w:val="none"/>
        </w:rPr>
        <w:t>炸药，</w:t>
      </w:r>
      <w:r>
        <w:rPr>
          <w:rFonts w:hint="eastAsia" w:ascii="Times New Roman" w:hAnsi="Times New Roman" w:eastAsia="宋体" w:cs="Times New Roman"/>
          <w:color w:val="auto"/>
          <w:highlight w:val="none"/>
        </w:rPr>
        <w:t>双排孔微差复式起爆采用采用起爆器通过电源线引爆电雷管，电雷管激发导爆索起爆，传爆到连通管并带动各导爆管起爆和传爆，导爆管最终引爆毫秒延期雷管，再通过毫秒延期雷管引爆炸药。为了确保爆破成功，每个炮孔装二发起爆毫秒延期雷管，并要求起爆毫秒延期雷管药包装在炮孔中下部。</w:t>
      </w:r>
      <w:r>
        <w:rPr>
          <w:rFonts w:ascii="Times New Roman" w:hAnsi="Times New Roman" w:eastAsia="宋体" w:cs="Times New Roman"/>
          <w:color w:val="auto"/>
          <w:highlight w:val="none"/>
        </w:rPr>
        <w:t>根据本项目开发利用方案，本项目矿山开采范围内无敏感点建筑，因此本评价主要分析爆破作业产生的爆破振动对矿山周边民用砖混结构建筑物及居民的影响，并进一步分析论证</w:t>
      </w:r>
      <w:r>
        <w:rPr>
          <w:rFonts w:hint="eastAsia" w:ascii="Times New Roman" w:hAnsi="Times New Roman" w:eastAsia="宋体" w:cs="Times New Roman"/>
          <w:color w:val="auto"/>
          <w:highlight w:val="none"/>
        </w:rPr>
        <w:t>爆破安全警戒范围以爆破点为中心，背坡半径350m、水平半径350m、迎坡半径400m</w:t>
      </w:r>
      <w:r>
        <w:rPr>
          <w:rFonts w:ascii="Times New Roman" w:hAnsi="Times New Roman" w:eastAsia="宋体" w:cs="Times New Roman"/>
          <w:color w:val="auto"/>
          <w:highlight w:val="none"/>
        </w:rPr>
        <w:t>的合理性和可靠性。</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1、爆破振动安全标准</w:t>
      </w:r>
    </w:p>
    <w:p>
      <w:pPr>
        <w:ind w:firstLine="480"/>
        <w:rPr>
          <w:rFonts w:ascii="Times New Roman" w:hAnsi="Times New Roman" w:eastAsia="宋体" w:cs="Times New Roman"/>
          <w:b/>
          <w:bCs/>
          <w:color w:val="auto"/>
          <w:highlight w:val="none"/>
        </w:rPr>
      </w:pPr>
      <w:r>
        <w:rPr>
          <w:rFonts w:ascii="Times New Roman" w:hAnsi="Times New Roman" w:eastAsia="宋体" w:cs="Times New Roman"/>
          <w:color w:val="auto"/>
          <w:highlight w:val="none"/>
        </w:rPr>
        <w:t>振动影响主要考虑对周围建筑物及居民的影响，本矿山爆破影响按《爆破安全规程》（GB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6722-201</w:t>
      </w:r>
      <w:r>
        <w:rPr>
          <w:rFonts w:hint="eastAsia" w:ascii="Times New Roman" w:hAnsi="Times New Roman" w:eastAsia="宋体" w:cs="Times New Roman"/>
          <w:color w:val="auto"/>
          <w:highlight w:val="none"/>
        </w:rPr>
        <w:t>4</w:t>
      </w:r>
      <w:r>
        <w:rPr>
          <w:rFonts w:ascii="Times New Roman" w:hAnsi="Times New Roman" w:eastAsia="宋体" w:cs="Times New Roman"/>
          <w:color w:val="auto"/>
          <w:highlight w:val="none"/>
        </w:rPr>
        <w:t>）中爆破振动安全允许标准进行分析，爆破振动安全允许标准见表4.2-</w:t>
      </w:r>
      <w:r>
        <w:rPr>
          <w:rFonts w:hint="eastAsia" w:ascii="Times New Roman" w:hAnsi="Times New Roman" w:eastAsia="宋体" w:cs="Times New Roman"/>
          <w:color w:val="auto"/>
          <w:highlight w:val="none"/>
        </w:rPr>
        <w:t>30</w:t>
      </w:r>
      <w:r>
        <w:rPr>
          <w:rFonts w:ascii="Times New Roman" w:hAnsi="Times New Roman" w:eastAsia="宋体" w:cs="Times New Roman"/>
          <w:color w:val="auto"/>
          <w:highlight w:val="none"/>
        </w:rPr>
        <w:t>。</w:t>
      </w:r>
    </w:p>
    <w:p>
      <w:pPr>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表4.2-</w:t>
      </w:r>
      <w:r>
        <w:rPr>
          <w:rFonts w:hint="eastAsia" w:ascii="Times New Roman" w:hAnsi="Times New Roman" w:eastAsia="宋体" w:cs="Times New Roman"/>
          <w:b/>
          <w:bCs/>
          <w:color w:val="auto"/>
          <w:highlight w:val="none"/>
        </w:rPr>
        <w:t>30</w:t>
      </w:r>
      <w:r>
        <w:rPr>
          <w:rFonts w:ascii="Times New Roman" w:hAnsi="Times New Roman" w:eastAsia="宋体" w:cs="Times New Roman"/>
          <w:b/>
          <w:bCs/>
          <w:color w:val="auto"/>
          <w:highlight w:val="none"/>
        </w:rPr>
        <w:t xml:space="preserve"> 爆破振动安全允许标准</w:t>
      </w:r>
    </w:p>
    <w:tbl>
      <w:tblPr>
        <w:tblStyle w:val="48"/>
        <w:tblW w:w="9099"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2877"/>
        <w:gridCol w:w="1615"/>
        <w:gridCol w:w="1688"/>
        <w:gridCol w:w="169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1222"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序号</w:t>
            </w:r>
          </w:p>
        </w:tc>
        <w:tc>
          <w:tcPr>
            <w:tcW w:w="2877"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保护对象类别</w:t>
            </w:r>
          </w:p>
        </w:tc>
        <w:tc>
          <w:tcPr>
            <w:tcW w:w="5000" w:type="dxa"/>
            <w:gridSpan w:val="3"/>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安全允许质点振动速度V（cm/s）</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1222" w:type="dxa"/>
            <w:vMerge w:val="continue"/>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p>
        </w:tc>
        <w:tc>
          <w:tcPr>
            <w:tcW w:w="2877" w:type="dxa"/>
            <w:vMerge w:val="continue"/>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p>
        </w:tc>
        <w:tc>
          <w:tcPr>
            <w:tcW w:w="1615"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f≤10Hz</w:t>
            </w:r>
          </w:p>
        </w:tc>
        <w:tc>
          <w:tcPr>
            <w:tcW w:w="1688"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10Hz&lt;f≤50Hz</w:t>
            </w:r>
          </w:p>
        </w:tc>
        <w:tc>
          <w:tcPr>
            <w:tcW w:w="1697"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f&gt;50Hz</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122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28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土窑洞、土坯房、毛石房屋</w:t>
            </w:r>
          </w:p>
        </w:tc>
        <w:tc>
          <w:tcPr>
            <w:tcW w:w="16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0.15⁓0.45</w:t>
            </w:r>
          </w:p>
        </w:tc>
        <w:tc>
          <w:tcPr>
            <w:tcW w:w="168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0.45⁓0.9</w:t>
            </w:r>
          </w:p>
        </w:tc>
        <w:tc>
          <w:tcPr>
            <w:tcW w:w="169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0.9⁓1.5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122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28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一般民用建筑</w:t>
            </w:r>
          </w:p>
        </w:tc>
        <w:tc>
          <w:tcPr>
            <w:tcW w:w="16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1.5⁓2.0</w:t>
            </w:r>
          </w:p>
        </w:tc>
        <w:tc>
          <w:tcPr>
            <w:tcW w:w="168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2.0⁓2.5</w:t>
            </w:r>
          </w:p>
        </w:tc>
        <w:tc>
          <w:tcPr>
            <w:tcW w:w="169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2.5⁓3.0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1222"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287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工业和商业建筑物</w:t>
            </w:r>
          </w:p>
        </w:tc>
        <w:tc>
          <w:tcPr>
            <w:tcW w:w="16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2.5⁓3.5</w:t>
            </w:r>
          </w:p>
        </w:tc>
        <w:tc>
          <w:tcPr>
            <w:tcW w:w="168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3.5⁓4.5</w:t>
            </w:r>
          </w:p>
        </w:tc>
        <w:tc>
          <w:tcPr>
            <w:tcW w:w="1697"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4.5⁓5.0</w:t>
            </w:r>
          </w:p>
        </w:tc>
      </w:tr>
    </w:tbl>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2、爆破振动允许安全距离</w:t>
      </w:r>
    </w:p>
    <w:p>
      <w:pPr>
        <w:ind w:firstLine="48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根据我国现行《爆破安全规程》（GB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6722-201</w:t>
      </w:r>
      <w:r>
        <w:rPr>
          <w:rFonts w:hint="eastAsia" w:ascii="Times New Roman" w:hAnsi="Times New Roman" w:eastAsia="宋体" w:cs="Times New Roman"/>
          <w:color w:val="auto"/>
          <w:highlight w:val="none"/>
        </w:rPr>
        <w:t>4</w:t>
      </w:r>
      <w:r>
        <w:rPr>
          <w:rFonts w:ascii="Times New Roman" w:hAnsi="Times New Roman" w:eastAsia="宋体" w:cs="Times New Roman"/>
          <w:color w:val="auto"/>
          <w:highlight w:val="none"/>
        </w:rPr>
        <w:t>），爆破振动允许安全距离为：</w:t>
      </w:r>
      <w:r>
        <w:rPr>
          <w:rFonts w:ascii="Times New Roman" w:hAnsi="Times New Roman" w:eastAsia="宋体" w:cs="Times New Roman"/>
          <w:color w:val="auto"/>
          <w:position w:val="-28"/>
          <w:highlight w:val="none"/>
        </w:rPr>
        <w:object>
          <v:shape id="_x0000_i1034" o:spt="75" type="#_x0000_t75" style="height:38pt;width:75pt;" o:ole="t" filled="f" o:preferrelative="t" stroked="f" coordsize="21600,21600">
            <v:path/>
            <v:fill on="f" focussize="0,0"/>
            <v:stroke on="f"/>
            <v:imagedata r:id="rId96" o:title=""/>
            <o:lock v:ext="edit" aspectratio="t"/>
            <w10:wrap type="none"/>
            <w10:anchorlock/>
          </v:shape>
          <o:OLEObject Type="Embed" ProgID="Equation.3" ShapeID="_x0000_i1034" DrawAspect="Content" ObjectID="_1468075737" r:id="rId95">
            <o:LockedField>false</o:LockedField>
          </o:OLEObject>
        </w:objec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式中：</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R—爆破振动安全允许距离，m；</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Q—炸药量，齐发爆破为总药量，延时爆破为最大一段药量，为519.8kg；</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V—保护对象所在地质点振动安全允许速度，cm/s；</w:t>
      </w:r>
    </w:p>
    <w:p>
      <w:pPr>
        <w:ind w:firstLine="480"/>
        <w:rPr>
          <w:rFonts w:ascii="Times New Roman" w:hAnsi="Times New Roman" w:eastAsia="宋体"/>
          <w:color w:val="auto"/>
          <w:highlight w:val="none"/>
        </w:rPr>
      </w:pPr>
      <w:r>
        <w:rPr>
          <w:rFonts w:ascii="Times New Roman" w:hAnsi="Times New Roman" w:eastAsia="宋体"/>
          <w:color w:val="auto"/>
          <w:highlight w:val="none"/>
        </w:rPr>
        <w:t>K、a—与爆源点至计算保护对象间地形、地质条件有关的系数和衰减指数，可按表4.2-</w:t>
      </w:r>
      <w:r>
        <w:rPr>
          <w:rFonts w:hint="eastAsia" w:ascii="Times New Roman" w:hAnsi="Times New Roman" w:eastAsia="宋体"/>
          <w:color w:val="auto"/>
          <w:highlight w:val="none"/>
        </w:rPr>
        <w:t>31</w:t>
      </w:r>
      <w:r>
        <w:rPr>
          <w:rFonts w:ascii="Times New Roman" w:hAnsi="Times New Roman" w:eastAsia="宋体"/>
          <w:color w:val="auto"/>
          <w:highlight w:val="none"/>
        </w:rPr>
        <w:t>选取或通过现场试验确定。</w:t>
      </w:r>
    </w:p>
    <w:p>
      <w:pPr>
        <w:spacing w:line="240" w:lineRule="auto"/>
        <w:ind w:firstLine="482"/>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表4.2-</w:t>
      </w:r>
      <w:r>
        <w:rPr>
          <w:rFonts w:hint="eastAsia" w:ascii="Times New Roman" w:hAnsi="Times New Roman" w:eastAsia="宋体" w:cs="Times New Roman"/>
          <w:b/>
          <w:bCs/>
          <w:color w:val="auto"/>
          <w:highlight w:val="none"/>
        </w:rPr>
        <w:t>31</w:t>
      </w:r>
      <w:r>
        <w:rPr>
          <w:rFonts w:ascii="Times New Roman" w:hAnsi="Times New Roman" w:eastAsia="宋体" w:cs="Times New Roman"/>
          <w:b/>
          <w:bCs/>
          <w:color w:val="auto"/>
          <w:highlight w:val="none"/>
        </w:rPr>
        <w:t xml:space="preserve"> 爆区不同岩性的K，a值</w:t>
      </w:r>
    </w:p>
    <w:tbl>
      <w:tblPr>
        <w:tblStyle w:val="48"/>
        <w:tblW w:w="9088"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4519"/>
        <w:gridCol w:w="3030"/>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9" w:type="dxa"/>
            <w:noWrap w:val="0"/>
            <w:vAlign w:val="top"/>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岩性</w:t>
            </w:r>
          </w:p>
        </w:tc>
        <w:tc>
          <w:tcPr>
            <w:tcW w:w="4519" w:type="dxa"/>
            <w:noWrap w:val="0"/>
            <w:vAlign w:val="top"/>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K</w:t>
            </w:r>
          </w:p>
        </w:tc>
        <w:tc>
          <w:tcPr>
            <w:tcW w:w="3030" w:type="dxa"/>
            <w:noWrap w:val="0"/>
            <w:vAlign w:val="top"/>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a</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9"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坚硬岩石</w:t>
            </w:r>
          </w:p>
        </w:tc>
        <w:tc>
          <w:tcPr>
            <w:tcW w:w="4519"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50-150</w:t>
            </w:r>
          </w:p>
        </w:tc>
        <w:tc>
          <w:tcPr>
            <w:tcW w:w="3030"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1.3-1.5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9"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中硬岩石</w:t>
            </w:r>
          </w:p>
        </w:tc>
        <w:tc>
          <w:tcPr>
            <w:tcW w:w="4519"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150-250</w:t>
            </w:r>
          </w:p>
        </w:tc>
        <w:tc>
          <w:tcPr>
            <w:tcW w:w="3030"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1.5-1.8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9"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软岩石</w:t>
            </w:r>
          </w:p>
        </w:tc>
        <w:tc>
          <w:tcPr>
            <w:tcW w:w="4519"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250-350</w:t>
            </w:r>
          </w:p>
        </w:tc>
        <w:tc>
          <w:tcPr>
            <w:tcW w:w="3030"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1.8-2.0</w:t>
            </w:r>
          </w:p>
        </w:tc>
      </w:tr>
    </w:tbl>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3、参数选取</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爆破振动传播距离在不同岩石条件下的影响也不同，本矿山矿体为</w:t>
      </w:r>
      <w:r>
        <w:rPr>
          <w:rFonts w:hint="eastAsia" w:ascii="Times New Roman" w:hAnsi="Times New Roman" w:eastAsia="宋体" w:cs="Times New Roman"/>
          <w:color w:val="auto"/>
          <w:highlight w:val="none"/>
        </w:rPr>
        <w:t>硅质岩</w:t>
      </w:r>
      <w:r>
        <w:rPr>
          <w:rFonts w:ascii="Times New Roman" w:hAnsi="Times New Roman" w:eastAsia="宋体" w:cs="Times New Roman"/>
          <w:color w:val="auto"/>
          <w:highlight w:val="none"/>
        </w:rPr>
        <w:t>，岩性本身较硬，K、a取值范围为中硬岩石，根据开发利用方案，K取</w:t>
      </w:r>
      <w:r>
        <w:rPr>
          <w:rFonts w:hint="eastAsia" w:ascii="Times New Roman" w:hAnsi="Times New Roman" w:eastAsia="宋体" w:cs="Times New Roman"/>
          <w:color w:val="auto"/>
          <w:highlight w:val="none"/>
        </w:rPr>
        <w:t>250</w:t>
      </w:r>
      <w:r>
        <w:rPr>
          <w:rFonts w:ascii="Times New Roman" w:hAnsi="Times New Roman" w:eastAsia="宋体" w:cs="Times New Roman"/>
          <w:color w:val="auto"/>
          <w:highlight w:val="none"/>
        </w:rPr>
        <w:t>，a取</w:t>
      </w:r>
      <w:r>
        <w:rPr>
          <w:rFonts w:hint="eastAsia" w:ascii="Times New Roman" w:hAnsi="Times New Roman" w:eastAsia="宋体" w:cs="Times New Roman"/>
          <w:color w:val="auto"/>
          <w:highlight w:val="none"/>
        </w:rPr>
        <w:t>1.8</w:t>
      </w:r>
      <w:r>
        <w:rPr>
          <w:rFonts w:ascii="Times New Roman" w:hAnsi="Times New Roman" w:eastAsia="宋体" w:cs="Times New Roman"/>
          <w:color w:val="auto"/>
          <w:highlight w:val="none"/>
        </w:rPr>
        <w:t>。根据现场踏勘，矿山周围村庄居民住宅多为一般砖房，因此确定矿山周围居民区可忍受的爆破振动速度为2.0cm/s。</w:t>
      </w:r>
    </w:p>
    <w:p>
      <w:pPr>
        <w:ind w:firstLine="480"/>
        <w:rPr>
          <w:rFonts w:ascii="Times New Roman" w:hAnsi="Times New Roman" w:eastAsia="宋体"/>
          <w:color w:val="auto"/>
          <w:highlight w:val="none"/>
        </w:rPr>
      </w:pPr>
      <w:r>
        <w:rPr>
          <w:rFonts w:ascii="Times New Roman" w:hAnsi="Times New Roman" w:eastAsia="宋体"/>
          <w:color w:val="auto"/>
          <w:highlight w:val="none"/>
        </w:rPr>
        <w:t>4、计算结果及分析</w:t>
      </w:r>
    </w:p>
    <w:p>
      <w:pPr>
        <w:ind w:firstLine="480"/>
        <w:rPr>
          <w:rFonts w:ascii="Times New Roman" w:hAnsi="Times New Roman" w:eastAsia="宋体"/>
          <w:color w:val="auto"/>
          <w:highlight w:val="none"/>
        </w:rPr>
      </w:pPr>
      <w:r>
        <w:rPr>
          <w:rFonts w:ascii="Times New Roman" w:hAnsi="Times New Roman" w:eastAsia="宋体"/>
          <w:color w:val="auto"/>
          <w:highlight w:val="none"/>
        </w:rPr>
        <w:t>本矿山采矿采用多孔微差中深孔爆破，一次爆破装药量为</w:t>
      </w:r>
      <w:r>
        <w:rPr>
          <w:rFonts w:hint="eastAsia" w:ascii="Times New Roman" w:hAnsi="Times New Roman" w:eastAsia="宋体"/>
          <w:color w:val="auto"/>
          <w:highlight w:val="none"/>
        </w:rPr>
        <w:t>2304</w:t>
      </w:r>
      <w:r>
        <w:rPr>
          <w:rFonts w:ascii="Times New Roman" w:hAnsi="Times New Roman" w:eastAsia="宋体"/>
          <w:color w:val="auto"/>
          <w:highlight w:val="none"/>
        </w:rPr>
        <w:t>kg，爆破振动允许安全距离计算条件及结果见表4.2-</w:t>
      </w:r>
      <w:r>
        <w:rPr>
          <w:rFonts w:hint="eastAsia" w:ascii="Times New Roman" w:hAnsi="Times New Roman" w:eastAsia="宋体"/>
          <w:color w:val="auto"/>
          <w:highlight w:val="none"/>
        </w:rPr>
        <w:t>32</w:t>
      </w:r>
      <w:r>
        <w:rPr>
          <w:rFonts w:ascii="Times New Roman" w:hAnsi="Times New Roman" w:eastAsia="宋体"/>
          <w:color w:val="auto"/>
          <w:highlight w:val="none"/>
        </w:rPr>
        <w:t>。</w:t>
      </w:r>
    </w:p>
    <w:p>
      <w:pPr>
        <w:spacing w:line="240" w:lineRule="auto"/>
        <w:ind w:firstLine="482"/>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表4.2-</w:t>
      </w:r>
      <w:r>
        <w:rPr>
          <w:rFonts w:hint="eastAsia" w:ascii="Times New Roman" w:hAnsi="Times New Roman" w:eastAsia="宋体" w:cs="Times New Roman"/>
          <w:b/>
          <w:bCs/>
          <w:color w:val="auto"/>
          <w:highlight w:val="none"/>
        </w:rPr>
        <w:t>32</w:t>
      </w:r>
      <w:r>
        <w:rPr>
          <w:rFonts w:ascii="Times New Roman" w:hAnsi="Times New Roman" w:eastAsia="宋体" w:cs="Times New Roman"/>
          <w:b/>
          <w:bCs/>
          <w:color w:val="auto"/>
          <w:highlight w:val="none"/>
        </w:rPr>
        <w:t xml:space="preserve"> 爆破振动允许安全距离表</w:t>
      </w:r>
    </w:p>
    <w:tbl>
      <w:tblPr>
        <w:tblStyle w:val="48"/>
        <w:tblW w:w="9088"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2135"/>
        <w:gridCol w:w="1822"/>
        <w:gridCol w:w="1812"/>
        <w:gridCol w:w="180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12" w:type="dxa"/>
            <w:noWrap w:val="0"/>
            <w:vAlign w:val="top"/>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Q（kg）</w:t>
            </w:r>
          </w:p>
        </w:tc>
        <w:tc>
          <w:tcPr>
            <w:tcW w:w="2135" w:type="dxa"/>
            <w:noWrap w:val="0"/>
            <w:vAlign w:val="top"/>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V（cm/s）</w:t>
            </w:r>
          </w:p>
        </w:tc>
        <w:tc>
          <w:tcPr>
            <w:tcW w:w="1822" w:type="dxa"/>
            <w:noWrap w:val="0"/>
            <w:vAlign w:val="top"/>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K</w:t>
            </w:r>
          </w:p>
        </w:tc>
        <w:tc>
          <w:tcPr>
            <w:tcW w:w="1812" w:type="dxa"/>
            <w:noWrap w:val="0"/>
            <w:vAlign w:val="top"/>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a</w:t>
            </w:r>
          </w:p>
        </w:tc>
        <w:tc>
          <w:tcPr>
            <w:tcW w:w="1807" w:type="dxa"/>
            <w:noWrap w:val="0"/>
            <w:vAlign w:val="top"/>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R（m）</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12"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2304</w:t>
            </w:r>
          </w:p>
        </w:tc>
        <w:tc>
          <w:tcPr>
            <w:tcW w:w="2135"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w:t>
            </w:r>
          </w:p>
        </w:tc>
        <w:tc>
          <w:tcPr>
            <w:tcW w:w="1822"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250</w:t>
            </w:r>
          </w:p>
        </w:tc>
        <w:tc>
          <w:tcPr>
            <w:tcW w:w="1812" w:type="dxa"/>
            <w:noWrap w:val="0"/>
            <w:vAlign w:val="top"/>
          </w:tcPr>
          <w:p>
            <w:pPr>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8</w:t>
            </w:r>
          </w:p>
        </w:tc>
        <w:tc>
          <w:tcPr>
            <w:tcW w:w="1807" w:type="dxa"/>
            <w:noWrap w:val="0"/>
            <w:vAlign w:val="top"/>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193.1</w:t>
            </w:r>
          </w:p>
        </w:tc>
      </w:tr>
    </w:tbl>
    <w:p>
      <w:pPr>
        <w:ind w:firstLine="480"/>
        <w:rPr>
          <w:rFonts w:ascii="Times New Roman" w:hAnsi="Times New Roman" w:eastAsia="宋体"/>
          <w:color w:val="auto"/>
          <w:highlight w:val="none"/>
        </w:rPr>
      </w:pPr>
      <w:r>
        <w:rPr>
          <w:rFonts w:ascii="Times New Roman" w:hAnsi="Times New Roman" w:eastAsia="宋体"/>
          <w:color w:val="auto"/>
          <w:highlight w:val="none"/>
        </w:rPr>
        <w:t>故在实际爆破量情况下，从保护附近建筑物角度分析，爆破振动允许安全距离应为</w:t>
      </w:r>
      <w:r>
        <w:rPr>
          <w:rFonts w:hint="eastAsia" w:ascii="Times New Roman" w:hAnsi="Times New Roman" w:eastAsia="宋体"/>
          <w:color w:val="auto"/>
          <w:highlight w:val="none"/>
        </w:rPr>
        <w:t>193.1</w:t>
      </w:r>
      <w:r>
        <w:rPr>
          <w:rFonts w:ascii="Times New Roman" w:hAnsi="Times New Roman" w:eastAsia="宋体"/>
          <w:color w:val="auto"/>
          <w:highlight w:val="none"/>
        </w:rPr>
        <w:t>m。因此，距离爆源</w:t>
      </w:r>
      <w:r>
        <w:rPr>
          <w:rFonts w:hint="eastAsia" w:ascii="Times New Roman" w:hAnsi="Times New Roman" w:eastAsia="宋体"/>
          <w:color w:val="auto"/>
          <w:highlight w:val="none"/>
        </w:rPr>
        <w:t>193.1</w:t>
      </w:r>
      <w:r>
        <w:rPr>
          <w:rFonts w:ascii="Times New Roman" w:hAnsi="Times New Roman" w:eastAsia="宋体"/>
          <w:color w:val="auto"/>
          <w:highlight w:val="none"/>
        </w:rPr>
        <w:t>m以外可达到居民建筑物爆破振动安全允许标准。</w:t>
      </w:r>
    </w:p>
    <w:p>
      <w:pPr>
        <w:ind w:firstLine="480"/>
        <w:rPr>
          <w:rFonts w:ascii="Times New Roman" w:hAnsi="Times New Roman" w:eastAsia="宋体"/>
          <w:color w:val="auto"/>
          <w:highlight w:val="none"/>
        </w:rPr>
      </w:pPr>
      <w:r>
        <w:rPr>
          <w:rFonts w:ascii="Times New Roman" w:hAnsi="Times New Roman" w:eastAsia="宋体"/>
          <w:color w:val="auto"/>
          <w:highlight w:val="none"/>
        </w:rPr>
        <w:t>对本项目而言，项目最近的敏感点</w:t>
      </w:r>
      <w:r>
        <w:rPr>
          <w:rFonts w:hint="eastAsia" w:ascii="Times New Roman" w:hAnsi="Times New Roman" w:eastAsia="宋体"/>
          <w:color w:val="auto"/>
          <w:highlight w:val="none"/>
        </w:rPr>
        <w:t>东恒</w:t>
      </w:r>
      <w:r>
        <w:rPr>
          <w:rFonts w:ascii="Times New Roman" w:hAnsi="Times New Roman" w:eastAsia="宋体"/>
          <w:color w:val="auto"/>
          <w:highlight w:val="none"/>
        </w:rPr>
        <w:t>屯距离采场边界</w:t>
      </w:r>
      <w:r>
        <w:rPr>
          <w:rFonts w:hint="eastAsia" w:ascii="Times New Roman" w:hAnsi="Times New Roman" w:eastAsia="宋体"/>
          <w:color w:val="auto"/>
          <w:highlight w:val="none"/>
        </w:rPr>
        <w:t>500</w:t>
      </w:r>
      <w:r>
        <w:rPr>
          <w:rFonts w:ascii="Times New Roman" w:hAnsi="Times New Roman" w:eastAsia="宋体"/>
          <w:color w:val="auto"/>
          <w:highlight w:val="none"/>
        </w:rPr>
        <w:t>m，因此本项目爆破产生的振动不会对周边敏感点建筑产生明显影响，</w:t>
      </w:r>
      <w:r>
        <w:rPr>
          <w:rFonts w:hint="eastAsia" w:ascii="Times New Roman" w:hAnsi="Times New Roman" w:eastAsia="宋体"/>
          <w:color w:val="auto"/>
          <w:highlight w:val="none"/>
        </w:rPr>
        <w:t>因此爆破安全警戒范围以爆破点为中心，背坡半径350m、水平半径350m、迎坡半径400m来</w:t>
      </w:r>
      <w:r>
        <w:rPr>
          <w:rFonts w:ascii="Times New Roman" w:hAnsi="Times New Roman" w:eastAsia="宋体"/>
          <w:color w:val="auto"/>
          <w:highlight w:val="none"/>
        </w:rPr>
        <w:t>爆破警戒线合理可行。</w:t>
      </w:r>
    </w:p>
    <w:p>
      <w:pPr>
        <w:pStyle w:val="6"/>
        <w:rPr>
          <w:rFonts w:ascii="Times New Roman" w:hAnsi="Times New Roman" w:eastAsia="宋体"/>
          <w:color w:val="auto"/>
          <w:highlight w:val="none"/>
        </w:rPr>
      </w:pPr>
      <w:bookmarkStart w:id="374" w:name="_Toc31237"/>
      <w:r>
        <w:rPr>
          <w:rFonts w:ascii="Times New Roman" w:hAnsi="Times New Roman" w:eastAsia="宋体"/>
          <w:color w:val="auto"/>
          <w:highlight w:val="none"/>
        </w:rPr>
        <w:t>4.2.5.2 爆破冲击波的影响分析</w:t>
      </w:r>
      <w:bookmarkEnd w:id="374"/>
    </w:p>
    <w:p>
      <w:pPr>
        <w:ind w:firstLine="480"/>
        <w:rPr>
          <w:rFonts w:ascii="Times New Roman" w:hAnsi="Times New Roman" w:eastAsia="宋体"/>
          <w:color w:val="auto"/>
          <w:highlight w:val="none"/>
        </w:rPr>
      </w:pPr>
      <w:r>
        <w:rPr>
          <w:rFonts w:ascii="Times New Roman" w:hAnsi="Times New Roman" w:eastAsia="宋体"/>
          <w:color w:val="auto"/>
          <w:highlight w:val="none"/>
        </w:rPr>
        <w:t>本项目爆破按照《爆破安全规程》（GB</w:t>
      </w:r>
      <w:r>
        <w:rPr>
          <w:rFonts w:hint="eastAsia" w:ascii="Times New Roman" w:hAnsi="Times New Roman" w:eastAsia="宋体"/>
          <w:color w:val="auto"/>
          <w:highlight w:val="none"/>
          <w:lang w:val="en-US" w:eastAsia="zh-CN"/>
        </w:rPr>
        <w:t xml:space="preserve"> </w:t>
      </w:r>
      <w:r>
        <w:rPr>
          <w:rFonts w:ascii="Times New Roman" w:hAnsi="Times New Roman" w:eastAsia="宋体"/>
          <w:color w:val="auto"/>
          <w:highlight w:val="none"/>
        </w:rPr>
        <w:t>6722-</w:t>
      </w:r>
      <w:r>
        <w:rPr>
          <w:rFonts w:hint="eastAsia" w:ascii="Times New Roman" w:hAnsi="Times New Roman" w:eastAsia="宋体"/>
          <w:color w:val="auto"/>
          <w:highlight w:val="none"/>
        </w:rPr>
        <w:t>2014</w:t>
      </w:r>
      <w:r>
        <w:rPr>
          <w:rFonts w:ascii="Times New Roman" w:hAnsi="Times New Roman" w:eastAsia="宋体"/>
          <w:color w:val="auto"/>
          <w:highlight w:val="none"/>
        </w:rPr>
        <w:t>）进行设计，并根据露天采场的特点，地表采用起爆器通过击发针引爆导爆管，导爆管再引爆导爆管雷管，再由导爆管雷管引爆炸药。设计年爆破50次，采用乳化炸药，一次爆破炸药用量</w:t>
      </w:r>
      <w:r>
        <w:rPr>
          <w:rFonts w:hint="eastAsia" w:ascii="Times New Roman" w:hAnsi="Times New Roman" w:eastAsia="宋体"/>
          <w:color w:val="auto"/>
          <w:highlight w:val="none"/>
        </w:rPr>
        <w:t>2304</w:t>
      </w:r>
      <w:r>
        <w:rPr>
          <w:rFonts w:ascii="Times New Roman" w:hAnsi="Times New Roman" w:eastAsia="宋体"/>
          <w:color w:val="auto"/>
          <w:highlight w:val="none"/>
        </w:rPr>
        <w:t>kg。</w:t>
      </w:r>
    </w:p>
    <w:p>
      <w:pPr>
        <w:ind w:firstLine="480"/>
        <w:rPr>
          <w:rFonts w:ascii="Times New Roman" w:hAnsi="Times New Roman" w:eastAsia="宋体"/>
          <w:color w:val="auto"/>
          <w:highlight w:val="none"/>
        </w:rPr>
      </w:pPr>
      <w:r>
        <w:rPr>
          <w:rFonts w:ascii="Times New Roman" w:hAnsi="Times New Roman" w:eastAsia="宋体"/>
          <w:color w:val="auto"/>
          <w:highlight w:val="none"/>
        </w:rPr>
        <w:t>当一个无约束的药包在无限的空气介质中爆炸时，在有限的空气中会迅速释放出大量的能量，导致爆炸气体产物的压力和温度局部上升。高压气体在向四周迅速膨胀的同时，急剧压缩和冲击药包周围的空气，使被压缩的空气的压力急增，形成以超音速传播的空气冲击波。装填在药室、深孔和浅孔中的药包爆炸产生的高压气体通过岩石裂缝或孔口泄漏到大气中，也会产生冲击波。空气冲击波具有比自由空气高得多的压力（超压），会造成爆区附近建、构筑物的破坏和人类器官的损伤或心理反应。</w:t>
      </w:r>
    </w:p>
    <w:p>
      <w:pPr>
        <w:ind w:firstLine="480"/>
        <w:rPr>
          <w:rFonts w:ascii="Times New Roman" w:hAnsi="Times New Roman" w:eastAsia="宋体"/>
          <w:color w:val="auto"/>
          <w:highlight w:val="none"/>
        </w:rPr>
      </w:pPr>
      <w:r>
        <w:rPr>
          <w:rFonts w:ascii="Times New Roman" w:hAnsi="Times New Roman" w:eastAsia="宋体"/>
          <w:color w:val="auto"/>
          <w:highlight w:val="none"/>
        </w:rPr>
        <w:t>根据同类矿区的研究，一般矿区爆破作业产生的空气冲击波在距爆破点120m外，对暴露人员没有杀伤作用；在60m~50m，暴露人员会受到轻微损伤；在50m~40m，暴露人员会受到中等损伤；在40m~20m，损伤人的听觉器官，人肺部受伤，产生骨折等重伤，甚至死亡。</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根据项目开发利用方案，爆破的空气冲击波安全距离可按下式计算：</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冲击波对建筑物安全距离：</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position w:val="-12"/>
          <w:highlight w:val="none"/>
        </w:rPr>
        <w:object>
          <v:shape id="_x0000_i1035" o:spt="75" type="#_x0000_t75" style="height:20.45pt;width:245.45pt;" o:ole="t" filled="f" o:preferrelative="t" stroked="f" coordsize="21600,21600">
            <v:path/>
            <v:fill on="f" focussize="0,0"/>
            <v:stroke on="f"/>
            <v:imagedata r:id="rId98" o:title=""/>
            <o:lock v:ext="edit" aspectratio="t"/>
            <w10:wrap type="none"/>
            <w10:anchorlock/>
          </v:shape>
          <o:OLEObject Type="Embed" ProgID="Equation.KSEE3" ShapeID="_x0000_i1035" DrawAspect="Content" ObjectID="_1468075738" r:id="rId97">
            <o:LockedField>false</o:LockedField>
          </o:OLEObject>
        </w:object>
      </w:r>
    </w:p>
    <w:p>
      <w:pPr>
        <w:ind w:firstLine="480"/>
        <w:rPr>
          <w:rFonts w:ascii="Times New Roman" w:hAnsi="Times New Roman" w:eastAsia="宋体"/>
          <w:color w:val="auto"/>
          <w:highlight w:val="none"/>
        </w:rPr>
      </w:pPr>
      <w:r>
        <w:rPr>
          <w:rFonts w:ascii="Times New Roman" w:hAnsi="Times New Roman" w:eastAsia="宋体"/>
          <w:color w:val="auto"/>
          <w:highlight w:val="none"/>
        </w:rPr>
        <w:t>冲击波对人安全距离：</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position w:val="-12"/>
          <w:highlight w:val="none"/>
        </w:rPr>
        <w:object>
          <v:shape id="_x0000_i1036" o:spt="75" type="#_x0000_t75" style="height:20.45pt;width:252.8pt;" o:ole="t" filled="f" o:preferrelative="t" stroked="f" coordsize="21600,21600">
            <v:path/>
            <v:fill on="f" focussize="0,0"/>
            <v:stroke on="f"/>
            <v:imagedata r:id="rId100" o:title=""/>
            <o:lock v:ext="edit" aspectratio="t"/>
            <w10:wrap type="none"/>
            <w10:anchorlock/>
          </v:shape>
          <o:OLEObject Type="Embed" ProgID="Equation.KSEE3" ShapeID="_x0000_i1036" DrawAspect="Content" ObjectID="_1468075739" r:id="rId99">
            <o:LockedField>false</o:LockedField>
          </o:OLEObject>
        </w:object>
      </w:r>
    </w:p>
    <w:p>
      <w:pPr>
        <w:ind w:firstLine="480"/>
        <w:rPr>
          <w:rFonts w:ascii="Times New Roman" w:hAnsi="Times New Roman" w:eastAsia="宋体"/>
          <w:color w:val="auto"/>
          <w:highlight w:val="none"/>
        </w:rPr>
      </w:pPr>
      <w:r>
        <w:rPr>
          <w:rFonts w:ascii="Times New Roman" w:hAnsi="Times New Roman" w:eastAsia="宋体"/>
          <w:color w:val="auto"/>
          <w:highlight w:val="none"/>
        </w:rPr>
        <w:t>以上Q为最大段装药量（kg），Q=</w:t>
      </w:r>
      <w:r>
        <w:rPr>
          <w:rFonts w:hint="eastAsia" w:ascii="Times New Roman" w:hAnsi="Times New Roman" w:eastAsia="宋体"/>
          <w:color w:val="auto"/>
          <w:highlight w:val="none"/>
        </w:rPr>
        <w:t>2304</w:t>
      </w:r>
      <w:r>
        <w:rPr>
          <w:rFonts w:ascii="Times New Roman" w:hAnsi="Times New Roman" w:eastAsia="宋体"/>
          <w:color w:val="auto"/>
          <w:highlight w:val="none"/>
        </w:rPr>
        <w:t>kg。</w:t>
      </w:r>
    </w:p>
    <w:p>
      <w:pPr>
        <w:ind w:firstLine="480"/>
        <w:rPr>
          <w:rFonts w:ascii="Times New Roman" w:hAnsi="Times New Roman" w:eastAsia="宋体"/>
          <w:color w:val="auto"/>
          <w:highlight w:val="none"/>
        </w:rPr>
      </w:pPr>
      <w:r>
        <w:rPr>
          <w:rFonts w:ascii="Times New Roman" w:hAnsi="Times New Roman" w:eastAsia="宋体"/>
          <w:color w:val="auto"/>
          <w:highlight w:val="none"/>
        </w:rPr>
        <w:t>因此，在距离爆破中心</w:t>
      </w:r>
      <w:r>
        <w:rPr>
          <w:rFonts w:hint="eastAsia" w:ascii="Times New Roman" w:hAnsi="Times New Roman" w:eastAsia="宋体"/>
          <w:color w:val="auto"/>
          <w:highlight w:val="none"/>
        </w:rPr>
        <w:t>240</w:t>
      </w:r>
      <w:r>
        <w:rPr>
          <w:rFonts w:ascii="Times New Roman" w:hAnsi="Times New Roman" w:eastAsia="宋体"/>
          <w:color w:val="auto"/>
          <w:highlight w:val="none"/>
        </w:rPr>
        <w:t>m以外，冲击波对建构筑物影响较小，在距离爆破中心</w:t>
      </w:r>
      <w:r>
        <w:rPr>
          <w:rFonts w:hint="eastAsia" w:ascii="Times New Roman" w:hAnsi="Times New Roman" w:eastAsia="宋体"/>
          <w:color w:val="auto"/>
          <w:highlight w:val="none"/>
        </w:rPr>
        <w:t>330.2</w:t>
      </w:r>
      <w:r>
        <w:rPr>
          <w:rFonts w:ascii="Times New Roman" w:hAnsi="Times New Roman" w:eastAsia="宋体"/>
          <w:color w:val="auto"/>
          <w:highlight w:val="none"/>
        </w:rPr>
        <w:t>m以外，冲击波对人的影响较小。距离项目最近的</w:t>
      </w:r>
      <w:r>
        <w:rPr>
          <w:rFonts w:hint="eastAsia" w:ascii="Times New Roman" w:hAnsi="Times New Roman" w:eastAsia="宋体"/>
          <w:color w:val="auto"/>
          <w:highlight w:val="none"/>
        </w:rPr>
        <w:t>项目东面500m的东恒</w:t>
      </w:r>
      <w:r>
        <w:rPr>
          <w:rFonts w:ascii="Times New Roman" w:hAnsi="Times New Roman" w:eastAsia="宋体"/>
          <w:color w:val="auto"/>
          <w:highlight w:val="none"/>
        </w:rPr>
        <w:t>屯，距离项目较远，项目爆破产生的冲击波对其影响比较小。</w:t>
      </w:r>
    </w:p>
    <w:p>
      <w:pPr>
        <w:pStyle w:val="6"/>
        <w:tabs>
          <w:tab w:val="left" w:pos="1390"/>
        </w:tabs>
        <w:spacing w:line="500" w:lineRule="exact"/>
        <w:rPr>
          <w:rFonts w:ascii="Times New Roman" w:hAnsi="Times New Roman" w:eastAsia="宋体"/>
          <w:color w:val="auto"/>
          <w:highlight w:val="none"/>
        </w:rPr>
      </w:pPr>
      <w:bookmarkStart w:id="375" w:name="_Toc11682"/>
      <w:r>
        <w:rPr>
          <w:rFonts w:ascii="Times New Roman" w:hAnsi="Times New Roman" w:eastAsia="宋体"/>
          <w:color w:val="auto"/>
          <w:highlight w:val="none"/>
        </w:rPr>
        <w:t>4.2.5.3 爆破飞石的影响分析</w:t>
      </w:r>
      <w:bookmarkEnd w:id="375"/>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据矿山爆破事故统计，在露天矿爆破中，由飞石引起的伤人事故占爆破事故的27%，因此建设单位应引起重视。本项目多孔微差中深孔爆破，</w:t>
      </w:r>
      <w:r>
        <w:rPr>
          <w:rFonts w:hint="eastAsia" w:ascii="Times New Roman" w:hAnsi="Times New Roman" w:eastAsia="宋体" w:cs="Times New Roman"/>
          <w:color w:val="auto"/>
          <w:highlight w:val="none"/>
        </w:rPr>
        <w:t>经过计算，本项目飞石安全距离为277m，</w:t>
      </w:r>
      <w:r>
        <w:rPr>
          <w:rFonts w:ascii="Times New Roman" w:hAnsi="Times New Roman" w:eastAsia="宋体" w:cs="Times New Roman"/>
          <w:color w:val="auto"/>
          <w:highlight w:val="none"/>
        </w:rPr>
        <w:t>矿区附近村庄均位于</w:t>
      </w:r>
      <w:r>
        <w:rPr>
          <w:rFonts w:hint="eastAsia" w:ascii="Times New Roman" w:hAnsi="Times New Roman" w:eastAsia="宋体" w:cs="Times New Roman"/>
          <w:color w:val="auto"/>
          <w:highlight w:val="none"/>
        </w:rPr>
        <w:t>500m</w:t>
      </w:r>
      <w:r>
        <w:rPr>
          <w:rFonts w:ascii="Times New Roman" w:hAnsi="Times New Roman" w:eastAsia="宋体" w:cs="Times New Roman"/>
          <w:color w:val="auto"/>
          <w:highlight w:val="none"/>
        </w:rPr>
        <w:t>以外，因此爆破产生的飞石等不会对其产生影响。在爆破作业时，每次爆破应选择合理的爆破参数，提高充填质量，防治爆破后飞石的冲击；采用微差起爆控制爆破方向，避免飞石往不安全的方向飞散；应根据地形地质矿石性质和软弱夹层等具体条件调整每孔的装药量和实际单位炸药消耗量。</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综上分析，</w:t>
      </w:r>
      <w:r>
        <w:rPr>
          <w:rFonts w:hint="eastAsia" w:ascii="Times New Roman" w:hAnsi="Times New Roman" w:eastAsia="宋体" w:cs="Times New Roman"/>
          <w:color w:val="auto"/>
          <w:highlight w:val="none"/>
        </w:rPr>
        <w:t>本项目爆破安全警戒范围以爆破点为中心，背坡半径350m、水平半径350m、迎坡半径400m来圈定</w:t>
      </w:r>
      <w:r>
        <w:rPr>
          <w:rFonts w:ascii="Times New Roman" w:hAnsi="Times New Roman" w:eastAsia="宋体" w:cs="Times New Roman"/>
          <w:color w:val="auto"/>
          <w:highlight w:val="none"/>
        </w:rPr>
        <w:t>。矿区附近村庄均在</w:t>
      </w:r>
      <w:r>
        <w:rPr>
          <w:rFonts w:hint="eastAsia" w:ascii="Times New Roman" w:hAnsi="Times New Roman" w:eastAsia="宋体" w:cs="Times New Roman"/>
          <w:color w:val="auto"/>
          <w:highlight w:val="none"/>
        </w:rPr>
        <w:t>500</w:t>
      </w:r>
      <w:r>
        <w:rPr>
          <w:rFonts w:ascii="Times New Roman" w:hAnsi="Times New Roman" w:eastAsia="宋体" w:cs="Times New Roman"/>
          <w:color w:val="auto"/>
          <w:highlight w:val="none"/>
        </w:rPr>
        <w:t>m以外，受爆破影响较小。爆破产生的振动虽然较大，但具有瞬时性，每次持续时间较短。采用微差延时爆破方式，可有效降低振动效应。</w:t>
      </w:r>
    </w:p>
    <w:p>
      <w:pPr>
        <w:ind w:firstLine="480"/>
        <w:rPr>
          <w:rFonts w:ascii="Times New Roman" w:hAnsi="Times New Roman" w:eastAsia="宋体"/>
          <w:color w:val="auto"/>
          <w:highlight w:val="none"/>
        </w:rPr>
      </w:pPr>
      <w:r>
        <w:rPr>
          <w:rFonts w:ascii="Times New Roman" w:hAnsi="Times New Roman" w:eastAsia="宋体"/>
          <w:color w:val="auto"/>
          <w:highlight w:val="none"/>
        </w:rPr>
        <w:t>项目夜间不进行爆破作业，无爆破的振动和噪声的影响。</w:t>
      </w:r>
    </w:p>
    <w:p>
      <w:pPr>
        <w:ind w:firstLine="480"/>
        <w:rPr>
          <w:rFonts w:ascii="Times New Roman" w:hAnsi="Times New Roman" w:eastAsia="宋体"/>
          <w:color w:val="auto"/>
          <w:highlight w:val="none"/>
        </w:rPr>
      </w:pPr>
      <w:r>
        <w:rPr>
          <w:rFonts w:ascii="Times New Roman" w:hAnsi="Times New Roman" w:eastAsia="宋体"/>
          <w:color w:val="auto"/>
          <w:highlight w:val="none"/>
        </w:rPr>
        <w:t>本环评要求矿山爆破作业工作委托有资质的专业爆破公司开展，并建议采取以下安全防范措施：</w:t>
      </w:r>
    </w:p>
    <w:p>
      <w:pPr>
        <w:ind w:firstLine="480"/>
        <w:rPr>
          <w:rFonts w:ascii="Times New Roman" w:hAnsi="Times New Roman" w:eastAsia="宋体"/>
          <w:color w:val="auto"/>
          <w:highlight w:val="none"/>
        </w:rPr>
      </w:pPr>
      <w:r>
        <w:rPr>
          <w:rFonts w:ascii="Times New Roman" w:hAnsi="Times New Roman" w:eastAsia="宋体"/>
          <w:color w:val="auto"/>
          <w:highlight w:val="none"/>
        </w:rPr>
        <w:t>（1）选择合理的爆破参数，提高充填质量，防止爆破后飞石的冲击；</w:t>
      </w:r>
    </w:p>
    <w:p>
      <w:pPr>
        <w:ind w:firstLine="480"/>
        <w:rPr>
          <w:rFonts w:ascii="Times New Roman" w:hAnsi="Times New Roman" w:eastAsia="宋体"/>
          <w:color w:val="auto"/>
          <w:highlight w:val="none"/>
        </w:rPr>
      </w:pPr>
      <w:r>
        <w:rPr>
          <w:rFonts w:ascii="Times New Roman" w:hAnsi="Times New Roman" w:eastAsia="宋体"/>
          <w:color w:val="auto"/>
          <w:highlight w:val="none"/>
        </w:rPr>
        <w:t>（2）采用微差起爆控制爆破方向，避免飞石往不安全的方向飞散，特别是往农用地飞散；</w:t>
      </w:r>
    </w:p>
    <w:p>
      <w:pPr>
        <w:ind w:firstLine="480"/>
        <w:rPr>
          <w:rFonts w:ascii="Times New Roman" w:hAnsi="Times New Roman" w:eastAsia="宋体"/>
          <w:color w:val="auto"/>
          <w:highlight w:val="none"/>
        </w:rPr>
      </w:pPr>
      <w:r>
        <w:rPr>
          <w:rFonts w:ascii="Times New Roman" w:hAnsi="Times New Roman" w:eastAsia="宋体"/>
          <w:color w:val="auto"/>
          <w:highlight w:val="none"/>
        </w:rPr>
        <w:t>（3）在装填时，应根据地形地质岩石性质和软弱夹层等具体条件调整每孔的装药量和实际单位炸药消耗量；</w:t>
      </w:r>
    </w:p>
    <w:p>
      <w:pPr>
        <w:ind w:firstLine="480"/>
        <w:rPr>
          <w:rFonts w:ascii="Times New Roman" w:hAnsi="Times New Roman" w:eastAsia="宋体"/>
          <w:color w:val="auto"/>
          <w:highlight w:val="none"/>
        </w:rPr>
      </w:pPr>
      <w:r>
        <w:rPr>
          <w:rFonts w:ascii="Times New Roman" w:hAnsi="Times New Roman" w:eastAsia="宋体"/>
          <w:color w:val="auto"/>
          <w:highlight w:val="none"/>
        </w:rPr>
        <w:t>（4）防飞石可用韧性好的铁丝防护网、布垫、帆布、胶垫、旧布垫、塑料—尼龙布、荆芭、草帘、竹帘或草袋等作防护覆盖。</w:t>
      </w:r>
      <w:bookmarkStart w:id="376" w:name="_Toc26591"/>
      <w:bookmarkStart w:id="377" w:name="_Toc18377"/>
      <w:bookmarkStart w:id="378" w:name="_Toc27328"/>
      <w:bookmarkStart w:id="379" w:name="_Toc16951"/>
    </w:p>
    <w:p>
      <w:pPr>
        <w:pStyle w:val="5"/>
        <w:bidi w:val="0"/>
        <w:rPr>
          <w:rFonts w:ascii="Times New Roman" w:hAnsi="Times New Roman" w:eastAsia="宋体"/>
          <w:color w:val="auto"/>
          <w:highlight w:val="none"/>
        </w:rPr>
      </w:pPr>
      <w:bookmarkStart w:id="380" w:name="_Toc28421"/>
      <w:bookmarkStart w:id="381" w:name="_Toc8747"/>
      <w:r>
        <w:rPr>
          <w:rFonts w:ascii="Times New Roman" w:hAnsi="Times New Roman" w:eastAsia="宋体"/>
          <w:color w:val="auto"/>
          <w:highlight w:val="none"/>
        </w:rPr>
        <w:t>4.2.6 固体废弃物环境影响分析</w:t>
      </w:r>
      <w:bookmarkEnd w:id="376"/>
      <w:bookmarkEnd w:id="377"/>
      <w:bookmarkEnd w:id="378"/>
      <w:bookmarkEnd w:id="379"/>
      <w:bookmarkEnd w:id="380"/>
      <w:bookmarkEnd w:id="381"/>
    </w:p>
    <w:p>
      <w:pPr>
        <w:pStyle w:val="6"/>
        <w:tabs>
          <w:tab w:val="left" w:pos="1390"/>
        </w:tabs>
        <w:rPr>
          <w:rFonts w:ascii="Times New Roman" w:hAnsi="Times New Roman" w:eastAsia="宋体"/>
          <w:color w:val="auto"/>
          <w:highlight w:val="none"/>
        </w:rPr>
      </w:pPr>
      <w:bookmarkStart w:id="382" w:name="_Toc1059"/>
      <w:bookmarkStart w:id="383" w:name="_Toc26359"/>
      <w:r>
        <w:rPr>
          <w:rFonts w:ascii="Times New Roman" w:hAnsi="Times New Roman" w:eastAsia="宋体"/>
          <w:color w:val="auto"/>
          <w:highlight w:val="none"/>
        </w:rPr>
        <w:t>4.2.6.1 固体废物产排情况</w:t>
      </w:r>
      <w:bookmarkEnd w:id="382"/>
    </w:p>
    <w:p>
      <w:pPr>
        <w:ind w:firstLine="480"/>
        <w:rPr>
          <w:rFonts w:ascii="Times New Roman" w:hAnsi="Times New Roman" w:eastAsia="宋体" w:cs="Times New Roman"/>
          <w:b/>
          <w:color w:val="auto"/>
          <w:highlight w:val="none"/>
        </w:rPr>
      </w:pPr>
      <w:r>
        <w:rPr>
          <w:rFonts w:ascii="Times New Roman" w:hAnsi="Times New Roman" w:eastAsia="宋体" w:cs="Times New Roman"/>
          <w:color w:val="auto"/>
          <w:highlight w:val="none"/>
        </w:rPr>
        <w:t>项目固体废物产生及处置情况见下表4.2-</w:t>
      </w:r>
      <w:r>
        <w:rPr>
          <w:rFonts w:hint="eastAsia" w:ascii="Times New Roman" w:hAnsi="Times New Roman" w:eastAsia="宋体" w:cs="Times New Roman"/>
          <w:color w:val="auto"/>
          <w:highlight w:val="none"/>
        </w:rPr>
        <w:t>33</w:t>
      </w:r>
      <w:r>
        <w:rPr>
          <w:rFonts w:ascii="Times New Roman" w:hAnsi="Times New Roman" w:eastAsia="宋体" w:cs="Times New Roman"/>
          <w:color w:val="auto"/>
          <w:highlight w:val="none"/>
        </w:rPr>
        <w:t>。</w:t>
      </w:r>
    </w:p>
    <w:p>
      <w:pPr>
        <w:spacing w:line="240" w:lineRule="auto"/>
        <w:ind w:firstLine="0" w:firstLineChars="0"/>
        <w:jc w:val="center"/>
        <w:rPr>
          <w:rFonts w:hint="eastAsia" w:ascii="Times New Roman" w:hAnsi="Times New Roman" w:eastAsia="宋体" w:cs="Times New Roman"/>
          <w:b/>
          <w:color w:val="auto"/>
          <w:highlight w:val="none"/>
        </w:rPr>
      </w:pPr>
      <w:r>
        <w:rPr>
          <w:rFonts w:ascii="Times New Roman" w:hAnsi="Times New Roman" w:eastAsia="宋体" w:cs="Times New Roman"/>
          <w:b/>
          <w:color w:val="auto"/>
          <w:highlight w:val="none"/>
        </w:rPr>
        <w:t>表4.2-</w:t>
      </w:r>
      <w:r>
        <w:rPr>
          <w:rFonts w:hint="eastAsia" w:ascii="Times New Roman" w:hAnsi="Times New Roman" w:eastAsia="宋体" w:cs="Times New Roman"/>
          <w:b/>
          <w:color w:val="auto"/>
          <w:highlight w:val="none"/>
        </w:rPr>
        <w:t>33</w:t>
      </w:r>
      <w:r>
        <w:rPr>
          <w:rFonts w:ascii="Times New Roman" w:hAnsi="Times New Roman" w:eastAsia="宋体" w:cs="Times New Roman"/>
          <w:b/>
          <w:color w:val="auto"/>
          <w:highlight w:val="none"/>
        </w:rPr>
        <w:t xml:space="preserve"> 固体废物排放情况汇总表</w:t>
      </w:r>
    </w:p>
    <w:tbl>
      <w:tblPr>
        <w:tblStyle w:val="48"/>
        <w:tblW w:w="9093"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1127"/>
        <w:gridCol w:w="1470"/>
        <w:gridCol w:w="1950"/>
        <w:gridCol w:w="1185"/>
        <w:gridCol w:w="3361"/>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27" w:type="dxa"/>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类别</w:t>
            </w:r>
          </w:p>
        </w:tc>
        <w:tc>
          <w:tcPr>
            <w:tcW w:w="1470" w:type="dxa"/>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名称</w:t>
            </w:r>
          </w:p>
        </w:tc>
        <w:tc>
          <w:tcPr>
            <w:tcW w:w="1950" w:type="dxa"/>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产生环节</w:t>
            </w:r>
          </w:p>
        </w:tc>
        <w:tc>
          <w:tcPr>
            <w:tcW w:w="1185" w:type="dxa"/>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产生量t/a</w:t>
            </w:r>
          </w:p>
        </w:tc>
        <w:tc>
          <w:tcPr>
            <w:tcW w:w="3361" w:type="dxa"/>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去向</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27" w:type="dxa"/>
            <w:vMerge w:val="restart"/>
            <w:noWrap w:val="0"/>
            <w:vAlign w:val="center"/>
          </w:tcPr>
          <w:p>
            <w:pPr>
              <w:topLinePunct/>
              <w:adjustRightInd w:val="0"/>
              <w:snapToGrid w:val="0"/>
              <w:spacing w:line="240" w:lineRule="atLeas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危险废物</w:t>
            </w:r>
          </w:p>
        </w:tc>
        <w:tc>
          <w:tcPr>
            <w:tcW w:w="147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废机油</w:t>
            </w:r>
          </w:p>
        </w:tc>
        <w:tc>
          <w:tcPr>
            <w:tcW w:w="195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机械维修</w:t>
            </w:r>
          </w:p>
        </w:tc>
        <w:tc>
          <w:tcPr>
            <w:tcW w:w="11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w:t>
            </w:r>
          </w:p>
        </w:tc>
        <w:tc>
          <w:tcPr>
            <w:tcW w:w="3361" w:type="dxa"/>
            <w:noWrap w:val="0"/>
            <w:vAlign w:val="center"/>
          </w:tcPr>
          <w:p>
            <w:pPr>
              <w:tabs>
                <w:tab w:val="center" w:pos="4153"/>
                <w:tab w:val="right" w:pos="8306"/>
              </w:tabs>
              <w:snapToGrid w:val="0"/>
              <w:spacing w:line="240" w:lineRule="auto"/>
              <w:ind w:firstLine="0" w:firstLineChars="0"/>
              <w:jc w:val="left"/>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危险废物暂存库内用存放，委托有资质单位处理</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27" w:type="dxa"/>
            <w:vMerge w:val="continue"/>
            <w:noWrap w:val="0"/>
            <w:vAlign w:val="center"/>
          </w:tcPr>
          <w:p>
            <w:pPr>
              <w:topLinePunct/>
              <w:adjustRightInd w:val="0"/>
              <w:snapToGrid w:val="0"/>
              <w:spacing w:line="240" w:lineRule="atLeast"/>
              <w:ind w:firstLine="0" w:firstLineChars="0"/>
              <w:jc w:val="center"/>
              <w:rPr>
                <w:rFonts w:ascii="Times New Roman" w:hAnsi="Times New Roman" w:eastAsia="宋体" w:cs="Times New Roman"/>
                <w:color w:val="auto"/>
                <w:sz w:val="21"/>
                <w:highlight w:val="none"/>
              </w:rPr>
            </w:pPr>
          </w:p>
        </w:tc>
        <w:tc>
          <w:tcPr>
            <w:tcW w:w="147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废含油抹布</w:t>
            </w:r>
          </w:p>
        </w:tc>
        <w:tc>
          <w:tcPr>
            <w:tcW w:w="195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机械维修</w:t>
            </w:r>
          </w:p>
        </w:tc>
        <w:tc>
          <w:tcPr>
            <w:tcW w:w="1185"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0.02</w:t>
            </w:r>
          </w:p>
        </w:tc>
        <w:tc>
          <w:tcPr>
            <w:tcW w:w="3361" w:type="dxa"/>
            <w:noWrap w:val="0"/>
            <w:vAlign w:val="center"/>
          </w:tcPr>
          <w:p>
            <w:pPr>
              <w:tabs>
                <w:tab w:val="center" w:pos="4153"/>
                <w:tab w:val="right" w:pos="8306"/>
              </w:tabs>
              <w:snapToGrid w:val="0"/>
              <w:spacing w:line="240" w:lineRule="auto"/>
              <w:ind w:firstLine="0" w:firstLineChars="0"/>
              <w:jc w:val="left"/>
              <w:rPr>
                <w:rFonts w:ascii="Times New Roman" w:hAnsi="Times New Roman" w:eastAsia="宋体" w:cs="Times New Roman"/>
                <w:color w:val="auto"/>
                <w:kern w:val="0"/>
                <w:sz w:val="21"/>
                <w:highlight w:val="none"/>
              </w:rPr>
            </w:pPr>
            <w:r>
              <w:rPr>
                <w:rFonts w:hint="eastAsia" w:cs="Times New Roman"/>
                <w:color w:val="auto"/>
                <w:kern w:val="0"/>
                <w:sz w:val="21"/>
                <w:highlight w:val="none"/>
                <w:u w:val="single"/>
                <w:lang w:val="en-US" w:eastAsia="zh-CN"/>
              </w:rPr>
              <w:t>混入生活垃圾，</w:t>
            </w:r>
            <w:r>
              <w:rPr>
                <w:rFonts w:ascii="Times New Roman" w:hAnsi="Times New Roman" w:eastAsia="宋体" w:cs="Times New Roman"/>
                <w:color w:val="auto"/>
                <w:sz w:val="21"/>
                <w:highlight w:val="none"/>
                <w:u w:val="single"/>
              </w:rPr>
              <w:t>由环卫部门处理</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27" w:type="dxa"/>
            <w:vMerge w:val="restart"/>
            <w:noWrap w:val="0"/>
            <w:vAlign w:val="center"/>
          </w:tcPr>
          <w:p>
            <w:pPr>
              <w:topLinePunct/>
              <w:adjustRightInd w:val="0"/>
              <w:snapToGrid w:val="0"/>
              <w:spacing w:line="240" w:lineRule="atLeas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一般工业</w:t>
            </w:r>
          </w:p>
          <w:p>
            <w:pPr>
              <w:topLinePunct/>
              <w:adjustRightInd w:val="0"/>
              <w:snapToGrid w:val="0"/>
              <w:spacing w:line="240" w:lineRule="atLeas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固体废物</w:t>
            </w:r>
          </w:p>
        </w:tc>
        <w:tc>
          <w:tcPr>
            <w:tcW w:w="147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表土</w:t>
            </w:r>
          </w:p>
        </w:tc>
        <w:tc>
          <w:tcPr>
            <w:tcW w:w="195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表土剥离</w:t>
            </w:r>
          </w:p>
        </w:tc>
        <w:tc>
          <w:tcPr>
            <w:tcW w:w="11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1000</w:t>
            </w:r>
          </w:p>
        </w:tc>
        <w:tc>
          <w:tcPr>
            <w:tcW w:w="3361" w:type="dxa"/>
            <w:noWrap w:val="0"/>
            <w:vAlign w:val="center"/>
          </w:tcPr>
          <w:p>
            <w:pPr>
              <w:tabs>
                <w:tab w:val="center" w:pos="4153"/>
                <w:tab w:val="right" w:pos="8306"/>
              </w:tabs>
              <w:snapToGrid w:val="0"/>
              <w:spacing w:line="240" w:lineRule="auto"/>
              <w:ind w:firstLine="0" w:firstLineChars="0"/>
              <w:jc w:val="left"/>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堆放于</w:t>
            </w:r>
            <w:r>
              <w:rPr>
                <w:rFonts w:hint="eastAsia" w:ascii="Times New Roman" w:hAnsi="Times New Roman" w:eastAsia="宋体" w:cs="Times New Roman"/>
                <w:color w:val="auto"/>
                <w:kern w:val="0"/>
                <w:sz w:val="21"/>
                <w:highlight w:val="none"/>
              </w:rPr>
              <w:t>临时排土场</w:t>
            </w:r>
            <w:r>
              <w:rPr>
                <w:rFonts w:ascii="Times New Roman" w:hAnsi="Times New Roman" w:eastAsia="宋体" w:cs="Times New Roman"/>
                <w:color w:val="auto"/>
                <w:kern w:val="0"/>
                <w:sz w:val="21"/>
                <w:highlight w:val="none"/>
              </w:rPr>
              <w:t>，用于矿山复垦</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27" w:type="dxa"/>
            <w:vMerge w:val="continue"/>
            <w:noWrap w:val="0"/>
            <w:vAlign w:val="center"/>
          </w:tcPr>
          <w:p>
            <w:pPr>
              <w:topLinePunct/>
              <w:adjustRightInd w:val="0"/>
              <w:snapToGrid w:val="0"/>
              <w:spacing w:line="240" w:lineRule="atLeast"/>
              <w:ind w:firstLine="0" w:firstLineChars="0"/>
              <w:jc w:val="center"/>
              <w:rPr>
                <w:rFonts w:ascii="Times New Roman" w:hAnsi="Times New Roman" w:eastAsia="宋体" w:cs="Times New Roman"/>
                <w:color w:val="auto"/>
                <w:sz w:val="21"/>
                <w:highlight w:val="none"/>
              </w:rPr>
            </w:pPr>
          </w:p>
        </w:tc>
        <w:tc>
          <w:tcPr>
            <w:tcW w:w="147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废土石渣</w:t>
            </w:r>
          </w:p>
        </w:tc>
        <w:tc>
          <w:tcPr>
            <w:tcW w:w="195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表土剥离、筛</w:t>
            </w:r>
            <w:r>
              <w:rPr>
                <w:rFonts w:hint="eastAsia" w:ascii="Times New Roman" w:hAnsi="Times New Roman" w:eastAsia="宋体" w:cs="Times New Roman"/>
                <w:color w:val="auto"/>
                <w:kern w:val="0"/>
                <w:sz w:val="21"/>
                <w:highlight w:val="none"/>
              </w:rPr>
              <w:t>选</w:t>
            </w:r>
          </w:p>
        </w:tc>
        <w:tc>
          <w:tcPr>
            <w:tcW w:w="11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4000</w:t>
            </w:r>
          </w:p>
        </w:tc>
        <w:tc>
          <w:tcPr>
            <w:tcW w:w="3361" w:type="dxa"/>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经外卖</w:t>
            </w:r>
            <w:r>
              <w:rPr>
                <w:rFonts w:ascii="Times New Roman" w:hAnsi="Times New Roman" w:eastAsia="宋体" w:cs="Times New Roman"/>
                <w:color w:val="auto"/>
                <w:kern w:val="0"/>
                <w:sz w:val="21"/>
                <w:highlight w:val="none"/>
              </w:rPr>
              <w:t>用于</w:t>
            </w:r>
            <w:r>
              <w:rPr>
                <w:rFonts w:hint="eastAsia" w:ascii="Times New Roman" w:hAnsi="Times New Roman" w:eastAsia="宋体" w:cs="Times New Roman"/>
                <w:color w:val="auto"/>
                <w:kern w:val="0"/>
                <w:sz w:val="21"/>
                <w:highlight w:val="none"/>
              </w:rPr>
              <w:t>周边</w:t>
            </w:r>
            <w:r>
              <w:rPr>
                <w:rFonts w:ascii="Times New Roman" w:hAnsi="Times New Roman" w:eastAsia="宋体" w:cs="Times New Roman"/>
                <w:color w:val="auto"/>
                <w:kern w:val="0"/>
                <w:sz w:val="21"/>
                <w:highlight w:val="none"/>
              </w:rPr>
              <w:t>道路</w:t>
            </w:r>
            <w:r>
              <w:rPr>
                <w:rFonts w:hint="eastAsia" w:ascii="Times New Roman" w:hAnsi="Times New Roman" w:eastAsia="宋体" w:cs="Times New Roman"/>
                <w:color w:val="auto"/>
                <w:kern w:val="0"/>
                <w:sz w:val="21"/>
                <w:highlight w:val="none"/>
              </w:rPr>
              <w:t>建设</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27" w:type="dxa"/>
            <w:vMerge w:val="continue"/>
            <w:noWrap w:val="0"/>
            <w:vAlign w:val="center"/>
          </w:tcPr>
          <w:p>
            <w:pPr>
              <w:topLinePunct/>
              <w:adjustRightInd w:val="0"/>
              <w:snapToGrid w:val="0"/>
              <w:spacing w:line="240" w:lineRule="atLeast"/>
              <w:ind w:firstLine="0" w:firstLineChars="0"/>
              <w:jc w:val="center"/>
              <w:rPr>
                <w:rFonts w:ascii="Times New Roman" w:hAnsi="Times New Roman" w:eastAsia="宋体" w:cs="Times New Roman"/>
                <w:color w:val="auto"/>
                <w:sz w:val="21"/>
                <w:highlight w:val="none"/>
              </w:rPr>
            </w:pPr>
          </w:p>
        </w:tc>
        <w:tc>
          <w:tcPr>
            <w:tcW w:w="147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泥渣</w:t>
            </w:r>
          </w:p>
        </w:tc>
        <w:tc>
          <w:tcPr>
            <w:tcW w:w="1950" w:type="dxa"/>
            <w:noWrap w:val="0"/>
            <w:vAlign w:val="center"/>
          </w:tcPr>
          <w:p>
            <w:pPr>
              <w:topLinePunct/>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沉砂池</w:t>
            </w:r>
            <w:r>
              <w:rPr>
                <w:rFonts w:hint="eastAsia" w:ascii="Times New Roman" w:hAnsi="Times New Roman" w:eastAsia="宋体" w:cs="Times New Roman"/>
                <w:color w:val="auto"/>
                <w:kern w:val="0"/>
                <w:sz w:val="21"/>
                <w:highlight w:val="none"/>
              </w:rPr>
              <w:t>清理</w:t>
            </w:r>
          </w:p>
        </w:tc>
        <w:tc>
          <w:tcPr>
            <w:tcW w:w="1185"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u w:val="single"/>
                <w:lang w:val="en-US" w:eastAsia="zh-CN"/>
              </w:rPr>
              <w:t>5</w:t>
            </w:r>
          </w:p>
        </w:tc>
        <w:tc>
          <w:tcPr>
            <w:tcW w:w="3361" w:type="dxa"/>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用于矿区道路平整</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27" w:type="dxa"/>
            <w:vMerge w:val="continue"/>
            <w:noWrap w:val="0"/>
            <w:vAlign w:val="center"/>
          </w:tcPr>
          <w:p>
            <w:pPr>
              <w:topLinePunct/>
              <w:adjustRightInd w:val="0"/>
              <w:snapToGrid w:val="0"/>
              <w:spacing w:line="240" w:lineRule="atLeast"/>
              <w:ind w:firstLine="0" w:firstLineChars="0"/>
              <w:jc w:val="center"/>
              <w:rPr>
                <w:rFonts w:ascii="Times New Roman" w:hAnsi="Times New Roman" w:eastAsia="宋体" w:cs="Times New Roman"/>
                <w:color w:val="auto"/>
                <w:sz w:val="21"/>
                <w:highlight w:val="none"/>
              </w:rPr>
            </w:pPr>
          </w:p>
        </w:tc>
        <w:tc>
          <w:tcPr>
            <w:tcW w:w="147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洗砂泥饼</w:t>
            </w:r>
          </w:p>
        </w:tc>
        <w:tc>
          <w:tcPr>
            <w:tcW w:w="1950" w:type="dxa"/>
            <w:noWrap w:val="0"/>
            <w:vAlign w:val="center"/>
          </w:tcPr>
          <w:p>
            <w:pPr>
              <w:topLinePunct/>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水洗砂</w:t>
            </w:r>
          </w:p>
        </w:tc>
        <w:tc>
          <w:tcPr>
            <w:tcW w:w="11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2352.5</w:t>
            </w:r>
          </w:p>
        </w:tc>
        <w:tc>
          <w:tcPr>
            <w:tcW w:w="3361" w:type="dxa"/>
            <w:noWrap w:val="0"/>
            <w:vAlign w:val="center"/>
          </w:tcPr>
          <w:p>
            <w:pPr>
              <w:tabs>
                <w:tab w:val="center" w:pos="4153"/>
                <w:tab w:val="right" w:pos="8306"/>
              </w:tabs>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外卖砖厂</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27" w:type="dxa"/>
            <w:vMerge w:val="continue"/>
            <w:noWrap w:val="0"/>
            <w:vAlign w:val="center"/>
          </w:tcPr>
          <w:p>
            <w:pPr>
              <w:topLinePunct/>
              <w:adjustRightInd w:val="0"/>
              <w:snapToGrid w:val="0"/>
              <w:spacing w:line="240" w:lineRule="atLeast"/>
              <w:ind w:firstLine="0" w:firstLineChars="0"/>
              <w:jc w:val="center"/>
              <w:rPr>
                <w:rFonts w:ascii="Times New Roman" w:hAnsi="Times New Roman" w:eastAsia="宋体" w:cs="Times New Roman"/>
                <w:color w:val="auto"/>
                <w:sz w:val="21"/>
                <w:highlight w:val="none"/>
              </w:rPr>
            </w:pPr>
          </w:p>
        </w:tc>
        <w:tc>
          <w:tcPr>
            <w:tcW w:w="147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除尘器粉尘</w:t>
            </w:r>
          </w:p>
        </w:tc>
        <w:tc>
          <w:tcPr>
            <w:tcW w:w="195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除尘过程</w:t>
            </w:r>
          </w:p>
        </w:tc>
        <w:tc>
          <w:tcPr>
            <w:tcW w:w="11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173.745</w:t>
            </w:r>
          </w:p>
        </w:tc>
        <w:tc>
          <w:tcPr>
            <w:tcW w:w="3361" w:type="dxa"/>
            <w:vMerge w:val="restart"/>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统一收集外卖</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127" w:type="dxa"/>
            <w:vMerge w:val="continue"/>
            <w:noWrap w:val="0"/>
            <w:vAlign w:val="center"/>
          </w:tcPr>
          <w:p>
            <w:pPr>
              <w:topLinePunct/>
              <w:adjustRightInd w:val="0"/>
              <w:snapToGrid w:val="0"/>
              <w:spacing w:line="240" w:lineRule="atLeast"/>
              <w:ind w:firstLine="0" w:firstLineChars="0"/>
              <w:jc w:val="center"/>
              <w:rPr>
                <w:rFonts w:ascii="Times New Roman" w:hAnsi="Times New Roman" w:eastAsia="宋体" w:cs="Times New Roman"/>
                <w:color w:val="auto"/>
                <w:sz w:val="21"/>
                <w:highlight w:val="none"/>
              </w:rPr>
            </w:pPr>
          </w:p>
        </w:tc>
        <w:tc>
          <w:tcPr>
            <w:tcW w:w="147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金属废零件</w:t>
            </w:r>
          </w:p>
        </w:tc>
        <w:tc>
          <w:tcPr>
            <w:tcW w:w="1950" w:type="dxa"/>
            <w:noWrap w:val="0"/>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机械维修</w:t>
            </w:r>
          </w:p>
        </w:tc>
        <w:tc>
          <w:tcPr>
            <w:tcW w:w="118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3.0</w:t>
            </w:r>
          </w:p>
        </w:tc>
        <w:tc>
          <w:tcPr>
            <w:tcW w:w="3361" w:type="dxa"/>
            <w:vMerge w:val="continue"/>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color w:val="auto"/>
                <w:kern w:val="0"/>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2597" w:type="dxa"/>
            <w:gridSpan w:val="2"/>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生活垃圾</w:t>
            </w:r>
          </w:p>
        </w:tc>
        <w:tc>
          <w:tcPr>
            <w:tcW w:w="1950" w:type="dxa"/>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日常生活办公</w:t>
            </w:r>
          </w:p>
        </w:tc>
        <w:tc>
          <w:tcPr>
            <w:tcW w:w="1185" w:type="dxa"/>
            <w:noWrap w:val="0"/>
            <w:vAlign w:val="center"/>
          </w:tcPr>
          <w:p>
            <w:pPr>
              <w:tabs>
                <w:tab w:val="center" w:pos="4153"/>
                <w:tab w:val="right" w:pos="8306"/>
              </w:tabs>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13.5</w:t>
            </w:r>
          </w:p>
        </w:tc>
        <w:tc>
          <w:tcPr>
            <w:tcW w:w="336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收集后由环卫部门处理</w:t>
            </w:r>
          </w:p>
        </w:tc>
      </w:tr>
    </w:tbl>
    <w:p>
      <w:pPr>
        <w:pStyle w:val="6"/>
        <w:tabs>
          <w:tab w:val="left" w:pos="360"/>
          <w:tab w:val="left" w:pos="1390"/>
        </w:tabs>
        <w:spacing w:line="500" w:lineRule="exact"/>
        <w:rPr>
          <w:rFonts w:ascii="Times New Roman" w:hAnsi="Times New Roman" w:eastAsia="宋体"/>
          <w:color w:val="auto"/>
          <w:highlight w:val="none"/>
        </w:rPr>
      </w:pPr>
      <w:bookmarkStart w:id="384" w:name="_Toc5752"/>
      <w:r>
        <w:rPr>
          <w:rFonts w:ascii="Times New Roman" w:hAnsi="Times New Roman" w:eastAsia="宋体"/>
          <w:color w:val="auto"/>
          <w:highlight w:val="none"/>
        </w:rPr>
        <w:t>4.2.6.2 一般固体废物</w:t>
      </w:r>
      <w:bookmarkEnd w:id="384"/>
    </w:p>
    <w:p>
      <w:pPr>
        <w:ind w:firstLine="480"/>
        <w:rPr>
          <w:rFonts w:ascii="Times New Roman" w:hAnsi="Times New Roman" w:eastAsia="宋体"/>
          <w:color w:val="auto"/>
          <w:highlight w:val="none"/>
        </w:rPr>
      </w:pPr>
      <w:r>
        <w:rPr>
          <w:rFonts w:ascii="Times New Roman" w:hAnsi="Times New Roman" w:eastAsia="宋体"/>
          <w:color w:val="auto"/>
          <w:highlight w:val="none"/>
        </w:rPr>
        <w:t>1、</w:t>
      </w:r>
      <w:bookmarkEnd w:id="383"/>
      <w:bookmarkStart w:id="385" w:name="_Toc20726"/>
      <w:r>
        <w:rPr>
          <w:rFonts w:ascii="Times New Roman" w:hAnsi="Times New Roman" w:eastAsia="宋体"/>
          <w:color w:val="auto"/>
          <w:highlight w:val="none"/>
        </w:rPr>
        <w:t>表土和废土石渣</w:t>
      </w:r>
    </w:p>
    <w:p>
      <w:pPr>
        <w:ind w:firstLine="480"/>
        <w:rPr>
          <w:rFonts w:ascii="Times New Roman" w:hAnsi="Times New Roman" w:eastAsia="宋体" w:cs="Times New Roman"/>
          <w:color w:val="auto"/>
          <w:szCs w:val="24"/>
          <w:highlight w:val="none"/>
          <w:u w:val="single"/>
        </w:rPr>
      </w:pPr>
      <w:r>
        <w:rPr>
          <w:rFonts w:hint="eastAsia" w:ascii="Times New Roman" w:hAnsi="Times New Roman" w:eastAsia="宋体" w:cs="Times New Roman"/>
          <w:color w:val="auto"/>
          <w:highlight w:val="none"/>
          <w:u w:val="single"/>
        </w:rPr>
        <w:t>根据工程分析，本项目表土产生量1000t/a（416.7m</w:t>
      </w:r>
      <w:r>
        <w:rPr>
          <w:rFonts w:hint="eastAsia" w:ascii="Times New Roman" w:hAnsi="Times New Roman" w:eastAsia="宋体" w:cs="Times New Roman"/>
          <w:color w:val="auto"/>
          <w:highlight w:val="none"/>
          <w:u w:val="single"/>
          <w:vertAlign w:val="superscript"/>
        </w:rPr>
        <w:t>3</w:t>
      </w:r>
      <w:r>
        <w:rPr>
          <w:rFonts w:hint="eastAsia" w:ascii="Times New Roman" w:hAnsi="Times New Roman" w:eastAsia="宋体" w:cs="Times New Roman"/>
          <w:color w:val="auto"/>
          <w:highlight w:val="none"/>
          <w:u w:val="single"/>
        </w:rPr>
        <w:t>/a），表土堆放于临时排土场，用于后期矿山复垦，本项目不设置永久排土场。临时排土场总占地面积约4000m</w:t>
      </w:r>
      <w:r>
        <w:rPr>
          <w:rFonts w:hint="eastAsia" w:ascii="Times New Roman" w:hAnsi="Times New Roman" w:eastAsia="宋体" w:cs="Times New Roman"/>
          <w:color w:val="auto"/>
          <w:highlight w:val="none"/>
          <w:u w:val="single"/>
          <w:vertAlign w:val="superscript"/>
        </w:rPr>
        <w:t>2</w:t>
      </w:r>
      <w:r>
        <w:rPr>
          <w:rFonts w:hint="eastAsia" w:ascii="Times New Roman" w:hAnsi="Times New Roman" w:eastAsia="宋体" w:cs="Times New Roman"/>
          <w:color w:val="auto"/>
          <w:highlight w:val="none"/>
          <w:u w:val="single"/>
        </w:rPr>
        <w:t>，</w:t>
      </w:r>
      <w:r>
        <w:rPr>
          <w:rFonts w:hint="eastAsia" w:ascii="Times New Roman" w:hAnsi="Times New Roman" w:eastAsia="宋体" w:cs="Times New Roman"/>
          <w:color w:val="auto"/>
          <w:highlight w:val="none"/>
          <w:u w:val="single"/>
          <w:lang w:val="en-US" w:eastAsia="zh-CN"/>
        </w:rPr>
        <w:t>其中表土堆场</w:t>
      </w:r>
      <w:r>
        <w:rPr>
          <w:rFonts w:hint="eastAsia" w:ascii="Times New Roman" w:hAnsi="Times New Roman" w:eastAsia="宋体" w:cs="Times New Roman"/>
          <w:color w:val="auto"/>
          <w:highlight w:val="none"/>
          <w:u w:val="single"/>
        </w:rPr>
        <w:t>占地面积约</w:t>
      </w:r>
      <w:r>
        <w:rPr>
          <w:rFonts w:hint="eastAsia" w:ascii="Times New Roman" w:hAnsi="Times New Roman" w:eastAsia="宋体" w:cs="Times New Roman"/>
          <w:color w:val="auto"/>
          <w:highlight w:val="none"/>
          <w:u w:val="single"/>
          <w:lang w:val="en-US" w:eastAsia="zh-CN"/>
        </w:rPr>
        <w:t>2</w:t>
      </w:r>
      <w:r>
        <w:rPr>
          <w:rFonts w:hint="eastAsia" w:ascii="Times New Roman" w:hAnsi="Times New Roman" w:eastAsia="宋体" w:cs="Times New Roman"/>
          <w:color w:val="auto"/>
          <w:highlight w:val="none"/>
          <w:u w:val="single"/>
        </w:rPr>
        <w:t>000m</w:t>
      </w:r>
      <w:r>
        <w:rPr>
          <w:rFonts w:hint="eastAsia" w:ascii="Times New Roman" w:hAnsi="Times New Roman" w:eastAsia="宋体" w:cs="Times New Roman"/>
          <w:color w:val="auto"/>
          <w:highlight w:val="none"/>
          <w:u w:val="single"/>
          <w:vertAlign w:val="superscript"/>
        </w:rPr>
        <w:t>2</w:t>
      </w:r>
      <w:r>
        <w:rPr>
          <w:rFonts w:hint="eastAsia" w:ascii="Times New Roman" w:hAnsi="Times New Roman" w:eastAsia="宋体" w:cs="Times New Roman"/>
          <w:color w:val="auto"/>
          <w:highlight w:val="none"/>
          <w:u w:val="single"/>
        </w:rPr>
        <w:t>，</w:t>
      </w:r>
      <w:r>
        <w:rPr>
          <w:rFonts w:hint="eastAsia" w:cs="Times New Roman"/>
          <w:color w:val="auto"/>
          <w:highlight w:val="none"/>
          <w:u w:val="single"/>
          <w:lang w:eastAsia="zh-CN"/>
        </w:rPr>
        <w:t>破碎场①</w:t>
      </w:r>
      <w:r>
        <w:rPr>
          <w:rFonts w:hint="eastAsia" w:ascii="Times New Roman" w:hAnsi="Times New Roman" w:eastAsia="宋体" w:cs="Times New Roman"/>
          <w:color w:val="auto"/>
          <w:highlight w:val="none"/>
          <w:u w:val="single"/>
        </w:rPr>
        <w:t>临时排土场</w:t>
      </w:r>
      <w:r>
        <w:rPr>
          <w:rFonts w:ascii="Times New Roman" w:hAnsi="Times New Roman" w:eastAsia="宋体" w:cs="Times New Roman"/>
          <w:color w:val="auto"/>
          <w:szCs w:val="24"/>
          <w:highlight w:val="none"/>
          <w:u w:val="single"/>
        </w:rPr>
        <w:t>周边</w:t>
      </w:r>
      <w:r>
        <w:rPr>
          <w:rFonts w:hint="eastAsia" w:ascii="Times New Roman" w:hAnsi="Times New Roman" w:eastAsia="宋体" w:cs="Times New Roman"/>
          <w:color w:val="auto"/>
          <w:szCs w:val="24"/>
          <w:highlight w:val="none"/>
          <w:u w:val="single"/>
        </w:rPr>
        <w:t>三面</w:t>
      </w:r>
      <w:r>
        <w:rPr>
          <w:rFonts w:ascii="Times New Roman" w:hAnsi="Times New Roman" w:eastAsia="宋体" w:cs="Times New Roman"/>
          <w:color w:val="auto"/>
          <w:szCs w:val="24"/>
          <w:highlight w:val="none"/>
          <w:u w:val="single"/>
        </w:rPr>
        <w:t>建设约</w:t>
      </w:r>
      <w:r>
        <w:rPr>
          <w:rFonts w:hint="eastAsia" w:ascii="Times New Roman" w:hAnsi="Times New Roman" w:eastAsia="宋体" w:cs="Times New Roman"/>
          <w:color w:val="auto"/>
          <w:szCs w:val="24"/>
          <w:highlight w:val="none"/>
          <w:u w:val="single"/>
        </w:rPr>
        <w:t>3</w:t>
      </w:r>
      <w:r>
        <w:rPr>
          <w:rFonts w:ascii="Times New Roman" w:hAnsi="Times New Roman" w:eastAsia="宋体" w:cs="Times New Roman"/>
          <w:color w:val="auto"/>
          <w:szCs w:val="24"/>
          <w:highlight w:val="none"/>
          <w:u w:val="single"/>
        </w:rPr>
        <w:t>m高挡土墙，</w:t>
      </w:r>
      <w:r>
        <w:rPr>
          <w:rFonts w:hint="eastAsia" w:ascii="Times New Roman" w:hAnsi="Times New Roman" w:eastAsia="宋体" w:cs="Times New Roman"/>
          <w:color w:val="auto"/>
          <w:szCs w:val="24"/>
          <w:highlight w:val="none"/>
          <w:u w:val="single"/>
        </w:rPr>
        <w:t>仅保留一面可供车辆出入，可最少容纳</w:t>
      </w:r>
      <w:r>
        <w:rPr>
          <w:rFonts w:hint="eastAsia" w:ascii="Times New Roman" w:hAnsi="Times New Roman" w:eastAsia="宋体" w:cs="Times New Roman"/>
          <w:color w:val="auto"/>
          <w:szCs w:val="24"/>
          <w:highlight w:val="none"/>
          <w:u w:val="single"/>
          <w:lang w:val="en-US" w:eastAsia="zh-CN"/>
        </w:rPr>
        <w:t>0.72</w:t>
      </w:r>
      <w:r>
        <w:rPr>
          <w:rFonts w:hint="eastAsia" w:ascii="Times New Roman" w:hAnsi="Times New Roman" w:eastAsia="宋体" w:cs="Times New Roman"/>
          <w:color w:val="auto"/>
          <w:szCs w:val="24"/>
          <w:highlight w:val="none"/>
          <w:u w:val="single"/>
        </w:rPr>
        <w:t>万t（</w:t>
      </w:r>
      <w:r>
        <w:rPr>
          <w:rFonts w:hint="eastAsia" w:ascii="Times New Roman" w:hAnsi="Times New Roman" w:eastAsia="宋体" w:cs="Times New Roman"/>
          <w:color w:val="auto"/>
          <w:szCs w:val="24"/>
          <w:highlight w:val="none"/>
          <w:u w:val="single"/>
          <w:lang w:val="en-US" w:eastAsia="zh-CN"/>
        </w:rPr>
        <w:t>3</w:t>
      </w:r>
      <w:r>
        <w:rPr>
          <w:rFonts w:hint="eastAsia" w:ascii="Times New Roman" w:hAnsi="Times New Roman" w:eastAsia="宋体" w:cs="Times New Roman"/>
          <w:color w:val="auto"/>
          <w:szCs w:val="24"/>
          <w:highlight w:val="none"/>
          <w:u w:val="single"/>
        </w:rPr>
        <w:t>000m</w:t>
      </w:r>
      <w:r>
        <w:rPr>
          <w:rFonts w:hint="eastAsia" w:ascii="Times New Roman" w:hAnsi="Times New Roman" w:eastAsia="宋体" w:cs="Times New Roman"/>
          <w:color w:val="auto"/>
          <w:szCs w:val="24"/>
          <w:highlight w:val="none"/>
          <w:u w:val="single"/>
          <w:vertAlign w:val="superscript"/>
        </w:rPr>
        <w:t>3</w:t>
      </w:r>
      <w:r>
        <w:rPr>
          <w:rFonts w:hint="eastAsia" w:ascii="Times New Roman" w:hAnsi="Times New Roman" w:eastAsia="宋体" w:cs="Times New Roman"/>
          <w:color w:val="auto"/>
          <w:szCs w:val="24"/>
          <w:highlight w:val="none"/>
          <w:u w:val="single"/>
        </w:rPr>
        <w:t>）表土，</w:t>
      </w:r>
      <w:r>
        <w:rPr>
          <w:rFonts w:hint="eastAsia" w:cs="Times New Roman"/>
          <w:color w:val="auto"/>
          <w:szCs w:val="24"/>
          <w:highlight w:val="none"/>
          <w:u w:val="single"/>
          <w:lang w:eastAsia="zh-CN"/>
        </w:rPr>
        <w:t>破碎场②</w:t>
      </w:r>
      <w:r>
        <w:rPr>
          <w:rFonts w:hint="eastAsia" w:ascii="Times New Roman" w:hAnsi="Times New Roman" w:eastAsia="宋体" w:cs="Times New Roman"/>
          <w:color w:val="auto"/>
          <w:szCs w:val="24"/>
          <w:highlight w:val="none"/>
          <w:u w:val="single"/>
        </w:rPr>
        <w:t>临时排土场依山而建，按</w:t>
      </w:r>
      <w:r>
        <w:rPr>
          <w:rFonts w:ascii="Times New Roman" w:hAnsi="Times New Roman" w:eastAsia="宋体" w:cs="Times New Roman"/>
          <w:color w:val="auto"/>
          <w:szCs w:val="24"/>
          <w:highlight w:val="none"/>
          <w:u w:val="single"/>
        </w:rPr>
        <w:t>挡土墙</w:t>
      </w:r>
      <w:r>
        <w:rPr>
          <w:rFonts w:hint="eastAsia" w:ascii="Times New Roman" w:hAnsi="Times New Roman" w:eastAsia="宋体" w:cs="Times New Roman"/>
          <w:color w:val="auto"/>
          <w:szCs w:val="24"/>
          <w:highlight w:val="none"/>
          <w:u w:val="single"/>
        </w:rPr>
        <w:t>建设高度3</w:t>
      </w:r>
      <w:r>
        <w:rPr>
          <w:rFonts w:ascii="Times New Roman" w:hAnsi="Times New Roman" w:eastAsia="宋体" w:cs="Times New Roman"/>
          <w:color w:val="auto"/>
          <w:szCs w:val="24"/>
          <w:highlight w:val="none"/>
          <w:u w:val="single"/>
        </w:rPr>
        <w:t>m</w:t>
      </w:r>
      <w:r>
        <w:rPr>
          <w:rFonts w:hint="eastAsia" w:ascii="Times New Roman" w:hAnsi="Times New Roman" w:eastAsia="宋体" w:cs="Times New Roman"/>
          <w:color w:val="auto"/>
          <w:szCs w:val="24"/>
          <w:highlight w:val="none"/>
          <w:u w:val="single"/>
        </w:rPr>
        <w:t>进行计算</w:t>
      </w:r>
      <w:r>
        <w:rPr>
          <w:rFonts w:ascii="Times New Roman" w:hAnsi="Times New Roman" w:eastAsia="宋体" w:cs="Times New Roman"/>
          <w:color w:val="auto"/>
          <w:szCs w:val="24"/>
          <w:highlight w:val="none"/>
          <w:u w:val="single"/>
        </w:rPr>
        <w:t>，</w:t>
      </w:r>
      <w:r>
        <w:rPr>
          <w:rFonts w:hint="eastAsia" w:ascii="Times New Roman" w:hAnsi="Times New Roman" w:eastAsia="宋体" w:cs="Times New Roman"/>
          <w:color w:val="auto"/>
          <w:szCs w:val="24"/>
          <w:highlight w:val="none"/>
          <w:u w:val="single"/>
        </w:rPr>
        <w:t>可最少容纳</w:t>
      </w:r>
      <w:r>
        <w:rPr>
          <w:rFonts w:hint="eastAsia" w:ascii="Times New Roman" w:hAnsi="Times New Roman" w:eastAsia="宋体" w:cs="Times New Roman"/>
          <w:color w:val="auto"/>
          <w:szCs w:val="24"/>
          <w:highlight w:val="none"/>
          <w:u w:val="single"/>
          <w:lang w:val="en-US" w:eastAsia="zh-CN"/>
        </w:rPr>
        <w:t>0.72</w:t>
      </w:r>
      <w:r>
        <w:rPr>
          <w:rFonts w:hint="eastAsia" w:ascii="Times New Roman" w:hAnsi="Times New Roman" w:eastAsia="宋体" w:cs="Times New Roman"/>
          <w:color w:val="auto"/>
          <w:szCs w:val="24"/>
          <w:highlight w:val="none"/>
          <w:u w:val="single"/>
        </w:rPr>
        <w:t>万t（</w:t>
      </w:r>
      <w:r>
        <w:rPr>
          <w:rFonts w:hint="eastAsia" w:ascii="Times New Roman" w:hAnsi="Times New Roman" w:eastAsia="宋体" w:cs="Times New Roman"/>
          <w:color w:val="auto"/>
          <w:szCs w:val="24"/>
          <w:highlight w:val="none"/>
          <w:u w:val="single"/>
          <w:lang w:val="en-US" w:eastAsia="zh-CN"/>
        </w:rPr>
        <w:t>3</w:t>
      </w:r>
      <w:r>
        <w:rPr>
          <w:rFonts w:hint="eastAsia" w:ascii="Times New Roman" w:hAnsi="Times New Roman" w:eastAsia="宋体" w:cs="Times New Roman"/>
          <w:color w:val="auto"/>
          <w:szCs w:val="24"/>
          <w:highlight w:val="none"/>
          <w:u w:val="single"/>
        </w:rPr>
        <w:t>000m</w:t>
      </w:r>
      <w:r>
        <w:rPr>
          <w:rFonts w:hint="eastAsia" w:ascii="Times New Roman" w:hAnsi="Times New Roman" w:eastAsia="宋体" w:cs="Times New Roman"/>
          <w:color w:val="auto"/>
          <w:szCs w:val="24"/>
          <w:highlight w:val="none"/>
          <w:u w:val="single"/>
          <w:vertAlign w:val="superscript"/>
        </w:rPr>
        <w:t>3</w:t>
      </w:r>
      <w:r>
        <w:rPr>
          <w:rFonts w:hint="eastAsia" w:ascii="Times New Roman" w:hAnsi="Times New Roman" w:eastAsia="宋体" w:cs="Times New Roman"/>
          <w:color w:val="auto"/>
          <w:szCs w:val="24"/>
          <w:highlight w:val="none"/>
          <w:u w:val="single"/>
        </w:rPr>
        <w:t>），表土堆场可容纳</w:t>
      </w:r>
      <w:r>
        <w:rPr>
          <w:rFonts w:hint="eastAsia" w:ascii="Times New Roman" w:hAnsi="Times New Roman" w:eastAsia="宋体" w:cs="Times New Roman"/>
          <w:color w:val="auto"/>
          <w:szCs w:val="24"/>
          <w:highlight w:val="none"/>
          <w:u w:val="single"/>
          <w:lang w:val="en-US" w:eastAsia="zh-CN"/>
        </w:rPr>
        <w:t>1.44</w:t>
      </w:r>
      <w:r>
        <w:rPr>
          <w:rFonts w:hint="eastAsia" w:ascii="Times New Roman" w:hAnsi="Times New Roman" w:eastAsia="宋体" w:cs="Times New Roman"/>
          <w:color w:val="auto"/>
          <w:szCs w:val="24"/>
          <w:highlight w:val="none"/>
          <w:u w:val="single"/>
        </w:rPr>
        <w:t>万t，表土堆场容量可满足项目开采</w:t>
      </w:r>
      <w:r>
        <w:rPr>
          <w:rFonts w:hint="eastAsia" w:ascii="Times New Roman" w:hAnsi="Times New Roman" w:eastAsia="宋体" w:cs="Times New Roman"/>
          <w:color w:val="auto"/>
          <w:szCs w:val="24"/>
          <w:highlight w:val="none"/>
          <w:u w:val="single"/>
          <w:lang w:val="en-US" w:eastAsia="zh-CN"/>
        </w:rPr>
        <w:t>14</w:t>
      </w:r>
      <w:r>
        <w:rPr>
          <w:rFonts w:hint="eastAsia" w:ascii="Times New Roman" w:hAnsi="Times New Roman" w:eastAsia="宋体" w:cs="Times New Roman"/>
          <w:color w:val="auto"/>
          <w:szCs w:val="24"/>
          <w:highlight w:val="none"/>
          <w:u w:val="single"/>
        </w:rPr>
        <w:t>年，项目</w:t>
      </w:r>
      <w:r>
        <w:rPr>
          <w:rFonts w:hint="eastAsia" w:cs="Times New Roman"/>
          <w:color w:val="auto"/>
          <w:szCs w:val="24"/>
          <w:highlight w:val="none"/>
          <w:u w:val="single"/>
          <w:lang w:val="en-US" w:eastAsia="zh-CN"/>
        </w:rPr>
        <w:t>开采过程</w:t>
      </w:r>
      <w:r>
        <w:rPr>
          <w:rFonts w:hint="eastAsia" w:ascii="Times New Roman" w:hAnsi="Times New Roman" w:eastAsia="宋体" w:cs="Times New Roman"/>
          <w:color w:val="auto"/>
          <w:szCs w:val="24"/>
          <w:highlight w:val="none"/>
          <w:u w:val="single"/>
        </w:rPr>
        <w:t>实行边开采边复垦计划，</w:t>
      </w:r>
      <w:r>
        <w:rPr>
          <w:rFonts w:hint="eastAsia" w:cs="Times New Roman"/>
          <w:color w:val="auto"/>
          <w:szCs w:val="24"/>
          <w:highlight w:val="none"/>
          <w:u w:val="single"/>
          <w:lang w:val="en-US" w:eastAsia="zh-CN"/>
        </w:rPr>
        <w:t>表土及时用于采空区回填和复垦，</w:t>
      </w:r>
      <w:r>
        <w:rPr>
          <w:rFonts w:hint="eastAsia" w:ascii="Times New Roman" w:hAnsi="Times New Roman" w:eastAsia="宋体" w:cs="Times New Roman"/>
          <w:color w:val="auto"/>
          <w:highlight w:val="none"/>
          <w:u w:val="single"/>
        </w:rPr>
        <w:t>临时排土场可满足开采期产生表土的堆存需求。</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项目废土石渣产生量4000t/a（1538.4m</w:t>
      </w:r>
      <w:r>
        <w:rPr>
          <w:rFonts w:hint="eastAsia"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rPr>
        <w:t>/a），</w:t>
      </w:r>
      <w:r>
        <w:rPr>
          <w:rFonts w:hint="eastAsia" w:ascii="Times New Roman" w:hAnsi="Times New Roman" w:eastAsia="宋体" w:cs="Times New Roman"/>
          <w:color w:val="auto"/>
          <w:highlight w:val="none"/>
          <w:lang w:val="en-US" w:eastAsia="zh-CN"/>
        </w:rPr>
        <w:t>可临时堆存于</w:t>
      </w:r>
      <w:r>
        <w:rPr>
          <w:rFonts w:hint="eastAsia" w:ascii="Times New Roman" w:hAnsi="Times New Roman" w:eastAsia="宋体" w:cs="Times New Roman"/>
          <w:color w:val="auto"/>
          <w:highlight w:val="none"/>
        </w:rPr>
        <w:t>废土石渣</w:t>
      </w:r>
      <w:r>
        <w:rPr>
          <w:rFonts w:hint="eastAsia" w:ascii="Times New Roman" w:hAnsi="Times New Roman" w:eastAsia="宋体" w:cs="Times New Roman"/>
          <w:color w:val="auto"/>
          <w:highlight w:val="none"/>
          <w:lang w:val="en-US" w:eastAsia="zh-CN"/>
        </w:rPr>
        <w:t>堆场。</w:t>
      </w:r>
      <w:r>
        <w:rPr>
          <w:rFonts w:hint="eastAsia" w:ascii="Times New Roman" w:hAnsi="Times New Roman" w:eastAsia="宋体" w:cs="Times New Roman"/>
          <w:color w:val="auto"/>
          <w:highlight w:val="none"/>
        </w:rPr>
        <w:t>废土石渣</w:t>
      </w:r>
      <w:r>
        <w:rPr>
          <w:rFonts w:hint="eastAsia" w:ascii="Times New Roman" w:hAnsi="Times New Roman" w:eastAsia="宋体" w:cs="Times New Roman"/>
          <w:color w:val="auto"/>
          <w:highlight w:val="none"/>
          <w:lang w:val="en-US" w:eastAsia="zh-CN"/>
        </w:rPr>
        <w:t>堆场总占地面积2</w:t>
      </w:r>
      <w:r>
        <w:rPr>
          <w:rFonts w:hint="eastAsia" w:ascii="Times New Roman" w:hAnsi="Times New Roman" w:eastAsia="宋体" w:cs="Times New Roman"/>
          <w:color w:val="auto"/>
          <w:highlight w:val="none"/>
        </w:rPr>
        <w:t>000m</w:t>
      </w:r>
      <w:r>
        <w:rPr>
          <w:rFonts w:hint="eastAsia"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szCs w:val="24"/>
          <w:highlight w:val="none"/>
        </w:rPr>
        <w:t>可容纳</w:t>
      </w:r>
      <w:r>
        <w:rPr>
          <w:rFonts w:hint="eastAsia" w:ascii="Times New Roman" w:hAnsi="Times New Roman" w:eastAsia="宋体" w:cs="Times New Roman"/>
          <w:color w:val="auto"/>
          <w:szCs w:val="24"/>
          <w:highlight w:val="none"/>
          <w:lang w:val="en-US" w:eastAsia="zh-CN"/>
        </w:rPr>
        <w:t>约</w:t>
      </w:r>
      <w:r>
        <w:rPr>
          <w:rFonts w:hint="eastAsia" w:ascii="Times New Roman" w:hAnsi="Times New Roman" w:eastAsia="宋体" w:cs="Times New Roman"/>
          <w:color w:val="auto"/>
          <w:szCs w:val="24"/>
          <w:highlight w:val="none"/>
        </w:rPr>
        <w:t>1.</w:t>
      </w:r>
      <w:r>
        <w:rPr>
          <w:rFonts w:hint="eastAsia" w:ascii="Times New Roman" w:hAnsi="Times New Roman" w:eastAsia="宋体" w:cs="Times New Roman"/>
          <w:color w:val="auto"/>
          <w:szCs w:val="24"/>
          <w:highlight w:val="none"/>
          <w:lang w:val="en-US" w:eastAsia="zh-CN"/>
        </w:rPr>
        <w:t>44</w:t>
      </w:r>
      <w:r>
        <w:rPr>
          <w:rFonts w:hint="eastAsia" w:ascii="Times New Roman" w:hAnsi="Times New Roman" w:eastAsia="宋体" w:cs="Times New Roman"/>
          <w:color w:val="auto"/>
          <w:szCs w:val="24"/>
          <w:highlight w:val="none"/>
        </w:rPr>
        <w:t>万t（</w:t>
      </w:r>
      <w:r>
        <w:rPr>
          <w:rFonts w:hint="eastAsia" w:ascii="Times New Roman" w:hAnsi="Times New Roman" w:eastAsia="宋体" w:cs="Times New Roman"/>
          <w:color w:val="auto"/>
          <w:szCs w:val="24"/>
          <w:highlight w:val="none"/>
          <w:lang w:val="en-US" w:eastAsia="zh-CN"/>
        </w:rPr>
        <w:t>6</w:t>
      </w:r>
      <w:r>
        <w:rPr>
          <w:rFonts w:hint="eastAsia" w:ascii="Times New Roman" w:hAnsi="Times New Roman" w:eastAsia="宋体" w:cs="Times New Roman"/>
          <w:color w:val="auto"/>
          <w:szCs w:val="24"/>
          <w:highlight w:val="none"/>
        </w:rPr>
        <w:t>000m</w:t>
      </w:r>
      <w:r>
        <w:rPr>
          <w:rFonts w:hint="eastAsia" w:ascii="Times New Roman" w:hAnsi="Times New Roman" w:eastAsia="宋体" w:cs="Times New Roman"/>
          <w:color w:val="auto"/>
          <w:szCs w:val="24"/>
          <w:highlight w:val="none"/>
          <w:vertAlign w:val="superscript"/>
        </w:rPr>
        <w:t>3</w:t>
      </w:r>
      <w:r>
        <w:rPr>
          <w:rFonts w:hint="eastAsia"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lang w:val="en-US" w:eastAsia="zh-CN"/>
        </w:rPr>
        <w:t>废土石渣</w:t>
      </w:r>
      <w:r>
        <w:rPr>
          <w:rFonts w:hint="eastAsia"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lang w:val="en-US" w:eastAsia="zh-CN"/>
        </w:rPr>
        <w:t>可满足废土石渣堆存3.6</w:t>
      </w:r>
      <w:r>
        <w:rPr>
          <w:rFonts w:hint="eastAsia" w:ascii="Times New Roman" w:hAnsi="Times New Roman" w:eastAsia="宋体" w:cs="Times New Roman"/>
          <w:color w:val="auto"/>
          <w:szCs w:val="24"/>
          <w:highlight w:val="none"/>
        </w:rPr>
        <w:t>年</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rPr>
        <w:t>矿区周边道路和村屯建设需要大量固体基料，</w:t>
      </w:r>
      <w:r>
        <w:rPr>
          <w:rFonts w:hint="eastAsia" w:ascii="Times New Roman" w:hAnsi="Times New Roman" w:eastAsia="宋体"/>
          <w:color w:val="auto"/>
          <w:highlight w:val="none"/>
        </w:rPr>
        <w:t>废土石渣外卖</w:t>
      </w:r>
      <w:r>
        <w:rPr>
          <w:rFonts w:ascii="Times New Roman" w:hAnsi="Times New Roman" w:eastAsia="宋体"/>
          <w:color w:val="auto"/>
          <w:highlight w:val="none"/>
        </w:rPr>
        <w:t>用于道路</w:t>
      </w:r>
      <w:r>
        <w:rPr>
          <w:rFonts w:hint="eastAsia" w:ascii="Times New Roman" w:hAnsi="Times New Roman" w:eastAsia="宋体"/>
          <w:color w:val="auto"/>
          <w:highlight w:val="none"/>
        </w:rPr>
        <w:t>建设，</w:t>
      </w:r>
      <w:r>
        <w:rPr>
          <w:rFonts w:hint="eastAsia" w:ascii="Times New Roman" w:hAnsi="Times New Roman" w:eastAsia="宋体" w:cs="Times New Roman"/>
          <w:color w:val="auto"/>
          <w:highlight w:val="none"/>
        </w:rPr>
        <w:t>可保证项目废土石渣得到及时处理。</w:t>
      </w:r>
    </w:p>
    <w:p>
      <w:pPr>
        <w:ind w:firstLine="480"/>
        <w:rPr>
          <w:rFonts w:ascii="Times New Roman" w:hAnsi="Times New Roman" w:eastAsia="宋体"/>
          <w:color w:val="auto"/>
          <w:highlight w:val="none"/>
        </w:rPr>
      </w:pPr>
      <w:r>
        <w:rPr>
          <w:rFonts w:ascii="Times New Roman" w:hAnsi="Times New Roman" w:eastAsia="宋体"/>
          <w:color w:val="auto"/>
          <w:highlight w:val="none"/>
        </w:rPr>
        <w:t>采取以上措施后，项目</w:t>
      </w:r>
      <w:r>
        <w:rPr>
          <w:rFonts w:hint="eastAsia" w:ascii="Times New Roman" w:hAnsi="Times New Roman" w:eastAsia="宋体"/>
          <w:color w:val="auto"/>
          <w:highlight w:val="none"/>
        </w:rPr>
        <w:t>临时排土场</w:t>
      </w:r>
      <w:r>
        <w:rPr>
          <w:rFonts w:ascii="Times New Roman" w:hAnsi="Times New Roman" w:eastAsia="宋体"/>
          <w:color w:val="auto"/>
          <w:highlight w:val="none"/>
        </w:rPr>
        <w:t>堆放的废弃土方对周边环境影响不大。待项目矿山服务期满后对</w:t>
      </w:r>
      <w:r>
        <w:rPr>
          <w:rFonts w:hint="eastAsia" w:ascii="Times New Roman" w:hAnsi="Times New Roman" w:eastAsia="宋体"/>
          <w:color w:val="auto"/>
          <w:highlight w:val="none"/>
        </w:rPr>
        <w:t>排</w:t>
      </w:r>
      <w:r>
        <w:rPr>
          <w:rFonts w:ascii="Times New Roman" w:hAnsi="Times New Roman" w:eastAsia="宋体"/>
          <w:color w:val="auto"/>
          <w:highlight w:val="none"/>
        </w:rPr>
        <w:t>土场、露天采场进行复垦绿化。</w:t>
      </w:r>
      <w:bookmarkStart w:id="386" w:name="_Toc32021"/>
    </w:p>
    <w:bookmarkEnd w:id="386"/>
    <w:p>
      <w:pPr>
        <w:ind w:firstLine="480"/>
        <w:rPr>
          <w:rFonts w:ascii="Times New Roman" w:hAnsi="Times New Roman" w:eastAsia="宋体"/>
          <w:color w:val="auto"/>
          <w:highlight w:val="none"/>
        </w:rPr>
      </w:pPr>
      <w:r>
        <w:rPr>
          <w:rFonts w:ascii="Times New Roman" w:hAnsi="Times New Roman" w:eastAsia="宋体"/>
          <w:color w:val="auto"/>
          <w:highlight w:val="none"/>
        </w:rPr>
        <w:t>2、泥渣</w:t>
      </w:r>
    </w:p>
    <w:p>
      <w:pPr>
        <w:ind w:firstLine="480"/>
        <w:rPr>
          <w:rFonts w:ascii="Times New Roman" w:hAnsi="Times New Roman" w:eastAsia="宋体"/>
          <w:color w:val="auto"/>
          <w:highlight w:val="none"/>
        </w:rPr>
      </w:pPr>
      <w:r>
        <w:rPr>
          <w:rFonts w:ascii="Times New Roman" w:hAnsi="Times New Roman" w:eastAsia="宋体"/>
          <w:color w:val="auto"/>
          <w:highlight w:val="none"/>
        </w:rPr>
        <w:t>项目</w:t>
      </w:r>
      <w:r>
        <w:rPr>
          <w:rFonts w:hint="eastAsia" w:ascii="Times New Roman" w:hAnsi="Times New Roman" w:eastAsia="宋体"/>
          <w:color w:val="auto"/>
          <w:highlight w:val="none"/>
        </w:rPr>
        <w:t>初期雨水</w:t>
      </w:r>
      <w:r>
        <w:rPr>
          <w:rFonts w:ascii="Times New Roman" w:hAnsi="Times New Roman" w:eastAsia="宋体"/>
          <w:color w:val="auto"/>
          <w:highlight w:val="none"/>
        </w:rPr>
        <w:t>沉砂池泥渣</w:t>
      </w:r>
      <w:r>
        <w:rPr>
          <w:rFonts w:ascii="Times New Roman" w:hAnsi="Times New Roman" w:eastAsia="宋体"/>
          <w:color w:val="auto"/>
          <w:highlight w:val="none"/>
          <w:u w:val="single"/>
        </w:rPr>
        <w:t>（</w:t>
      </w:r>
      <w:r>
        <w:rPr>
          <w:rFonts w:hint="eastAsia"/>
          <w:color w:val="auto"/>
          <w:highlight w:val="none"/>
          <w:u w:val="single"/>
          <w:lang w:val="en-US" w:eastAsia="zh-CN"/>
        </w:rPr>
        <w:t>5</w:t>
      </w:r>
      <w:r>
        <w:rPr>
          <w:rFonts w:ascii="Times New Roman" w:hAnsi="Times New Roman" w:eastAsia="宋体"/>
          <w:color w:val="auto"/>
          <w:highlight w:val="none"/>
          <w:u w:val="single"/>
        </w:rPr>
        <w:t>t/a）</w:t>
      </w:r>
      <w:r>
        <w:rPr>
          <w:rFonts w:ascii="Times New Roman" w:hAnsi="Times New Roman" w:eastAsia="宋体"/>
          <w:color w:val="auto"/>
          <w:highlight w:val="none"/>
        </w:rPr>
        <w:t>属于一般工业固体废物，定期采用机械（清淤泵）与人工（挖铲）相结合的清淤方式，然后用挖掘机挖采装车运至项目</w:t>
      </w:r>
      <w:r>
        <w:rPr>
          <w:rFonts w:hint="eastAsia" w:ascii="Times New Roman" w:hAnsi="Times New Roman" w:eastAsia="宋体"/>
          <w:color w:val="auto"/>
          <w:highlight w:val="none"/>
        </w:rPr>
        <w:t>排</w:t>
      </w:r>
      <w:r>
        <w:rPr>
          <w:rFonts w:ascii="Times New Roman" w:hAnsi="Times New Roman" w:eastAsia="宋体"/>
          <w:color w:val="auto"/>
          <w:highlight w:val="none"/>
        </w:rPr>
        <w:t>土场临时堆放，</w:t>
      </w:r>
      <w:r>
        <w:rPr>
          <w:rFonts w:hint="eastAsia" w:ascii="Times New Roman" w:hAnsi="Times New Roman" w:eastAsia="宋体"/>
          <w:color w:val="auto"/>
          <w:highlight w:val="none"/>
        </w:rPr>
        <w:t>用于矿区道路平整</w:t>
      </w:r>
      <w:r>
        <w:rPr>
          <w:rFonts w:ascii="Times New Roman" w:hAnsi="Times New Roman" w:eastAsia="宋体"/>
          <w:color w:val="auto"/>
          <w:highlight w:val="none"/>
        </w:rPr>
        <w:t>，对周边环境影响不大。泥渣在清理和运输中，应严格管理，杜绝泥渣随意洒落，造成二次污染。经采取有效的措施，泥渣的处置对环境的影响不大。</w:t>
      </w:r>
    </w:p>
    <w:p>
      <w:pPr>
        <w:numPr>
          <w:ilvl w:val="0"/>
          <w:numId w:val="8"/>
        </w:num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洗砂泥饼</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洗砂泥饼</w:t>
      </w:r>
      <w:r>
        <w:rPr>
          <w:rFonts w:ascii="Times New Roman" w:hAnsi="Times New Roman" w:eastAsia="宋体"/>
          <w:color w:val="auto"/>
          <w:highlight w:val="none"/>
        </w:rPr>
        <w:t>收集</w:t>
      </w:r>
      <w:r>
        <w:rPr>
          <w:rFonts w:hint="eastAsia" w:ascii="Times New Roman" w:hAnsi="Times New Roman" w:eastAsia="宋体"/>
          <w:color w:val="auto"/>
          <w:highlight w:val="none"/>
        </w:rPr>
        <w:t>后</w:t>
      </w:r>
      <w:r>
        <w:rPr>
          <w:rFonts w:ascii="Times New Roman" w:hAnsi="Times New Roman" w:eastAsia="宋体"/>
          <w:color w:val="auto"/>
          <w:highlight w:val="none"/>
        </w:rPr>
        <w:t>统一外卖</w:t>
      </w:r>
      <w:r>
        <w:rPr>
          <w:rFonts w:hint="eastAsia" w:ascii="Times New Roman" w:hAnsi="Times New Roman" w:eastAsia="宋体"/>
          <w:color w:val="auto"/>
          <w:highlight w:val="none"/>
        </w:rPr>
        <w:t>砖厂</w:t>
      </w:r>
      <w:r>
        <w:rPr>
          <w:rFonts w:ascii="Times New Roman" w:hAnsi="Times New Roman" w:eastAsia="宋体"/>
          <w:color w:val="auto"/>
          <w:highlight w:val="none"/>
        </w:rPr>
        <w:t>，对环境影响不大。</w:t>
      </w:r>
    </w:p>
    <w:bookmarkEnd w:id="385"/>
    <w:p>
      <w:pPr>
        <w:ind w:firstLine="480"/>
        <w:rPr>
          <w:rFonts w:hint="eastAsia" w:ascii="Times New Roman" w:hAnsi="Times New Roman" w:eastAsia="宋体"/>
          <w:color w:val="auto"/>
          <w:highlight w:val="none"/>
        </w:rPr>
      </w:pPr>
      <w:r>
        <w:rPr>
          <w:rFonts w:ascii="Times New Roman" w:hAnsi="Times New Roman" w:eastAsia="宋体"/>
          <w:color w:val="auto"/>
          <w:highlight w:val="none"/>
        </w:rPr>
        <w:t>4、</w:t>
      </w:r>
      <w:r>
        <w:rPr>
          <w:rFonts w:hint="eastAsia" w:ascii="Times New Roman" w:hAnsi="Times New Roman" w:eastAsia="宋体"/>
          <w:color w:val="auto"/>
          <w:highlight w:val="none"/>
        </w:rPr>
        <w:t>除尘器粉尘</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袋式除尘器收集到的粉尘统一外卖，对环境影响不大。</w:t>
      </w:r>
    </w:p>
    <w:p>
      <w:pPr>
        <w:spacing w:line="500" w:lineRule="exact"/>
        <w:ind w:firstLine="480"/>
        <w:rPr>
          <w:rFonts w:ascii="Times New Roman" w:hAnsi="Times New Roman" w:eastAsia="宋体" w:cs="Times New Roman"/>
          <w:color w:val="auto"/>
          <w:highlight w:val="none"/>
        </w:rPr>
      </w:pPr>
      <w:r>
        <w:rPr>
          <w:rFonts w:hint="eastAsia" w:ascii="Times New Roman" w:hAnsi="Times New Roman" w:eastAsia="宋体"/>
          <w:color w:val="auto"/>
          <w:highlight w:val="none"/>
        </w:rPr>
        <w:t>5、</w:t>
      </w:r>
      <w:r>
        <w:rPr>
          <w:rFonts w:ascii="Times New Roman" w:hAnsi="Times New Roman" w:eastAsia="宋体" w:cs="Times New Roman"/>
          <w:color w:val="auto"/>
          <w:highlight w:val="none"/>
        </w:rPr>
        <w:t>机械维修固体废物</w:t>
      </w:r>
    </w:p>
    <w:p>
      <w:pPr>
        <w:ind w:firstLine="480"/>
        <w:rPr>
          <w:rFonts w:ascii="Times New Roman" w:hAnsi="Times New Roman" w:eastAsia="宋体"/>
          <w:color w:val="auto"/>
          <w:highlight w:val="none"/>
        </w:rPr>
      </w:pPr>
      <w:r>
        <w:rPr>
          <w:rFonts w:ascii="Times New Roman" w:hAnsi="Times New Roman" w:eastAsia="宋体" w:cs="Times New Roman"/>
          <w:color w:val="auto"/>
          <w:szCs w:val="20"/>
          <w:highlight w:val="none"/>
        </w:rPr>
        <w:t>在机械维修时产生少量金属废零件和废弃轮胎等</w:t>
      </w:r>
      <w:r>
        <w:rPr>
          <w:rFonts w:ascii="Times New Roman" w:hAnsi="Times New Roman" w:eastAsia="宋体" w:cs="Times New Roman"/>
          <w:color w:val="auto"/>
          <w:highlight w:val="none"/>
        </w:rPr>
        <w:t>固体废物，产生量约3.0t/a，妥善分类收集后外卖给废品回收公司，机修维修固体废物均处置妥当，对周围环境影响不大。</w:t>
      </w:r>
    </w:p>
    <w:p>
      <w:pPr>
        <w:pStyle w:val="6"/>
        <w:tabs>
          <w:tab w:val="left" w:pos="360"/>
          <w:tab w:val="left" w:pos="1390"/>
        </w:tabs>
        <w:spacing w:line="500" w:lineRule="exact"/>
        <w:rPr>
          <w:rFonts w:ascii="Times New Roman" w:hAnsi="Times New Roman" w:eastAsia="宋体"/>
          <w:color w:val="auto"/>
          <w:highlight w:val="none"/>
        </w:rPr>
      </w:pPr>
      <w:bookmarkStart w:id="387" w:name="_Toc4593"/>
      <w:r>
        <w:rPr>
          <w:rFonts w:ascii="Times New Roman" w:hAnsi="Times New Roman" w:eastAsia="宋体"/>
          <w:color w:val="auto"/>
          <w:highlight w:val="none"/>
        </w:rPr>
        <w:t>4.2.6.3 生活垃圾</w:t>
      </w:r>
      <w:bookmarkEnd w:id="387"/>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项目生活垃圾产生</w:t>
      </w:r>
      <w:r>
        <w:rPr>
          <w:rFonts w:hint="eastAsia" w:ascii="Times New Roman" w:hAnsi="Times New Roman" w:eastAsia="宋体" w:cs="Times New Roman"/>
          <w:color w:val="auto"/>
          <w:highlight w:val="none"/>
        </w:rPr>
        <w:t>总</w:t>
      </w:r>
      <w:r>
        <w:rPr>
          <w:rFonts w:ascii="Times New Roman" w:hAnsi="Times New Roman" w:eastAsia="宋体" w:cs="Times New Roman"/>
          <w:color w:val="auto"/>
          <w:highlight w:val="none"/>
        </w:rPr>
        <w:t>量为</w:t>
      </w:r>
      <w:r>
        <w:rPr>
          <w:rFonts w:hint="eastAsia" w:ascii="Times New Roman" w:hAnsi="Times New Roman" w:eastAsia="宋体" w:cs="Times New Roman"/>
          <w:color w:val="auto"/>
          <w:highlight w:val="none"/>
        </w:rPr>
        <w:t>13.5</w:t>
      </w:r>
      <w:r>
        <w:rPr>
          <w:rFonts w:ascii="Times New Roman" w:hAnsi="Times New Roman" w:eastAsia="宋体" w:cs="Times New Roman"/>
          <w:color w:val="auto"/>
          <w:highlight w:val="none"/>
        </w:rPr>
        <w:t>t/a。项目设置一个垃圾收集点，将生活垃圾统一收集后，交由环卫部门处理，对环境的影响较小。</w:t>
      </w:r>
    </w:p>
    <w:p>
      <w:pPr>
        <w:pStyle w:val="6"/>
        <w:tabs>
          <w:tab w:val="left" w:pos="1390"/>
        </w:tabs>
        <w:spacing w:line="500" w:lineRule="exact"/>
        <w:rPr>
          <w:rFonts w:ascii="Times New Roman" w:hAnsi="Times New Roman" w:eastAsia="宋体"/>
          <w:color w:val="auto"/>
          <w:highlight w:val="none"/>
        </w:rPr>
      </w:pPr>
      <w:bookmarkStart w:id="388" w:name="_Toc13963"/>
      <w:r>
        <w:rPr>
          <w:rFonts w:ascii="Times New Roman" w:hAnsi="Times New Roman" w:eastAsia="宋体"/>
          <w:color w:val="auto"/>
          <w:highlight w:val="none"/>
        </w:rPr>
        <w:t>4.2.6.4 危险废物</w:t>
      </w:r>
      <w:bookmarkEnd w:id="388"/>
    </w:p>
    <w:p>
      <w:pPr>
        <w:spacing w:line="500" w:lineRule="exact"/>
        <w:ind w:firstLine="480"/>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u w:val="single"/>
        </w:rPr>
        <w:t>本项目营运期产生的危险废物为废机油（废物代码900-214-08）及废含油抹布（废物代码900-041-49）。</w:t>
      </w:r>
      <w:r>
        <w:rPr>
          <w:rFonts w:hint="eastAsia" w:cs="Times New Roman"/>
          <w:color w:val="auto"/>
          <w:highlight w:val="none"/>
          <w:u w:val="single"/>
          <w:lang w:val="en-US" w:eastAsia="zh-CN"/>
        </w:rPr>
        <w:t>废含油抹布列入危险废物豁免清单，废机油</w:t>
      </w:r>
      <w:r>
        <w:rPr>
          <w:rFonts w:ascii="Times New Roman" w:hAnsi="Times New Roman" w:eastAsia="宋体" w:cs="Times New Roman"/>
          <w:color w:val="auto"/>
          <w:highlight w:val="none"/>
          <w:u w:val="single"/>
        </w:rPr>
        <w:t>储存、转移和处理途径须遵守《危险废物污染防治技术政策》（环发</w:t>
      </w:r>
      <w:r>
        <w:rPr>
          <w:rFonts w:ascii="Times New Roman" w:hAnsi="Times New Roman" w:eastAsia="宋体" w:cs="Times New Roman"/>
          <w:color w:val="auto"/>
          <w:szCs w:val="24"/>
          <w:highlight w:val="none"/>
          <w:u w:val="single"/>
        </w:rPr>
        <w:t>〔20</w:t>
      </w:r>
      <w:r>
        <w:rPr>
          <w:rFonts w:hint="eastAsia" w:ascii="Times New Roman" w:hAnsi="Times New Roman" w:eastAsia="宋体" w:cs="Times New Roman"/>
          <w:color w:val="auto"/>
          <w:szCs w:val="24"/>
          <w:highlight w:val="none"/>
          <w:u w:val="single"/>
          <w:lang w:val="en-US" w:eastAsia="zh-CN"/>
        </w:rPr>
        <w:t>0</w:t>
      </w:r>
      <w:r>
        <w:rPr>
          <w:rFonts w:ascii="Times New Roman" w:hAnsi="Times New Roman" w:eastAsia="宋体" w:cs="Times New Roman"/>
          <w:color w:val="auto"/>
          <w:szCs w:val="24"/>
          <w:highlight w:val="none"/>
          <w:u w:val="single"/>
        </w:rPr>
        <w:t>1〕</w:t>
      </w:r>
      <w:r>
        <w:rPr>
          <w:rFonts w:ascii="Times New Roman" w:hAnsi="Times New Roman" w:eastAsia="宋体" w:cs="Times New Roman"/>
          <w:color w:val="auto"/>
          <w:highlight w:val="none"/>
          <w:u w:val="single"/>
        </w:rPr>
        <w:t>99号）及《危险废物贮存污染控制标准》（GB</w:t>
      </w:r>
      <w:r>
        <w:rPr>
          <w:rFonts w:hint="eastAsia" w:ascii="Times New Roman" w:hAnsi="Times New Roman" w:eastAsia="宋体" w:cs="Times New Roman"/>
          <w:color w:val="auto"/>
          <w:highlight w:val="none"/>
          <w:u w:val="single"/>
          <w:lang w:val="en-US" w:eastAsia="zh-CN"/>
        </w:rPr>
        <w:t xml:space="preserve"> </w:t>
      </w:r>
      <w:r>
        <w:rPr>
          <w:rFonts w:ascii="Times New Roman" w:hAnsi="Times New Roman" w:eastAsia="宋体" w:cs="Times New Roman"/>
          <w:color w:val="auto"/>
          <w:highlight w:val="none"/>
          <w:u w:val="single"/>
        </w:rPr>
        <w:t>18597-2001）及修改单等相关规定。项目在厂区内设危险废物暂存间暂存，废机油委托有资质的单位处置。</w:t>
      </w:r>
    </w:p>
    <w:p>
      <w:pPr>
        <w:spacing w:line="500" w:lineRule="exact"/>
        <w:ind w:firstLine="480"/>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u w:val="single"/>
        </w:rPr>
        <w:t>1</w:t>
      </w:r>
      <w:r>
        <w:rPr>
          <w:rFonts w:hint="eastAsia" w:cs="Times New Roman"/>
          <w:color w:val="auto"/>
          <w:highlight w:val="none"/>
          <w:u w:val="single"/>
          <w:lang w:val="en-US" w:eastAsia="zh-CN"/>
        </w:rPr>
        <w:t>.</w:t>
      </w:r>
      <w:r>
        <w:rPr>
          <w:rFonts w:ascii="Times New Roman" w:hAnsi="Times New Roman" w:eastAsia="宋体" w:cs="Times New Roman"/>
          <w:color w:val="auto"/>
          <w:highlight w:val="none"/>
          <w:u w:val="single"/>
        </w:rPr>
        <w:t>危险废物暂存间环境影响分析</w:t>
      </w:r>
    </w:p>
    <w:p>
      <w:pPr>
        <w:spacing w:line="500" w:lineRule="exact"/>
        <w:ind w:firstLine="480"/>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u w:val="single"/>
        </w:rPr>
        <w:t>现有工程无危险废物暂存间，评价要求在矿区东</w:t>
      </w:r>
      <w:r>
        <w:rPr>
          <w:rFonts w:hint="eastAsia" w:ascii="Times New Roman" w:hAnsi="Times New Roman" w:eastAsia="宋体" w:cs="Times New Roman"/>
          <w:color w:val="auto"/>
          <w:highlight w:val="none"/>
          <w:u w:val="single"/>
        </w:rPr>
        <w:t>南</w:t>
      </w:r>
      <w:r>
        <w:rPr>
          <w:rFonts w:ascii="Times New Roman" w:hAnsi="Times New Roman" w:eastAsia="宋体" w:cs="Times New Roman"/>
          <w:color w:val="auto"/>
          <w:highlight w:val="none"/>
          <w:u w:val="single"/>
        </w:rPr>
        <w:t>侧</w:t>
      </w:r>
      <w:r>
        <w:rPr>
          <w:rFonts w:hint="eastAsia" w:ascii="Times New Roman" w:hAnsi="Times New Roman" w:eastAsia="宋体" w:cs="Times New Roman"/>
          <w:color w:val="auto"/>
          <w:highlight w:val="none"/>
          <w:u w:val="single"/>
        </w:rPr>
        <w:t>和西南侧分别</w:t>
      </w:r>
      <w:r>
        <w:rPr>
          <w:rFonts w:ascii="Times New Roman" w:hAnsi="Times New Roman" w:eastAsia="宋体" w:cs="Times New Roman"/>
          <w:color w:val="auto"/>
          <w:highlight w:val="none"/>
          <w:u w:val="single"/>
        </w:rPr>
        <w:t>设置一间危险废物暂存间，占地面积</w:t>
      </w:r>
      <w:r>
        <w:rPr>
          <w:rFonts w:hint="eastAsia" w:ascii="Times New Roman" w:hAnsi="Times New Roman" w:eastAsia="宋体" w:cs="Times New Roman"/>
          <w:color w:val="auto"/>
          <w:highlight w:val="none"/>
          <w:u w:val="single"/>
        </w:rPr>
        <w:t>均</w:t>
      </w:r>
      <w:r>
        <w:rPr>
          <w:rFonts w:ascii="Times New Roman" w:hAnsi="Times New Roman" w:eastAsia="宋体" w:cs="Times New Roman"/>
          <w:color w:val="auto"/>
          <w:highlight w:val="none"/>
          <w:u w:val="single"/>
        </w:rPr>
        <w:t>为5m</w:t>
      </w:r>
      <w:r>
        <w:rPr>
          <w:rFonts w:ascii="Times New Roman" w:hAnsi="Times New Roman" w:eastAsia="宋体" w:cs="Times New Roman"/>
          <w:color w:val="auto"/>
          <w:highlight w:val="none"/>
          <w:u w:val="single"/>
          <w:vertAlign w:val="superscript"/>
        </w:rPr>
        <w:t>2</w:t>
      </w:r>
      <w:r>
        <w:rPr>
          <w:rFonts w:ascii="Times New Roman" w:hAnsi="Times New Roman" w:eastAsia="宋体" w:cs="Times New Roman"/>
          <w:color w:val="auto"/>
          <w:highlight w:val="none"/>
          <w:u w:val="single"/>
        </w:rPr>
        <w:t>。危险废物暂存间主要用于暂存废机油，</w:t>
      </w:r>
      <w:r>
        <w:rPr>
          <w:rFonts w:hint="eastAsia" w:ascii="Times New Roman" w:hAnsi="Times New Roman" w:eastAsia="宋体" w:cs="Times New Roman"/>
          <w:color w:val="auto"/>
          <w:highlight w:val="none"/>
          <w:u w:val="single"/>
        </w:rPr>
        <w:t>废机油</w:t>
      </w:r>
      <w:r>
        <w:rPr>
          <w:rFonts w:ascii="Times New Roman" w:hAnsi="Times New Roman" w:eastAsia="宋体" w:cs="Times New Roman"/>
          <w:color w:val="auto"/>
          <w:highlight w:val="none"/>
          <w:u w:val="single"/>
        </w:rPr>
        <w:t>产生量约0.1t/a</w:t>
      </w:r>
      <w:r>
        <w:rPr>
          <w:rFonts w:hint="eastAsia" w:ascii="Times New Roman" w:hAnsi="Times New Roman" w:eastAsia="宋体" w:cs="Times New Roman"/>
          <w:color w:val="auto"/>
          <w:highlight w:val="none"/>
          <w:u w:val="single"/>
        </w:rPr>
        <w:t>，</w:t>
      </w:r>
      <w:r>
        <w:rPr>
          <w:rFonts w:ascii="Times New Roman" w:hAnsi="Times New Roman" w:eastAsia="宋体" w:cs="Times New Roman"/>
          <w:color w:val="auto"/>
          <w:highlight w:val="none"/>
          <w:u w:val="single"/>
        </w:rPr>
        <w:t>危险废物暂存间贮存场地具体见表4.2-</w:t>
      </w:r>
      <w:r>
        <w:rPr>
          <w:rFonts w:hint="eastAsia" w:ascii="Times New Roman" w:hAnsi="Times New Roman" w:eastAsia="宋体" w:cs="Times New Roman"/>
          <w:color w:val="auto"/>
          <w:highlight w:val="none"/>
          <w:u w:val="single"/>
        </w:rPr>
        <w:t>34</w:t>
      </w:r>
      <w:r>
        <w:rPr>
          <w:rFonts w:ascii="Times New Roman" w:hAnsi="Times New Roman" w:eastAsia="宋体" w:cs="Times New Roman"/>
          <w:color w:val="auto"/>
          <w:highlight w:val="none"/>
          <w:u w:val="single"/>
        </w:rPr>
        <w:t>。</w:t>
      </w:r>
    </w:p>
    <w:p>
      <w:pPr>
        <w:spacing w:line="240" w:lineRule="auto"/>
        <w:ind w:firstLine="0" w:firstLineChars="0"/>
        <w:jc w:val="center"/>
        <w:rPr>
          <w:rFonts w:ascii="Times New Roman" w:hAnsi="Times New Roman" w:eastAsia="宋体" w:cs="Times New Roman"/>
          <w:b/>
          <w:color w:val="auto"/>
          <w:szCs w:val="24"/>
          <w:highlight w:val="none"/>
        </w:rPr>
      </w:pPr>
      <w:r>
        <w:rPr>
          <w:rFonts w:ascii="Times New Roman" w:hAnsi="Times New Roman" w:eastAsia="宋体" w:cs="Times New Roman"/>
          <w:b/>
          <w:bCs/>
          <w:color w:val="auto"/>
          <w:highlight w:val="none"/>
        </w:rPr>
        <w:t>表4.2-</w:t>
      </w:r>
      <w:r>
        <w:rPr>
          <w:rFonts w:hint="eastAsia" w:ascii="Times New Roman" w:hAnsi="Times New Roman" w:eastAsia="宋体" w:cs="Times New Roman"/>
          <w:b/>
          <w:bCs/>
          <w:color w:val="auto"/>
          <w:highlight w:val="none"/>
        </w:rPr>
        <w:t xml:space="preserve">34 </w:t>
      </w:r>
      <w:r>
        <w:rPr>
          <w:rFonts w:ascii="Times New Roman" w:hAnsi="Times New Roman" w:eastAsia="宋体" w:cs="Times New Roman"/>
          <w:b/>
          <w:bCs/>
          <w:color w:val="auto"/>
          <w:highlight w:val="none"/>
        </w:rPr>
        <w:t>建设项目危险废物贮存场地基本情况表</w:t>
      </w:r>
    </w:p>
    <w:tbl>
      <w:tblPr>
        <w:tblStyle w:val="48"/>
        <w:tblW w:w="9071" w:type="dxa"/>
        <w:jc w:val="center"/>
        <w:tblInd w:w="-15"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
      <w:tblGrid>
        <w:gridCol w:w="423"/>
        <w:gridCol w:w="760"/>
        <w:gridCol w:w="798"/>
        <w:gridCol w:w="714"/>
        <w:gridCol w:w="758"/>
        <w:gridCol w:w="768"/>
        <w:gridCol w:w="455"/>
        <w:gridCol w:w="685"/>
        <w:gridCol w:w="726"/>
        <w:gridCol w:w="621"/>
        <w:gridCol w:w="660"/>
        <w:gridCol w:w="780"/>
        <w:gridCol w:w="923"/>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423"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序号</w:t>
            </w:r>
          </w:p>
        </w:tc>
        <w:tc>
          <w:tcPr>
            <w:tcW w:w="760"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危险废物名称</w:t>
            </w:r>
          </w:p>
        </w:tc>
        <w:tc>
          <w:tcPr>
            <w:tcW w:w="798"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危险废物类别</w:t>
            </w:r>
          </w:p>
        </w:tc>
        <w:tc>
          <w:tcPr>
            <w:tcW w:w="714"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危险废物代码</w:t>
            </w:r>
          </w:p>
        </w:tc>
        <w:tc>
          <w:tcPr>
            <w:tcW w:w="758"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产生量</w:t>
            </w:r>
          </w:p>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（t/a）</w:t>
            </w:r>
          </w:p>
        </w:tc>
        <w:tc>
          <w:tcPr>
            <w:tcW w:w="768"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left"/>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产生工序及装置</w:t>
            </w:r>
          </w:p>
        </w:tc>
        <w:tc>
          <w:tcPr>
            <w:tcW w:w="455"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形态</w:t>
            </w:r>
          </w:p>
        </w:tc>
        <w:tc>
          <w:tcPr>
            <w:tcW w:w="685"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主要</w:t>
            </w:r>
          </w:p>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成分</w:t>
            </w:r>
          </w:p>
        </w:tc>
        <w:tc>
          <w:tcPr>
            <w:tcW w:w="726"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有害</w:t>
            </w:r>
          </w:p>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成分</w:t>
            </w:r>
          </w:p>
        </w:tc>
        <w:tc>
          <w:tcPr>
            <w:tcW w:w="621"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产废</w:t>
            </w:r>
          </w:p>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周期</w:t>
            </w:r>
          </w:p>
        </w:tc>
        <w:tc>
          <w:tcPr>
            <w:tcW w:w="660"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危险</w:t>
            </w:r>
          </w:p>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特性</w:t>
            </w:r>
          </w:p>
        </w:tc>
        <w:tc>
          <w:tcPr>
            <w:tcW w:w="1703" w:type="dxa"/>
            <w:gridSpan w:val="2"/>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污染防治措施</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423"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760"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798"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714"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758"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768"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455"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685"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726"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621"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660"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p>
        </w:tc>
        <w:tc>
          <w:tcPr>
            <w:tcW w:w="780" w:type="dxa"/>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贮存</w:t>
            </w:r>
          </w:p>
        </w:tc>
        <w:tc>
          <w:tcPr>
            <w:tcW w:w="923" w:type="dxa"/>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处置</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423"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760"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废含油抹布</w:t>
            </w:r>
          </w:p>
        </w:tc>
        <w:tc>
          <w:tcPr>
            <w:tcW w:w="798" w:type="dxa"/>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HW49</w:t>
            </w:r>
          </w:p>
        </w:tc>
        <w:tc>
          <w:tcPr>
            <w:tcW w:w="714" w:type="dxa"/>
            <w:noWrap w:val="0"/>
            <w:tcMar>
              <w:top w:w="0" w:type="dxa"/>
              <w:left w:w="0" w:type="dxa"/>
              <w:bottom w:w="0" w:type="dxa"/>
              <w:right w:w="0" w:type="dxa"/>
            </w:tcMar>
            <w:vAlign w:val="center"/>
          </w:tcPr>
          <w:p>
            <w:pPr>
              <w:topLinePunct/>
              <w:adjustRightInd w:val="0"/>
              <w:snapToGrid w:val="0"/>
              <w:spacing w:line="240" w:lineRule="auto"/>
              <w:ind w:firstLine="0" w:firstLineChars="0"/>
              <w:jc w:val="left"/>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900-041-49</w:t>
            </w:r>
          </w:p>
        </w:tc>
        <w:tc>
          <w:tcPr>
            <w:tcW w:w="758"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0.02</w:t>
            </w:r>
          </w:p>
        </w:tc>
        <w:tc>
          <w:tcPr>
            <w:tcW w:w="768" w:type="dxa"/>
            <w:vMerge w:val="restart"/>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机械</w:t>
            </w:r>
          </w:p>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维修</w:t>
            </w:r>
          </w:p>
        </w:tc>
        <w:tc>
          <w:tcPr>
            <w:tcW w:w="455" w:type="dxa"/>
            <w:noWrap w:val="0"/>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固体</w:t>
            </w:r>
          </w:p>
        </w:tc>
        <w:tc>
          <w:tcPr>
            <w:tcW w:w="685" w:type="dxa"/>
            <w:noWrap w:val="0"/>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抹布</w:t>
            </w:r>
          </w:p>
        </w:tc>
        <w:tc>
          <w:tcPr>
            <w:tcW w:w="726" w:type="dxa"/>
            <w:noWrap w:val="0"/>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石油类</w:t>
            </w:r>
          </w:p>
        </w:tc>
        <w:tc>
          <w:tcPr>
            <w:tcW w:w="621" w:type="dxa"/>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1年</w:t>
            </w:r>
          </w:p>
        </w:tc>
        <w:tc>
          <w:tcPr>
            <w:tcW w:w="660" w:type="dxa"/>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T/In</w:t>
            </w:r>
          </w:p>
        </w:tc>
        <w:tc>
          <w:tcPr>
            <w:tcW w:w="780" w:type="dxa"/>
            <w:noWrap w:val="0"/>
            <w:tcMar>
              <w:top w:w="0" w:type="dxa"/>
              <w:left w:w="0" w:type="dxa"/>
              <w:bottom w:w="0" w:type="dxa"/>
              <w:right w:w="0" w:type="dxa"/>
            </w:tcMar>
            <w:vAlign w:val="center"/>
          </w:tcPr>
          <w:p>
            <w:pPr>
              <w:topLinePunct/>
              <w:adjustRightInd w:val="0"/>
              <w:snapToGrid w:val="0"/>
              <w:spacing w:line="240" w:lineRule="auto"/>
              <w:ind w:firstLine="0" w:firstLineChars="0"/>
              <w:jc w:val="left"/>
              <w:rPr>
                <w:rFonts w:ascii="Times New Roman" w:hAnsi="Times New Roman" w:eastAsia="宋体" w:cs="Times New Roman"/>
                <w:color w:val="auto"/>
                <w:kern w:val="0"/>
                <w:sz w:val="21"/>
                <w:highlight w:val="none"/>
              </w:rPr>
            </w:pPr>
            <w:r>
              <w:rPr>
                <w:rFonts w:hint="eastAsia" w:cs="Times New Roman"/>
                <w:color w:val="auto"/>
                <w:kern w:val="0"/>
                <w:sz w:val="21"/>
                <w:highlight w:val="none"/>
                <w:u w:val="single"/>
                <w:lang w:val="en-US" w:eastAsia="zh-CN"/>
              </w:rPr>
              <w:t>混入生活垃圾</w:t>
            </w:r>
          </w:p>
        </w:tc>
        <w:tc>
          <w:tcPr>
            <w:tcW w:w="923" w:type="dxa"/>
            <w:noWrap w:val="0"/>
            <w:tcMar>
              <w:top w:w="0" w:type="dxa"/>
              <w:left w:w="0" w:type="dxa"/>
              <w:bottom w:w="0" w:type="dxa"/>
              <w:right w:w="0" w:type="dxa"/>
            </w:tcMar>
            <w:vAlign w:val="center"/>
          </w:tcPr>
          <w:p>
            <w:pPr>
              <w:topLinePunct/>
              <w:adjustRightInd w:val="0"/>
              <w:snapToGrid w:val="0"/>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u w:val="single"/>
              </w:rPr>
              <w:t>由环卫部门处理</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423"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760"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废机油</w:t>
            </w:r>
          </w:p>
        </w:tc>
        <w:tc>
          <w:tcPr>
            <w:tcW w:w="798" w:type="dxa"/>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HW08</w:t>
            </w:r>
          </w:p>
        </w:tc>
        <w:tc>
          <w:tcPr>
            <w:tcW w:w="714" w:type="dxa"/>
            <w:noWrap w:val="0"/>
            <w:tcMar>
              <w:top w:w="0" w:type="dxa"/>
              <w:left w:w="0" w:type="dxa"/>
              <w:bottom w:w="0" w:type="dxa"/>
              <w:right w:w="0" w:type="dxa"/>
            </w:tcMar>
            <w:vAlign w:val="center"/>
          </w:tcPr>
          <w:p>
            <w:pPr>
              <w:topLinePunct/>
              <w:adjustRightInd w:val="0"/>
              <w:snapToGrid w:val="0"/>
              <w:spacing w:line="240" w:lineRule="auto"/>
              <w:ind w:firstLine="0" w:firstLineChars="0"/>
              <w:jc w:val="left"/>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900-214-08</w:t>
            </w:r>
          </w:p>
        </w:tc>
        <w:tc>
          <w:tcPr>
            <w:tcW w:w="758"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w:t>
            </w:r>
          </w:p>
        </w:tc>
        <w:tc>
          <w:tcPr>
            <w:tcW w:w="768" w:type="dxa"/>
            <w:vMerge w:val="continue"/>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p>
        </w:tc>
        <w:tc>
          <w:tcPr>
            <w:tcW w:w="455" w:type="dxa"/>
            <w:noWrap w:val="0"/>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液体</w:t>
            </w:r>
          </w:p>
        </w:tc>
        <w:tc>
          <w:tcPr>
            <w:tcW w:w="685" w:type="dxa"/>
            <w:noWrap w:val="0"/>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石油类</w:t>
            </w:r>
          </w:p>
        </w:tc>
        <w:tc>
          <w:tcPr>
            <w:tcW w:w="726" w:type="dxa"/>
            <w:noWrap w:val="0"/>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石油类</w:t>
            </w:r>
          </w:p>
        </w:tc>
        <w:tc>
          <w:tcPr>
            <w:tcW w:w="621" w:type="dxa"/>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1年</w:t>
            </w:r>
          </w:p>
        </w:tc>
        <w:tc>
          <w:tcPr>
            <w:tcW w:w="660" w:type="dxa"/>
            <w:noWrap w:val="0"/>
            <w:tcMar>
              <w:top w:w="0" w:type="dxa"/>
              <w:left w:w="0" w:type="dxa"/>
              <w:bottom w:w="0" w:type="dxa"/>
              <w:right w:w="0" w:type="dxa"/>
            </w:tcMar>
            <w:vAlign w:val="center"/>
          </w:tcPr>
          <w:p>
            <w:pPr>
              <w:topLinePunct/>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T/I</w:t>
            </w:r>
          </w:p>
        </w:tc>
        <w:tc>
          <w:tcPr>
            <w:tcW w:w="780" w:type="dxa"/>
            <w:noWrap w:val="0"/>
            <w:tcMar>
              <w:top w:w="0" w:type="dxa"/>
              <w:left w:w="0" w:type="dxa"/>
              <w:bottom w:w="0" w:type="dxa"/>
              <w:right w:w="0" w:type="dxa"/>
            </w:tcMar>
            <w:vAlign w:val="center"/>
          </w:tcPr>
          <w:p>
            <w:pPr>
              <w:topLinePunct/>
              <w:adjustRightInd w:val="0"/>
              <w:snapToGrid w:val="0"/>
              <w:spacing w:line="240" w:lineRule="auto"/>
              <w:ind w:firstLine="0" w:firstLineChars="0"/>
              <w:jc w:val="left"/>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危险废物暂存库内暂存</w:t>
            </w:r>
          </w:p>
        </w:tc>
        <w:tc>
          <w:tcPr>
            <w:tcW w:w="923" w:type="dxa"/>
            <w:noWrap w:val="0"/>
            <w:tcMar>
              <w:top w:w="0" w:type="dxa"/>
              <w:left w:w="0" w:type="dxa"/>
              <w:bottom w:w="0" w:type="dxa"/>
              <w:right w:w="0" w:type="dxa"/>
            </w:tcMar>
            <w:vAlign w:val="center"/>
          </w:tcPr>
          <w:p>
            <w:pPr>
              <w:topLinePunct/>
              <w:adjustRightInd w:val="0"/>
              <w:snapToGrid w:val="0"/>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委托有资质单位处理</w:t>
            </w:r>
          </w:p>
        </w:tc>
      </w:tr>
    </w:tbl>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项目危险废物暂存库根据《危险废物贮存污染控制标准》（GB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18597-2001）的要求建设，地面采取防渗措施，设置截流地沟，做到“四防”（防风、防雨、防晒、防渗漏）要求，能有效防止危险废物撒落，能够避免污染物污染地表水、地下水和土壤环境。</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r>
        <w:rPr>
          <w:rFonts w:hint="eastAsia" w:cs="Times New Roman"/>
          <w:color w:val="auto"/>
          <w:highlight w:val="none"/>
          <w:lang w:val="en-US" w:eastAsia="zh-CN"/>
        </w:rPr>
        <w:t>.</w:t>
      </w:r>
      <w:r>
        <w:rPr>
          <w:rFonts w:ascii="Times New Roman" w:hAnsi="Times New Roman" w:eastAsia="宋体" w:cs="Times New Roman"/>
          <w:color w:val="auto"/>
          <w:highlight w:val="none"/>
        </w:rPr>
        <w:t>委托处置的环境影响分析</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根据广西壮族自治区生态环境厅网站公布的危险废物经营许可证情况（截至2019年3月31日），项目区域周边具有HW08处置经营资质的部分单位见表4.2-</w:t>
      </w:r>
      <w:r>
        <w:rPr>
          <w:rFonts w:hint="eastAsia" w:ascii="Times New Roman" w:hAnsi="Times New Roman" w:eastAsia="宋体" w:cs="Times New Roman"/>
          <w:color w:val="auto"/>
          <w:highlight w:val="none"/>
        </w:rPr>
        <w:t>35</w:t>
      </w:r>
      <w:r>
        <w:rPr>
          <w:rFonts w:ascii="Times New Roman" w:hAnsi="Times New Roman" w:eastAsia="宋体" w:cs="Times New Roman"/>
          <w:color w:val="auto"/>
          <w:highlight w:val="none"/>
        </w:rPr>
        <w:t>，项目运营后建设单位可根据实际情况委托以下任意一家单位进行对应危险废物的处置。</w:t>
      </w:r>
    </w:p>
    <w:p>
      <w:pPr>
        <w:spacing w:line="240" w:lineRule="auto"/>
        <w:ind w:firstLine="482"/>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表4.2-</w:t>
      </w:r>
      <w:r>
        <w:rPr>
          <w:rFonts w:hint="eastAsia" w:ascii="Times New Roman" w:hAnsi="Times New Roman" w:eastAsia="宋体" w:cs="Times New Roman"/>
          <w:b/>
          <w:bCs/>
          <w:color w:val="auto"/>
          <w:highlight w:val="none"/>
        </w:rPr>
        <w:t>35</w:t>
      </w:r>
      <w:r>
        <w:rPr>
          <w:rFonts w:ascii="Times New Roman" w:hAnsi="Times New Roman" w:eastAsia="宋体" w:cs="Times New Roman"/>
          <w:b/>
          <w:bCs/>
          <w:color w:val="auto"/>
          <w:highlight w:val="none"/>
        </w:rPr>
        <w:t xml:space="preserve"> 项目周边具有危险废物处置经营资质单位一览表</w:t>
      </w:r>
    </w:p>
    <w:tbl>
      <w:tblPr>
        <w:tblStyle w:val="48"/>
        <w:tblW w:w="928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923"/>
        <w:gridCol w:w="1140"/>
        <w:gridCol w:w="1035"/>
        <w:gridCol w:w="2850"/>
        <w:gridCol w:w="17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570" w:type="dxa"/>
            <w:noWrap w:val="0"/>
            <w:vAlign w:val="center"/>
          </w:tcPr>
          <w:p>
            <w:pPr>
              <w:widowControl/>
              <w:adjustRightInd w:val="0"/>
              <w:snapToGrid w:val="0"/>
              <w:spacing w:line="240" w:lineRule="auto"/>
              <w:ind w:firstLine="0" w:firstLineChars="0"/>
              <w:jc w:val="center"/>
              <w:rPr>
                <w:rFonts w:ascii="Times New Roman" w:hAnsi="Times New Roman" w:eastAsia="宋体"/>
                <w:b/>
                <w:bCs/>
                <w:color w:val="auto"/>
                <w:sz w:val="21"/>
                <w:highlight w:val="none"/>
              </w:rPr>
            </w:pPr>
            <w:r>
              <w:rPr>
                <w:rFonts w:ascii="Times New Roman" w:hAnsi="Times New Roman" w:eastAsia="宋体"/>
                <w:b/>
                <w:bCs/>
                <w:color w:val="auto"/>
                <w:sz w:val="21"/>
                <w:highlight w:val="none"/>
              </w:rPr>
              <w:t>序号</w:t>
            </w:r>
          </w:p>
        </w:tc>
        <w:tc>
          <w:tcPr>
            <w:tcW w:w="1923" w:type="dxa"/>
            <w:noWrap w:val="0"/>
            <w:vAlign w:val="center"/>
          </w:tcPr>
          <w:p>
            <w:pPr>
              <w:widowControl/>
              <w:adjustRightInd w:val="0"/>
              <w:snapToGrid w:val="0"/>
              <w:spacing w:line="240" w:lineRule="auto"/>
              <w:ind w:firstLine="0" w:firstLineChars="0"/>
              <w:jc w:val="center"/>
              <w:rPr>
                <w:rFonts w:ascii="Times New Roman" w:hAnsi="Times New Roman" w:eastAsia="宋体"/>
                <w:b/>
                <w:bCs/>
                <w:color w:val="auto"/>
                <w:sz w:val="21"/>
                <w:highlight w:val="none"/>
              </w:rPr>
            </w:pPr>
            <w:r>
              <w:rPr>
                <w:rFonts w:ascii="Times New Roman" w:hAnsi="Times New Roman" w:eastAsia="宋体"/>
                <w:b/>
                <w:bCs/>
                <w:color w:val="auto"/>
                <w:sz w:val="21"/>
                <w:highlight w:val="none"/>
              </w:rPr>
              <w:t>单位名称</w:t>
            </w:r>
          </w:p>
        </w:tc>
        <w:tc>
          <w:tcPr>
            <w:tcW w:w="1140" w:type="dxa"/>
            <w:noWrap w:val="0"/>
            <w:vAlign w:val="center"/>
          </w:tcPr>
          <w:p>
            <w:pPr>
              <w:widowControl/>
              <w:adjustRightInd w:val="0"/>
              <w:snapToGrid w:val="0"/>
              <w:spacing w:line="240" w:lineRule="auto"/>
              <w:ind w:firstLine="0" w:firstLineChars="0"/>
              <w:jc w:val="center"/>
              <w:rPr>
                <w:rFonts w:ascii="Times New Roman" w:hAnsi="Times New Roman" w:eastAsia="宋体"/>
                <w:b/>
                <w:bCs/>
                <w:color w:val="auto"/>
                <w:sz w:val="21"/>
                <w:highlight w:val="none"/>
              </w:rPr>
            </w:pPr>
            <w:r>
              <w:rPr>
                <w:rFonts w:ascii="Times New Roman" w:hAnsi="Times New Roman" w:eastAsia="宋体"/>
                <w:b/>
                <w:bCs/>
                <w:color w:val="auto"/>
                <w:sz w:val="21"/>
                <w:highlight w:val="none"/>
              </w:rPr>
              <w:t>处理能力</w:t>
            </w:r>
          </w:p>
        </w:tc>
        <w:tc>
          <w:tcPr>
            <w:tcW w:w="1035" w:type="dxa"/>
            <w:noWrap w:val="0"/>
            <w:vAlign w:val="center"/>
          </w:tcPr>
          <w:p>
            <w:pPr>
              <w:widowControl/>
              <w:adjustRightInd w:val="0"/>
              <w:snapToGrid w:val="0"/>
              <w:spacing w:line="240" w:lineRule="auto"/>
              <w:ind w:firstLine="0" w:firstLineChars="0"/>
              <w:jc w:val="center"/>
              <w:rPr>
                <w:rFonts w:ascii="Times New Roman" w:hAnsi="Times New Roman" w:eastAsia="宋体"/>
                <w:b/>
                <w:bCs/>
                <w:color w:val="auto"/>
                <w:sz w:val="21"/>
                <w:highlight w:val="none"/>
              </w:rPr>
            </w:pPr>
            <w:r>
              <w:rPr>
                <w:rFonts w:ascii="Times New Roman" w:hAnsi="Times New Roman" w:eastAsia="宋体"/>
                <w:b/>
                <w:bCs/>
                <w:color w:val="auto"/>
                <w:sz w:val="21"/>
                <w:highlight w:val="none"/>
              </w:rPr>
              <w:t>许可证</w:t>
            </w:r>
          </w:p>
          <w:p>
            <w:pPr>
              <w:widowControl/>
              <w:adjustRightInd w:val="0"/>
              <w:snapToGrid w:val="0"/>
              <w:spacing w:line="240" w:lineRule="auto"/>
              <w:ind w:firstLine="0" w:firstLineChars="0"/>
              <w:jc w:val="center"/>
              <w:rPr>
                <w:rFonts w:ascii="Times New Roman" w:hAnsi="Times New Roman" w:eastAsia="宋体"/>
                <w:b/>
                <w:bCs/>
                <w:color w:val="auto"/>
                <w:sz w:val="21"/>
                <w:highlight w:val="none"/>
              </w:rPr>
            </w:pPr>
            <w:r>
              <w:rPr>
                <w:rFonts w:ascii="Times New Roman" w:hAnsi="Times New Roman" w:eastAsia="宋体"/>
                <w:b/>
                <w:bCs/>
                <w:color w:val="auto"/>
                <w:sz w:val="21"/>
                <w:highlight w:val="none"/>
              </w:rPr>
              <w:t>编号</w:t>
            </w:r>
          </w:p>
        </w:tc>
        <w:tc>
          <w:tcPr>
            <w:tcW w:w="2850" w:type="dxa"/>
            <w:noWrap w:val="0"/>
            <w:vAlign w:val="center"/>
          </w:tcPr>
          <w:p>
            <w:pPr>
              <w:widowControl/>
              <w:adjustRightInd w:val="0"/>
              <w:snapToGrid w:val="0"/>
              <w:spacing w:line="240" w:lineRule="auto"/>
              <w:ind w:firstLine="0" w:firstLineChars="0"/>
              <w:jc w:val="center"/>
              <w:rPr>
                <w:rFonts w:ascii="Times New Roman" w:hAnsi="Times New Roman" w:eastAsia="宋体"/>
                <w:b/>
                <w:bCs/>
                <w:color w:val="auto"/>
                <w:sz w:val="21"/>
                <w:highlight w:val="none"/>
              </w:rPr>
            </w:pPr>
            <w:r>
              <w:rPr>
                <w:rFonts w:ascii="Times New Roman" w:hAnsi="Times New Roman" w:eastAsia="宋体"/>
                <w:b/>
                <w:bCs/>
                <w:color w:val="auto"/>
                <w:sz w:val="21"/>
                <w:highlight w:val="none"/>
              </w:rPr>
              <w:t>核准经营危险废物类别</w:t>
            </w:r>
          </w:p>
        </w:tc>
        <w:tc>
          <w:tcPr>
            <w:tcW w:w="1770" w:type="dxa"/>
            <w:noWrap w:val="0"/>
            <w:vAlign w:val="center"/>
          </w:tcPr>
          <w:p>
            <w:pPr>
              <w:widowControl/>
              <w:adjustRightInd w:val="0"/>
              <w:snapToGrid w:val="0"/>
              <w:spacing w:line="240" w:lineRule="auto"/>
              <w:ind w:firstLine="0" w:firstLineChars="0"/>
              <w:jc w:val="center"/>
              <w:rPr>
                <w:rFonts w:ascii="Times New Roman" w:hAnsi="Times New Roman" w:eastAsia="宋体"/>
                <w:b/>
                <w:bCs/>
                <w:color w:val="auto"/>
                <w:sz w:val="21"/>
                <w:highlight w:val="none"/>
              </w:rPr>
            </w:pPr>
            <w:r>
              <w:rPr>
                <w:rFonts w:ascii="Times New Roman" w:hAnsi="Times New Roman" w:eastAsia="宋体"/>
                <w:b/>
                <w:bCs/>
                <w:color w:val="auto"/>
                <w:sz w:val="21"/>
                <w:highlight w:val="none"/>
              </w:rPr>
              <w:t>本项目危险废物类别</w:t>
            </w:r>
            <w:r>
              <w:rPr>
                <w:rFonts w:hint="eastAsia" w:ascii="Times New Roman" w:hAnsi="Times New Roman" w:eastAsia="宋体"/>
                <w:b/>
                <w:bCs/>
                <w:color w:val="auto"/>
                <w:sz w:val="21"/>
                <w:highlight w:val="none"/>
              </w:rPr>
              <w:t>（</w:t>
            </w:r>
            <w:r>
              <w:rPr>
                <w:rFonts w:ascii="Times New Roman" w:hAnsi="Times New Roman" w:eastAsia="宋体"/>
                <w:b/>
                <w:bCs/>
                <w:color w:val="auto"/>
                <w:sz w:val="21"/>
                <w:highlight w:val="none"/>
              </w:rPr>
              <w:t>代码</w:t>
            </w:r>
            <w:r>
              <w:rPr>
                <w:rFonts w:hint="eastAsia" w:ascii="Times New Roman" w:hAnsi="Times New Roman" w:eastAsia="宋体"/>
                <w:b/>
                <w:bCs/>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57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w:t>
            </w:r>
          </w:p>
        </w:tc>
        <w:tc>
          <w:tcPr>
            <w:tcW w:w="1923" w:type="dxa"/>
            <w:noWrap w:val="0"/>
            <w:vAlign w:val="center"/>
          </w:tcPr>
          <w:p>
            <w:pPr>
              <w:snapToGrid w:val="0"/>
              <w:spacing w:line="240" w:lineRule="auto"/>
              <w:ind w:firstLine="0" w:firstLineChars="0"/>
              <w:jc w:val="left"/>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柳州金太阳工业废物处置有限公司</w:t>
            </w:r>
          </w:p>
        </w:tc>
        <w:tc>
          <w:tcPr>
            <w:tcW w:w="114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30000t/a</w:t>
            </w:r>
          </w:p>
        </w:tc>
        <w:tc>
          <w:tcPr>
            <w:tcW w:w="1035" w:type="dxa"/>
            <w:noWrap w:val="0"/>
            <w:vAlign w:val="center"/>
          </w:tcPr>
          <w:p>
            <w:pPr>
              <w:snapToGrid w:val="0"/>
              <w:spacing w:line="240" w:lineRule="auto"/>
              <w:ind w:firstLine="0" w:firstLineChars="0"/>
              <w:jc w:val="left"/>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GXLZH</w:t>
            </w:r>
          </w:p>
          <w:p>
            <w:pPr>
              <w:snapToGrid w:val="0"/>
              <w:spacing w:line="240" w:lineRule="auto"/>
              <w:ind w:firstLine="0" w:firstLineChars="0"/>
              <w:jc w:val="left"/>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2018001</w:t>
            </w:r>
          </w:p>
        </w:tc>
        <w:tc>
          <w:tcPr>
            <w:tcW w:w="2850" w:type="dxa"/>
            <w:noWrap w:val="0"/>
            <w:vAlign w:val="center"/>
          </w:tcPr>
          <w:p>
            <w:pPr>
              <w:snapToGrid w:val="0"/>
              <w:spacing w:line="240" w:lineRule="auto"/>
              <w:ind w:firstLine="0" w:firstLineChars="0"/>
              <w:jc w:val="left"/>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收集、贮存、处置HW02～09、HW11～14、HW16、HW17、HW18、HW19、HW33～35、HW37～40、HW45、HW48、HW49、HW50等27大类危险废物323小类危险废物</w:t>
            </w:r>
          </w:p>
        </w:tc>
        <w:tc>
          <w:tcPr>
            <w:tcW w:w="1770" w:type="dxa"/>
            <w:vMerge w:val="restart"/>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废机油（HW08，900-214-08）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57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p>
        </w:tc>
        <w:tc>
          <w:tcPr>
            <w:tcW w:w="1923" w:type="dxa"/>
            <w:noWrap w:val="0"/>
            <w:vAlign w:val="center"/>
          </w:tcPr>
          <w:p>
            <w:pPr>
              <w:snapToGrid w:val="0"/>
              <w:spacing w:line="240" w:lineRule="auto"/>
              <w:ind w:firstLine="0" w:firstLineChars="0"/>
              <w:jc w:val="left"/>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中节能（广西）清洁技术发展有限公司</w:t>
            </w:r>
          </w:p>
        </w:tc>
        <w:tc>
          <w:tcPr>
            <w:tcW w:w="114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40100t/a</w:t>
            </w:r>
          </w:p>
        </w:tc>
        <w:tc>
          <w:tcPr>
            <w:tcW w:w="1035" w:type="dxa"/>
            <w:noWrap w:val="0"/>
            <w:vAlign w:val="center"/>
          </w:tcPr>
          <w:p>
            <w:pPr>
              <w:snapToGrid w:val="0"/>
              <w:spacing w:line="240" w:lineRule="auto"/>
              <w:ind w:firstLine="0" w:firstLineChars="0"/>
              <w:jc w:val="left"/>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GXNN 2017004</w:t>
            </w:r>
          </w:p>
        </w:tc>
        <w:tc>
          <w:tcPr>
            <w:tcW w:w="2850" w:type="dxa"/>
            <w:noWrap w:val="0"/>
            <w:vAlign w:val="center"/>
          </w:tcPr>
          <w:p>
            <w:pPr>
              <w:snapToGrid w:val="0"/>
              <w:spacing w:line="240" w:lineRule="auto"/>
              <w:ind w:firstLine="0" w:firstLineChars="0"/>
              <w:jc w:val="left"/>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收集、贮存、处置HW01-06、HW08-09、HW11-14、HW16-32、HW34-40、HW45-50类危险废物</w:t>
            </w:r>
          </w:p>
        </w:tc>
        <w:tc>
          <w:tcPr>
            <w:tcW w:w="1770"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57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w:t>
            </w:r>
          </w:p>
        </w:tc>
        <w:tc>
          <w:tcPr>
            <w:tcW w:w="1923" w:type="dxa"/>
            <w:noWrap w:val="0"/>
            <w:vAlign w:val="center"/>
          </w:tcPr>
          <w:p>
            <w:pPr>
              <w:snapToGrid w:val="0"/>
              <w:spacing w:line="240" w:lineRule="auto"/>
              <w:ind w:firstLine="0" w:firstLineChars="0"/>
              <w:jc w:val="left"/>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广西兄弟创业环保科技有限公司</w:t>
            </w:r>
          </w:p>
        </w:tc>
        <w:tc>
          <w:tcPr>
            <w:tcW w:w="1140" w:type="dxa"/>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8000t/a</w:t>
            </w:r>
          </w:p>
        </w:tc>
        <w:tc>
          <w:tcPr>
            <w:tcW w:w="1035" w:type="dxa"/>
            <w:noWrap w:val="0"/>
            <w:vAlign w:val="center"/>
          </w:tcPr>
          <w:p>
            <w:pPr>
              <w:snapToGrid w:val="0"/>
              <w:spacing w:line="240" w:lineRule="auto"/>
              <w:ind w:firstLine="0" w:firstLineChars="0"/>
              <w:jc w:val="left"/>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GXNN2018001</w:t>
            </w:r>
          </w:p>
        </w:tc>
        <w:tc>
          <w:tcPr>
            <w:tcW w:w="2850" w:type="dxa"/>
            <w:noWrap w:val="0"/>
            <w:vAlign w:val="center"/>
          </w:tcPr>
          <w:p>
            <w:pPr>
              <w:snapToGrid w:val="0"/>
              <w:spacing w:line="240" w:lineRule="auto"/>
              <w:ind w:firstLine="0" w:firstLineChars="0"/>
              <w:jc w:val="left"/>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收集、贮存HW02~03、HW06、HW08~09、HW11~13、HW16~18、HW21~24、HW26~27、HW29、HW31~32、HW34~35、HW46、HW48~50</w:t>
            </w:r>
          </w:p>
        </w:tc>
        <w:tc>
          <w:tcPr>
            <w:tcW w:w="1770" w:type="dxa"/>
            <w:vMerge w:val="continue"/>
            <w:noWrap w:val="0"/>
            <w:vAlign w:val="center"/>
          </w:tcPr>
          <w:p>
            <w:pPr>
              <w:widowControl/>
              <w:adjustRightInd w:val="0"/>
              <w:snapToGrid w:val="0"/>
              <w:spacing w:line="240" w:lineRule="auto"/>
              <w:ind w:firstLine="0" w:firstLineChars="0"/>
              <w:jc w:val="center"/>
              <w:rPr>
                <w:rFonts w:ascii="Times New Roman" w:hAnsi="Times New Roman" w:eastAsia="宋体"/>
                <w:color w:val="auto"/>
                <w:sz w:val="21"/>
                <w:highlight w:val="none"/>
              </w:rPr>
            </w:pPr>
          </w:p>
        </w:tc>
      </w:tr>
    </w:tbl>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综上所述，经采取相应措施后，本项目固体废物均可得到有效处理，其处置措施体现了“减量化、资源化、无害化”的治理原则，运营期对周围环境不会产生明显不利影响。</w:t>
      </w:r>
    </w:p>
    <w:p>
      <w:pPr>
        <w:pStyle w:val="5"/>
        <w:rPr>
          <w:rFonts w:ascii="Times New Roman" w:hAnsi="Times New Roman" w:eastAsia="宋体"/>
          <w:color w:val="auto"/>
          <w:highlight w:val="none"/>
        </w:rPr>
      </w:pPr>
      <w:bookmarkStart w:id="389" w:name="_Toc14430"/>
      <w:bookmarkStart w:id="390" w:name="_Toc16337"/>
      <w:r>
        <w:rPr>
          <w:rFonts w:ascii="Times New Roman" w:hAnsi="Times New Roman" w:eastAsia="宋体"/>
          <w:color w:val="auto"/>
          <w:highlight w:val="none"/>
        </w:rPr>
        <w:t>4.2.7 运营期生态环境影响分析</w:t>
      </w:r>
      <w:bookmarkEnd w:id="389"/>
      <w:bookmarkEnd w:id="390"/>
    </w:p>
    <w:p>
      <w:pPr>
        <w:pStyle w:val="6"/>
        <w:tabs>
          <w:tab w:val="left" w:pos="360"/>
          <w:tab w:val="left" w:pos="1390"/>
        </w:tabs>
        <w:spacing w:line="500" w:lineRule="exact"/>
        <w:rPr>
          <w:rFonts w:ascii="Times New Roman" w:hAnsi="Times New Roman" w:eastAsia="宋体"/>
          <w:color w:val="auto"/>
          <w:highlight w:val="none"/>
        </w:rPr>
      </w:pPr>
      <w:bookmarkStart w:id="391" w:name="_Toc1525"/>
      <w:r>
        <w:rPr>
          <w:rFonts w:ascii="Times New Roman" w:hAnsi="Times New Roman" w:eastAsia="宋体"/>
          <w:color w:val="auto"/>
          <w:highlight w:val="none"/>
        </w:rPr>
        <w:t>4.2.7.1 对植物的影响分析</w:t>
      </w:r>
      <w:bookmarkEnd w:id="391"/>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运营期对植物的影响主要集中于开采前的植物清理及矿体表层废土剥离，均会对工程涉及区植物造成直接影响或间接影响。施工完成并采取合理的绿化恢复措施后，影响区植被可以部分恢复原状，临时占地的植被可基本恢复，而永久占地的植被永久性损失。植被类型和数量的减少将对评价区内原有生态系统有一定的影响。</w:t>
      </w:r>
    </w:p>
    <w:p>
      <w:pPr>
        <w:snapToGrid w:val="0"/>
        <w:ind w:firstLine="480"/>
        <w:rPr>
          <w:rFonts w:hint="eastAsia" w:ascii="Times New Roman" w:hAnsi="Times New Roman" w:eastAsia="宋体" w:cs="Times New Roman"/>
          <w:color w:val="auto"/>
          <w:highlight w:val="none"/>
        </w:rPr>
      </w:pPr>
      <w:r>
        <w:rPr>
          <w:rFonts w:ascii="Times New Roman" w:hAnsi="Times New Roman" w:eastAsia="宋体" w:cs="Times New Roman"/>
          <w:color w:val="auto"/>
          <w:highlight w:val="none"/>
        </w:rPr>
        <w:t>工程占地</w:t>
      </w:r>
      <w:r>
        <w:rPr>
          <w:rFonts w:hint="eastAsia" w:ascii="Times New Roman" w:hAnsi="Times New Roman" w:eastAsia="宋体" w:cs="Times New Roman"/>
          <w:color w:val="auto"/>
          <w:highlight w:val="none"/>
        </w:rPr>
        <w:t>及矿区周边</w:t>
      </w:r>
      <w:r>
        <w:rPr>
          <w:rFonts w:ascii="Times New Roman" w:hAnsi="Times New Roman" w:eastAsia="宋体" w:cs="Times New Roman"/>
          <w:color w:val="auto"/>
          <w:highlight w:val="none"/>
        </w:rPr>
        <w:t>涉及植被型组分别为</w:t>
      </w:r>
      <w:r>
        <w:rPr>
          <w:rFonts w:hint="eastAsia" w:ascii="Times New Roman" w:hAnsi="Times New Roman" w:eastAsia="宋体" w:cs="Times New Roman"/>
          <w:color w:val="auto"/>
          <w:highlight w:val="none"/>
        </w:rPr>
        <w:t>马尾松次生林、杉木</w:t>
      </w:r>
      <w:r>
        <w:rPr>
          <w:rFonts w:ascii="Times New Roman" w:hAnsi="Times New Roman" w:eastAsia="宋体" w:cs="Times New Roman"/>
          <w:color w:val="auto"/>
          <w:highlight w:val="none"/>
        </w:rPr>
        <w:t>，工程建成后，林地面积减少，建筑面积增加，对区域景观有一定影响，但各种植被类型的面积和比例与现状仍然相当，生态系统保持稳定。工程建设造成评价区生态系统生物量减少，项目建成后林地面积减少，</w:t>
      </w:r>
      <w:r>
        <w:rPr>
          <w:rFonts w:hint="eastAsia" w:ascii="Times New Roman" w:hAnsi="Times New Roman" w:eastAsia="宋体" w:cs="Times New Roman"/>
          <w:color w:val="auto"/>
          <w:highlight w:val="none"/>
        </w:rPr>
        <w:t>根据估算，矿区</w:t>
      </w:r>
      <w:r>
        <w:rPr>
          <w:rFonts w:ascii="Times New Roman" w:hAnsi="Times New Roman" w:eastAsia="宋体" w:cs="Times New Roman"/>
          <w:color w:val="auto"/>
          <w:highlight w:val="none"/>
        </w:rPr>
        <w:t>范围内</w:t>
      </w:r>
      <w:r>
        <w:rPr>
          <w:rFonts w:hint="eastAsia" w:ascii="Times New Roman" w:hAnsi="Times New Roman" w:eastAsia="宋体" w:cs="Times New Roman"/>
          <w:color w:val="auto"/>
          <w:highlight w:val="none"/>
        </w:rPr>
        <w:t>损失</w:t>
      </w:r>
      <w:r>
        <w:rPr>
          <w:rFonts w:ascii="Times New Roman" w:hAnsi="Times New Roman" w:eastAsia="宋体" w:cs="Times New Roman"/>
          <w:color w:val="auto"/>
          <w:highlight w:val="none"/>
        </w:rPr>
        <w:t>的生物量约为</w:t>
      </w:r>
      <w:r>
        <w:rPr>
          <w:rFonts w:hint="eastAsia" w:ascii="Times New Roman" w:hAnsi="Times New Roman" w:eastAsia="宋体" w:cs="Times New Roman"/>
          <w:color w:val="auto"/>
          <w:highlight w:val="none"/>
          <w:lang w:val="en-US" w:eastAsia="zh-CN"/>
        </w:rPr>
        <w:t>2241.88</w:t>
      </w:r>
      <w:r>
        <w:rPr>
          <w:rFonts w:ascii="Times New Roman" w:hAnsi="Times New Roman" w:eastAsia="宋体" w:cs="Times New Roman"/>
          <w:color w:val="auto"/>
          <w:highlight w:val="none"/>
        </w:rPr>
        <w:t xml:space="preserve">t，生产力有所降低，但区域周边植被较好，工程建设前后相差不大，因此，工程施工对生态系统的稳定性的影响不大。   </w:t>
      </w:r>
      <w:r>
        <w:rPr>
          <w:rFonts w:hint="eastAsia" w:ascii="Times New Roman" w:hAnsi="Times New Roman" w:eastAsia="宋体" w:cs="Times New Roman"/>
          <w:color w:val="auto"/>
          <w:highlight w:val="none"/>
        </w:rPr>
        <w:t xml:space="preserve"> </w:t>
      </w:r>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山开采方式为露天开采，矿区的露天采场在矿山闭矿后都将进行土地复垦，采用植物措施和工程措施对地表植被及时进行恢复，把对植被的影响降低到最小。矿区开采和运输过程中产生的颗粒物会对项目附近的植物产生一定的影响。颗粒物降落在植物叶面上，吸收水分成深灰色的一层薄壳，堵塞气孔，影响呼吸作用和水分蒸发，降低叶面的光合作用，减弱植物机体代谢能力。只要采取洒水降尘措施，可使影响范围的TSP浓度大大降低，加上本项目所在区域气候湿润、雨量充沛、降雨量较多，且矿区植被不是敏感植被，植被在矿区其他地方及矿区外均有大量分布，矿山开采和运输过程中产生的颗粒物对植被生长发育影响较少，不会造成区域植被生长减退。对区域生态系统及区域植被影响不大。</w:t>
      </w:r>
      <w:bookmarkStart w:id="392" w:name="_Toc32300"/>
    </w:p>
    <w:p>
      <w:pPr>
        <w:pStyle w:val="6"/>
        <w:rPr>
          <w:rFonts w:ascii="Times New Roman" w:hAnsi="Times New Roman" w:eastAsia="宋体"/>
          <w:color w:val="auto"/>
          <w:highlight w:val="none"/>
        </w:rPr>
      </w:pPr>
      <w:r>
        <w:rPr>
          <w:rFonts w:ascii="Times New Roman" w:hAnsi="Times New Roman" w:eastAsia="宋体"/>
          <w:color w:val="auto"/>
          <w:highlight w:val="none"/>
        </w:rPr>
        <w:t>4.2.7.2 对动物的影响分析</w:t>
      </w:r>
      <w:bookmarkEnd w:id="392"/>
    </w:p>
    <w:p>
      <w:pPr>
        <w:ind w:firstLine="480"/>
        <w:rPr>
          <w:rFonts w:ascii="Times New Roman" w:hAnsi="Times New Roman" w:eastAsia="宋体"/>
          <w:color w:val="auto"/>
          <w:highlight w:val="none"/>
        </w:rPr>
      </w:pPr>
      <w:r>
        <w:rPr>
          <w:rFonts w:ascii="Times New Roman" w:hAnsi="Times New Roman" w:eastAsia="宋体"/>
          <w:color w:val="auto"/>
          <w:highlight w:val="none"/>
        </w:rPr>
        <w:t>项目所在区域人类活动频繁，因此矿区内野生动物的种类及数量都不多，主要是低山陡坡地区的一些小型哺乳动物、爬行类、昆虫和常见鸟类。项目对野生动物产生的影响主要有三个方面：</w:t>
      </w:r>
    </w:p>
    <w:p>
      <w:pPr>
        <w:ind w:firstLine="480"/>
        <w:rPr>
          <w:rFonts w:ascii="Times New Roman" w:hAnsi="Times New Roman" w:eastAsia="宋体"/>
          <w:color w:val="auto"/>
          <w:highlight w:val="none"/>
        </w:rPr>
      </w:pPr>
      <w:r>
        <w:rPr>
          <w:rFonts w:ascii="Times New Roman" w:hAnsi="Times New Roman" w:eastAsia="宋体"/>
          <w:color w:val="auto"/>
          <w:highlight w:val="none"/>
        </w:rPr>
        <w:t>①项目运营期矿山开采面剥离工程将使原栖息地上的动物丧失栖息地和觅食地，为觅食和寻找适宜的栖息地而向四周迁移。但矿区内动物都是些普通的常见种类，评价区域内地形、地貌、生境等因素对野生动物逃遁较为有利，矿区不被扰动的地方及矿区外有大面积生境与项目开采所破坏的生境相似，只要它们不被人类捕杀，最终它们中的大多数将辗转至矿区周边其它地带。因此，项目开采所造成的原有动物迁移，不会影响区域野生动物群系组成，对整个区域的野生动物影响不大。</w:t>
      </w:r>
    </w:p>
    <w:p>
      <w:pPr>
        <w:ind w:firstLine="480"/>
        <w:rPr>
          <w:rFonts w:ascii="Times New Roman" w:hAnsi="Times New Roman" w:eastAsia="宋体"/>
          <w:color w:val="auto"/>
          <w:highlight w:val="none"/>
        </w:rPr>
      </w:pPr>
      <w:r>
        <w:rPr>
          <w:rFonts w:ascii="Times New Roman" w:hAnsi="Times New Roman" w:eastAsia="宋体"/>
          <w:color w:val="auto"/>
          <w:highlight w:val="none"/>
        </w:rPr>
        <w:t>②矿区开采期间，生产活动车来人往所产生的各种噪声，对生活在周边的野生动物也会产生不利影响。预计在营运期间，附近的部分动物因不能忍受噪声干扰而向远离矿区的方向迁移，从而使矿区四周动物种类和数量减少，但矿区周边类似的生境分布较广，动物迁移后能很快适应新的环境。</w:t>
      </w:r>
    </w:p>
    <w:p>
      <w:pPr>
        <w:ind w:firstLine="480"/>
        <w:rPr>
          <w:rFonts w:ascii="Times New Roman" w:hAnsi="Times New Roman" w:eastAsia="宋体"/>
          <w:color w:val="auto"/>
          <w:highlight w:val="none"/>
        </w:rPr>
      </w:pPr>
      <w:r>
        <w:rPr>
          <w:rFonts w:ascii="Times New Roman" w:hAnsi="Times New Roman" w:eastAsia="宋体"/>
          <w:color w:val="auto"/>
          <w:highlight w:val="none"/>
        </w:rPr>
        <w:t>③项目运营期间，由于外来人员聚集，将对周围的野生动物造成骚扰，有些人可能在闲暇之时，对野生动物进行狩猎，这将对野生动物生存构成严重影响，且这种影响往往要经过较长时间才能恢复，甚至是不可逆的。对这种影响必须采取强有力的保护措施，防患于未然，将影响的程度控制在最低限度。</w:t>
      </w:r>
    </w:p>
    <w:p>
      <w:pPr>
        <w:pStyle w:val="6"/>
        <w:rPr>
          <w:rFonts w:ascii="Times New Roman" w:hAnsi="Times New Roman" w:eastAsia="宋体"/>
          <w:color w:val="auto"/>
          <w:highlight w:val="none"/>
        </w:rPr>
      </w:pPr>
      <w:bookmarkStart w:id="393" w:name="_Toc9214"/>
      <w:r>
        <w:rPr>
          <w:rFonts w:ascii="Times New Roman" w:hAnsi="Times New Roman" w:eastAsia="宋体"/>
          <w:color w:val="auto"/>
          <w:highlight w:val="none"/>
        </w:rPr>
        <w:t>4.2.7.3 对区域生物多样性的影响分析</w:t>
      </w:r>
      <w:bookmarkEnd w:id="393"/>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物种的多样性是构成生态系统多样性的基础，也是使生态系统趋于稳定的重要因素。根据现场调查，矿区</w:t>
      </w:r>
      <w:r>
        <w:rPr>
          <w:rFonts w:hint="eastAsia" w:ascii="Times New Roman" w:hAnsi="Times New Roman" w:eastAsia="宋体" w:cs="Times New Roman"/>
          <w:color w:val="auto"/>
          <w:highlight w:val="none"/>
        </w:rPr>
        <w:t>范围内</w:t>
      </w:r>
      <w:r>
        <w:rPr>
          <w:rFonts w:ascii="Times New Roman" w:hAnsi="Times New Roman" w:eastAsia="宋体" w:cs="Times New Roman"/>
          <w:color w:val="auto"/>
          <w:highlight w:val="none"/>
        </w:rPr>
        <w:t>所占用土地类型为林地、</w:t>
      </w:r>
      <w:r>
        <w:rPr>
          <w:rFonts w:hint="eastAsia" w:ascii="Times New Roman" w:hAnsi="Times New Roman" w:eastAsia="宋体" w:cs="Times New Roman"/>
          <w:color w:val="auto"/>
          <w:highlight w:val="none"/>
        </w:rPr>
        <w:t>草地和其它土地</w:t>
      </w:r>
      <w:r>
        <w:rPr>
          <w:rFonts w:ascii="Times New Roman" w:hAnsi="Times New Roman" w:eastAsia="宋体" w:cs="Times New Roman"/>
          <w:color w:val="auto"/>
          <w:highlight w:val="none"/>
        </w:rPr>
        <w:t>，植被物种多为</w:t>
      </w:r>
      <w:r>
        <w:rPr>
          <w:rFonts w:hint="eastAsia" w:ascii="Times New Roman" w:hAnsi="Times New Roman" w:eastAsia="宋体" w:cs="Times New Roman"/>
          <w:color w:val="auto"/>
          <w:highlight w:val="none"/>
        </w:rPr>
        <w:t>自然植被</w:t>
      </w:r>
      <w:r>
        <w:rPr>
          <w:rFonts w:ascii="Times New Roman" w:hAnsi="Times New Roman" w:eastAsia="宋体" w:cs="Times New Roman"/>
          <w:color w:val="auto"/>
          <w:highlight w:val="none"/>
        </w:rPr>
        <w:t>和区域常见、广布的物种，组成结构较简单，矿区植被物种在矿区其他地方及矿区外有大量分布，区域的野生动物的数量少，没有发现具有特殊保护价值的野生植物，并且本工程开采影响范围小，矿产开采影响的也极其有限，不会对区域动植物的生境产生重大变化。</w:t>
      </w:r>
    </w:p>
    <w:p>
      <w:pPr>
        <w:ind w:firstLine="480"/>
        <w:rPr>
          <w:rFonts w:ascii="Times New Roman" w:hAnsi="Times New Roman" w:eastAsia="宋体"/>
          <w:color w:val="auto"/>
          <w:highlight w:val="none"/>
        </w:rPr>
      </w:pPr>
      <w:r>
        <w:rPr>
          <w:rFonts w:ascii="Times New Roman" w:hAnsi="Times New Roman" w:eastAsia="宋体"/>
          <w:color w:val="auto"/>
          <w:highlight w:val="none"/>
        </w:rPr>
        <w:t>因此，项目的建设对动植物的物种组成及区系变化的影响不大，对区域动物多样性的影响也较小。</w:t>
      </w:r>
    </w:p>
    <w:p>
      <w:pPr>
        <w:pStyle w:val="6"/>
        <w:rPr>
          <w:rFonts w:ascii="Times New Roman" w:hAnsi="Times New Roman" w:eastAsia="宋体"/>
          <w:color w:val="auto"/>
          <w:highlight w:val="none"/>
        </w:rPr>
      </w:pPr>
      <w:bookmarkStart w:id="394" w:name="_Toc13010"/>
      <w:r>
        <w:rPr>
          <w:rFonts w:ascii="Times New Roman" w:hAnsi="Times New Roman" w:eastAsia="宋体"/>
          <w:color w:val="auto"/>
          <w:highlight w:val="none"/>
        </w:rPr>
        <w:t xml:space="preserve">4.2.7.4 </w:t>
      </w:r>
      <w:bookmarkEnd w:id="394"/>
      <w:bookmarkStart w:id="395" w:name="_Toc16999"/>
      <w:r>
        <w:rPr>
          <w:rFonts w:ascii="Times New Roman" w:hAnsi="Times New Roman" w:eastAsia="宋体"/>
          <w:color w:val="auto"/>
          <w:highlight w:val="none"/>
        </w:rPr>
        <w:t>对景观环境的影响分析</w:t>
      </w:r>
      <w:bookmarkEnd w:id="395"/>
    </w:p>
    <w:p>
      <w:pPr>
        <w:ind w:firstLine="480"/>
        <w:rPr>
          <w:rFonts w:ascii="Times New Roman" w:hAnsi="Times New Roman" w:eastAsia="宋体"/>
          <w:color w:val="auto"/>
          <w:highlight w:val="none"/>
        </w:rPr>
      </w:pPr>
      <w:r>
        <w:rPr>
          <w:rFonts w:ascii="Times New Roman" w:hAnsi="Times New Roman" w:eastAsia="宋体"/>
          <w:color w:val="auto"/>
          <w:highlight w:val="none"/>
        </w:rPr>
        <w:t>项目矿区的开采将会使原地貌以及植被遭受破坏，项目建设占地将会使原有的自然景观类型发生变化，与矿区周边景观形成不协调性。营运期露天采矿对植被破坏会随着采场工作面的推进而逐步增大，届时矿区采场会出现一定面积的“光秃”现象。开采活动还会改变矿体赋存山体的地形地貌，形成一定面积采空区，另外雨季时由于雨水冲刷开采工作面会造成污流和泥泞，影响人的视觉感观。</w:t>
      </w:r>
    </w:p>
    <w:p>
      <w:pPr>
        <w:ind w:firstLine="480"/>
        <w:rPr>
          <w:rFonts w:ascii="Times New Roman" w:hAnsi="Times New Roman" w:eastAsia="宋体"/>
          <w:color w:val="auto"/>
          <w:highlight w:val="none"/>
        </w:rPr>
      </w:pPr>
      <w:r>
        <w:rPr>
          <w:rFonts w:ascii="Times New Roman" w:hAnsi="Times New Roman" w:eastAsia="宋体"/>
          <w:color w:val="auto"/>
          <w:highlight w:val="none"/>
        </w:rPr>
        <w:t>总之，项目的生产活动将改变矿区局部区域的地形地貌，破坏地表植被，影响视觉感观等。但本矿区远离城镇，整个矿区不在主要交通道路视线范围内，矿区属于山区，周边无风景名胜区，工程对区域自然景观的破坏也局限在矿区内，因此，通过采取有效的景观保护措施后，项目对区域自然景观的影响不大。</w:t>
      </w:r>
    </w:p>
    <w:p>
      <w:pPr>
        <w:ind w:firstLine="480"/>
        <w:rPr>
          <w:rFonts w:ascii="Times New Roman" w:hAnsi="Times New Roman" w:eastAsia="宋体"/>
          <w:color w:val="auto"/>
          <w:highlight w:val="none"/>
        </w:rPr>
      </w:pPr>
      <w:r>
        <w:rPr>
          <w:rFonts w:ascii="Times New Roman" w:hAnsi="Times New Roman" w:eastAsia="宋体"/>
          <w:color w:val="auto"/>
          <w:highlight w:val="none"/>
        </w:rPr>
        <w:t>在项目闭矿后会对整个矿区进行土地整治，采取植被恢复、截排水、拦渣等水土流失防治和植被恢复措施，对开采形成的裸露坡面、开采区进行植被恢复，并拆除遗留的建构筑物，将使得矿区与自然景观逐渐协调一致。因此，本矿山开采对自然景观的影响是短暂的，待落实相关措施后，矿山闭矿后将逐渐与周边自然景观协调。</w:t>
      </w:r>
    </w:p>
    <w:p>
      <w:pPr>
        <w:pStyle w:val="6"/>
        <w:rPr>
          <w:rFonts w:ascii="Times New Roman" w:hAnsi="Times New Roman" w:eastAsia="宋体"/>
          <w:color w:val="auto"/>
          <w:highlight w:val="none"/>
        </w:rPr>
      </w:pPr>
      <w:bookmarkStart w:id="396" w:name="_Toc26790"/>
      <w:r>
        <w:rPr>
          <w:rFonts w:ascii="Times New Roman" w:hAnsi="Times New Roman" w:eastAsia="宋体"/>
          <w:color w:val="auto"/>
          <w:highlight w:val="none"/>
        </w:rPr>
        <w:t>4.2.7.</w:t>
      </w:r>
      <w:r>
        <w:rPr>
          <w:rFonts w:hint="eastAsia" w:ascii="Times New Roman" w:hAnsi="Times New Roman" w:eastAsia="宋体"/>
          <w:color w:val="auto"/>
          <w:highlight w:val="none"/>
        </w:rPr>
        <w:t>5</w:t>
      </w:r>
      <w:r>
        <w:rPr>
          <w:rFonts w:ascii="Times New Roman" w:hAnsi="Times New Roman" w:eastAsia="宋体"/>
          <w:color w:val="auto"/>
          <w:highlight w:val="none"/>
        </w:rPr>
        <w:t xml:space="preserve"> 对土地利用结构的影响分析</w:t>
      </w:r>
      <w:bookmarkEnd w:id="396"/>
    </w:p>
    <w:p>
      <w:pPr>
        <w:ind w:firstLine="480"/>
        <w:rPr>
          <w:rFonts w:ascii="Times New Roman" w:hAnsi="Times New Roman" w:eastAsia="宋体"/>
          <w:color w:val="auto"/>
          <w:highlight w:val="none"/>
        </w:rPr>
      </w:pPr>
      <w:r>
        <w:rPr>
          <w:rFonts w:ascii="Times New Roman" w:hAnsi="Times New Roman" w:eastAsia="宋体"/>
          <w:color w:val="auto"/>
          <w:highlight w:val="none"/>
        </w:rPr>
        <w:t>本项目原有工程占用土地类型主要包括</w:t>
      </w:r>
      <w:r>
        <w:rPr>
          <w:rFonts w:hint="eastAsia" w:ascii="Times New Roman" w:hAnsi="Times New Roman" w:eastAsia="宋体"/>
          <w:color w:val="auto"/>
          <w:highlight w:val="none"/>
        </w:rPr>
        <w:t>耕地、林地、园地、草地、其它土地等</w:t>
      </w:r>
      <w:r>
        <w:rPr>
          <w:rFonts w:ascii="Times New Roman" w:hAnsi="Times New Roman" w:eastAsia="宋体"/>
          <w:color w:val="auto"/>
          <w:highlight w:val="none"/>
        </w:rPr>
        <w:t>，矿区占地将造成植被破坏、土地利用性质的改变，生态系统受到一定影响。同时，项目建设压占土地，主要是使这些土地失去原有的生物生产功能和生态服务功能，会对局部的土地利用产生一定的影响。从整个矿区范围分析，项目建设对场址内的</w:t>
      </w:r>
      <w:r>
        <w:rPr>
          <w:rFonts w:hint="eastAsia" w:ascii="Times New Roman" w:hAnsi="Times New Roman" w:eastAsia="宋体"/>
          <w:color w:val="auto"/>
          <w:highlight w:val="none"/>
        </w:rPr>
        <w:t>林地</w:t>
      </w:r>
      <w:r>
        <w:rPr>
          <w:rFonts w:ascii="Times New Roman" w:hAnsi="Times New Roman" w:eastAsia="宋体"/>
          <w:color w:val="auto"/>
          <w:highlight w:val="none"/>
        </w:rPr>
        <w:t>、</w:t>
      </w:r>
      <w:r>
        <w:rPr>
          <w:rFonts w:hint="eastAsia" w:ascii="Times New Roman" w:hAnsi="Times New Roman" w:eastAsia="宋体"/>
          <w:color w:val="auto"/>
          <w:highlight w:val="none"/>
        </w:rPr>
        <w:t>草地</w:t>
      </w:r>
      <w:r>
        <w:rPr>
          <w:rFonts w:ascii="Times New Roman" w:hAnsi="Times New Roman" w:eastAsia="宋体"/>
          <w:color w:val="auto"/>
          <w:highlight w:val="none"/>
        </w:rPr>
        <w:t>的扰动较大，但本矿区拟划定矿区范围面积较小，对项目区域内的土地利用结构影响也极其有限。</w:t>
      </w:r>
    </w:p>
    <w:p>
      <w:pPr>
        <w:ind w:firstLine="480"/>
        <w:rPr>
          <w:rFonts w:ascii="Times New Roman" w:hAnsi="Times New Roman" w:eastAsia="宋体"/>
          <w:color w:val="auto"/>
          <w:highlight w:val="none"/>
        </w:rPr>
      </w:pPr>
      <w:r>
        <w:rPr>
          <w:rFonts w:ascii="Times New Roman" w:hAnsi="Times New Roman" w:eastAsia="宋体"/>
          <w:color w:val="auto"/>
          <w:highlight w:val="none"/>
        </w:rPr>
        <w:t>项目服务期满后会对矿区进行复垦治理，及时进行生态恢复，尽可能的优化矿区土地利用结构，把对土地利用结构的影响降低到最小。因此，项目建设对评价区域土地利用结构影响不大。</w:t>
      </w:r>
    </w:p>
    <w:p>
      <w:pPr>
        <w:pStyle w:val="6"/>
        <w:rPr>
          <w:rFonts w:ascii="Times New Roman" w:hAnsi="Times New Roman" w:eastAsia="宋体"/>
          <w:color w:val="auto"/>
          <w:highlight w:val="none"/>
        </w:rPr>
      </w:pPr>
      <w:bookmarkStart w:id="397" w:name="_Toc7006"/>
      <w:r>
        <w:rPr>
          <w:rFonts w:ascii="Times New Roman" w:hAnsi="Times New Roman" w:eastAsia="宋体"/>
          <w:color w:val="auto"/>
          <w:highlight w:val="none"/>
        </w:rPr>
        <w:t>4.2.7.</w:t>
      </w:r>
      <w:r>
        <w:rPr>
          <w:rFonts w:hint="eastAsia" w:ascii="Times New Roman" w:hAnsi="Times New Roman" w:eastAsia="宋体"/>
          <w:color w:val="auto"/>
          <w:highlight w:val="none"/>
        </w:rPr>
        <w:t>6</w:t>
      </w:r>
      <w:r>
        <w:rPr>
          <w:rFonts w:ascii="Times New Roman" w:hAnsi="Times New Roman" w:eastAsia="宋体"/>
          <w:color w:val="auto"/>
          <w:highlight w:val="none"/>
        </w:rPr>
        <w:t xml:space="preserve"> 水土流失造成的生态环境影响分析</w:t>
      </w:r>
      <w:bookmarkEnd w:id="397"/>
    </w:p>
    <w:p>
      <w:pPr>
        <w:ind w:firstLine="480"/>
        <w:rPr>
          <w:rFonts w:ascii="Times New Roman" w:hAnsi="Times New Roman" w:eastAsia="宋体"/>
          <w:color w:val="auto"/>
          <w:highlight w:val="none"/>
        </w:rPr>
      </w:pPr>
      <w:bookmarkStart w:id="398" w:name="_Toc11863"/>
      <w:bookmarkStart w:id="399" w:name="_Toc27166"/>
      <w:r>
        <w:rPr>
          <w:rFonts w:ascii="Times New Roman" w:hAnsi="Times New Roman" w:eastAsia="宋体"/>
          <w:color w:val="auto"/>
          <w:highlight w:val="none"/>
        </w:rPr>
        <w:t>根据《广西壮族自治区人民政府关于划分我区水土流失重点预防区和重点治理区的通告》（桂政发〔2017〕5号），</w:t>
      </w:r>
      <w:r>
        <w:rPr>
          <w:rFonts w:hint="eastAsia" w:ascii="Times New Roman" w:hAnsi="Times New Roman" w:eastAsia="宋体"/>
          <w:color w:val="auto"/>
          <w:highlight w:val="none"/>
        </w:rPr>
        <w:t>三江县</w:t>
      </w:r>
      <w:r>
        <w:rPr>
          <w:rFonts w:ascii="Times New Roman" w:hAnsi="Times New Roman" w:eastAsia="宋体"/>
          <w:color w:val="auto"/>
          <w:highlight w:val="none"/>
        </w:rPr>
        <w:t>划分为自治区级水土流失重点</w:t>
      </w:r>
      <w:r>
        <w:rPr>
          <w:rFonts w:hint="eastAsia" w:ascii="Times New Roman" w:hAnsi="Times New Roman" w:eastAsia="宋体"/>
          <w:color w:val="auto"/>
          <w:highlight w:val="none"/>
        </w:rPr>
        <w:t>预防</w:t>
      </w:r>
      <w:r>
        <w:rPr>
          <w:rFonts w:ascii="Times New Roman" w:hAnsi="Times New Roman" w:eastAsia="宋体"/>
          <w:color w:val="auto"/>
          <w:highlight w:val="none"/>
        </w:rPr>
        <w:t>区</w:t>
      </w:r>
      <w:r>
        <w:rPr>
          <w:rFonts w:hint="eastAsia" w:ascii="Times New Roman" w:hAnsi="Times New Roman" w:eastAsia="宋体"/>
          <w:color w:val="auto"/>
          <w:highlight w:val="none"/>
        </w:rPr>
        <w:t>。水土流失重点预防区要采取保护管理、局部治理、生态补偿及能源替代等措施</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保护林草植被</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强化生产建设活动和项目水土保持管理</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实施封育保护</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促进自然修复</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全面预防水土流失。</w:t>
      </w:r>
    </w:p>
    <w:p>
      <w:pPr>
        <w:ind w:firstLine="480"/>
        <w:rPr>
          <w:rFonts w:ascii="Times New Roman" w:hAnsi="Times New Roman" w:eastAsia="宋体"/>
          <w:color w:val="auto"/>
          <w:highlight w:val="none"/>
        </w:rPr>
      </w:pPr>
      <w:bookmarkStart w:id="400" w:name="_Toc25993"/>
      <w:r>
        <w:rPr>
          <w:rFonts w:ascii="Times New Roman" w:hAnsi="Times New Roman" w:eastAsia="宋体"/>
          <w:color w:val="auto"/>
          <w:highlight w:val="none"/>
        </w:rPr>
        <w:t>1、水土流失危害</w:t>
      </w:r>
    </w:p>
    <w:p>
      <w:pPr>
        <w:ind w:firstLine="480"/>
        <w:rPr>
          <w:rFonts w:ascii="Times New Roman" w:hAnsi="Times New Roman" w:eastAsia="宋体"/>
          <w:color w:val="auto"/>
          <w:highlight w:val="none"/>
        </w:rPr>
      </w:pPr>
      <w:r>
        <w:rPr>
          <w:rFonts w:ascii="Times New Roman" w:hAnsi="Times New Roman" w:eastAsia="宋体"/>
          <w:color w:val="auto"/>
          <w:highlight w:val="none"/>
        </w:rPr>
        <w:t>项目在建设运行期间，区域的地表将受到不同程度的破坏，地形、地貌将产生一定的变化，新增水土流失若不进行有效的治理，将会对项目本身、项目区域的生态环境和社会环境造成严重的不利影响。本工程如不采取必要的水土流失防治措施，可能造成的水土流失危害主要表现在：</w:t>
      </w:r>
    </w:p>
    <w:p>
      <w:pPr>
        <w:ind w:firstLine="480"/>
        <w:rPr>
          <w:rFonts w:ascii="Times New Roman" w:hAnsi="Times New Roman" w:eastAsia="宋体"/>
          <w:color w:val="auto"/>
          <w:highlight w:val="none"/>
        </w:rPr>
      </w:pPr>
      <w:r>
        <w:rPr>
          <w:rFonts w:ascii="Times New Roman" w:hAnsi="Times New Roman" w:eastAsia="宋体"/>
          <w:color w:val="auto"/>
          <w:highlight w:val="none"/>
        </w:rPr>
        <w:t>（1）破坏水土资源</w:t>
      </w:r>
    </w:p>
    <w:p>
      <w:pPr>
        <w:ind w:firstLine="480"/>
        <w:rPr>
          <w:rFonts w:ascii="Times New Roman" w:hAnsi="Times New Roman" w:eastAsia="宋体"/>
          <w:color w:val="auto"/>
          <w:highlight w:val="none"/>
        </w:rPr>
      </w:pPr>
      <w:r>
        <w:rPr>
          <w:rFonts w:ascii="Times New Roman" w:hAnsi="Times New Roman" w:eastAsia="宋体"/>
          <w:color w:val="auto"/>
          <w:highlight w:val="none"/>
        </w:rPr>
        <w:t>项目建设导致扰动土地，使水土流失加剧，土壤有机质流失，土壤结构遭到破坏，土壤中的氮、磷、钾无机盐及有机物含量降低。同时土壤中动物、微生物及它们的衍生物数量大大降低，从而影响立地条件，土地的保水能力减弱。</w:t>
      </w:r>
    </w:p>
    <w:p>
      <w:pPr>
        <w:ind w:firstLine="480"/>
        <w:rPr>
          <w:rFonts w:ascii="Times New Roman" w:hAnsi="Times New Roman" w:eastAsia="宋体"/>
          <w:color w:val="auto"/>
          <w:highlight w:val="none"/>
        </w:rPr>
      </w:pPr>
      <w:r>
        <w:rPr>
          <w:rFonts w:ascii="Times New Roman" w:hAnsi="Times New Roman" w:eastAsia="宋体"/>
          <w:color w:val="auto"/>
          <w:highlight w:val="none"/>
        </w:rPr>
        <w:t>（2）加剧水土流失、诱发内涝</w:t>
      </w:r>
    </w:p>
    <w:p>
      <w:pPr>
        <w:ind w:firstLine="480"/>
        <w:rPr>
          <w:rFonts w:ascii="Times New Roman" w:hAnsi="Times New Roman" w:eastAsia="宋体"/>
          <w:color w:val="auto"/>
          <w:highlight w:val="none"/>
        </w:rPr>
      </w:pPr>
      <w:r>
        <w:rPr>
          <w:rFonts w:ascii="Times New Roman" w:hAnsi="Times New Roman" w:eastAsia="宋体"/>
          <w:color w:val="auto"/>
          <w:highlight w:val="none"/>
        </w:rPr>
        <w:t>由于项目建设运行过程中破坏了原地貌状态和自然侵蚀状态下的水文网络系统，植被也受到破坏，极易诱发水土流失。其开采、回填等建设活动，对原有坡面植被造成破坏，同时施工裸露地面积增加，扰动了原土层和岩层，为溅蚀、面蚀、细沟侵蚀等土壤侵蚀的产生创造了条件。施工中建设区内的土方得不到及时的清运及有效的防护治理，在降雨径流作用下，泥沙直接汇入排水系统，增加水域含沙量，影响项目区附近防洪防涝。</w:t>
      </w:r>
    </w:p>
    <w:p>
      <w:pPr>
        <w:bidi w:val="0"/>
        <w:rPr>
          <w:color w:val="auto"/>
          <w:highlight w:val="none"/>
        </w:rPr>
      </w:pPr>
      <w:r>
        <w:rPr>
          <w:color w:val="auto"/>
          <w:highlight w:val="none"/>
        </w:rPr>
        <w:t>（3）影响周边环境</w:t>
      </w:r>
    </w:p>
    <w:p>
      <w:pPr>
        <w:bidi w:val="0"/>
        <w:rPr>
          <w:color w:val="auto"/>
          <w:highlight w:val="none"/>
        </w:rPr>
      </w:pPr>
      <w:r>
        <w:rPr>
          <w:color w:val="auto"/>
          <w:highlight w:val="none"/>
        </w:rPr>
        <w:t>项目建设运行过程中若不加强管理，裸露的地表遇大风时尘土飞扬，降低空气质量，影响项目区周边环境。另外，项目开挖及填筑的裸露面不采取相应的防护措施，对周围的景观将形成破坏，对当地的生态环境建设不利。</w:t>
      </w:r>
    </w:p>
    <w:p>
      <w:pPr>
        <w:bidi w:val="0"/>
        <w:rPr>
          <w:color w:val="auto"/>
          <w:highlight w:val="none"/>
        </w:rPr>
      </w:pPr>
      <w:r>
        <w:rPr>
          <w:color w:val="auto"/>
          <w:highlight w:val="none"/>
        </w:rPr>
        <w:t>2、项目主体工程水土保持分析与评价</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（1）工程占地分析评价</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本项目共占用土地</w:t>
      </w:r>
      <w:r>
        <w:rPr>
          <w:rFonts w:hint="eastAsia" w:ascii="Times New Roman" w:hAnsi="Times New Roman" w:eastAsia="宋体" w:cs="Times New Roman"/>
          <w:color w:val="auto"/>
          <w:highlight w:val="none"/>
        </w:rPr>
        <w:t>19.6085</w:t>
      </w:r>
      <w:r>
        <w:rPr>
          <w:rFonts w:ascii="Times New Roman" w:hAnsi="Times New Roman" w:eastAsia="宋体" w:cs="Times New Roman"/>
          <w:color w:val="auto"/>
          <w:highlight w:val="none"/>
        </w:rPr>
        <w:t>hm</w:t>
      </w:r>
      <w:r>
        <w:rPr>
          <w:rFonts w:ascii="Times New Roman" w:hAnsi="Times New Roman" w:eastAsia="宋体" w:cs="Times New Roman"/>
          <w:color w:val="auto"/>
          <w:highlight w:val="none"/>
          <w:vertAlign w:val="superscript"/>
        </w:rPr>
        <w:t>2</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其中</w:t>
      </w:r>
      <w:r>
        <w:rPr>
          <w:rFonts w:ascii="Times New Roman" w:hAnsi="Times New Roman" w:eastAsia="宋体" w:cs="Times New Roman"/>
          <w:color w:val="auto"/>
          <w:highlight w:val="none"/>
        </w:rPr>
        <w:t>采矿许可</w:t>
      </w:r>
      <w:r>
        <w:rPr>
          <w:rFonts w:hint="eastAsia" w:ascii="Times New Roman" w:hAnsi="Times New Roman" w:eastAsia="宋体" w:cs="Times New Roman"/>
          <w:color w:val="auto"/>
          <w:highlight w:val="none"/>
        </w:rPr>
        <w:t>占地</w:t>
      </w:r>
      <w:r>
        <w:rPr>
          <w:rFonts w:ascii="Times New Roman" w:hAnsi="Times New Roman" w:eastAsia="宋体" w:cs="Times New Roman"/>
          <w:color w:val="auto"/>
          <w:highlight w:val="none"/>
        </w:rPr>
        <w:t>面积</w:t>
      </w:r>
      <w:r>
        <w:rPr>
          <w:rFonts w:hint="eastAsia" w:ascii="Times New Roman" w:hAnsi="Times New Roman" w:eastAsia="宋体" w:cs="Times New Roman"/>
          <w:color w:val="auto"/>
          <w:highlight w:val="none"/>
        </w:rPr>
        <w:t>15.98h</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rPr>
        <w:t>，日常生产</w:t>
      </w:r>
      <w:r>
        <w:rPr>
          <w:rFonts w:ascii="Times New Roman" w:hAnsi="Times New Roman" w:eastAsia="宋体" w:cs="Times New Roman"/>
          <w:color w:val="auto"/>
          <w:highlight w:val="none"/>
        </w:rPr>
        <w:t>临时占地</w:t>
      </w:r>
      <w:r>
        <w:rPr>
          <w:rFonts w:hint="eastAsia" w:ascii="Times New Roman" w:hAnsi="Times New Roman" w:eastAsia="宋体" w:cs="Times New Roman"/>
          <w:color w:val="auto"/>
          <w:highlight w:val="none"/>
        </w:rPr>
        <w:t>面积3.6285h</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2</w:t>
      </w:r>
      <w:r>
        <w:rPr>
          <w:rFonts w:ascii="Times New Roman" w:hAnsi="Times New Roman" w:eastAsia="宋体" w:cs="Times New Roman"/>
          <w:color w:val="auto"/>
          <w:highlight w:val="none"/>
        </w:rPr>
        <w:t>；占地类型包括</w:t>
      </w:r>
      <w:r>
        <w:rPr>
          <w:rFonts w:hint="eastAsia" w:ascii="Times New Roman" w:hAnsi="Times New Roman" w:eastAsia="宋体" w:cs="Times New Roman"/>
          <w:color w:val="auto"/>
          <w:highlight w:val="none"/>
        </w:rPr>
        <w:t>耕地、林地、园地、草地、其它土地等</w:t>
      </w:r>
      <w:r>
        <w:rPr>
          <w:rFonts w:ascii="Times New Roman" w:hAnsi="Times New Roman" w:eastAsia="宋体" w:cs="Times New Roman"/>
          <w:color w:val="auto"/>
          <w:highlight w:val="none"/>
        </w:rPr>
        <w:t>。本项目占用耕地</w:t>
      </w:r>
      <w:r>
        <w:rPr>
          <w:rFonts w:hint="eastAsia" w:ascii="Times New Roman" w:hAnsi="Times New Roman" w:eastAsia="宋体" w:cs="Times New Roman"/>
          <w:color w:val="auto"/>
          <w:highlight w:val="none"/>
        </w:rPr>
        <w:t>较少</w:t>
      </w:r>
      <w:r>
        <w:rPr>
          <w:rFonts w:ascii="Times New Roman" w:hAnsi="Times New Roman" w:eastAsia="宋体" w:cs="Times New Roman"/>
          <w:color w:val="auto"/>
          <w:highlight w:val="none"/>
        </w:rPr>
        <w:t>，符合水土保持少占耕地的要求。项目建设过程中只扰动少部分面积，生产期结束后进行绿化覆土并植树造林恢复植被。经分析，工程占地符合水土保持技术规范相关规定。</w:t>
      </w:r>
    </w:p>
    <w:p>
      <w:pPr>
        <w:ind w:firstLine="480"/>
        <w:rPr>
          <w:rFonts w:ascii="Times New Roman" w:hAnsi="Times New Roman" w:eastAsia="宋体"/>
          <w:color w:val="auto"/>
          <w:highlight w:val="none"/>
        </w:rPr>
      </w:pPr>
      <w:r>
        <w:rPr>
          <w:rFonts w:ascii="Times New Roman" w:hAnsi="Times New Roman" w:eastAsia="宋体"/>
          <w:color w:val="auto"/>
          <w:highlight w:val="none"/>
        </w:rPr>
        <w:t>经分析，主体工程占地符合水土保持技术规范相关规定，不存在制约性因素。</w:t>
      </w:r>
    </w:p>
    <w:p>
      <w:pPr>
        <w:ind w:firstLine="480"/>
        <w:rPr>
          <w:rFonts w:ascii="Times New Roman" w:hAnsi="Times New Roman" w:eastAsia="宋体"/>
          <w:color w:val="auto"/>
          <w:highlight w:val="none"/>
        </w:rPr>
      </w:pPr>
      <w:r>
        <w:rPr>
          <w:rFonts w:ascii="Times New Roman" w:hAnsi="Times New Roman" w:eastAsia="宋体"/>
          <w:color w:val="auto"/>
          <w:highlight w:val="none"/>
        </w:rPr>
        <w:t>（2）土石方平衡分析评价</w:t>
      </w:r>
    </w:p>
    <w:p>
      <w:pPr>
        <w:ind w:firstLine="480"/>
        <w:rPr>
          <w:rFonts w:ascii="Times New Roman" w:hAnsi="Times New Roman" w:eastAsia="宋体"/>
          <w:color w:val="auto"/>
          <w:highlight w:val="none"/>
        </w:rPr>
      </w:pPr>
      <w:r>
        <w:rPr>
          <w:rFonts w:ascii="Times New Roman" w:hAnsi="Times New Roman" w:eastAsia="宋体"/>
          <w:color w:val="auto"/>
          <w:highlight w:val="none"/>
        </w:rPr>
        <w:t>矿山开采设计采用了露天开采的方式，充分考虑土石方挖填平衡，最大限度地控制了挖方工程量，极大地减少了水土流失。主体工程土石方平衡中，严格遵守工程施工及生产进度安排并充分考虑了工程的自身平衡利用，有利于水土保持。</w:t>
      </w:r>
    </w:p>
    <w:p>
      <w:pPr>
        <w:ind w:firstLine="480"/>
        <w:rPr>
          <w:rFonts w:ascii="Times New Roman" w:hAnsi="Times New Roman" w:eastAsia="宋体"/>
          <w:color w:val="auto"/>
          <w:highlight w:val="none"/>
        </w:rPr>
      </w:pPr>
      <w:r>
        <w:rPr>
          <w:rFonts w:ascii="Times New Roman" w:hAnsi="Times New Roman" w:eastAsia="宋体"/>
          <w:color w:val="auto"/>
          <w:highlight w:val="none"/>
        </w:rPr>
        <w:t xml:space="preserve">工程建设中能够充分利用开挖土石方，保护周边生态环境，符合水土保持要求。 </w:t>
      </w:r>
    </w:p>
    <w:p>
      <w:pPr>
        <w:ind w:firstLine="480"/>
        <w:rPr>
          <w:rFonts w:ascii="Times New Roman" w:hAnsi="Times New Roman" w:eastAsia="宋体"/>
          <w:color w:val="auto"/>
          <w:highlight w:val="none"/>
        </w:rPr>
      </w:pPr>
      <w:r>
        <w:rPr>
          <w:rFonts w:ascii="Times New Roman" w:hAnsi="Times New Roman" w:eastAsia="宋体"/>
          <w:color w:val="auto"/>
          <w:highlight w:val="none"/>
        </w:rPr>
        <w:t>（3）水土保持工程措施分析与评价</w:t>
      </w:r>
    </w:p>
    <w:p>
      <w:pPr>
        <w:ind w:firstLine="480"/>
        <w:rPr>
          <w:rFonts w:ascii="Times New Roman" w:hAnsi="Times New Roman" w:eastAsia="宋体"/>
          <w:color w:val="auto"/>
          <w:highlight w:val="none"/>
        </w:rPr>
      </w:pPr>
      <w:r>
        <w:rPr>
          <w:rFonts w:ascii="Times New Roman" w:hAnsi="Times New Roman" w:eastAsia="宋体"/>
          <w:color w:val="auto"/>
          <w:highlight w:val="none"/>
        </w:rPr>
        <w:t>①采石场区</w:t>
      </w:r>
    </w:p>
    <w:p>
      <w:pPr>
        <w:ind w:firstLine="480"/>
        <w:rPr>
          <w:rFonts w:ascii="Times New Roman" w:hAnsi="Times New Roman" w:eastAsia="宋体"/>
          <w:color w:val="auto"/>
          <w:highlight w:val="none"/>
        </w:rPr>
      </w:pPr>
      <w:r>
        <w:rPr>
          <w:rFonts w:ascii="Times New Roman" w:hAnsi="Times New Roman" w:eastAsia="宋体"/>
          <w:color w:val="auto"/>
          <w:highlight w:val="none"/>
        </w:rPr>
        <w:t>对其进行绿化覆土，采场边坡做到边生产边复垦，对矿区内裸露地面进行绿化，采用乔灌草混交绿化方式；后期开采台阶平台覆土整治后，采取撒播草籽绿化；底部平台采取种植马尾松绿化，开采边坡采取种植爬山虎绿化；在采场底部修建截排水沟，将边坡汇水导排至采场外，排水沟出口衔接自然排水通道；在台阶平台外侧砌小挡墙，利用小挡墙与内侧边坡之间建种植槽。本矿属山坡露天矿，主体设计后期绿化覆土、植被绿化、采场底部排水、台阶拦挡等措施。</w:t>
      </w:r>
    </w:p>
    <w:p>
      <w:pPr>
        <w:ind w:firstLine="480"/>
        <w:rPr>
          <w:rFonts w:ascii="Times New Roman" w:hAnsi="Times New Roman" w:eastAsia="宋体"/>
          <w:color w:val="auto"/>
          <w:highlight w:val="none"/>
        </w:rPr>
      </w:pPr>
      <w:r>
        <w:rPr>
          <w:rFonts w:ascii="Times New Roman" w:hAnsi="Times New Roman" w:eastAsia="宋体"/>
          <w:color w:val="auto"/>
          <w:highlight w:val="none"/>
        </w:rPr>
        <w:t>②对工业场地进行土地翻耕，土地翻耕后采用撒播草籽绿化方式。</w:t>
      </w:r>
    </w:p>
    <w:p>
      <w:pPr>
        <w:ind w:firstLine="480"/>
        <w:rPr>
          <w:rFonts w:ascii="Times New Roman" w:hAnsi="Times New Roman" w:eastAsia="宋体"/>
          <w:color w:val="auto"/>
          <w:highlight w:val="none"/>
        </w:rPr>
      </w:pPr>
      <w:r>
        <w:rPr>
          <w:rFonts w:ascii="Times New Roman" w:hAnsi="Times New Roman" w:eastAsia="宋体"/>
          <w:color w:val="auto"/>
          <w:highlight w:val="none"/>
        </w:rPr>
        <w:t>③办公生活区对其进行土地翻耕，土地翻耕后采用撒播草籽绿化方式。</w:t>
      </w:r>
    </w:p>
    <w:p>
      <w:pPr>
        <w:ind w:firstLine="480"/>
        <w:rPr>
          <w:rFonts w:ascii="Times New Roman" w:hAnsi="Times New Roman" w:eastAsia="宋体"/>
          <w:color w:val="auto"/>
          <w:highlight w:val="none"/>
        </w:rPr>
      </w:pPr>
      <w:r>
        <w:rPr>
          <w:rFonts w:ascii="Times New Roman" w:hAnsi="Times New Roman" w:eastAsia="宋体"/>
          <w:color w:val="auto"/>
          <w:highlight w:val="none"/>
        </w:rPr>
        <w:t>但是，所采取的水土保持措施不够全面，主要体现在：①采场台阶平台缺少排水沟及矿区内沉沙措施；②工业场地缺少排水沟、沉砂池、拦挡等措施；③进场道路区缺少增浆砌石排水沟及沉沙池；④矿山公路区缺少边坡防护措施；⑤临时堆土区缺少坡脚布设浆砌石挡土墙。</w:t>
      </w:r>
    </w:p>
    <w:p>
      <w:pPr>
        <w:ind w:firstLine="480"/>
        <w:rPr>
          <w:rFonts w:ascii="Times New Roman" w:hAnsi="Times New Roman" w:eastAsia="宋体" w:cs="Times New Roman"/>
          <w:color w:val="auto"/>
          <w:highlight w:val="none"/>
        </w:rPr>
      </w:pPr>
      <w:r>
        <w:rPr>
          <w:rFonts w:ascii="Times New Roman" w:hAnsi="Times New Roman" w:eastAsia="宋体"/>
          <w:color w:val="auto"/>
          <w:highlight w:val="none"/>
        </w:rPr>
        <w:t>因此项目必须及时根据不同情况采取有效的、切实可行的预防和治理措施，防止水土流失进一步扩大，将本工程建设可能产生的水土流失量降到最低限度。</w:t>
      </w:r>
    </w:p>
    <w:p>
      <w:pPr>
        <w:pStyle w:val="6"/>
        <w:rPr>
          <w:rFonts w:ascii="Times New Roman" w:hAnsi="Times New Roman" w:eastAsia="宋体"/>
          <w:color w:val="auto"/>
          <w:highlight w:val="none"/>
        </w:rPr>
      </w:pPr>
      <w:r>
        <w:rPr>
          <w:rFonts w:ascii="Times New Roman" w:hAnsi="Times New Roman" w:eastAsia="宋体"/>
          <w:color w:val="auto"/>
          <w:highlight w:val="none"/>
        </w:rPr>
        <w:t>4.2.7.</w:t>
      </w:r>
      <w:r>
        <w:rPr>
          <w:rFonts w:hint="eastAsia" w:ascii="Times New Roman" w:hAnsi="Times New Roman" w:eastAsia="宋体"/>
          <w:color w:val="auto"/>
          <w:highlight w:val="none"/>
        </w:rPr>
        <w:t>7</w:t>
      </w:r>
      <w:r>
        <w:rPr>
          <w:rFonts w:ascii="Times New Roman" w:hAnsi="Times New Roman" w:eastAsia="宋体"/>
          <w:color w:val="auto"/>
          <w:highlight w:val="none"/>
        </w:rPr>
        <w:t xml:space="preserve"> 对生态系统结构及功能的影响分析</w:t>
      </w:r>
    </w:p>
    <w:p>
      <w:pPr>
        <w:ind w:firstLine="480"/>
        <w:rPr>
          <w:rFonts w:ascii="Times New Roman" w:hAnsi="Times New Roman" w:eastAsia="宋体"/>
          <w:color w:val="auto"/>
          <w:highlight w:val="none"/>
        </w:rPr>
      </w:pPr>
      <w:r>
        <w:rPr>
          <w:rFonts w:ascii="Times New Roman" w:hAnsi="Times New Roman" w:eastAsia="宋体"/>
          <w:color w:val="auto"/>
          <w:highlight w:val="none"/>
        </w:rPr>
        <w:t>1、对区域生态系统结构完整性的影响分析</w:t>
      </w:r>
    </w:p>
    <w:p>
      <w:pPr>
        <w:ind w:firstLine="480"/>
        <w:rPr>
          <w:rFonts w:ascii="Times New Roman" w:hAnsi="Times New Roman" w:eastAsia="宋体"/>
          <w:color w:val="auto"/>
          <w:highlight w:val="none"/>
        </w:rPr>
      </w:pPr>
      <w:r>
        <w:rPr>
          <w:rFonts w:ascii="Times New Roman" w:hAnsi="Times New Roman" w:eastAsia="宋体"/>
          <w:color w:val="auto"/>
          <w:highlight w:val="none"/>
        </w:rPr>
        <w:t>矿山开采活动对生态系统的扰动，将会使区域生态系统的结构和功能紊乱，植被及土壤受到破坏、扰动。矿的开采将不可避免的破坏该区生态环境，在一定程度上使生境破碎化，但不会形成分割。矿山开采活动多生态系统的影响局限在项目这一局部范围内，对土壤、植被的破坏范围有限。</w:t>
      </w:r>
    </w:p>
    <w:p>
      <w:pPr>
        <w:ind w:firstLine="480"/>
        <w:rPr>
          <w:rFonts w:ascii="Times New Roman" w:hAnsi="Times New Roman" w:eastAsia="宋体"/>
          <w:color w:val="auto"/>
          <w:highlight w:val="none"/>
        </w:rPr>
      </w:pPr>
      <w:r>
        <w:rPr>
          <w:rFonts w:ascii="Times New Roman" w:hAnsi="Times New Roman" w:eastAsia="宋体"/>
          <w:color w:val="auto"/>
          <w:highlight w:val="none"/>
        </w:rPr>
        <w:t>因此本项目对区域生态系统结构完整性的影响较少。</w:t>
      </w:r>
    </w:p>
    <w:p>
      <w:pPr>
        <w:ind w:firstLine="480"/>
        <w:rPr>
          <w:rFonts w:ascii="Times New Roman" w:hAnsi="Times New Roman" w:eastAsia="宋体"/>
          <w:color w:val="auto"/>
          <w:highlight w:val="none"/>
        </w:rPr>
      </w:pPr>
      <w:r>
        <w:rPr>
          <w:rFonts w:ascii="Times New Roman" w:hAnsi="Times New Roman" w:eastAsia="宋体"/>
          <w:color w:val="auto"/>
          <w:highlight w:val="none"/>
        </w:rPr>
        <w:t>2、对区域生态系统功能的影响</w:t>
      </w:r>
    </w:p>
    <w:p>
      <w:pPr>
        <w:ind w:firstLine="480"/>
        <w:rPr>
          <w:rFonts w:ascii="Times New Roman" w:hAnsi="Times New Roman" w:eastAsia="宋体"/>
          <w:color w:val="auto"/>
          <w:highlight w:val="none"/>
        </w:rPr>
      </w:pPr>
      <w:r>
        <w:rPr>
          <w:rFonts w:ascii="Times New Roman" w:hAnsi="Times New Roman" w:eastAsia="宋体"/>
          <w:color w:val="auto"/>
          <w:highlight w:val="none"/>
        </w:rPr>
        <w:t>矿区开采后，区域生态环境类型由自然生态系统变为人工生态系统，由木林地、荒草地变为矿区，区域生物生产力降低，而人口将大幅度增加。矿区服务期间，水源涵养及水质净化、生物多样性保持、景观及娱乐功能有所减弱。大气污染及噪声功能区仅在局部区域内产生变化，但不会引起整个区城的改变。矿区服务期满进行生态恢复后，植被覆盖率将恢复接近开采前水平，且应该按照本环评和</w:t>
      </w:r>
      <w:r>
        <w:rPr>
          <w:rFonts w:hint="eastAsia" w:ascii="Times New Roman" w:hAnsi="Times New Roman" w:eastAsia="宋体"/>
          <w:color w:val="auto"/>
          <w:highlight w:val="none"/>
        </w:rPr>
        <w:t>项目矿山</w:t>
      </w:r>
      <w:r>
        <w:rPr>
          <w:rFonts w:ascii="Times New Roman" w:hAnsi="Times New Roman" w:eastAsia="宋体"/>
          <w:color w:val="auto"/>
          <w:highlight w:val="none"/>
        </w:rPr>
        <w:t>《水土保持方案》中提出的要求进行植被恢复，进行乔、灌、草搭配协调，使得区域各项环境功能恢复接近开采前的水平。</w:t>
      </w:r>
    </w:p>
    <w:p>
      <w:pPr>
        <w:pStyle w:val="6"/>
        <w:tabs>
          <w:tab w:val="left" w:pos="1390"/>
        </w:tabs>
        <w:spacing w:line="500" w:lineRule="exact"/>
        <w:rPr>
          <w:rFonts w:ascii="Times New Roman" w:hAnsi="Times New Roman" w:eastAsia="宋体"/>
          <w:color w:val="auto"/>
          <w:highlight w:val="none"/>
        </w:rPr>
      </w:pPr>
      <w:r>
        <w:rPr>
          <w:rFonts w:ascii="Times New Roman" w:hAnsi="Times New Roman" w:eastAsia="宋体"/>
          <w:color w:val="auto"/>
          <w:highlight w:val="none"/>
        </w:rPr>
        <w:t>4.2.</w:t>
      </w:r>
      <w:r>
        <w:rPr>
          <w:rFonts w:hint="eastAsia" w:ascii="Times New Roman" w:hAnsi="Times New Roman" w:eastAsia="宋体"/>
          <w:color w:val="auto"/>
          <w:highlight w:val="none"/>
        </w:rPr>
        <w:t>7</w:t>
      </w:r>
      <w:r>
        <w:rPr>
          <w:rFonts w:ascii="Times New Roman" w:hAnsi="Times New Roman" w:eastAsia="宋体"/>
          <w:color w:val="auto"/>
          <w:highlight w:val="none"/>
        </w:rPr>
        <w:t>.</w:t>
      </w:r>
      <w:r>
        <w:rPr>
          <w:rFonts w:hint="eastAsia" w:ascii="Times New Roman" w:hAnsi="Times New Roman" w:eastAsia="宋体"/>
          <w:color w:val="auto"/>
          <w:highlight w:val="none"/>
        </w:rPr>
        <w:t>8</w:t>
      </w:r>
      <w:r>
        <w:rPr>
          <w:rFonts w:ascii="Times New Roman" w:hAnsi="Times New Roman" w:eastAsia="宋体"/>
          <w:color w:val="auto"/>
          <w:highlight w:val="none"/>
        </w:rPr>
        <w:t xml:space="preserve"> 闭矿期生态环境影响分析</w:t>
      </w:r>
      <w:bookmarkEnd w:id="400"/>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u w:val="single"/>
        </w:rPr>
        <w:t>本项目</w:t>
      </w:r>
      <w:r>
        <w:rPr>
          <w:rFonts w:hint="eastAsia" w:cs="Times New Roman"/>
          <w:color w:val="auto"/>
          <w:highlight w:val="none"/>
          <w:u w:val="single"/>
          <w:lang w:val="en-US" w:eastAsia="zh-CN"/>
        </w:rPr>
        <w:t>矿山可</w:t>
      </w:r>
      <w:r>
        <w:rPr>
          <w:rFonts w:ascii="Times New Roman" w:hAnsi="Times New Roman" w:eastAsia="宋体" w:cs="Times New Roman"/>
          <w:color w:val="auto"/>
          <w:highlight w:val="none"/>
          <w:u w:val="single"/>
        </w:rPr>
        <w:t>服务年限为</w:t>
      </w:r>
      <w:r>
        <w:rPr>
          <w:rFonts w:hint="eastAsia" w:ascii="Times New Roman" w:hAnsi="Times New Roman" w:eastAsia="宋体" w:cs="Times New Roman"/>
          <w:color w:val="auto"/>
          <w:highlight w:val="none"/>
          <w:u w:val="single"/>
        </w:rPr>
        <w:t>2</w:t>
      </w:r>
      <w:r>
        <w:rPr>
          <w:rFonts w:hint="eastAsia" w:cs="Times New Roman"/>
          <w:color w:val="auto"/>
          <w:highlight w:val="none"/>
          <w:u w:val="single"/>
          <w:lang w:val="en-US" w:eastAsia="zh-CN"/>
        </w:rPr>
        <w:t>8</w:t>
      </w:r>
      <w:r>
        <w:rPr>
          <w:rFonts w:ascii="Times New Roman" w:hAnsi="Times New Roman" w:eastAsia="宋体" w:cs="Times New Roman"/>
          <w:color w:val="auto"/>
          <w:highlight w:val="none"/>
          <w:u w:val="single"/>
        </w:rPr>
        <w:t>年</w:t>
      </w:r>
      <w:r>
        <w:rPr>
          <w:rFonts w:ascii="Times New Roman" w:hAnsi="Times New Roman" w:eastAsia="宋体" w:cs="Times New Roman"/>
          <w:color w:val="auto"/>
          <w:highlight w:val="none"/>
        </w:rPr>
        <w:t>，服务期满后，对环境造成的污染影响已明显减少，随着生产设备与人员的撤离，最终消除对环境的影响。废弃工业用地若为及时复垦对生态环境和当地景观将造成明显的影响，如不采取有效恢复措施，对生态环境的影响将是长期的。因此，服务期满后的生态恢复及废弃地的再利用必须引起高度重视。矿山服务期满后，露天采区内的各级开采台阶、矿山道路高开挖处仍可能产生滑坡、坍塌等地质灾害以及水土流失等影响。根据《矿山生态环境保护与污染防治技术政策》（环发</w:t>
      </w:r>
      <w:r>
        <w:rPr>
          <w:rFonts w:ascii="Times New Roman" w:hAnsi="Times New Roman" w:eastAsia="宋体" w:cs="Times New Roman"/>
          <w:color w:val="auto"/>
          <w:szCs w:val="24"/>
          <w:highlight w:val="none"/>
        </w:rPr>
        <w:t>〔20</w:t>
      </w:r>
      <w:r>
        <w:rPr>
          <w:rFonts w:hint="eastAsia" w:ascii="Times New Roman" w:hAnsi="Times New Roman" w:eastAsia="宋体" w:cs="Times New Roman"/>
          <w:color w:val="auto"/>
          <w:szCs w:val="24"/>
          <w:highlight w:val="none"/>
          <w:lang w:val="en-US" w:eastAsia="zh-CN"/>
        </w:rPr>
        <w:t>05</w:t>
      </w:r>
      <w:r>
        <w:rPr>
          <w:rFonts w:ascii="Times New Roman" w:hAnsi="Times New Roman" w:eastAsia="宋体" w:cs="Times New Roman"/>
          <w:color w:val="auto"/>
          <w:szCs w:val="24"/>
          <w:highlight w:val="none"/>
        </w:rPr>
        <w:t>〕</w:t>
      </w:r>
      <w:r>
        <w:rPr>
          <w:rFonts w:ascii="Times New Roman" w:hAnsi="Times New Roman" w:eastAsia="宋体" w:cs="Times New Roman"/>
          <w:color w:val="auto"/>
          <w:highlight w:val="none"/>
        </w:rPr>
        <w:t>199 号），新建矿山应做到边开采、边复垦，破坏土地复垦率达到85%以上。项目服务期满后，应依据项目矿山地质环境恢复治理与土地复垦方案及水土保持方案，对拆除建筑和设备后工业场地、生活办公区、开采区边坡等采取覆土、撒播草籽、种植爬山虎等植物措施，恢复矿区植被，使被破坏的植被生物量得以补偿，矿区生态服务功能可逐步恢复到矿区原有水平。因此，矿区闭矿后通过矿山植被恢复对生态环境的影响是有利的。</w:t>
      </w:r>
    </w:p>
    <w:p>
      <w:pPr>
        <w:pStyle w:val="4"/>
        <w:rPr>
          <w:rFonts w:ascii="Times New Roman" w:hAnsi="Times New Roman" w:eastAsia="宋体"/>
          <w:color w:val="auto"/>
          <w:highlight w:val="none"/>
        </w:rPr>
      </w:pPr>
      <w:bookmarkStart w:id="401" w:name="_Toc21259"/>
      <w:bookmarkStart w:id="402" w:name="_Toc21934"/>
      <w:bookmarkStart w:id="403" w:name="_Toc20811"/>
      <w:r>
        <w:rPr>
          <w:rFonts w:ascii="Times New Roman" w:hAnsi="Times New Roman" w:eastAsia="宋体"/>
          <w:color w:val="auto"/>
          <w:highlight w:val="none"/>
        </w:rPr>
        <w:t>4.3 环境风险评价</w:t>
      </w:r>
      <w:bookmarkEnd w:id="398"/>
      <w:bookmarkEnd w:id="399"/>
      <w:bookmarkEnd w:id="401"/>
      <w:bookmarkEnd w:id="402"/>
      <w:bookmarkEnd w:id="403"/>
    </w:p>
    <w:p>
      <w:pPr>
        <w:ind w:firstLine="480"/>
        <w:rPr>
          <w:rFonts w:ascii="Times New Roman" w:hAnsi="Times New Roman" w:eastAsia="宋体" w:cs="Times New Roman"/>
          <w:color w:val="auto"/>
          <w:highlight w:val="none"/>
        </w:rPr>
      </w:pPr>
      <w:bookmarkStart w:id="404" w:name="_Toc408837365"/>
      <w:bookmarkStart w:id="405" w:name="_Toc14033"/>
      <w:bookmarkStart w:id="406" w:name="_Toc9924"/>
      <w:bookmarkStart w:id="407" w:name="_Toc19080"/>
      <w:bookmarkStart w:id="408" w:name="_Toc29668"/>
      <w:bookmarkStart w:id="409" w:name="_Toc31337"/>
      <w:bookmarkStart w:id="410" w:name="_Toc9574"/>
      <w:bookmarkStart w:id="411" w:name="_Toc11368"/>
      <w:bookmarkStart w:id="412" w:name="_Toc26269"/>
      <w:r>
        <w:rPr>
          <w:rFonts w:ascii="Times New Roman" w:hAnsi="Times New Roman" w:eastAsia="宋体" w:cs="Times New Roman"/>
          <w:color w:val="auto"/>
          <w:highlight w:val="none"/>
        </w:rPr>
        <w:t>对建设项目进行环境风险评价的目的是分析和预测建设项目存在的潜在危险、有害因素，建设项目建设和运行期间可能发生的突发性事件或事故（一般不包括人为破坏及自然灾害），引起有毒有害和易燃易爆等物质泄漏，所造成环境影响和损害程度，提出合理可行的防范、应急与减缓措施，以使建设项目事故率、损失和环境影响达到可接受水平。</w:t>
      </w:r>
    </w:p>
    <w:p>
      <w:pPr>
        <w:pStyle w:val="5"/>
        <w:rPr>
          <w:rFonts w:ascii="Times New Roman" w:hAnsi="Times New Roman" w:eastAsia="宋体"/>
          <w:color w:val="auto"/>
          <w:highlight w:val="none"/>
        </w:rPr>
      </w:pPr>
      <w:r>
        <w:rPr>
          <w:rFonts w:ascii="Times New Roman" w:hAnsi="Times New Roman" w:eastAsia="宋体"/>
          <w:color w:val="auto"/>
          <w:highlight w:val="none"/>
        </w:rPr>
        <w:t xml:space="preserve">4.3.1 </w:t>
      </w:r>
      <w:bookmarkEnd w:id="404"/>
      <w:bookmarkEnd w:id="405"/>
      <w:bookmarkEnd w:id="406"/>
      <w:bookmarkEnd w:id="407"/>
      <w:bookmarkEnd w:id="408"/>
      <w:bookmarkEnd w:id="409"/>
      <w:bookmarkEnd w:id="410"/>
      <w:bookmarkEnd w:id="411"/>
      <w:bookmarkEnd w:id="412"/>
      <w:r>
        <w:rPr>
          <w:rFonts w:ascii="Times New Roman" w:hAnsi="Times New Roman" w:eastAsia="宋体"/>
          <w:color w:val="auto"/>
          <w:highlight w:val="none"/>
        </w:rPr>
        <w:t>评价依据</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shd w:val="clear" w:color="auto" w:fill="FFFFFF"/>
        </w:rPr>
        <w:t>根据《建设项目环境风险评价技术导则》（HJ 169-2018），建设项目涉及的物质及工艺系统危险性和所在地的环境敏感性确定环境风险潜势，按照表4.3-1确定评价工作等级。</w:t>
      </w:r>
    </w:p>
    <w:p>
      <w:pPr>
        <w:pStyle w:val="87"/>
        <w:rPr>
          <w:rFonts w:ascii="Times New Roman" w:hAnsi="Times New Roman" w:eastAsia="宋体" w:cs="Times New Roman"/>
          <w:color w:val="auto"/>
          <w:highlight w:val="none"/>
        </w:rPr>
      </w:pPr>
      <w:r>
        <w:rPr>
          <w:rFonts w:ascii="Times New Roman" w:hAnsi="Times New Roman" w:eastAsia="宋体" w:cs="Times New Roman"/>
          <w:color w:val="auto"/>
          <w:highlight w:val="none"/>
        </w:rPr>
        <w:t>表4.3-1 环境风险评价工作等级划分</w:t>
      </w:r>
    </w:p>
    <w:tbl>
      <w:tblPr>
        <w:tblStyle w:val="48"/>
        <w:tblW w:w="9093"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1627"/>
        <w:gridCol w:w="1813"/>
        <w:gridCol w:w="2015"/>
        <w:gridCol w:w="1819"/>
        <w:gridCol w:w="1819"/>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27" w:type="dxa"/>
            <w:tcBorders>
              <w:bottom w:val="single" w:color="auto" w:sz="6" w:space="0"/>
              <w:right w:val="single" w:color="auto" w:sz="6" w:space="0"/>
            </w:tcBorders>
            <w:noWrap w:val="0"/>
            <w:vAlign w:val="center"/>
          </w:tcPr>
          <w:p>
            <w:pPr>
              <w:pStyle w:val="86"/>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环境风险潜势</w:t>
            </w:r>
          </w:p>
        </w:tc>
        <w:tc>
          <w:tcPr>
            <w:tcW w:w="1813" w:type="dxa"/>
            <w:tcBorders>
              <w:left w:val="single" w:color="auto" w:sz="6" w:space="0"/>
              <w:bottom w:val="single" w:color="auto" w:sz="6" w:space="0"/>
              <w:right w:val="single" w:color="auto" w:sz="6" w:space="0"/>
            </w:tcBorders>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Ⅳ、Ⅳ</w:t>
            </w:r>
            <w:r>
              <w:rPr>
                <w:rFonts w:ascii="Times New Roman" w:hAnsi="Times New Roman" w:eastAsia="宋体" w:cs="Times New Roman"/>
                <w:color w:val="auto"/>
                <w:highlight w:val="none"/>
                <w:vertAlign w:val="superscript"/>
              </w:rPr>
              <w:t>+</w:t>
            </w:r>
          </w:p>
        </w:tc>
        <w:tc>
          <w:tcPr>
            <w:tcW w:w="2015" w:type="dxa"/>
            <w:tcBorders>
              <w:left w:val="single" w:color="auto" w:sz="6" w:space="0"/>
              <w:bottom w:val="single" w:color="auto" w:sz="6" w:space="0"/>
              <w:right w:val="single" w:color="auto" w:sz="6" w:space="0"/>
            </w:tcBorders>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Ⅲ</w:t>
            </w:r>
          </w:p>
        </w:tc>
        <w:tc>
          <w:tcPr>
            <w:tcW w:w="1819" w:type="dxa"/>
            <w:tcBorders>
              <w:left w:val="single" w:color="auto" w:sz="6" w:space="0"/>
              <w:bottom w:val="single" w:color="auto" w:sz="6" w:space="0"/>
              <w:right w:val="single" w:color="auto" w:sz="6" w:space="0"/>
            </w:tcBorders>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Ⅱ</w:t>
            </w:r>
          </w:p>
        </w:tc>
        <w:tc>
          <w:tcPr>
            <w:tcW w:w="1819" w:type="dxa"/>
            <w:tcBorders>
              <w:left w:val="single" w:color="auto" w:sz="6" w:space="0"/>
              <w:bottom w:val="single" w:color="auto" w:sz="6" w:space="0"/>
            </w:tcBorders>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Ⅰ</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27" w:type="dxa"/>
            <w:tcBorders>
              <w:top w:val="single" w:color="auto" w:sz="6" w:space="0"/>
              <w:bottom w:val="single" w:color="auto" w:sz="6" w:space="0"/>
              <w:right w:val="single" w:color="auto" w:sz="6" w:space="0"/>
            </w:tcBorders>
            <w:noWrap w:val="0"/>
            <w:vAlign w:val="center"/>
          </w:tcPr>
          <w:p>
            <w:pPr>
              <w:pStyle w:val="86"/>
              <w:jc w:val="both"/>
              <w:rPr>
                <w:rFonts w:ascii="Times New Roman" w:hAnsi="Times New Roman" w:eastAsia="宋体" w:cs="Times New Roman"/>
                <w:b w:val="0"/>
                <w:color w:val="auto"/>
                <w:highlight w:val="none"/>
              </w:rPr>
            </w:pPr>
            <w:r>
              <w:rPr>
                <w:rFonts w:ascii="Times New Roman" w:hAnsi="Times New Roman" w:eastAsia="宋体" w:cs="Times New Roman"/>
                <w:b w:val="0"/>
                <w:color w:val="auto"/>
                <w:highlight w:val="none"/>
              </w:rPr>
              <w:t>评价工作等级</w:t>
            </w:r>
          </w:p>
        </w:tc>
        <w:tc>
          <w:tcPr>
            <w:tcW w:w="1813" w:type="dxa"/>
            <w:tcBorders>
              <w:top w:val="single" w:color="auto" w:sz="6" w:space="0"/>
              <w:left w:val="single" w:color="auto" w:sz="6" w:space="0"/>
              <w:bottom w:val="single" w:color="auto" w:sz="6" w:space="0"/>
              <w:right w:val="single" w:color="auto" w:sz="6" w:space="0"/>
            </w:tcBorders>
            <w:noWrap w:val="0"/>
            <w:vAlign w:val="center"/>
          </w:tcPr>
          <w:p>
            <w:pPr>
              <w:pStyle w:val="86"/>
              <w:rPr>
                <w:rFonts w:ascii="Times New Roman" w:hAnsi="Times New Roman" w:eastAsia="宋体" w:cs="Times New Roman"/>
                <w:b w:val="0"/>
                <w:color w:val="auto"/>
                <w:highlight w:val="none"/>
              </w:rPr>
            </w:pPr>
            <w:r>
              <w:rPr>
                <w:rFonts w:ascii="Times New Roman" w:hAnsi="Times New Roman" w:eastAsia="宋体" w:cs="Times New Roman"/>
                <w:b w:val="0"/>
                <w:color w:val="auto"/>
                <w:highlight w:val="none"/>
              </w:rPr>
              <w:t>一</w:t>
            </w:r>
          </w:p>
        </w:tc>
        <w:tc>
          <w:tcPr>
            <w:tcW w:w="2015" w:type="dxa"/>
            <w:tcBorders>
              <w:top w:val="single" w:color="auto" w:sz="6" w:space="0"/>
              <w:left w:val="single" w:color="auto" w:sz="6" w:space="0"/>
              <w:bottom w:val="single" w:color="auto" w:sz="6" w:space="0"/>
              <w:right w:val="single" w:color="auto" w:sz="6" w:space="0"/>
            </w:tcBorders>
            <w:noWrap w:val="0"/>
            <w:vAlign w:val="center"/>
          </w:tcPr>
          <w:p>
            <w:pPr>
              <w:pStyle w:val="86"/>
              <w:rPr>
                <w:rFonts w:ascii="Times New Roman" w:hAnsi="Times New Roman" w:eastAsia="宋体" w:cs="Times New Roman"/>
                <w:b w:val="0"/>
                <w:color w:val="auto"/>
                <w:highlight w:val="none"/>
              </w:rPr>
            </w:pPr>
            <w:r>
              <w:rPr>
                <w:rFonts w:ascii="Times New Roman" w:hAnsi="Times New Roman" w:eastAsia="宋体" w:cs="Times New Roman"/>
                <w:b w:val="0"/>
                <w:color w:val="auto"/>
                <w:highlight w:val="none"/>
              </w:rPr>
              <w:t>二</w:t>
            </w:r>
          </w:p>
        </w:tc>
        <w:tc>
          <w:tcPr>
            <w:tcW w:w="1819" w:type="dxa"/>
            <w:tcBorders>
              <w:top w:val="single" w:color="auto" w:sz="6" w:space="0"/>
              <w:left w:val="single" w:color="auto" w:sz="6" w:space="0"/>
              <w:bottom w:val="single" w:color="auto" w:sz="6" w:space="0"/>
              <w:right w:val="single" w:color="auto" w:sz="6" w:space="0"/>
            </w:tcBorders>
            <w:noWrap w:val="0"/>
            <w:vAlign w:val="center"/>
          </w:tcPr>
          <w:p>
            <w:pPr>
              <w:pStyle w:val="86"/>
              <w:rPr>
                <w:rFonts w:ascii="Times New Roman" w:hAnsi="Times New Roman" w:eastAsia="宋体" w:cs="Times New Roman"/>
                <w:b w:val="0"/>
                <w:color w:val="auto"/>
                <w:highlight w:val="none"/>
              </w:rPr>
            </w:pPr>
            <w:r>
              <w:rPr>
                <w:rFonts w:ascii="Times New Roman" w:hAnsi="Times New Roman" w:eastAsia="宋体" w:cs="Times New Roman"/>
                <w:b w:val="0"/>
                <w:color w:val="auto"/>
                <w:highlight w:val="none"/>
              </w:rPr>
              <w:t>三</w:t>
            </w:r>
          </w:p>
        </w:tc>
        <w:tc>
          <w:tcPr>
            <w:tcW w:w="1819" w:type="dxa"/>
            <w:tcBorders>
              <w:top w:val="single" w:color="auto" w:sz="6" w:space="0"/>
              <w:left w:val="single" w:color="auto" w:sz="6" w:space="0"/>
              <w:bottom w:val="single" w:color="auto" w:sz="6" w:space="0"/>
            </w:tcBorders>
            <w:noWrap w:val="0"/>
            <w:vAlign w:val="center"/>
          </w:tcPr>
          <w:p>
            <w:pPr>
              <w:pStyle w:val="86"/>
              <w:rPr>
                <w:rFonts w:ascii="Times New Roman" w:hAnsi="Times New Roman" w:eastAsia="宋体" w:cs="Times New Roman"/>
                <w:b w:val="0"/>
                <w:color w:val="auto"/>
                <w:highlight w:val="none"/>
              </w:rPr>
            </w:pPr>
            <w:r>
              <w:rPr>
                <w:rFonts w:ascii="Times New Roman" w:hAnsi="Times New Roman" w:eastAsia="宋体" w:cs="Times New Roman"/>
                <w:b w:val="0"/>
                <w:color w:val="auto"/>
                <w:highlight w:val="none"/>
              </w:rPr>
              <w:t>简单分析</w:t>
            </w:r>
            <w:r>
              <w:rPr>
                <w:rFonts w:ascii="Times New Roman" w:hAnsi="Times New Roman" w:eastAsia="宋体" w:cs="Times New Roman"/>
                <w:b w:val="0"/>
                <w:color w:val="auto"/>
                <w:highlight w:val="none"/>
                <w:vertAlign w:val="superscript"/>
              </w:rPr>
              <w:t>a</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trHeight w:val="665" w:hRule="atLeast"/>
          <w:jc w:val="center"/>
        </w:trPr>
        <w:tc>
          <w:tcPr>
            <w:tcW w:w="9093" w:type="dxa"/>
            <w:gridSpan w:val="5"/>
            <w:tcBorders>
              <w:top w:val="single" w:color="auto" w:sz="6" w:space="0"/>
            </w:tcBorders>
            <w:noWrap w:val="0"/>
            <w:vAlign w:val="center"/>
          </w:tcPr>
          <w:p>
            <w:pPr>
              <w:pStyle w:val="86"/>
              <w:jc w:val="left"/>
              <w:rPr>
                <w:rFonts w:ascii="Times New Roman" w:hAnsi="Times New Roman" w:eastAsia="宋体" w:cs="Times New Roman"/>
                <w:b w:val="0"/>
                <w:color w:val="auto"/>
                <w:highlight w:val="none"/>
              </w:rPr>
            </w:pPr>
            <w:r>
              <w:rPr>
                <w:rFonts w:ascii="Times New Roman" w:hAnsi="Times New Roman" w:eastAsia="宋体" w:cs="Times New Roman"/>
                <w:b w:val="0"/>
                <w:color w:val="auto"/>
                <w:highlight w:val="none"/>
              </w:rPr>
              <w:t>a是相对于详细评价工作内容而言，在描述危险物质、环境影响途径、环境危害后果、风险防范措施等方面给出定性的说明，详见</w:t>
            </w:r>
            <w:r>
              <w:rPr>
                <w:rFonts w:ascii="Times New Roman" w:hAnsi="Times New Roman" w:eastAsia="宋体" w:cs="Times New Roman"/>
                <w:b w:val="0"/>
                <w:color w:val="auto"/>
                <w:highlight w:val="none"/>
                <w:shd w:val="clear" w:color="auto" w:fill="FFFFFF"/>
              </w:rPr>
              <w:t>HJ</w:t>
            </w:r>
            <w:r>
              <w:rPr>
                <w:rFonts w:hint="eastAsia" w:ascii="Times New Roman" w:hAnsi="Times New Roman" w:eastAsia="宋体" w:cs="Times New Roman"/>
                <w:b w:val="0"/>
                <w:color w:val="auto"/>
                <w:highlight w:val="none"/>
                <w:shd w:val="clear" w:color="auto" w:fill="FFFFFF"/>
                <w:lang w:val="en-US" w:eastAsia="zh-CN"/>
              </w:rPr>
              <w:t xml:space="preserve"> </w:t>
            </w:r>
            <w:r>
              <w:rPr>
                <w:rFonts w:ascii="Times New Roman" w:hAnsi="Times New Roman" w:eastAsia="宋体" w:cs="Times New Roman"/>
                <w:b w:val="0"/>
                <w:color w:val="auto"/>
                <w:highlight w:val="none"/>
                <w:shd w:val="clear" w:color="auto" w:fill="FFFFFF"/>
              </w:rPr>
              <w:t>169-2018附录A。</w:t>
            </w:r>
          </w:p>
        </w:tc>
      </w:tr>
    </w:tbl>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shd w:val="clear" w:color="auto" w:fill="FFFFFF"/>
        </w:rPr>
        <w:t>根据对项目风险源调查，项目生产、使用、储存过程涉及的有毒有害、易燃易爆物质有</w:t>
      </w:r>
      <w:r>
        <w:rPr>
          <w:rFonts w:hint="eastAsia" w:ascii="Times New Roman" w:hAnsi="Times New Roman" w:eastAsia="宋体" w:cs="Times New Roman"/>
          <w:color w:val="auto"/>
          <w:highlight w:val="none"/>
        </w:rPr>
        <w:t>乳化炸药（乳化</w:t>
      </w:r>
      <w:r>
        <w:rPr>
          <w:rFonts w:ascii="Times New Roman" w:hAnsi="Times New Roman" w:eastAsia="宋体" w:cs="Times New Roman"/>
          <w:color w:val="auto"/>
          <w:highlight w:val="none"/>
        </w:rPr>
        <w:t>炸药的主要成分</w:t>
      </w:r>
      <w:r>
        <w:rPr>
          <w:rFonts w:hint="eastAsia" w:ascii="Times New Roman" w:hAnsi="Times New Roman" w:eastAsia="宋体" w:cs="Times New Roman"/>
          <w:color w:val="auto"/>
          <w:highlight w:val="none"/>
        </w:rPr>
        <w:t>为</w:t>
      </w:r>
      <w:r>
        <w:rPr>
          <w:rFonts w:ascii="Times New Roman" w:hAnsi="Times New Roman" w:eastAsia="宋体" w:cs="Times New Roman"/>
          <w:color w:val="auto"/>
          <w:highlight w:val="none"/>
        </w:rPr>
        <w:t>硝酸铵</w:t>
      </w:r>
      <w:r>
        <w:rPr>
          <w:rFonts w:hint="eastAsia" w:ascii="Times New Roman" w:hAnsi="Times New Roman" w:eastAsia="宋体" w:cs="Times New Roman"/>
          <w:color w:val="auto"/>
          <w:highlight w:val="none"/>
        </w:rPr>
        <w:t>，与硝酸铵属于相同危险类别，按硝酸铵计算其临界量）</w:t>
      </w:r>
      <w:r>
        <w:rPr>
          <w:rFonts w:ascii="Times New Roman" w:hAnsi="Times New Roman" w:eastAsia="宋体" w:cs="Times New Roman"/>
          <w:color w:val="auto"/>
          <w:highlight w:val="none"/>
        </w:rPr>
        <w:t>和柴油。硝酸铵和柴油均属于</w:t>
      </w:r>
      <w:r>
        <w:rPr>
          <w:rFonts w:ascii="Times New Roman" w:hAnsi="Times New Roman" w:eastAsia="宋体" w:cs="Times New Roman"/>
          <w:color w:val="auto"/>
          <w:highlight w:val="none"/>
          <w:shd w:val="clear" w:color="auto" w:fill="FFFFFF"/>
        </w:rPr>
        <w:t xml:space="preserve">《建设项目环境风险评价技术导则》（HJ 169-2018）附录B中表B.1的风险物质。 </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根据《建设项目环境风险评价技术导则》（HJ 169-2018）附录C，当存在多种危险物质时，则按下式计算物质总量与其临界量比值Q。</w:t>
      </w:r>
    </w:p>
    <w:p>
      <w:pPr>
        <w:autoSpaceDE w:val="0"/>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inline distT="0" distB="0" distL="114300" distR="114300">
            <wp:extent cx="2080895" cy="643890"/>
            <wp:effectExtent l="0" t="0" r="14605" b="3810"/>
            <wp:docPr id="66" name="图片 332" descr="C:\Users\ADMINI~1.X6X\AppData\Local\Temp\ksohtml\wps9ED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32" descr="C:\Users\ADMINI~1.X6X\AppData\Local\Temp\ksohtml\wps9EDF.tmp.jpg"/>
                    <pic:cNvPicPr>
                      <a:picLocks noChangeAspect="1"/>
                    </pic:cNvPicPr>
                  </pic:nvPicPr>
                  <pic:blipFill>
                    <a:blip r:embed="rId101"/>
                    <a:stretch>
                      <a:fillRect/>
                    </a:stretch>
                  </pic:blipFill>
                  <pic:spPr>
                    <a:xfrm>
                      <a:off x="0" y="0"/>
                      <a:ext cx="2080895" cy="643890"/>
                    </a:xfrm>
                    <a:prstGeom prst="rect">
                      <a:avLst/>
                    </a:prstGeom>
                    <a:noFill/>
                    <a:ln>
                      <a:noFill/>
                    </a:ln>
                  </pic:spPr>
                </pic:pic>
              </a:graphicData>
            </a:graphic>
          </wp:inline>
        </w:drawing>
      </w:r>
      <w:r>
        <w:rPr>
          <w:rFonts w:ascii="Times New Roman" w:hAnsi="Times New Roman" w:eastAsia="宋体" w:cs="Times New Roman"/>
          <w:color w:val="auto"/>
          <w:highlight w:val="none"/>
        </w:rPr>
        <w:t xml:space="preserve"> </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式中：q</w:t>
      </w:r>
      <w:r>
        <w:rPr>
          <w:rFonts w:ascii="Times New Roman" w:hAnsi="Times New Roman" w:eastAsia="宋体" w:cs="Times New Roman"/>
          <w:color w:val="auto"/>
          <w:highlight w:val="none"/>
          <w:vertAlign w:val="subscript"/>
        </w:rPr>
        <w:t>1</w:t>
      </w:r>
      <w:r>
        <w:rPr>
          <w:rFonts w:ascii="Times New Roman" w:hAnsi="Times New Roman" w:eastAsia="宋体" w:cs="Times New Roman"/>
          <w:color w:val="auto"/>
          <w:highlight w:val="none"/>
        </w:rPr>
        <w:t>，q</w:t>
      </w:r>
      <w:r>
        <w:rPr>
          <w:rFonts w:ascii="Times New Roman" w:hAnsi="Times New Roman" w:eastAsia="宋体" w:cs="Times New Roman"/>
          <w:color w:val="auto"/>
          <w:highlight w:val="none"/>
          <w:vertAlign w:val="subscript"/>
        </w:rPr>
        <w:t>2</w:t>
      </w:r>
      <w:r>
        <w:rPr>
          <w:rFonts w:ascii="Times New Roman" w:hAnsi="Times New Roman" w:eastAsia="宋体" w:cs="Times New Roman"/>
          <w:color w:val="auto"/>
          <w:highlight w:val="none"/>
        </w:rPr>
        <w:t>，...，q</w:t>
      </w:r>
      <w:r>
        <w:rPr>
          <w:rFonts w:ascii="Times New Roman" w:hAnsi="Times New Roman" w:eastAsia="宋体" w:cs="Times New Roman"/>
          <w:color w:val="auto"/>
          <w:highlight w:val="none"/>
          <w:vertAlign w:val="subscript"/>
        </w:rPr>
        <w:t>n</w:t>
      </w:r>
      <w:r>
        <w:rPr>
          <w:rFonts w:ascii="Times New Roman" w:hAnsi="Times New Roman" w:eastAsia="宋体" w:cs="Times New Roman"/>
          <w:color w:val="auto"/>
          <w:highlight w:val="none"/>
        </w:rPr>
        <w:t>--每种危险物质的最大存在总量，t；</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Q</w:t>
      </w:r>
      <w:r>
        <w:rPr>
          <w:rFonts w:ascii="Times New Roman" w:hAnsi="Times New Roman" w:eastAsia="宋体" w:cs="Times New Roman"/>
          <w:color w:val="auto"/>
          <w:highlight w:val="none"/>
          <w:vertAlign w:val="subscript"/>
        </w:rPr>
        <w:t>1</w:t>
      </w:r>
      <w:r>
        <w:rPr>
          <w:rFonts w:ascii="Times New Roman" w:hAnsi="Times New Roman" w:eastAsia="宋体" w:cs="Times New Roman"/>
          <w:color w:val="auto"/>
          <w:highlight w:val="none"/>
        </w:rPr>
        <w:t>，Q</w:t>
      </w:r>
      <w:r>
        <w:rPr>
          <w:rFonts w:ascii="Times New Roman" w:hAnsi="Times New Roman" w:eastAsia="宋体" w:cs="Times New Roman"/>
          <w:color w:val="auto"/>
          <w:highlight w:val="none"/>
          <w:vertAlign w:val="subscript"/>
        </w:rPr>
        <w:t>2</w:t>
      </w:r>
      <w:r>
        <w:rPr>
          <w:rFonts w:ascii="Times New Roman" w:hAnsi="Times New Roman" w:eastAsia="宋体" w:cs="Times New Roman"/>
          <w:color w:val="auto"/>
          <w:highlight w:val="none"/>
        </w:rPr>
        <w:t>，...，Q</w:t>
      </w:r>
      <w:r>
        <w:rPr>
          <w:rFonts w:ascii="Times New Roman" w:hAnsi="Times New Roman" w:eastAsia="宋体" w:cs="Times New Roman"/>
          <w:color w:val="auto"/>
          <w:highlight w:val="none"/>
          <w:vertAlign w:val="subscript"/>
        </w:rPr>
        <w:t>n</w:t>
      </w:r>
      <w:r>
        <w:rPr>
          <w:rFonts w:ascii="Times New Roman" w:hAnsi="Times New Roman" w:eastAsia="宋体" w:cs="Times New Roman"/>
          <w:color w:val="auto"/>
          <w:highlight w:val="none"/>
        </w:rPr>
        <w:t>--每种危险物质的临界量，t。</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当Q&lt;1时，该项目环境风险潜势为Ⅰ。</w:t>
      </w:r>
    </w:p>
    <w:p>
      <w:pPr>
        <w:ind w:firstLine="480"/>
        <w:rPr>
          <w:rFonts w:ascii="Times New Roman" w:hAnsi="Times New Roman" w:eastAsia="宋体" w:cs="Times New Roman"/>
          <w:color w:val="auto"/>
          <w:highlight w:val="none"/>
          <w:shd w:val="clear" w:color="auto" w:fill="FFFFFF"/>
        </w:rPr>
      </w:pPr>
      <w:r>
        <w:rPr>
          <w:rFonts w:ascii="Times New Roman" w:hAnsi="Times New Roman" w:eastAsia="宋体" w:cs="Times New Roman"/>
          <w:color w:val="auto"/>
          <w:highlight w:val="none"/>
        </w:rPr>
        <w:t>当Q≥1时，将Q值划分为（1）1≤Q&lt;10；（2）10≤Q&lt;100；（3）Q≥100</w:t>
      </w:r>
      <w:r>
        <w:rPr>
          <w:rFonts w:ascii="Times New Roman" w:hAnsi="Times New Roman" w:eastAsia="宋体" w:cs="Times New Roman"/>
          <w:color w:val="auto"/>
          <w:highlight w:val="none"/>
          <w:shd w:val="clear" w:color="auto" w:fill="FFFFFF"/>
        </w:rPr>
        <w:t>。</w:t>
      </w:r>
    </w:p>
    <w:p>
      <w:pPr>
        <w:ind w:firstLine="480"/>
        <w:rPr>
          <w:rFonts w:ascii="Times New Roman" w:hAnsi="Times New Roman" w:eastAsia="宋体" w:cs="Times New Roman"/>
          <w:color w:val="auto"/>
          <w:highlight w:val="none"/>
          <w:shd w:val="clear" w:color="auto" w:fill="FFFFFF"/>
        </w:rPr>
      </w:pPr>
      <w:r>
        <w:rPr>
          <w:rFonts w:ascii="Times New Roman" w:hAnsi="Times New Roman" w:eastAsia="宋体" w:cs="Times New Roman"/>
          <w:color w:val="auto"/>
          <w:highlight w:val="none"/>
          <w:shd w:val="clear" w:color="auto" w:fill="FFFFFF"/>
        </w:rPr>
        <w:t>危险物质数量与临界量比值计算结果具体见表4.3-2。</w:t>
      </w:r>
    </w:p>
    <w:p>
      <w:pPr>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表4.3-2  项目危险物质总量与其临界量比值计算结果表</w:t>
      </w:r>
    </w:p>
    <w:tbl>
      <w:tblPr>
        <w:tblStyle w:val="48"/>
        <w:tblW w:w="9093" w:type="dxa"/>
        <w:jc w:val="center"/>
        <w:tblInd w:w="-15"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
      <w:tblGrid>
        <w:gridCol w:w="1260"/>
        <w:gridCol w:w="2732"/>
        <w:gridCol w:w="1555"/>
        <w:gridCol w:w="1775"/>
        <w:gridCol w:w="1771"/>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trHeight w:val="317" w:hRule="atLeast"/>
          <w:jc w:val="center"/>
        </w:trPr>
        <w:tc>
          <w:tcPr>
            <w:tcW w:w="1260" w:type="dxa"/>
            <w:tcBorders>
              <w:bottom w:val="single" w:color="auto" w:sz="4" w:space="0"/>
              <w:right w:val="single" w:color="auto" w:sz="4" w:space="0"/>
            </w:tcBorders>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序号</w:t>
            </w:r>
          </w:p>
        </w:tc>
        <w:tc>
          <w:tcPr>
            <w:tcW w:w="2732" w:type="dxa"/>
            <w:tcBorders>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物质名称</w:t>
            </w:r>
          </w:p>
        </w:tc>
        <w:tc>
          <w:tcPr>
            <w:tcW w:w="1555" w:type="dxa"/>
            <w:tcBorders>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贮存量</w:t>
            </w:r>
          </w:p>
        </w:tc>
        <w:tc>
          <w:tcPr>
            <w:tcW w:w="1775" w:type="dxa"/>
            <w:tcBorders>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临界量</w:t>
            </w:r>
          </w:p>
        </w:tc>
        <w:tc>
          <w:tcPr>
            <w:tcW w:w="1771" w:type="dxa"/>
            <w:tcBorders>
              <w:left w:val="single" w:color="auto" w:sz="4" w:space="0"/>
              <w:bottom w:val="single" w:color="auto" w:sz="4" w:space="0"/>
            </w:tcBorders>
            <w:noWrap w:val="0"/>
            <w:vAlign w:val="top"/>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q</w:t>
            </w:r>
            <w:r>
              <w:rPr>
                <w:rFonts w:ascii="Times New Roman" w:hAnsi="Times New Roman" w:eastAsia="宋体" w:cs="Times New Roman"/>
                <w:b/>
                <w:bCs/>
                <w:color w:val="auto"/>
                <w:sz w:val="21"/>
                <w:highlight w:val="none"/>
                <w:vertAlign w:val="subscript"/>
              </w:rPr>
              <w:t>n</w:t>
            </w:r>
            <w:r>
              <w:rPr>
                <w:rFonts w:ascii="Times New Roman" w:hAnsi="Times New Roman" w:eastAsia="宋体" w:cs="Times New Roman"/>
                <w:b/>
                <w:bCs/>
                <w:color w:val="auto"/>
                <w:sz w:val="21"/>
                <w:highlight w:val="none"/>
              </w:rPr>
              <w:t>/Q</w:t>
            </w:r>
            <w:r>
              <w:rPr>
                <w:rFonts w:ascii="Times New Roman" w:hAnsi="Times New Roman" w:eastAsia="宋体" w:cs="Times New Roman"/>
                <w:b/>
                <w:bCs/>
                <w:color w:val="auto"/>
                <w:sz w:val="21"/>
                <w:highlight w:val="none"/>
                <w:vertAlign w:val="subscript"/>
              </w:rPr>
              <w:t>n</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trHeight w:val="281" w:hRule="atLeast"/>
          <w:jc w:val="center"/>
        </w:trPr>
        <w:tc>
          <w:tcPr>
            <w:tcW w:w="1260" w:type="dxa"/>
            <w:tcBorders>
              <w:top w:val="single" w:color="auto" w:sz="4" w:space="0"/>
              <w:bottom w:val="single" w:color="auto" w:sz="4" w:space="0"/>
              <w:right w:val="single" w:color="auto" w:sz="4" w:space="0"/>
            </w:tcBorders>
            <w:noWrap w:val="0"/>
            <w:vAlign w:val="center"/>
          </w:tcPr>
          <w:p>
            <w:pPr>
              <w:pStyle w:val="81"/>
              <w:contextualSpacing/>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1</w:t>
            </w:r>
          </w:p>
        </w:tc>
        <w:tc>
          <w:tcPr>
            <w:tcW w:w="2732" w:type="dxa"/>
            <w:tcBorders>
              <w:top w:val="single" w:color="auto" w:sz="4" w:space="0"/>
              <w:left w:val="single" w:color="auto" w:sz="4" w:space="0"/>
              <w:bottom w:val="single" w:color="auto" w:sz="4" w:space="0"/>
              <w:right w:val="single" w:color="auto" w:sz="4" w:space="0"/>
            </w:tcBorders>
            <w:noWrap w:val="0"/>
            <w:vAlign w:val="center"/>
          </w:tcPr>
          <w:p>
            <w:pPr>
              <w:pStyle w:val="81"/>
              <w:contextualSpacing/>
              <w:jc w:val="center"/>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shd w:val="clear" w:color="auto" w:fill="FFFFFF"/>
                <w:lang w:val="en-US" w:eastAsia="zh-CN"/>
              </w:rPr>
              <w:t>乳化炸药</w:t>
            </w:r>
          </w:p>
        </w:tc>
        <w:tc>
          <w:tcPr>
            <w:tcW w:w="15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2.304</w:t>
            </w:r>
            <w:r>
              <w:rPr>
                <w:rFonts w:ascii="Times New Roman" w:hAnsi="Times New Roman" w:eastAsia="宋体" w:cs="Times New Roman"/>
                <w:color w:val="auto"/>
                <w:sz w:val="21"/>
                <w:highlight w:val="none"/>
              </w:rPr>
              <w:t>t/次</w:t>
            </w:r>
          </w:p>
        </w:tc>
        <w:tc>
          <w:tcPr>
            <w:tcW w:w="177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50</w:t>
            </w:r>
          </w:p>
        </w:tc>
        <w:tc>
          <w:tcPr>
            <w:tcW w:w="1771" w:type="dxa"/>
            <w:tcBorders>
              <w:top w:val="single" w:color="auto" w:sz="4" w:space="0"/>
              <w:left w:val="single" w:color="auto" w:sz="4" w:space="0"/>
              <w:bottom w:val="single" w:color="auto" w:sz="4" w:space="0"/>
            </w:tcBorders>
            <w:noWrap w:val="0"/>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0.0</w:t>
            </w:r>
            <w:r>
              <w:rPr>
                <w:rFonts w:hint="eastAsia" w:ascii="Times New Roman" w:hAnsi="Times New Roman" w:eastAsia="宋体" w:cs="Times New Roman"/>
                <w:color w:val="auto"/>
                <w:kern w:val="0"/>
                <w:sz w:val="21"/>
                <w:highlight w:val="none"/>
              </w:rPr>
              <w:t>4608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trHeight w:val="223" w:hRule="atLeast"/>
          <w:jc w:val="center"/>
        </w:trPr>
        <w:tc>
          <w:tcPr>
            <w:tcW w:w="1260" w:type="dxa"/>
            <w:tcBorders>
              <w:top w:val="single" w:color="auto" w:sz="4" w:space="0"/>
              <w:bottom w:val="single" w:color="auto" w:sz="4" w:space="0"/>
              <w:right w:val="single" w:color="auto" w:sz="4" w:space="0"/>
            </w:tcBorders>
            <w:noWrap w:val="0"/>
            <w:vAlign w:val="center"/>
          </w:tcPr>
          <w:p>
            <w:pPr>
              <w:pStyle w:val="81"/>
              <w:contextualSpacing/>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2</w:t>
            </w:r>
          </w:p>
        </w:tc>
        <w:tc>
          <w:tcPr>
            <w:tcW w:w="2732" w:type="dxa"/>
            <w:tcBorders>
              <w:top w:val="single" w:color="auto" w:sz="4" w:space="0"/>
              <w:left w:val="single" w:color="auto" w:sz="4" w:space="0"/>
              <w:bottom w:val="single" w:color="auto" w:sz="4" w:space="0"/>
              <w:right w:val="single" w:color="auto" w:sz="4" w:space="0"/>
            </w:tcBorders>
            <w:noWrap w:val="0"/>
            <w:vAlign w:val="center"/>
          </w:tcPr>
          <w:p>
            <w:pPr>
              <w:pStyle w:val="81"/>
              <w:contextualSpacing/>
              <w:jc w:val="center"/>
              <w:rPr>
                <w:rFonts w:ascii="Times New Roman" w:hAnsi="Times New Roman" w:eastAsia="宋体"/>
                <w:color w:val="auto"/>
                <w:highlight w:val="none"/>
                <w:lang w:val="en-US" w:eastAsia="zh-CN"/>
              </w:rPr>
            </w:pPr>
            <w:r>
              <w:rPr>
                <w:rFonts w:ascii="Times New Roman" w:hAnsi="Times New Roman" w:eastAsia="宋体"/>
                <w:color w:val="auto"/>
                <w:highlight w:val="none"/>
                <w:shd w:val="clear" w:color="auto" w:fill="FFFFFF"/>
                <w:lang w:val="en-US" w:eastAsia="zh-CN"/>
              </w:rPr>
              <w:t>柴油</w:t>
            </w:r>
          </w:p>
        </w:tc>
        <w:tc>
          <w:tcPr>
            <w:tcW w:w="15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u w:val="single"/>
              </w:rPr>
              <w:t>2</w:t>
            </w:r>
            <w:r>
              <w:rPr>
                <w:rFonts w:hint="eastAsia" w:ascii="Times New Roman" w:hAnsi="Times New Roman" w:eastAsia="宋体" w:cs="Times New Roman"/>
                <w:color w:val="auto"/>
                <w:sz w:val="21"/>
                <w:highlight w:val="none"/>
                <w:u w:val="single"/>
                <w:lang w:val="en-US" w:eastAsia="zh-CN"/>
              </w:rPr>
              <w:t>0.4</w:t>
            </w:r>
            <w:r>
              <w:rPr>
                <w:rFonts w:ascii="Times New Roman" w:hAnsi="Times New Roman" w:eastAsia="宋体" w:cs="Times New Roman"/>
                <w:color w:val="auto"/>
                <w:sz w:val="21"/>
                <w:highlight w:val="none"/>
                <w:u w:val="single"/>
              </w:rPr>
              <w:t>t</w:t>
            </w:r>
          </w:p>
        </w:tc>
        <w:tc>
          <w:tcPr>
            <w:tcW w:w="177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2500</w:t>
            </w:r>
          </w:p>
        </w:tc>
        <w:tc>
          <w:tcPr>
            <w:tcW w:w="1771" w:type="dxa"/>
            <w:tcBorders>
              <w:top w:val="single" w:color="auto" w:sz="4" w:space="0"/>
              <w:left w:val="single" w:color="auto" w:sz="4" w:space="0"/>
              <w:bottom w:val="single" w:color="auto" w:sz="4" w:space="0"/>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highlight w:val="none"/>
                <w:u w:val="single"/>
                <w:lang w:val="en-US" w:eastAsia="zh-CN"/>
              </w:rPr>
            </w:pPr>
            <w:r>
              <w:rPr>
                <w:rFonts w:ascii="Times New Roman" w:hAnsi="Times New Roman" w:eastAsia="宋体" w:cs="Times New Roman"/>
                <w:color w:val="auto"/>
                <w:sz w:val="21"/>
                <w:highlight w:val="none"/>
                <w:u w:val="single"/>
              </w:rPr>
              <w:t>0.0</w:t>
            </w:r>
            <w:r>
              <w:rPr>
                <w:rFonts w:hint="eastAsia" w:ascii="Times New Roman" w:hAnsi="Times New Roman" w:eastAsia="宋体" w:cs="Times New Roman"/>
                <w:color w:val="auto"/>
                <w:sz w:val="21"/>
                <w:highlight w:val="none"/>
                <w:u w:val="single"/>
                <w:lang w:val="en-US" w:eastAsia="zh-CN"/>
              </w:rPr>
              <w:t>0816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Ex>
        <w:trPr>
          <w:trHeight w:val="281" w:hRule="atLeast"/>
          <w:jc w:val="center"/>
        </w:trPr>
        <w:tc>
          <w:tcPr>
            <w:tcW w:w="7322" w:type="dxa"/>
            <w:gridSpan w:val="4"/>
            <w:tcBorders>
              <w:top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合计</w:t>
            </w:r>
          </w:p>
        </w:tc>
        <w:tc>
          <w:tcPr>
            <w:tcW w:w="1771" w:type="dxa"/>
            <w:tcBorders>
              <w:top w:val="single" w:color="auto" w:sz="4" w:space="0"/>
              <w:lef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highlight w:val="none"/>
                <w:u w:val="single"/>
                <w:lang w:val="en-US" w:eastAsia="zh-CN"/>
              </w:rPr>
            </w:pPr>
            <w:r>
              <w:rPr>
                <w:rFonts w:ascii="Times New Roman" w:hAnsi="Times New Roman" w:eastAsia="宋体" w:cs="Times New Roman"/>
                <w:color w:val="auto"/>
                <w:sz w:val="21"/>
                <w:highlight w:val="none"/>
                <w:u w:val="single"/>
              </w:rPr>
              <w:t>Q=0.0</w:t>
            </w:r>
            <w:r>
              <w:rPr>
                <w:rFonts w:hint="eastAsia" w:ascii="Times New Roman" w:hAnsi="Times New Roman" w:eastAsia="宋体" w:cs="Times New Roman"/>
                <w:color w:val="auto"/>
                <w:sz w:val="21"/>
                <w:highlight w:val="none"/>
                <w:u w:val="single"/>
              </w:rPr>
              <w:t>5</w:t>
            </w:r>
            <w:r>
              <w:rPr>
                <w:rFonts w:hint="eastAsia" w:ascii="Times New Roman" w:hAnsi="Times New Roman" w:eastAsia="宋体" w:cs="Times New Roman"/>
                <w:color w:val="auto"/>
                <w:sz w:val="21"/>
                <w:highlight w:val="none"/>
                <w:u w:val="single"/>
                <w:lang w:val="en-US" w:eastAsia="zh-CN"/>
              </w:rPr>
              <w:t>424</w:t>
            </w:r>
          </w:p>
        </w:tc>
      </w:tr>
    </w:tbl>
    <w:p>
      <w:pPr>
        <w:ind w:firstLine="480"/>
        <w:rPr>
          <w:rFonts w:ascii="Times New Roman" w:hAnsi="Times New Roman" w:eastAsia="宋体" w:cs="Times New Roman"/>
          <w:color w:val="auto"/>
          <w:highlight w:val="none"/>
          <w:shd w:val="clear" w:color="auto" w:fill="FFFFFF"/>
        </w:rPr>
      </w:pPr>
      <w:r>
        <w:rPr>
          <w:rFonts w:ascii="Times New Roman" w:hAnsi="Times New Roman" w:eastAsia="宋体" w:cs="Times New Roman"/>
          <w:color w:val="auto"/>
          <w:highlight w:val="none"/>
          <w:shd w:val="clear" w:color="auto" w:fill="FFFFFF"/>
        </w:rPr>
        <w:t>根据表4.3-2的Q值计算结果，项目危险物质总量与其临界量比值</w:t>
      </w:r>
      <w:r>
        <w:rPr>
          <w:rFonts w:ascii="Times New Roman" w:hAnsi="Times New Roman" w:eastAsia="宋体" w:cs="Times New Roman"/>
          <w:color w:val="auto"/>
          <w:highlight w:val="none"/>
          <w:u w:val="single"/>
          <w:shd w:val="clear" w:color="auto" w:fill="FFFFFF"/>
        </w:rPr>
        <w:t>Q=0.0</w:t>
      </w:r>
      <w:r>
        <w:rPr>
          <w:rFonts w:hint="eastAsia" w:ascii="Times New Roman" w:hAnsi="Times New Roman" w:eastAsia="宋体" w:cs="Times New Roman"/>
          <w:color w:val="auto"/>
          <w:highlight w:val="none"/>
          <w:u w:val="single"/>
          <w:shd w:val="clear" w:color="auto" w:fill="FFFFFF"/>
        </w:rPr>
        <w:t>5</w:t>
      </w:r>
      <w:r>
        <w:rPr>
          <w:rFonts w:hint="eastAsia" w:ascii="Times New Roman" w:hAnsi="Times New Roman" w:eastAsia="宋体" w:cs="Times New Roman"/>
          <w:color w:val="auto"/>
          <w:highlight w:val="none"/>
          <w:u w:val="single"/>
          <w:shd w:val="clear" w:color="auto" w:fill="FFFFFF"/>
          <w:lang w:val="en-US" w:eastAsia="zh-CN"/>
        </w:rPr>
        <w:t>424</w:t>
      </w:r>
      <w:r>
        <w:rPr>
          <w:rFonts w:ascii="Times New Roman" w:hAnsi="Times New Roman" w:eastAsia="宋体" w:cs="Times New Roman"/>
          <w:color w:val="auto"/>
          <w:highlight w:val="none"/>
          <w:u w:val="single"/>
        </w:rPr>
        <w:t>&lt;1，</w:t>
      </w:r>
      <w:r>
        <w:rPr>
          <w:rFonts w:ascii="Times New Roman" w:hAnsi="Times New Roman" w:eastAsia="宋体" w:cs="Times New Roman"/>
          <w:color w:val="auto"/>
          <w:highlight w:val="none"/>
          <w:shd w:val="clear" w:color="auto" w:fill="FFFFFF"/>
        </w:rPr>
        <w:t>根据《建设项目环境风险评价技术导则》（HJ 169-2018）附录C直接判定项目环境风险潜势为</w:t>
      </w:r>
      <w:r>
        <w:rPr>
          <w:rFonts w:ascii="Times New Roman" w:hAnsi="Times New Roman" w:eastAsia="宋体" w:cs="Times New Roman"/>
          <w:color w:val="auto"/>
          <w:highlight w:val="none"/>
        </w:rPr>
        <w:t>Ⅰ，只做简单分析。</w:t>
      </w:r>
    </w:p>
    <w:p>
      <w:pPr>
        <w:pStyle w:val="5"/>
        <w:rPr>
          <w:rFonts w:ascii="Times New Roman" w:hAnsi="Times New Roman" w:eastAsia="宋体"/>
          <w:color w:val="auto"/>
          <w:highlight w:val="none"/>
        </w:rPr>
      </w:pPr>
      <w:r>
        <w:rPr>
          <w:rFonts w:ascii="Times New Roman" w:hAnsi="Times New Roman" w:eastAsia="宋体"/>
          <w:color w:val="auto"/>
          <w:highlight w:val="none"/>
        </w:rPr>
        <w:t>4.3.2 环境敏感目标概况</w:t>
      </w:r>
    </w:p>
    <w:p>
      <w:pPr>
        <w:ind w:firstLine="480"/>
        <w:rPr>
          <w:rFonts w:hint="eastAsia" w:ascii="Times New Roman" w:hAnsi="Times New Roman" w:eastAsia="宋体" w:cs="Times New Roman"/>
          <w:color w:val="auto"/>
          <w:highlight w:val="none"/>
        </w:rPr>
      </w:pPr>
      <w:r>
        <w:rPr>
          <w:rFonts w:ascii="Times New Roman" w:hAnsi="Times New Roman" w:eastAsia="宋体" w:cs="Times New Roman"/>
          <w:color w:val="auto"/>
          <w:highlight w:val="none"/>
        </w:rPr>
        <w:t>根据现场调查，厂界周边500m范围内</w:t>
      </w:r>
      <w:r>
        <w:rPr>
          <w:rFonts w:hint="eastAsia" w:ascii="Times New Roman" w:hAnsi="Times New Roman" w:eastAsia="宋体" w:cs="Times New Roman"/>
          <w:color w:val="auto"/>
          <w:highlight w:val="none"/>
        </w:rPr>
        <w:t>敏感点为</w:t>
      </w:r>
      <w:r>
        <w:rPr>
          <w:rFonts w:ascii="Times New Roman" w:hAnsi="Times New Roman" w:eastAsia="宋体" w:cs="Times New Roman"/>
          <w:color w:val="auto"/>
          <w:highlight w:val="none"/>
        </w:rPr>
        <w:t>项目</w:t>
      </w:r>
      <w:r>
        <w:rPr>
          <w:rFonts w:hint="eastAsia" w:ascii="Times New Roman" w:hAnsi="Times New Roman" w:eastAsia="宋体" w:cs="Times New Roman"/>
          <w:color w:val="auto"/>
          <w:highlight w:val="none"/>
        </w:rPr>
        <w:t>东面</w:t>
      </w:r>
      <w:r>
        <w:rPr>
          <w:rFonts w:ascii="Times New Roman" w:hAnsi="Times New Roman" w:eastAsia="宋体" w:cs="Times New Roman"/>
          <w:color w:val="auto"/>
          <w:highlight w:val="none"/>
        </w:rPr>
        <w:t>约</w:t>
      </w:r>
      <w:r>
        <w:rPr>
          <w:rFonts w:hint="eastAsia" w:ascii="Times New Roman" w:hAnsi="Times New Roman" w:eastAsia="宋体" w:cs="Times New Roman"/>
          <w:color w:val="auto"/>
          <w:highlight w:val="none"/>
        </w:rPr>
        <w:t>500m的东恒</w:t>
      </w:r>
      <w:r>
        <w:rPr>
          <w:rFonts w:ascii="Times New Roman" w:hAnsi="Times New Roman" w:eastAsia="宋体" w:cs="Times New Roman"/>
          <w:color w:val="auto"/>
          <w:highlight w:val="none"/>
        </w:rPr>
        <w:t>屯</w:t>
      </w:r>
      <w:r>
        <w:rPr>
          <w:rFonts w:hint="eastAsia" w:ascii="Times New Roman" w:hAnsi="Times New Roman" w:eastAsia="宋体" w:cs="Times New Roman"/>
          <w:color w:val="auto"/>
          <w:highlight w:val="none"/>
        </w:rPr>
        <w:t>。</w:t>
      </w:r>
    </w:p>
    <w:p>
      <w:pPr>
        <w:pStyle w:val="5"/>
        <w:rPr>
          <w:rFonts w:ascii="Times New Roman" w:hAnsi="Times New Roman" w:eastAsia="宋体"/>
          <w:color w:val="auto"/>
          <w:highlight w:val="none"/>
        </w:rPr>
      </w:pPr>
      <w:r>
        <w:rPr>
          <w:rFonts w:ascii="Times New Roman" w:hAnsi="Times New Roman" w:eastAsia="宋体"/>
          <w:color w:val="auto"/>
          <w:highlight w:val="none"/>
        </w:rPr>
        <w:t>4.3.3 环境风险识别</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1、主要危险物质及分布情况</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本项目所涉及的危险物质为柴油和</w:t>
      </w:r>
      <w:r>
        <w:rPr>
          <w:rFonts w:hint="eastAsia" w:ascii="Times New Roman" w:hAnsi="Times New Roman" w:eastAsia="宋体" w:cs="Times New Roman"/>
          <w:color w:val="auto"/>
          <w:highlight w:val="none"/>
        </w:rPr>
        <w:t>乳化炸药</w:t>
      </w:r>
      <w:r>
        <w:rPr>
          <w:rFonts w:ascii="Times New Roman" w:hAnsi="Times New Roman" w:eastAsia="宋体" w:cs="Times New Roman"/>
          <w:color w:val="auto"/>
          <w:highlight w:val="none"/>
        </w:rPr>
        <w:t>（主要成分</w:t>
      </w:r>
      <w:r>
        <w:rPr>
          <w:rFonts w:hint="eastAsia" w:ascii="Times New Roman" w:hAnsi="Times New Roman" w:eastAsia="宋体" w:cs="Times New Roman"/>
          <w:color w:val="auto"/>
          <w:highlight w:val="none"/>
        </w:rPr>
        <w:t>为硝酸铵</w:t>
      </w:r>
      <w:r>
        <w:rPr>
          <w:rFonts w:ascii="Times New Roman" w:hAnsi="Times New Roman" w:eastAsia="宋体" w:cs="Times New Roman"/>
          <w:color w:val="auto"/>
          <w:highlight w:val="none"/>
        </w:rPr>
        <w:t>），柴油</w:t>
      </w:r>
      <w:r>
        <w:rPr>
          <w:rFonts w:hint="eastAsia" w:ascii="Times New Roman" w:hAnsi="Times New Roman" w:eastAsia="宋体" w:cs="Times New Roman"/>
          <w:color w:val="auto"/>
          <w:highlight w:val="none"/>
        </w:rPr>
        <w:t>储罐分别设置在</w:t>
      </w:r>
      <w:r>
        <w:rPr>
          <w:rFonts w:hint="eastAsia" w:cs="Times New Roman"/>
          <w:color w:val="auto"/>
          <w:highlight w:val="none"/>
          <w:u w:val="single"/>
          <w:lang w:eastAsia="zh-CN"/>
        </w:rPr>
        <w:t>破碎场①</w:t>
      </w:r>
      <w:r>
        <w:rPr>
          <w:rFonts w:hint="eastAsia" w:ascii="Times New Roman" w:hAnsi="Times New Roman" w:eastAsia="宋体" w:cs="Times New Roman"/>
          <w:color w:val="auto"/>
          <w:highlight w:val="none"/>
        </w:rPr>
        <w:t>东侧和</w:t>
      </w:r>
      <w:r>
        <w:rPr>
          <w:rFonts w:hint="eastAsia" w:cs="Times New Roman"/>
          <w:color w:val="auto"/>
          <w:highlight w:val="none"/>
          <w:u w:val="single"/>
          <w:lang w:eastAsia="zh-CN"/>
        </w:rPr>
        <w:t>破碎场②</w:t>
      </w:r>
      <w:r>
        <w:rPr>
          <w:rFonts w:hint="eastAsia" w:ascii="Times New Roman" w:hAnsi="Times New Roman" w:eastAsia="宋体" w:cs="Times New Roman"/>
          <w:color w:val="auto"/>
          <w:highlight w:val="none"/>
        </w:rPr>
        <w:t>西南角</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乳化炸药</w:t>
      </w:r>
      <w:r>
        <w:rPr>
          <w:rFonts w:ascii="Times New Roman" w:hAnsi="Times New Roman" w:eastAsia="宋体" w:cs="Times New Roman"/>
          <w:color w:val="auto"/>
          <w:highlight w:val="none"/>
        </w:rPr>
        <w:t>由民爆管理公司按需要量当天运送、当天使用，不在场区内储存炸药。柴油、硝酸铵的理化性质详见表4.3-3。</w:t>
      </w:r>
    </w:p>
    <w:p>
      <w:pPr>
        <w:spacing w:line="240" w:lineRule="auto"/>
        <w:ind w:firstLine="0" w:firstLineChars="0"/>
        <w:jc w:val="center"/>
        <w:rPr>
          <w:rFonts w:ascii="Times New Roman" w:hAnsi="Times New Roman" w:eastAsia="宋体" w:cs="Times New Roman"/>
          <w:b/>
          <w:color w:val="auto"/>
          <w:highlight w:val="none"/>
        </w:rPr>
      </w:pPr>
    </w:p>
    <w:p>
      <w:pPr>
        <w:spacing w:line="240" w:lineRule="auto"/>
        <w:ind w:firstLine="0" w:firstLineChars="0"/>
        <w:jc w:val="center"/>
        <w:rPr>
          <w:rFonts w:ascii="Times New Roman" w:hAnsi="Times New Roman" w:eastAsia="宋体" w:cs="Times New Roman"/>
          <w:b/>
          <w:color w:val="auto"/>
          <w:highlight w:val="none"/>
        </w:rPr>
      </w:pPr>
    </w:p>
    <w:p>
      <w:pPr>
        <w:spacing w:line="240" w:lineRule="auto"/>
        <w:ind w:firstLine="0" w:firstLineChars="0"/>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表4.3-3 项目危险物质的理化性质</w:t>
      </w:r>
    </w:p>
    <w:tbl>
      <w:tblPr>
        <w:tblStyle w:val="48"/>
        <w:tblW w:w="9093"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720"/>
        <w:gridCol w:w="1015"/>
        <w:gridCol w:w="2915"/>
        <w:gridCol w:w="1360"/>
        <w:gridCol w:w="3083"/>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0"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物质名称</w:t>
            </w:r>
          </w:p>
        </w:tc>
        <w:tc>
          <w:tcPr>
            <w:tcW w:w="1015"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分子式</w:t>
            </w:r>
          </w:p>
        </w:tc>
        <w:tc>
          <w:tcPr>
            <w:tcW w:w="2915"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理化性质</w:t>
            </w:r>
          </w:p>
        </w:tc>
        <w:tc>
          <w:tcPr>
            <w:tcW w:w="1360"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主要用途</w:t>
            </w:r>
          </w:p>
        </w:tc>
        <w:tc>
          <w:tcPr>
            <w:tcW w:w="3083"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危险特性</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硝</w:t>
            </w:r>
          </w:p>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酸</w:t>
            </w:r>
          </w:p>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铵</w:t>
            </w:r>
          </w:p>
        </w:tc>
        <w:tc>
          <w:tcPr>
            <w:tcW w:w="10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NH</w:t>
            </w:r>
            <w:r>
              <w:rPr>
                <w:rFonts w:ascii="Times New Roman" w:hAnsi="Times New Roman" w:eastAsia="宋体" w:cs="Times New Roman"/>
                <w:color w:val="auto"/>
                <w:sz w:val="21"/>
                <w:highlight w:val="none"/>
                <w:vertAlign w:val="subscript"/>
              </w:rPr>
              <w:t>4</w:t>
            </w: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3</w:t>
            </w:r>
          </w:p>
        </w:tc>
        <w:tc>
          <w:tcPr>
            <w:tcW w:w="2915" w:type="dxa"/>
            <w:noWrap w:val="0"/>
            <w:vAlign w:val="center"/>
          </w:tcPr>
          <w:p>
            <w:pPr>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无色斜方或单色晶体，相对密度 1.75（℃），溶点 169.6℃，在 210℃ 分解为水和CO（如加热过猛会引起炸），溶于水、乙醇、甲醇。</w:t>
            </w:r>
          </w:p>
        </w:tc>
        <w:tc>
          <w:tcPr>
            <w:tcW w:w="1360" w:type="dxa"/>
            <w:noWrap w:val="0"/>
            <w:vAlign w:val="center"/>
          </w:tcPr>
          <w:p>
            <w:pPr>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主要用作肥料及工业用和军用炸药。并可用于杀虫剂、冷冻剂、氧化氮吸收剂等。</w:t>
            </w:r>
          </w:p>
        </w:tc>
        <w:tc>
          <w:tcPr>
            <w:tcW w:w="3083" w:type="dxa"/>
            <w:noWrap w:val="0"/>
            <w:vAlign w:val="center"/>
          </w:tcPr>
          <w:p>
            <w:pPr>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强氧化剂，遇可燃物着火时，能助长火势。与可燃物粉末混合能发生激烈反应而爆炸。受强烈震动也会起爆。急剧加热时可发生爆炸。与还原剂、有机物、易燃物如硫、磷或金属粉末等混合可形成爆炸性混合物。对呼吸道、眼及皮肤有刺激性。接触后可引起恶心、呕吐、头痛、虚弱、无力和虚脱等，甚至死亡。</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柴油</w:t>
            </w:r>
          </w:p>
        </w:tc>
        <w:tc>
          <w:tcPr>
            <w:tcW w:w="1015"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混合物</w:t>
            </w:r>
          </w:p>
        </w:tc>
        <w:tc>
          <w:tcPr>
            <w:tcW w:w="2915" w:type="dxa"/>
            <w:noWrap w:val="0"/>
            <w:vAlign w:val="center"/>
          </w:tcPr>
          <w:p>
            <w:pPr>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稍有粘性的浅黄至棕黄色液体，熔点：-35~20℃、沸点：280~370℃（约）、相对密度：0.57~0.9，闪点﹥55℃是由烷烃、芳烃、烯烃组成的混合物。稳定性：稳定。聚合危险：不会出现。禁忌物：强氧化剂。</w:t>
            </w:r>
          </w:p>
        </w:tc>
        <w:tc>
          <w:tcPr>
            <w:tcW w:w="1360" w:type="dxa"/>
            <w:noWrap w:val="0"/>
            <w:vAlign w:val="center"/>
          </w:tcPr>
          <w:p>
            <w:pPr>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广泛用于大型车辆、铁路机车、船舰、发电机等，用作柴油机的液体燃料。</w:t>
            </w:r>
          </w:p>
        </w:tc>
        <w:tc>
          <w:tcPr>
            <w:tcW w:w="3083" w:type="dxa"/>
            <w:noWrap w:val="0"/>
            <w:vAlign w:val="center"/>
          </w:tcPr>
          <w:p>
            <w:pPr>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易燃，闪点：-35#和-50#轻柴油&gt;45℃、-20#轻柴油&gt;60℃、其他&gt;65℃。自然温度高：257。明火、高热与氧化剂接触，有引起燃烧爆炸的危险。若遇高热。容器内压增大，有开裂和爆炸的危险。</w:t>
            </w:r>
          </w:p>
        </w:tc>
      </w:tr>
    </w:tbl>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 生产设施风险识别</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（1）生产过程环境风险辨识</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本项目生产过程中</w:t>
      </w:r>
      <w:r>
        <w:rPr>
          <w:rFonts w:hint="eastAsia" w:ascii="Times New Roman" w:hAnsi="Times New Roman" w:eastAsia="宋体" w:cs="Times New Roman"/>
          <w:color w:val="auto"/>
          <w:highlight w:val="none"/>
        </w:rPr>
        <w:t>临时排土场</w:t>
      </w:r>
      <w:r>
        <w:rPr>
          <w:rFonts w:ascii="Times New Roman" w:hAnsi="Times New Roman" w:eastAsia="宋体" w:cs="Times New Roman"/>
          <w:color w:val="auto"/>
          <w:highlight w:val="none"/>
        </w:rPr>
        <w:t>遭遇连续大雨，废土石渣冲刷入周边水体。可能使</w:t>
      </w:r>
      <w:r>
        <w:rPr>
          <w:rFonts w:hint="eastAsia" w:ascii="Times New Roman" w:hAnsi="Times New Roman" w:eastAsia="宋体" w:cs="Times New Roman"/>
          <w:color w:val="auto"/>
          <w:highlight w:val="none"/>
        </w:rPr>
        <w:t>临时排土场</w:t>
      </w:r>
      <w:r>
        <w:rPr>
          <w:rFonts w:ascii="Times New Roman" w:hAnsi="Times New Roman" w:eastAsia="宋体" w:cs="Times New Roman"/>
          <w:color w:val="auto"/>
          <w:highlight w:val="none"/>
        </w:rPr>
        <w:t>产生泥石流，大量的废石、废土冲刷至周边水体，使地表水水质下降。</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采空区岩体失稳，引起滑坡、崩塌等地质灾害。</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本项目在开采过程中使用炸药，炸药运输的途中、装药和放炮的过程、未爆炸或爆炸不完全的炸药在装卸矿岩的过程中都有发生爆炸的可能性，炸药爆炸可以直接造成人体的伤害和财物破坏。</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（2）储运过程环境风险辨识</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物料运输过程中的环境风险主要为汽油泄漏污染土壤和水体。由于业主委托社会车辆进行原辅材料的运输，本评价对运输风险不予分析。在储存过程中以柴油储运风险最大，因为柴油易燃，会容易引发火灾和爆炸事故，进而由于汽油的燃烧排放大量的HC、CO、NO</w:t>
      </w:r>
      <w:r>
        <w:rPr>
          <w:rFonts w:ascii="Times New Roman" w:hAnsi="Times New Roman" w:eastAsia="宋体" w:cs="Times New Roman"/>
          <w:color w:val="auto"/>
          <w:highlight w:val="none"/>
          <w:vertAlign w:val="subscript"/>
        </w:rPr>
        <w:t>x</w:t>
      </w:r>
      <w:r>
        <w:rPr>
          <w:rFonts w:ascii="Times New Roman" w:hAnsi="Times New Roman" w:eastAsia="宋体" w:cs="Times New Roman"/>
          <w:color w:val="auto"/>
          <w:highlight w:val="none"/>
        </w:rPr>
        <w:t>等污染物污染大气环境，同时，也次生有含高浓度石油类的消防废水。</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3、伴生/次生环境风险辨识</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（1）火灾爆炸事故中引发连锁爆炸分析</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最危险的伴生/次生污染事故为泄漏导致爆炸，且进而由于爆炸事故对临近的设施造成连锁爆炸破坏，根据对本项目场址与周围情况的调查，本项目距离最近的敏感点</w:t>
      </w:r>
      <w:r>
        <w:rPr>
          <w:rFonts w:hint="eastAsia" w:ascii="Times New Roman" w:hAnsi="Times New Roman" w:eastAsia="宋体" w:cs="Times New Roman"/>
          <w:color w:val="auto"/>
          <w:highlight w:val="none"/>
        </w:rPr>
        <w:t>为500m</w:t>
      </w:r>
      <w:r>
        <w:rPr>
          <w:rFonts w:ascii="Times New Roman" w:hAnsi="Times New Roman" w:eastAsia="宋体" w:cs="Times New Roman"/>
          <w:color w:val="auto"/>
          <w:highlight w:val="none"/>
        </w:rPr>
        <w:t>，周围建筑物很少，且与周边建筑均有一定的安全防护距离，因此，因本项目爆炸而引起周边发生连锁爆炸的可能性很小。</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（2）泄漏事故中的次生危险性分析</w:t>
      </w:r>
    </w:p>
    <w:p>
      <w:pPr>
        <w:spacing w:line="5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泄漏事故主要为柴油泄漏后进入周边水体或土壤。由于本次项目柴油、机油等油类用量较小，厂区内的储存量也较少，同时项目储油间采取有防渗漏措施及油收集系统。项目油类物质泄漏而直接进入厂区外环境的可能性很小。</w:t>
      </w:r>
    </w:p>
    <w:p>
      <w:pPr>
        <w:pStyle w:val="5"/>
        <w:rPr>
          <w:rFonts w:ascii="Times New Roman" w:hAnsi="Times New Roman" w:eastAsia="宋体"/>
          <w:color w:val="auto"/>
          <w:highlight w:val="none"/>
        </w:rPr>
      </w:pPr>
      <w:r>
        <w:rPr>
          <w:rFonts w:ascii="Times New Roman" w:hAnsi="Times New Roman" w:eastAsia="宋体"/>
          <w:color w:val="auto"/>
          <w:highlight w:val="none"/>
        </w:rPr>
        <w:t>4.3.4 环境风险分析</w:t>
      </w:r>
    </w:p>
    <w:p>
      <w:pPr>
        <w:autoSpaceDE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1、柴油环境风险</w:t>
      </w:r>
    </w:p>
    <w:p>
      <w:pPr>
        <w:autoSpaceDE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①柴油燃烧爆炸</w:t>
      </w:r>
    </w:p>
    <w:p>
      <w:pPr>
        <w:autoSpaceDE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柴油火灾危险性为丙类，具有一定的燃烧爆炸危险性，工程矿区柴油储罐发生泄漏、卸油输油操作不当等情况发生时，遇火源后均有可能引起柴油燃烧和储罐爆炸，从而导致工作人员伤亡和财产损失，并影响周边大气、生态环境。</w:t>
      </w:r>
    </w:p>
    <w:p>
      <w:pPr>
        <w:autoSpaceDE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②柴油泄漏</w:t>
      </w:r>
    </w:p>
    <w:p>
      <w:pPr>
        <w:snapToGrid w:val="0"/>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highlight w:val="none"/>
        </w:rPr>
        <w:t>柴油在储罐发生破损或卸油输油操作不当时，可能造成柴油泄漏，</w:t>
      </w:r>
      <w:r>
        <w:rPr>
          <w:rFonts w:ascii="Times New Roman" w:hAnsi="Times New Roman" w:eastAsia="宋体" w:cs="Times New Roman"/>
          <w:color w:val="auto"/>
          <w:szCs w:val="24"/>
          <w:highlight w:val="none"/>
        </w:rPr>
        <w:t>根据</w:t>
      </w:r>
      <w:r>
        <w:rPr>
          <w:rFonts w:ascii="Times New Roman" w:hAnsi="Times New Roman" w:eastAsia="宋体" w:cs="Times New Roman"/>
          <w:color w:val="auto"/>
          <w:szCs w:val="24"/>
          <w:highlight w:val="none"/>
          <w:shd w:val="clear" w:color="auto" w:fill="FFFFFF"/>
        </w:rPr>
        <w:t>《建设项目环境风险评价技术导则》（HJ 169-2018）附录E，泄漏事故发生频率见下表</w:t>
      </w:r>
      <w:r>
        <w:rPr>
          <w:rFonts w:ascii="Times New Roman" w:hAnsi="Times New Roman" w:eastAsia="宋体" w:cs="Times New Roman"/>
          <w:color w:val="auto"/>
          <w:szCs w:val="24"/>
          <w:highlight w:val="none"/>
        </w:rPr>
        <w:t>4.3-4。</w:t>
      </w:r>
    </w:p>
    <w:p>
      <w:pPr>
        <w:pStyle w:val="13"/>
        <w:rPr>
          <w:rFonts w:ascii="Times New Roman" w:hAnsi="Times New Roman" w:eastAsia="宋体"/>
          <w:color w:val="auto"/>
          <w:highlight w:val="none"/>
          <w:lang w:val="zh-CN"/>
        </w:rPr>
        <w:sectPr>
          <w:headerReference r:id="rId18" w:type="default"/>
          <w:footerReference r:id="rId19" w:type="default"/>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13"/>
        <w:rPr>
          <w:rFonts w:ascii="Times New Roman" w:hAnsi="Times New Roman" w:eastAsia="宋体"/>
          <w:color w:val="auto"/>
          <w:highlight w:val="none"/>
        </w:rPr>
      </w:pPr>
      <w:r>
        <w:rPr>
          <w:rFonts w:ascii="Times New Roman" w:hAnsi="Times New Roman" w:eastAsia="宋体"/>
          <w:color w:val="auto"/>
          <w:highlight w:val="none"/>
          <w:lang w:val="zh-CN"/>
        </w:rPr>
        <w:t>表</w:t>
      </w:r>
      <w:r>
        <w:rPr>
          <w:rFonts w:ascii="Times New Roman" w:hAnsi="Times New Roman" w:eastAsia="宋体"/>
          <w:color w:val="auto"/>
          <w:highlight w:val="none"/>
        </w:rPr>
        <w:t>4</w:t>
      </w:r>
      <w:r>
        <w:rPr>
          <w:rFonts w:ascii="Times New Roman" w:hAnsi="Times New Roman" w:eastAsia="宋体"/>
          <w:color w:val="auto"/>
          <w:highlight w:val="none"/>
          <w:lang w:val="zh-CN"/>
        </w:rPr>
        <w:t>.</w:t>
      </w:r>
      <w:r>
        <w:rPr>
          <w:rFonts w:ascii="Times New Roman" w:hAnsi="Times New Roman" w:eastAsia="宋体"/>
          <w:color w:val="auto"/>
          <w:highlight w:val="none"/>
        </w:rPr>
        <w:t>3-4</w:t>
      </w:r>
      <w:r>
        <w:rPr>
          <w:rFonts w:ascii="Times New Roman" w:hAnsi="Times New Roman" w:eastAsia="宋体"/>
          <w:color w:val="auto"/>
          <w:highlight w:val="none"/>
          <w:lang w:val="zh-CN"/>
        </w:rPr>
        <w:t xml:space="preserve"> </w:t>
      </w:r>
      <w:r>
        <w:rPr>
          <w:rFonts w:ascii="Times New Roman" w:hAnsi="Times New Roman" w:eastAsia="宋体"/>
          <w:color w:val="auto"/>
          <w:highlight w:val="none"/>
        </w:rPr>
        <w:t>泄漏频率表</w:t>
      </w:r>
    </w:p>
    <w:tbl>
      <w:tblPr>
        <w:tblStyle w:val="48"/>
        <w:tblW w:w="9072" w:type="dxa"/>
        <w:jc w:val="center"/>
        <w:tblInd w:w="-15"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
      <w:tblGrid>
        <w:gridCol w:w="2920"/>
        <w:gridCol w:w="3825"/>
        <w:gridCol w:w="2327"/>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tblHeader/>
          <w:jc w:val="center"/>
        </w:trPr>
        <w:tc>
          <w:tcPr>
            <w:tcW w:w="2920" w:type="dxa"/>
            <w:tcBorders>
              <w:bottom w:val="single" w:color="auto" w:sz="12" w:space="0"/>
            </w:tcBorders>
            <w:noWrap w:val="0"/>
            <w:vAlign w:val="center"/>
          </w:tcPr>
          <w:p>
            <w:pPr>
              <w:pStyle w:val="129"/>
              <w:rPr>
                <w:rFonts w:ascii="Times New Roman" w:hAnsi="Times New Roman" w:eastAsia="宋体"/>
                <w:b/>
                <w:bCs/>
                <w:color w:val="auto"/>
                <w:highlight w:val="none"/>
              </w:rPr>
            </w:pPr>
            <w:r>
              <w:rPr>
                <w:rFonts w:ascii="Times New Roman" w:hAnsi="Times New Roman" w:eastAsia="宋体"/>
                <w:b/>
                <w:bCs/>
                <w:color w:val="auto"/>
                <w:highlight w:val="none"/>
              </w:rPr>
              <w:t>部件类型</w:t>
            </w:r>
          </w:p>
        </w:tc>
        <w:tc>
          <w:tcPr>
            <w:tcW w:w="3825" w:type="dxa"/>
            <w:tcBorders>
              <w:bottom w:val="single" w:color="auto" w:sz="12" w:space="0"/>
            </w:tcBorders>
            <w:noWrap w:val="0"/>
            <w:vAlign w:val="center"/>
          </w:tcPr>
          <w:p>
            <w:pPr>
              <w:pStyle w:val="129"/>
              <w:rPr>
                <w:rFonts w:ascii="Times New Roman" w:hAnsi="Times New Roman" w:eastAsia="宋体"/>
                <w:b/>
                <w:bCs/>
                <w:color w:val="auto"/>
                <w:highlight w:val="none"/>
              </w:rPr>
            </w:pPr>
            <w:r>
              <w:rPr>
                <w:rFonts w:ascii="Times New Roman" w:hAnsi="Times New Roman" w:eastAsia="宋体"/>
                <w:b/>
                <w:bCs/>
                <w:color w:val="auto"/>
                <w:highlight w:val="none"/>
              </w:rPr>
              <w:t>泄漏模式</w:t>
            </w:r>
          </w:p>
        </w:tc>
        <w:tc>
          <w:tcPr>
            <w:tcW w:w="2327" w:type="dxa"/>
            <w:tcBorders>
              <w:bottom w:val="single" w:color="auto" w:sz="12" w:space="0"/>
            </w:tcBorders>
            <w:noWrap w:val="0"/>
            <w:vAlign w:val="center"/>
          </w:tcPr>
          <w:p>
            <w:pPr>
              <w:pStyle w:val="129"/>
              <w:rPr>
                <w:rFonts w:ascii="Times New Roman" w:hAnsi="Times New Roman" w:eastAsia="宋体"/>
                <w:b/>
                <w:bCs/>
                <w:color w:val="auto"/>
                <w:highlight w:val="none"/>
              </w:rPr>
            </w:pPr>
            <w:r>
              <w:rPr>
                <w:rFonts w:ascii="Times New Roman" w:hAnsi="Times New Roman" w:eastAsia="宋体"/>
                <w:b/>
                <w:bCs/>
                <w:color w:val="auto"/>
                <w:highlight w:val="none"/>
              </w:rPr>
              <w:t>泄漏频率</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2920" w:type="dxa"/>
            <w:tcBorders>
              <w:top w:val="single" w:color="auto" w:sz="12" w:space="0"/>
            </w:tcBorders>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反应器/工艺储罐/气体储罐/塔器</w:t>
            </w:r>
          </w:p>
        </w:tc>
        <w:tc>
          <w:tcPr>
            <w:tcW w:w="3825" w:type="dxa"/>
            <w:tcBorders>
              <w:top w:val="single" w:color="auto" w:sz="12" w:space="0"/>
            </w:tcBorders>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泄漏孔径为10mm孔径</w:t>
            </w: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10min内储罐泄漏完</w:t>
            </w: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储罐全破裂</w:t>
            </w:r>
          </w:p>
        </w:tc>
        <w:tc>
          <w:tcPr>
            <w:tcW w:w="2327" w:type="dxa"/>
            <w:tcBorders>
              <w:top w:val="single" w:color="auto" w:sz="12" w:space="0"/>
            </w:tcBorders>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1.00×10</w:t>
            </w:r>
            <w:r>
              <w:rPr>
                <w:rFonts w:ascii="Times New Roman" w:hAnsi="Times New Roman" w:eastAsia="宋体"/>
                <w:color w:val="auto"/>
                <w:highlight w:val="none"/>
                <w:vertAlign w:val="superscript"/>
              </w:rPr>
              <w:t>-4</w:t>
            </w:r>
            <w:r>
              <w:rPr>
                <w:rFonts w:ascii="Times New Roman" w:hAnsi="Times New Roman" w:eastAsia="宋体"/>
                <w:color w:val="auto"/>
                <w:highlight w:val="none"/>
              </w:rPr>
              <w:t>/a</w:t>
            </w: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5.00×10</w:t>
            </w:r>
            <w:r>
              <w:rPr>
                <w:rFonts w:ascii="Times New Roman" w:hAnsi="Times New Roman" w:eastAsia="宋体"/>
                <w:color w:val="auto"/>
                <w:highlight w:val="none"/>
                <w:vertAlign w:val="superscript"/>
              </w:rPr>
              <w:t>-6</w:t>
            </w:r>
            <w:r>
              <w:rPr>
                <w:rFonts w:ascii="Times New Roman" w:hAnsi="Times New Roman" w:eastAsia="宋体"/>
                <w:color w:val="auto"/>
                <w:highlight w:val="none"/>
              </w:rPr>
              <w:t>/a</w:t>
            </w: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5.00×10</w:t>
            </w:r>
            <w:r>
              <w:rPr>
                <w:rFonts w:ascii="Times New Roman" w:hAnsi="Times New Roman" w:eastAsia="宋体"/>
                <w:color w:val="auto"/>
                <w:highlight w:val="none"/>
                <w:vertAlign w:val="superscript"/>
              </w:rPr>
              <w:t>-6</w:t>
            </w:r>
            <w:r>
              <w:rPr>
                <w:rFonts w:ascii="Times New Roman" w:hAnsi="Times New Roman" w:eastAsia="宋体"/>
                <w:color w:val="auto"/>
                <w:highlight w:val="none"/>
              </w:rPr>
              <w:t>/a</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2920"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常压单包容储罐</w:t>
            </w:r>
          </w:p>
        </w:tc>
        <w:tc>
          <w:tcPr>
            <w:tcW w:w="3825"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泄漏孔径为10mm孔径</w:t>
            </w: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10min内储罐泄漏完</w:t>
            </w: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储罐全破裂</w:t>
            </w:r>
          </w:p>
        </w:tc>
        <w:tc>
          <w:tcPr>
            <w:tcW w:w="2327"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1.00×10</w:t>
            </w:r>
            <w:r>
              <w:rPr>
                <w:rFonts w:ascii="Times New Roman" w:hAnsi="Times New Roman" w:eastAsia="宋体"/>
                <w:color w:val="auto"/>
                <w:highlight w:val="none"/>
                <w:vertAlign w:val="superscript"/>
              </w:rPr>
              <w:t>-4</w:t>
            </w:r>
            <w:r>
              <w:rPr>
                <w:rFonts w:ascii="Times New Roman" w:hAnsi="Times New Roman" w:eastAsia="宋体"/>
                <w:color w:val="auto"/>
                <w:highlight w:val="none"/>
              </w:rPr>
              <w:t>/a</w:t>
            </w: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5.00×10</w:t>
            </w:r>
            <w:r>
              <w:rPr>
                <w:rFonts w:ascii="Times New Roman" w:hAnsi="Times New Roman" w:eastAsia="宋体"/>
                <w:color w:val="auto"/>
                <w:highlight w:val="none"/>
                <w:vertAlign w:val="superscript"/>
              </w:rPr>
              <w:t>-6</w:t>
            </w:r>
            <w:r>
              <w:rPr>
                <w:rFonts w:ascii="Times New Roman" w:hAnsi="Times New Roman" w:eastAsia="宋体"/>
                <w:color w:val="auto"/>
                <w:highlight w:val="none"/>
              </w:rPr>
              <w:t>/a</w:t>
            </w: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5.00×10</w:t>
            </w:r>
            <w:r>
              <w:rPr>
                <w:rFonts w:ascii="Times New Roman" w:hAnsi="Times New Roman" w:eastAsia="宋体"/>
                <w:color w:val="auto"/>
                <w:highlight w:val="none"/>
                <w:vertAlign w:val="superscript"/>
              </w:rPr>
              <w:t>-6</w:t>
            </w:r>
            <w:r>
              <w:rPr>
                <w:rFonts w:ascii="Times New Roman" w:hAnsi="Times New Roman" w:eastAsia="宋体"/>
                <w:color w:val="auto"/>
                <w:highlight w:val="none"/>
              </w:rPr>
              <w:t>/a</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2920"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常压双包容储罐</w:t>
            </w:r>
          </w:p>
        </w:tc>
        <w:tc>
          <w:tcPr>
            <w:tcW w:w="3825"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泄漏孔径为10mm孔径</w:t>
            </w: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10min内储罐泄漏完</w:t>
            </w: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储罐全破裂</w:t>
            </w:r>
          </w:p>
        </w:tc>
        <w:tc>
          <w:tcPr>
            <w:tcW w:w="2327"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1.00×10</w:t>
            </w:r>
            <w:r>
              <w:rPr>
                <w:rFonts w:ascii="Times New Roman" w:hAnsi="Times New Roman" w:eastAsia="宋体"/>
                <w:color w:val="auto"/>
                <w:highlight w:val="none"/>
                <w:vertAlign w:val="superscript"/>
              </w:rPr>
              <w:t>-4</w:t>
            </w:r>
            <w:r>
              <w:rPr>
                <w:rFonts w:ascii="Times New Roman" w:hAnsi="Times New Roman" w:eastAsia="宋体"/>
                <w:color w:val="auto"/>
                <w:highlight w:val="none"/>
              </w:rPr>
              <w:t>/a</w:t>
            </w: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1.25×10</w:t>
            </w:r>
            <w:r>
              <w:rPr>
                <w:rFonts w:ascii="Times New Roman" w:hAnsi="Times New Roman" w:eastAsia="宋体"/>
                <w:color w:val="auto"/>
                <w:highlight w:val="none"/>
                <w:vertAlign w:val="superscript"/>
              </w:rPr>
              <w:t>-8</w:t>
            </w:r>
            <w:r>
              <w:rPr>
                <w:rFonts w:ascii="Times New Roman" w:hAnsi="Times New Roman" w:eastAsia="宋体"/>
                <w:color w:val="auto"/>
                <w:highlight w:val="none"/>
              </w:rPr>
              <w:t>/a</w:t>
            </w: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1.25×10</w:t>
            </w:r>
            <w:r>
              <w:rPr>
                <w:rFonts w:ascii="Times New Roman" w:hAnsi="Times New Roman" w:eastAsia="宋体"/>
                <w:color w:val="auto"/>
                <w:highlight w:val="none"/>
                <w:vertAlign w:val="superscript"/>
              </w:rPr>
              <w:t>-8</w:t>
            </w:r>
            <w:r>
              <w:rPr>
                <w:rFonts w:ascii="Times New Roman" w:hAnsi="Times New Roman" w:eastAsia="宋体"/>
                <w:color w:val="auto"/>
                <w:highlight w:val="none"/>
              </w:rPr>
              <w:t>/a</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2920"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常压全包容储罐</w:t>
            </w:r>
          </w:p>
        </w:tc>
        <w:tc>
          <w:tcPr>
            <w:tcW w:w="3825"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储罐全破裂</w:t>
            </w:r>
          </w:p>
        </w:tc>
        <w:tc>
          <w:tcPr>
            <w:tcW w:w="2327"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1.00×10</w:t>
            </w:r>
            <w:r>
              <w:rPr>
                <w:rFonts w:ascii="Times New Roman" w:hAnsi="Times New Roman" w:eastAsia="宋体"/>
                <w:color w:val="auto"/>
                <w:highlight w:val="none"/>
                <w:vertAlign w:val="superscript"/>
              </w:rPr>
              <w:t>-8</w:t>
            </w:r>
            <w:r>
              <w:rPr>
                <w:rFonts w:ascii="Times New Roman" w:hAnsi="Times New Roman" w:eastAsia="宋体"/>
                <w:color w:val="auto"/>
                <w:highlight w:val="none"/>
              </w:rPr>
              <w:t>/a</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2920"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内径≤75mm的管道</w:t>
            </w:r>
          </w:p>
        </w:tc>
        <w:tc>
          <w:tcPr>
            <w:tcW w:w="3825"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泄漏孔径为10%孔径</w:t>
            </w: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全管径泄漏</w:t>
            </w:r>
          </w:p>
        </w:tc>
        <w:tc>
          <w:tcPr>
            <w:tcW w:w="2327"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5.00×10</w:t>
            </w:r>
            <w:r>
              <w:rPr>
                <w:rFonts w:ascii="Times New Roman" w:hAnsi="Times New Roman" w:eastAsia="宋体"/>
                <w:color w:val="auto"/>
                <w:highlight w:val="none"/>
                <w:vertAlign w:val="superscript"/>
              </w:rPr>
              <w:t>-6</w:t>
            </w:r>
            <w:r>
              <w:rPr>
                <w:rFonts w:ascii="Times New Roman" w:hAnsi="Times New Roman" w:eastAsia="宋体"/>
                <w:color w:val="auto"/>
                <w:highlight w:val="none"/>
              </w:rPr>
              <w:t>/a（m·a）</w:t>
            </w: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1.00×10</w:t>
            </w:r>
            <w:r>
              <w:rPr>
                <w:rFonts w:ascii="Times New Roman" w:hAnsi="Times New Roman" w:eastAsia="宋体"/>
                <w:color w:val="auto"/>
                <w:highlight w:val="none"/>
                <w:vertAlign w:val="superscript"/>
              </w:rPr>
              <w:t>-6</w:t>
            </w:r>
            <w:r>
              <w:rPr>
                <w:rFonts w:ascii="Times New Roman" w:hAnsi="Times New Roman" w:eastAsia="宋体"/>
                <w:color w:val="auto"/>
                <w:highlight w:val="none"/>
              </w:rPr>
              <w:t>/a（m·a）</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2920"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75mm&lt;内径≤150mm的管道</w:t>
            </w:r>
          </w:p>
        </w:tc>
        <w:tc>
          <w:tcPr>
            <w:tcW w:w="3825"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泄漏孔径为10%孔径</w:t>
            </w: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全管径泄漏</w:t>
            </w:r>
          </w:p>
        </w:tc>
        <w:tc>
          <w:tcPr>
            <w:tcW w:w="2327"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2.00×10</w:t>
            </w:r>
            <w:r>
              <w:rPr>
                <w:rFonts w:ascii="Times New Roman" w:hAnsi="Times New Roman" w:eastAsia="宋体"/>
                <w:color w:val="auto"/>
                <w:highlight w:val="none"/>
                <w:vertAlign w:val="superscript"/>
              </w:rPr>
              <w:t>-6</w:t>
            </w:r>
            <w:r>
              <w:rPr>
                <w:rFonts w:ascii="Times New Roman" w:hAnsi="Times New Roman" w:eastAsia="宋体"/>
                <w:color w:val="auto"/>
                <w:highlight w:val="none"/>
              </w:rPr>
              <w:t>/a（m·a）</w:t>
            </w: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3.00×10</w:t>
            </w:r>
            <w:r>
              <w:rPr>
                <w:rFonts w:ascii="Times New Roman" w:hAnsi="Times New Roman" w:eastAsia="宋体"/>
                <w:color w:val="auto"/>
                <w:highlight w:val="none"/>
                <w:vertAlign w:val="superscript"/>
              </w:rPr>
              <w:t>-7</w:t>
            </w:r>
            <w:r>
              <w:rPr>
                <w:rFonts w:ascii="Times New Roman" w:hAnsi="Times New Roman" w:eastAsia="宋体"/>
                <w:color w:val="auto"/>
                <w:highlight w:val="none"/>
              </w:rPr>
              <w:t>/a（m·a）</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2920"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内径&gt;150mm的管道</w:t>
            </w:r>
          </w:p>
        </w:tc>
        <w:tc>
          <w:tcPr>
            <w:tcW w:w="3825"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泄漏孔径为10%孔径(最大50mm)</w:t>
            </w: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全管径泄漏</w:t>
            </w:r>
          </w:p>
        </w:tc>
        <w:tc>
          <w:tcPr>
            <w:tcW w:w="2327"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2.40×10</w:t>
            </w:r>
            <w:r>
              <w:rPr>
                <w:rFonts w:ascii="Times New Roman" w:hAnsi="Times New Roman" w:eastAsia="宋体"/>
                <w:color w:val="auto"/>
                <w:highlight w:val="none"/>
                <w:vertAlign w:val="superscript"/>
              </w:rPr>
              <w:t>-6</w:t>
            </w:r>
            <w:r>
              <w:rPr>
                <w:rFonts w:ascii="Times New Roman" w:hAnsi="Times New Roman" w:eastAsia="宋体"/>
                <w:color w:val="auto"/>
                <w:highlight w:val="none"/>
              </w:rPr>
              <w:t>/a（m·a）</w:t>
            </w: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1.00×10</w:t>
            </w:r>
            <w:r>
              <w:rPr>
                <w:rFonts w:ascii="Times New Roman" w:hAnsi="Times New Roman" w:eastAsia="宋体"/>
                <w:color w:val="auto"/>
                <w:highlight w:val="none"/>
                <w:vertAlign w:val="superscript"/>
              </w:rPr>
              <w:t>-7</w:t>
            </w:r>
            <w:r>
              <w:rPr>
                <w:rFonts w:ascii="Times New Roman" w:hAnsi="Times New Roman" w:eastAsia="宋体"/>
                <w:color w:val="auto"/>
                <w:highlight w:val="none"/>
              </w:rPr>
              <w:t>/a（m·a）</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2920"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泵体和压缩机</w:t>
            </w:r>
          </w:p>
        </w:tc>
        <w:tc>
          <w:tcPr>
            <w:tcW w:w="3825"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泵体和压缩机最大连楼管泄漏孔径为10%孔径(最大50mm)</w:t>
            </w: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泵体和压缩机最大连接管全管径泄漏</w:t>
            </w:r>
          </w:p>
        </w:tc>
        <w:tc>
          <w:tcPr>
            <w:tcW w:w="2327"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5.00×10</w:t>
            </w:r>
            <w:r>
              <w:rPr>
                <w:rFonts w:ascii="Times New Roman" w:hAnsi="Times New Roman" w:eastAsia="宋体"/>
                <w:color w:val="auto"/>
                <w:highlight w:val="none"/>
                <w:vertAlign w:val="superscript"/>
              </w:rPr>
              <w:t>-4</w:t>
            </w:r>
            <w:r>
              <w:rPr>
                <w:rFonts w:ascii="Times New Roman" w:hAnsi="Times New Roman" w:eastAsia="宋体"/>
                <w:color w:val="auto"/>
                <w:highlight w:val="none"/>
              </w:rPr>
              <w:t>/a</w:t>
            </w:r>
          </w:p>
          <w:p>
            <w:pPr>
              <w:pStyle w:val="129"/>
              <w:jc w:val="left"/>
              <w:rPr>
                <w:rFonts w:ascii="Times New Roman" w:hAnsi="Times New Roman" w:eastAsia="宋体"/>
                <w:color w:val="auto"/>
                <w:highlight w:val="none"/>
              </w:rPr>
            </w:pP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1.00×10</w:t>
            </w:r>
            <w:r>
              <w:rPr>
                <w:rFonts w:ascii="Times New Roman" w:hAnsi="Times New Roman" w:eastAsia="宋体"/>
                <w:color w:val="auto"/>
                <w:highlight w:val="none"/>
                <w:vertAlign w:val="superscript"/>
              </w:rPr>
              <w:t>-4</w:t>
            </w:r>
            <w:r>
              <w:rPr>
                <w:rFonts w:ascii="Times New Roman" w:hAnsi="Times New Roman" w:eastAsia="宋体"/>
                <w:color w:val="auto"/>
                <w:highlight w:val="none"/>
              </w:rPr>
              <w:t>/a</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2920"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装卸臂</w:t>
            </w:r>
          </w:p>
        </w:tc>
        <w:tc>
          <w:tcPr>
            <w:tcW w:w="3825"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装卸臂连接管泄漏孔径为10%孔径(最大50mm)</w:t>
            </w: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装卸臂全管径泄漏</w:t>
            </w:r>
          </w:p>
        </w:tc>
        <w:tc>
          <w:tcPr>
            <w:tcW w:w="2327"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3.00×10</w:t>
            </w:r>
            <w:r>
              <w:rPr>
                <w:rFonts w:ascii="Times New Roman" w:hAnsi="Times New Roman" w:eastAsia="宋体"/>
                <w:color w:val="auto"/>
                <w:highlight w:val="none"/>
                <w:vertAlign w:val="superscript"/>
              </w:rPr>
              <w:t>-7</w:t>
            </w:r>
            <w:r>
              <w:rPr>
                <w:rFonts w:ascii="Times New Roman" w:hAnsi="Times New Roman" w:eastAsia="宋体"/>
                <w:color w:val="auto"/>
                <w:highlight w:val="none"/>
              </w:rPr>
              <w:t>/a</w:t>
            </w:r>
          </w:p>
          <w:p>
            <w:pPr>
              <w:pStyle w:val="129"/>
              <w:jc w:val="left"/>
              <w:rPr>
                <w:rFonts w:ascii="Times New Roman" w:hAnsi="Times New Roman" w:eastAsia="宋体"/>
                <w:color w:val="auto"/>
                <w:highlight w:val="none"/>
              </w:rPr>
            </w:pP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3.00×10</w:t>
            </w:r>
            <w:r>
              <w:rPr>
                <w:rFonts w:ascii="Times New Roman" w:hAnsi="Times New Roman" w:eastAsia="宋体"/>
                <w:color w:val="auto"/>
                <w:highlight w:val="none"/>
                <w:vertAlign w:val="superscript"/>
              </w:rPr>
              <w:t>-8</w:t>
            </w:r>
            <w:r>
              <w:rPr>
                <w:rFonts w:ascii="Times New Roman" w:hAnsi="Times New Roman" w:eastAsia="宋体"/>
                <w:color w:val="auto"/>
                <w:highlight w:val="none"/>
              </w:rPr>
              <w:t>/a</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2920"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装卸软管</w:t>
            </w:r>
          </w:p>
        </w:tc>
        <w:tc>
          <w:tcPr>
            <w:tcW w:w="3825"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装卸软管连接管泄漏孔径为10%孔径(最大50mm)</w:t>
            </w: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装卸软管全管径泄漏</w:t>
            </w:r>
          </w:p>
        </w:tc>
        <w:tc>
          <w:tcPr>
            <w:tcW w:w="2327" w:type="dxa"/>
            <w:noWrap w:val="0"/>
            <w:vAlign w:val="center"/>
          </w:tcPr>
          <w:p>
            <w:pPr>
              <w:pStyle w:val="129"/>
              <w:jc w:val="left"/>
              <w:rPr>
                <w:rFonts w:ascii="Times New Roman" w:hAnsi="Times New Roman" w:eastAsia="宋体"/>
                <w:color w:val="auto"/>
                <w:highlight w:val="none"/>
              </w:rPr>
            </w:pPr>
            <w:r>
              <w:rPr>
                <w:rFonts w:ascii="Times New Roman" w:hAnsi="Times New Roman" w:eastAsia="宋体"/>
                <w:color w:val="auto"/>
                <w:highlight w:val="none"/>
              </w:rPr>
              <w:t>4.00×10</w:t>
            </w:r>
            <w:r>
              <w:rPr>
                <w:rFonts w:ascii="Times New Roman" w:hAnsi="Times New Roman" w:eastAsia="宋体"/>
                <w:color w:val="auto"/>
                <w:highlight w:val="none"/>
                <w:vertAlign w:val="superscript"/>
              </w:rPr>
              <w:t>-5</w:t>
            </w:r>
            <w:r>
              <w:rPr>
                <w:rFonts w:ascii="Times New Roman" w:hAnsi="Times New Roman" w:eastAsia="宋体"/>
                <w:color w:val="auto"/>
                <w:highlight w:val="none"/>
              </w:rPr>
              <w:t>/a</w:t>
            </w:r>
          </w:p>
          <w:p>
            <w:pPr>
              <w:pStyle w:val="129"/>
              <w:jc w:val="left"/>
              <w:rPr>
                <w:rFonts w:ascii="Times New Roman" w:hAnsi="Times New Roman" w:eastAsia="宋体"/>
                <w:color w:val="auto"/>
                <w:highlight w:val="none"/>
              </w:rPr>
            </w:pPr>
          </w:p>
          <w:p>
            <w:pPr>
              <w:pStyle w:val="129"/>
              <w:jc w:val="left"/>
              <w:rPr>
                <w:rFonts w:ascii="Times New Roman" w:hAnsi="Times New Roman" w:eastAsia="宋体"/>
                <w:color w:val="auto"/>
                <w:highlight w:val="none"/>
              </w:rPr>
            </w:pPr>
            <w:r>
              <w:rPr>
                <w:rFonts w:ascii="Times New Roman" w:hAnsi="Times New Roman" w:eastAsia="宋体"/>
                <w:color w:val="auto"/>
                <w:highlight w:val="none"/>
              </w:rPr>
              <w:t>4.00×10</w:t>
            </w:r>
            <w:r>
              <w:rPr>
                <w:rFonts w:ascii="Times New Roman" w:hAnsi="Times New Roman" w:eastAsia="宋体"/>
                <w:color w:val="auto"/>
                <w:highlight w:val="none"/>
                <w:vertAlign w:val="superscript"/>
              </w:rPr>
              <w:t>-6</w:t>
            </w:r>
            <w:r>
              <w:rPr>
                <w:rFonts w:ascii="Times New Roman" w:hAnsi="Times New Roman" w:eastAsia="宋体"/>
                <w:color w:val="auto"/>
                <w:highlight w:val="none"/>
              </w:rPr>
              <w:t>/a</w:t>
            </w:r>
          </w:p>
        </w:tc>
      </w:tr>
    </w:tbl>
    <w:p>
      <w:pPr>
        <w:ind w:firstLine="480"/>
        <w:rPr>
          <w:rFonts w:ascii="Times New Roman" w:hAnsi="Times New Roman" w:eastAsia="宋体" w:cs="Times New Roman"/>
          <w:color w:val="auto"/>
          <w:highlight w:val="none"/>
        </w:rPr>
      </w:pPr>
      <w:r>
        <w:rPr>
          <w:rFonts w:ascii="Times New Roman" w:hAnsi="Times New Roman" w:eastAsia="宋体" w:cs="Times New Roman"/>
          <w:color w:val="auto"/>
          <w:szCs w:val="24"/>
          <w:highlight w:val="none"/>
        </w:rPr>
        <w:t>本项目柴油储罐为常压单包容储罐，发生泄漏孔径为10mm孔径的泄漏频率为1×10</w:t>
      </w:r>
      <w:r>
        <w:rPr>
          <w:rFonts w:ascii="Times New Roman" w:hAnsi="Times New Roman" w:eastAsia="宋体" w:cs="Times New Roman"/>
          <w:color w:val="auto"/>
          <w:szCs w:val="24"/>
          <w:highlight w:val="none"/>
          <w:vertAlign w:val="superscript"/>
        </w:rPr>
        <w:t>-4</w:t>
      </w:r>
      <w:r>
        <w:rPr>
          <w:rFonts w:ascii="Times New Roman" w:hAnsi="Times New Roman" w:eastAsia="宋体" w:cs="Times New Roman"/>
          <w:color w:val="auto"/>
          <w:szCs w:val="24"/>
          <w:highlight w:val="none"/>
        </w:rPr>
        <w:t>/a</w:t>
      </w:r>
      <w:r>
        <w:rPr>
          <w:rFonts w:ascii="Times New Roman" w:hAnsi="Times New Roman" w:eastAsia="宋体" w:cs="Times New Roman"/>
          <w:bCs/>
          <w:color w:val="auto"/>
          <w:szCs w:val="24"/>
          <w:highlight w:val="none"/>
        </w:rPr>
        <w:t>。</w:t>
      </w:r>
      <w:r>
        <w:rPr>
          <w:rFonts w:ascii="Times New Roman" w:hAnsi="Times New Roman" w:eastAsia="宋体" w:cs="Times New Roman"/>
          <w:color w:val="auto"/>
          <w:highlight w:val="none"/>
        </w:rPr>
        <w:t>泄漏的油品覆盖于地表使土壤透气性下降，土壤理化性质发生变化，主要对表层0~20m土层构成污染。含油水进入土壤后由于土壤的截留和吸附使其中大部分油残存于土壤表层造成污染。泄漏油品粘附于植物体会影响植物光合作用，甚至使植物枯萎死亡。泄漏的油品若进入水体，会造成地表水质恶化等。</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项目所用柴油运输均采用汽车陆路运输，根据《危险化学品安全管理条例》，危险化学品运输过程需委托具有危险化学品运输资质的单位运输。运输和使用过程均需遵循《危险化学品安全管理条例》相关规定。</w:t>
      </w:r>
    </w:p>
    <w:p>
      <w:pPr>
        <w:autoSpaceDE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2、炸药爆炸风险分析</w:t>
      </w:r>
    </w:p>
    <w:p>
      <w:pPr>
        <w:autoSpaceDE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本项目在开采过程中使用炸药，炸药运输的途中、装药和放炮的过程、未爆炸或爆炸不完全的炸药在装卸矿岩的过程中都有发生爆炸的可舵性，炸药爆炸可以直接造成人体的伤害和财物破坏。</w:t>
      </w:r>
    </w:p>
    <w:p>
      <w:pPr>
        <w:autoSpaceDE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一是爆炸产生的巨大噪声及振动，爆炸产生的地震和冲击破会毁坏附近的建筑物，爆炸飞石、冲击波给附近人员的人身安全造成极大的危害。</w:t>
      </w:r>
    </w:p>
    <w:p>
      <w:pPr>
        <w:autoSpaceDE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二是爆炸过程中产生的高温高压气体，炸药爆炸中心温度能达到2400~2700℃，如果爆炸点附近有易燃物质，则有可能引起火灾。</w:t>
      </w:r>
    </w:p>
    <w:p>
      <w:pPr>
        <w:autoSpaceDE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三是爆炸会分解产生一氧化碳、二氧化碳、氮氧化物等污染物，此外爆炸会产生大量的颗粒物，这些污染物会影响当地的大气环境质量。在炸药爆炸产生的有毒气体中，CO和NO</w:t>
      </w:r>
      <w:r>
        <w:rPr>
          <w:rFonts w:ascii="Times New Roman" w:hAnsi="Times New Roman" w:eastAsia="宋体" w:cs="Times New Roman"/>
          <w:color w:val="auto"/>
          <w:highlight w:val="none"/>
          <w:vertAlign w:val="subscript"/>
        </w:rPr>
        <w:t>2</w:t>
      </w:r>
      <w:r>
        <w:rPr>
          <w:rFonts w:ascii="Times New Roman" w:hAnsi="Times New Roman" w:eastAsia="宋体" w:cs="Times New Roman"/>
          <w:color w:val="auto"/>
          <w:highlight w:val="none"/>
        </w:rPr>
        <w:t>最重要。这二者的毒理反应并不相同。其中，CO 与人体中血红蛋白的亲和力极强，约为氧与血红蛋白亲和力的250～300倍。这种气体通过呼吸道进人人体后，血红蛋白便优先与其结合而使血液的携氧能力下降，从而造成全身缺氧。NO</w:t>
      </w:r>
      <w:r>
        <w:rPr>
          <w:rFonts w:ascii="Times New Roman" w:hAnsi="Times New Roman" w:eastAsia="宋体" w:cs="Times New Roman"/>
          <w:color w:val="auto"/>
          <w:highlight w:val="none"/>
          <w:vertAlign w:val="subscript"/>
        </w:rPr>
        <w:t>2</w:t>
      </w:r>
      <w:r>
        <w:rPr>
          <w:rFonts w:ascii="Times New Roman" w:hAnsi="Times New Roman" w:eastAsia="宋体" w:cs="Times New Roman"/>
          <w:color w:val="auto"/>
          <w:highlight w:val="none"/>
        </w:rPr>
        <w:t>被吸入细支气管和肺泡后，主要是与水作用生成硝酸和亚硝酸，对肺组织产生剧烈的刺激和腐蚀作用，形成肺水肿，并导致呼吸道收缩，降低其对感染的抵抗能力。尤其是气喘病人，受NO</w:t>
      </w:r>
      <w:r>
        <w:rPr>
          <w:rFonts w:ascii="Times New Roman" w:hAnsi="Times New Roman" w:eastAsia="宋体" w:cs="Times New Roman"/>
          <w:color w:val="auto"/>
          <w:highlight w:val="none"/>
          <w:vertAlign w:val="subscript"/>
        </w:rPr>
        <w:t>2</w:t>
      </w:r>
      <w:r>
        <w:rPr>
          <w:rFonts w:ascii="Times New Roman" w:hAnsi="Times New Roman" w:eastAsia="宋体" w:cs="Times New Roman"/>
          <w:color w:val="auto"/>
          <w:highlight w:val="none"/>
        </w:rPr>
        <w:t>的侵袭后，对灰尘和花粉的敏感性将大大加强。此外，NO</w:t>
      </w:r>
      <w:r>
        <w:rPr>
          <w:rFonts w:ascii="Times New Roman" w:hAnsi="Times New Roman" w:eastAsia="宋体" w:cs="Times New Roman"/>
          <w:color w:val="auto"/>
          <w:highlight w:val="none"/>
          <w:vertAlign w:val="subscript"/>
        </w:rPr>
        <w:t>2</w:t>
      </w:r>
      <w:r>
        <w:rPr>
          <w:rFonts w:ascii="Times New Roman" w:hAnsi="Times New Roman" w:eastAsia="宋体" w:cs="Times New Roman"/>
          <w:color w:val="auto"/>
          <w:highlight w:val="none"/>
        </w:rPr>
        <w:t>还能与碱性氧化物反应生成硝酸盐或亚硝酸盐而致癌。接触高浓度的NO</w:t>
      </w:r>
      <w:r>
        <w:rPr>
          <w:rFonts w:ascii="Times New Roman" w:hAnsi="Times New Roman" w:eastAsia="宋体" w:cs="Times New Roman"/>
          <w:color w:val="auto"/>
          <w:highlight w:val="none"/>
          <w:vertAlign w:val="subscript"/>
        </w:rPr>
        <w:t>2</w:t>
      </w:r>
      <w:r>
        <w:rPr>
          <w:rFonts w:ascii="Times New Roman" w:hAnsi="Times New Roman" w:eastAsia="宋体" w:cs="Times New Roman"/>
          <w:color w:val="auto"/>
          <w:highlight w:val="none"/>
        </w:rPr>
        <w:t>还可能损害中枢神经系统，同时NO</w:t>
      </w:r>
      <w:r>
        <w:rPr>
          <w:rFonts w:ascii="Times New Roman" w:hAnsi="Times New Roman" w:eastAsia="宋体" w:cs="Times New Roman"/>
          <w:color w:val="auto"/>
          <w:highlight w:val="none"/>
          <w:vertAlign w:val="subscript"/>
        </w:rPr>
        <w:t>2</w:t>
      </w:r>
      <w:r>
        <w:rPr>
          <w:rFonts w:ascii="Times New Roman" w:hAnsi="Times New Roman" w:eastAsia="宋体" w:cs="Times New Roman"/>
          <w:color w:val="auto"/>
          <w:highlight w:val="none"/>
        </w:rPr>
        <w:t>对视力也有伤害。</w:t>
      </w:r>
    </w:p>
    <w:p>
      <w:pPr>
        <w:autoSpaceDE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3、泥石流风险分析</w:t>
      </w:r>
    </w:p>
    <w:p>
      <w:pPr>
        <w:autoSpaceDE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遇连续大雨，可能使</w:t>
      </w:r>
      <w:r>
        <w:rPr>
          <w:rFonts w:hint="eastAsia" w:ascii="Times New Roman" w:hAnsi="Times New Roman" w:eastAsia="宋体" w:cs="Times New Roman"/>
          <w:color w:val="auto"/>
          <w:highlight w:val="none"/>
        </w:rPr>
        <w:t>临时排土场</w:t>
      </w:r>
      <w:r>
        <w:rPr>
          <w:rFonts w:ascii="Times New Roman" w:hAnsi="Times New Roman" w:eastAsia="宋体" w:cs="Times New Roman"/>
          <w:color w:val="auto"/>
          <w:highlight w:val="none"/>
        </w:rPr>
        <w:t>产生泥石流，大量的废石、废水冲刷至周边水体，可能造成地表水体堵塞，地表水中的悬浮物浓度急剧升高、水质下降。</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4、矿区崩塌、滑坡事故分析</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矿山露天采场设计工作面为横向剥离，开采坡面角、最终边坡角、台阶高度等要素符合《广西壮族自治区露天矿场安全生产管理规定》要求，预测最终边坡整体是稳定。</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矿山在生产采矿过程中边坡上岩体在自重应力、表层爆破作业加上原有节理裂隙等因素作用下，岩体会产生一些新的临空面和裂面，破裂面的产生使岩体被再次切割，变得相对破碎，局部可能成为危岩。且项目位于雨量充沛地区，边坡表层受风化降雨影响，雨水渗入裂面会降低岩体的抗剪强度，削弱边坡的稳定性，从而引起边坡失稳，导致边坡发生崩塌、滑坡地质灾害。预测未来采矿活动过程可能引发采场边坡崩塌、滑坡，规模一般小于1000m</w:t>
      </w:r>
      <w:r>
        <w:rPr>
          <w:rFonts w:hint="eastAsia"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rPr>
        <w:t>，危害对象为坡下施工人员、设备及矿区外南面的乡村公路，估计受威胁人数为10～20人。预测采矿活动引发边坡崩塌、滑坡地质灾害可能性中等，危害程度中等，危险性中等。</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5、</w:t>
      </w:r>
      <w:r>
        <w:rPr>
          <w:rFonts w:hint="eastAsia" w:ascii="Times New Roman" w:hAnsi="Times New Roman" w:eastAsia="宋体" w:cs="Times New Roman"/>
          <w:color w:val="auto"/>
          <w:highlight w:val="none"/>
        </w:rPr>
        <w:t>临时排土场</w:t>
      </w:r>
      <w:r>
        <w:rPr>
          <w:rFonts w:ascii="Times New Roman" w:hAnsi="Times New Roman" w:eastAsia="宋体" w:cs="Times New Roman"/>
          <w:color w:val="auto"/>
          <w:highlight w:val="none"/>
        </w:rPr>
        <w:t>环境风险影响分析</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w:t>
      </w:r>
      <w:r>
        <w:rPr>
          <w:rFonts w:hint="eastAsia"/>
          <w:color w:val="auto"/>
          <w:highlight w:val="none"/>
          <w:u w:val="single"/>
          <w:lang w:eastAsia="zh-CN"/>
        </w:rPr>
        <w:t>破碎场①</w:t>
      </w:r>
      <w:r>
        <w:rPr>
          <w:rFonts w:hint="eastAsia" w:ascii="Times New Roman" w:hAnsi="Times New Roman" w:eastAsia="宋体" w:cs="Times New Roman"/>
          <w:color w:val="auto"/>
          <w:highlight w:val="none"/>
          <w:u w:val="single"/>
        </w:rPr>
        <w:t>、</w:t>
      </w:r>
      <w:r>
        <w:rPr>
          <w:rFonts w:hint="eastAsia" w:cs="Times New Roman"/>
          <w:color w:val="auto"/>
          <w:highlight w:val="none"/>
          <w:u w:val="single"/>
          <w:lang w:eastAsia="zh-CN"/>
        </w:rPr>
        <w:t>破碎场②</w:t>
      </w:r>
      <w:r>
        <w:rPr>
          <w:rFonts w:hint="eastAsia" w:ascii="Times New Roman" w:hAnsi="Times New Roman" w:eastAsia="宋体" w:cs="Times New Roman"/>
          <w:color w:val="auto"/>
          <w:highlight w:val="none"/>
        </w:rPr>
        <w:t>临时排土场</w:t>
      </w:r>
      <w:r>
        <w:rPr>
          <w:rFonts w:ascii="Times New Roman" w:hAnsi="Times New Roman" w:eastAsia="宋体" w:cs="Times New Roman"/>
          <w:color w:val="auto"/>
          <w:highlight w:val="none"/>
        </w:rPr>
        <w:t>占地面积</w:t>
      </w:r>
      <w:r>
        <w:rPr>
          <w:rFonts w:hint="eastAsia" w:ascii="Times New Roman" w:hAnsi="Times New Roman" w:eastAsia="宋体" w:cs="Times New Roman"/>
          <w:color w:val="auto"/>
          <w:highlight w:val="none"/>
        </w:rPr>
        <w:t>均</w:t>
      </w:r>
      <w:r>
        <w:rPr>
          <w:rFonts w:ascii="Times New Roman" w:hAnsi="Times New Roman" w:eastAsia="宋体" w:cs="Times New Roman"/>
          <w:color w:val="auto"/>
          <w:highlight w:val="none"/>
        </w:rPr>
        <w:t>为</w:t>
      </w:r>
      <w:r>
        <w:rPr>
          <w:rFonts w:ascii="Times New Roman" w:hAnsi="Times New Roman" w:eastAsia="宋体" w:cs="Times New Roman"/>
          <w:color w:val="auto"/>
          <w:kern w:val="0"/>
          <w:highlight w:val="none"/>
        </w:rPr>
        <w:t>2000m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kern w:val="0"/>
          <w:highlight w:val="none"/>
        </w:rPr>
        <w:t>。</w:t>
      </w:r>
      <w:r>
        <w:rPr>
          <w:rFonts w:ascii="Times New Roman" w:hAnsi="Times New Roman" w:eastAsia="宋体" w:cs="Times New Roman"/>
          <w:color w:val="auto"/>
          <w:highlight w:val="none"/>
        </w:rPr>
        <w:t>拟</w:t>
      </w:r>
      <w:r>
        <w:rPr>
          <w:rFonts w:hint="eastAsia" w:ascii="Times New Roman" w:hAnsi="Times New Roman" w:eastAsia="宋体" w:cs="Times New Roman"/>
          <w:color w:val="auto"/>
          <w:highlight w:val="none"/>
        </w:rPr>
        <w:t>在临时排土场</w:t>
      </w:r>
      <w:r>
        <w:rPr>
          <w:rFonts w:hint="eastAsia" w:ascii="Times New Roman" w:hAnsi="Times New Roman" w:eastAsia="宋体"/>
          <w:color w:val="auto"/>
          <w:highlight w:val="none"/>
        </w:rPr>
        <w:t>①</w:t>
      </w:r>
      <w:r>
        <w:rPr>
          <w:rFonts w:hint="eastAsia" w:ascii="Times New Roman" w:hAnsi="Times New Roman" w:eastAsia="宋体" w:cs="Times New Roman"/>
          <w:color w:val="auto"/>
          <w:highlight w:val="none"/>
        </w:rPr>
        <w:t>东西</w:t>
      </w:r>
      <w:r>
        <w:rPr>
          <w:rFonts w:ascii="Times New Roman" w:hAnsi="Times New Roman" w:eastAsia="宋体" w:cs="Times New Roman"/>
          <w:color w:val="auto"/>
          <w:highlight w:val="none"/>
        </w:rPr>
        <w:t>北</w:t>
      </w:r>
      <w:r>
        <w:rPr>
          <w:rFonts w:hint="eastAsia" w:ascii="Times New Roman" w:hAnsi="Times New Roman" w:eastAsia="宋体" w:cs="Times New Roman"/>
          <w:color w:val="auto"/>
          <w:highlight w:val="none"/>
        </w:rPr>
        <w:t>三</w:t>
      </w:r>
      <w:r>
        <w:rPr>
          <w:rFonts w:ascii="Times New Roman" w:hAnsi="Times New Roman" w:eastAsia="宋体" w:cs="Times New Roman"/>
          <w:color w:val="auto"/>
          <w:highlight w:val="none"/>
        </w:rPr>
        <w:t>侧坡脚用浆砌石挡墙进行拦挡，</w:t>
      </w:r>
      <w:r>
        <w:rPr>
          <w:rFonts w:hint="eastAsia" w:ascii="Times New Roman" w:hAnsi="Times New Roman" w:eastAsia="宋体" w:cs="Times New Roman"/>
          <w:color w:val="auto"/>
          <w:highlight w:val="none"/>
        </w:rPr>
        <w:t>在临时排土场</w:t>
      </w:r>
      <w:r>
        <w:rPr>
          <w:rFonts w:hint="eastAsia" w:ascii="Times New Roman" w:hAnsi="Times New Roman" w:eastAsia="宋体"/>
          <w:color w:val="auto"/>
          <w:highlight w:val="none"/>
        </w:rPr>
        <w:t>②</w:t>
      </w:r>
      <w:r>
        <w:rPr>
          <w:rFonts w:hint="eastAsia" w:ascii="Times New Roman" w:hAnsi="Times New Roman" w:eastAsia="宋体" w:cs="Times New Roman"/>
          <w:color w:val="auto"/>
          <w:highlight w:val="none"/>
        </w:rPr>
        <w:t>西</w:t>
      </w:r>
      <w:r>
        <w:rPr>
          <w:rFonts w:ascii="Times New Roman" w:hAnsi="Times New Roman" w:eastAsia="宋体" w:cs="Times New Roman"/>
          <w:color w:val="auto"/>
          <w:highlight w:val="none"/>
        </w:rPr>
        <w:t>侧用浆砌石挡墙进行拦挡</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挡土墙采用重力式矩形浆砌石结构，拦挡高</w:t>
      </w:r>
      <w:r>
        <w:rPr>
          <w:rFonts w:hint="eastAsia" w:ascii="Times New Roman" w:hAnsi="Times New Roman" w:eastAsia="宋体" w:cs="Times New Roman"/>
          <w:color w:val="auto"/>
          <w:highlight w:val="none"/>
        </w:rPr>
        <w:t>3</w:t>
      </w:r>
      <w:r>
        <w:rPr>
          <w:rFonts w:ascii="Times New Roman" w:hAnsi="Times New Roman" w:eastAsia="宋体" w:cs="Times New Roman"/>
          <w:color w:val="auto"/>
          <w:highlight w:val="none"/>
        </w:rPr>
        <w:t>m，顶宽0.5m，基础深0.5m，底宽1.5m。</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挡土墙垮塌事故的原因主要有墙体质量问题（如墙体渗漏、墙体滑坡、基础渗漏等）、管理不当问题（如维护使用不良、无人管理）、土石滑坡以及工程设计布置和施工不当等。</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临时排土场</w:t>
      </w:r>
      <w:r>
        <w:rPr>
          <w:rFonts w:ascii="Times New Roman" w:hAnsi="Times New Roman" w:eastAsia="宋体"/>
          <w:color w:val="auto"/>
          <w:highlight w:val="none"/>
        </w:rPr>
        <w:t>四周修建排水沟，场内采取密目网覆盖。项目</w:t>
      </w:r>
      <w:r>
        <w:rPr>
          <w:rFonts w:hint="eastAsia" w:ascii="Times New Roman" w:hAnsi="Times New Roman" w:eastAsia="宋体"/>
          <w:color w:val="auto"/>
          <w:highlight w:val="none"/>
        </w:rPr>
        <w:t>临时排土场</w:t>
      </w:r>
      <w:r>
        <w:rPr>
          <w:rFonts w:ascii="Times New Roman" w:hAnsi="Times New Roman" w:eastAsia="宋体"/>
          <w:color w:val="auto"/>
          <w:highlight w:val="none"/>
        </w:rPr>
        <w:t>上游汇水面较小，雨水呈分散流的形式往下排泄，流量小，预测</w:t>
      </w:r>
      <w:r>
        <w:rPr>
          <w:rFonts w:hint="eastAsia" w:ascii="Times New Roman" w:hAnsi="Times New Roman" w:eastAsia="宋体"/>
          <w:color w:val="auto"/>
          <w:highlight w:val="none"/>
        </w:rPr>
        <w:t>临时排土场</w:t>
      </w:r>
      <w:r>
        <w:rPr>
          <w:rFonts w:ascii="Times New Roman" w:hAnsi="Times New Roman" w:eastAsia="宋体"/>
          <w:color w:val="auto"/>
          <w:highlight w:val="none"/>
        </w:rPr>
        <w:t>引起泥石流的可能性小，危害程度小，危险性小。</w:t>
      </w:r>
    </w:p>
    <w:p>
      <w:pPr>
        <w:pStyle w:val="5"/>
        <w:rPr>
          <w:rFonts w:ascii="Times New Roman" w:hAnsi="Times New Roman" w:eastAsia="宋体"/>
          <w:color w:val="auto"/>
          <w:highlight w:val="none"/>
        </w:rPr>
      </w:pPr>
      <w:r>
        <w:rPr>
          <w:rFonts w:ascii="Times New Roman" w:hAnsi="Times New Roman" w:eastAsia="宋体"/>
          <w:color w:val="auto"/>
          <w:highlight w:val="none"/>
        </w:rPr>
        <w:t>4.3.5 环境风险防范措施及应急要求</w:t>
      </w:r>
    </w:p>
    <w:p>
      <w:pPr>
        <w:pStyle w:val="6"/>
        <w:rPr>
          <w:rFonts w:ascii="Times New Roman" w:hAnsi="Times New Roman" w:eastAsia="宋体"/>
          <w:color w:val="auto"/>
          <w:highlight w:val="none"/>
        </w:rPr>
      </w:pPr>
      <w:r>
        <w:rPr>
          <w:rFonts w:ascii="Times New Roman" w:hAnsi="Times New Roman" w:eastAsia="宋体"/>
          <w:color w:val="auto"/>
          <w:highlight w:val="none"/>
        </w:rPr>
        <w:t>4.3.5.1</w:t>
      </w:r>
      <w:r>
        <w:rPr>
          <w:rFonts w:hint="eastAsia" w:ascii="Times New Roman" w:hAnsi="Times New Roman" w:eastAsia="宋体"/>
          <w:color w:val="auto"/>
          <w:highlight w:val="none"/>
        </w:rPr>
        <w:t xml:space="preserve"> </w:t>
      </w:r>
      <w:r>
        <w:rPr>
          <w:rFonts w:ascii="Times New Roman" w:hAnsi="Times New Roman" w:eastAsia="宋体"/>
          <w:color w:val="auto"/>
          <w:highlight w:val="none"/>
        </w:rPr>
        <w:t>风险防范措施</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1、柴油罐储存风险防范措施</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①储油罐的材料应符合要求，在安装时主要防止损坏。</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②对储油罐进行防腐保护，防止因腐蚀产生泄漏。</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③定期对储油罐及其他设备进行巡查，定期进行设备维护和保养。</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④储油罐、管阀要根据物料性质、储存条件及环境状况等要求，选择适宜材质的槽罐、管、阀，以保障安全生产和延长设备使用寿命。禁止各类储油罐、设备超过服务期使用。</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⑤储油罐周边设置钢筋混凝土围堰，</w:t>
      </w:r>
      <w:r>
        <w:rPr>
          <w:rFonts w:hint="eastAsia" w:cs="Times New Roman"/>
          <w:color w:val="auto"/>
          <w:highlight w:val="none"/>
          <w:u w:val="single"/>
          <w:lang w:eastAsia="zh-CN"/>
        </w:rPr>
        <w:t>破碎场①</w:t>
      </w:r>
      <w:r>
        <w:rPr>
          <w:rFonts w:ascii="Times New Roman" w:hAnsi="Times New Roman" w:eastAsia="宋体" w:cs="Times New Roman"/>
          <w:color w:val="auto"/>
          <w:highlight w:val="none"/>
        </w:rPr>
        <w:t>柴油储罐区围堰</w:t>
      </w:r>
      <w:r>
        <w:rPr>
          <w:rFonts w:hint="eastAsia" w:ascii="Times New Roman" w:hAnsi="Times New Roman" w:eastAsia="宋体" w:cs="Times New Roman"/>
          <w:color w:val="auto"/>
          <w:highlight w:val="none"/>
        </w:rPr>
        <w:t>长6m×宽3m×高0.6m</w:t>
      </w:r>
      <w:r>
        <w:rPr>
          <w:rFonts w:ascii="Times New Roman" w:hAnsi="Times New Roman" w:eastAsia="宋体" w:cs="Times New Roman"/>
          <w:color w:val="auto"/>
          <w:highlight w:val="none"/>
        </w:rPr>
        <w:t>，</w:t>
      </w:r>
      <w:r>
        <w:rPr>
          <w:rFonts w:hint="eastAsia" w:cs="Times New Roman"/>
          <w:color w:val="auto"/>
          <w:highlight w:val="none"/>
          <w:u w:val="single"/>
          <w:lang w:eastAsia="zh-CN"/>
        </w:rPr>
        <w:t>破碎场②</w:t>
      </w:r>
      <w:r>
        <w:rPr>
          <w:rFonts w:ascii="Times New Roman" w:hAnsi="Times New Roman" w:eastAsia="宋体" w:cs="Times New Roman"/>
          <w:color w:val="auto"/>
          <w:highlight w:val="none"/>
        </w:rPr>
        <w:t>柴油储罐区围堰</w:t>
      </w:r>
      <w:r>
        <w:rPr>
          <w:rFonts w:hint="eastAsia" w:ascii="Times New Roman" w:hAnsi="Times New Roman" w:eastAsia="宋体" w:cs="Times New Roman"/>
          <w:color w:val="auto"/>
          <w:highlight w:val="none"/>
        </w:rPr>
        <w:t>长6m×宽3m×高1.2m</w:t>
      </w:r>
      <w:r>
        <w:rPr>
          <w:rFonts w:ascii="Times New Roman" w:hAnsi="Times New Roman" w:eastAsia="宋体" w:cs="Times New Roman"/>
          <w:color w:val="auto"/>
          <w:highlight w:val="none"/>
        </w:rPr>
        <w:t>。发生柴油少量泄漏时，柴油可控制在围堰内，可用活性炭、木屑或其它惰性材料吸收。发生大量泄漏时，柴油亦可控制在围堰内，用泵转移至专用收集器内，回收利用。</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⑥柴油存储区设置严禁烟火标志牌。</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2、爆炸危害风险防护措施</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①露天爆破作业严格按《爆破安全规程》（GB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6722-2014）规定执行。</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②爆破作业现场必须设置坚固的人员避炮设施，其设置地点、结构及拆移时间应在采掘计划中规定，并经矿长或总工程师批准。</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③爆破前，应将钻机、挖掘机等移动设备开到安全地点，并切断电源；必须确定危险区的边界，并设置明显标志；应在危险区的边界设置岗哨，爆破前须同时发出音响和视觉信号，使危险区内的人员都能清楚听到看到。保证人员撤至安全区域。</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④爆破时，炮孔周围的碎石、杂物应清除干净。填塞时，不得将雷管脚线、导爆索或导爆管拉得过紧。禁止用炮辊撞击塞在深孔内的起爆药包。</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⑤爆破后，爆破员必须按规定的等待时间进入爆破地点，检查有无冒顶、危石、支护破坏和盲炮等现象。发现疑点及时设警戒，危石应设危险标志，经安全处理后才能解除警戒。确认爆破地点安全后，方准恢复作业。对于盲炮，应严格按《爆破安全规程》（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6722-2014）有关规定执行，严禁打残眼。同时加强员工的安全教育，提高风险防范意识，并制定风险事故应急预案。</w:t>
      </w:r>
    </w:p>
    <w:p>
      <w:pPr>
        <w:autoSpaceDE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3、地质灾害风险防范措施</w:t>
      </w:r>
    </w:p>
    <w:p>
      <w:pPr>
        <w:autoSpaceDE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针对可能发生的崩塌、滑坡和泥石流地质灾害，安排边坡治理工程、在矿山周边和内部修建截排水沟工程，在</w:t>
      </w:r>
      <w:r>
        <w:rPr>
          <w:rFonts w:hint="eastAsia" w:ascii="Times New Roman" w:hAnsi="Times New Roman" w:eastAsia="宋体" w:cs="Times New Roman"/>
          <w:color w:val="auto"/>
          <w:highlight w:val="none"/>
        </w:rPr>
        <w:t>临时排土场</w:t>
      </w:r>
      <w:r>
        <w:rPr>
          <w:rFonts w:ascii="Times New Roman" w:hAnsi="Times New Roman" w:eastAsia="宋体" w:cs="Times New Roman"/>
          <w:color w:val="auto"/>
          <w:highlight w:val="none"/>
        </w:rPr>
        <w:t>等周边砌筑临时挡土墙等工程；针对开采活动引起的地形地貌、土地资源的破坏，安排地形地貌景观恢复工程、土地资源恢复工程（包括表土收集与存放工程、建（构）筑物拆除工程和土壤重构工程）。</w:t>
      </w:r>
    </w:p>
    <w:p>
      <w:pPr>
        <w:autoSpaceDE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从地质灾害的两个属性出发，一是限制灾源，根除或削弱灾害体活动能量；二是对承灾体采取防避保护措施。具体应包括：</w:t>
      </w:r>
    </w:p>
    <w:p>
      <w:pPr>
        <w:autoSpaceDE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（1）崩塌、滑坡的防治措施</w:t>
      </w:r>
    </w:p>
    <w:p>
      <w:pPr>
        <w:autoSpaceDE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开挖矿山道路等工程活动产生的高陡边坡，以及区内现有的不稳定边坡，均属潜在崩塌、滑坡易发区段，建议应合理设计确定稳定坡率、及时做好边坡的支挡和削坡工作，搞好防护，以及坡顶、坡面的截水防渗工作，注意减少坡上附加荷载，必要时在坡脚设置挡土墙，以确保边坡稳定，防止边坡失稳产生崩塌、滑坡。其对已经产生或可能产生崩塌、滑坡的地质灾害矿区路段，进行放坡或者设置挡墙，及时清理崩塌、滑坡堆积物。实行巡视观测，发现异常情况迅速报告，采取有效的措施后方可继续采矿活动。</w:t>
      </w:r>
    </w:p>
    <w:p>
      <w:pPr>
        <w:autoSpaceDE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（2）泥石流防治措施</w:t>
      </w:r>
    </w:p>
    <w:p>
      <w:pPr>
        <w:autoSpaceDE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w:t>
      </w:r>
      <w:r>
        <w:rPr>
          <w:rFonts w:hint="eastAsia" w:ascii="Times New Roman" w:hAnsi="Times New Roman" w:eastAsia="宋体" w:cs="Times New Roman"/>
          <w:color w:val="auto"/>
          <w:highlight w:val="none"/>
        </w:rPr>
        <w:t>临时排土场</w:t>
      </w:r>
      <w:r>
        <w:rPr>
          <w:rFonts w:ascii="Times New Roman" w:hAnsi="Times New Roman" w:eastAsia="宋体" w:cs="Times New Roman"/>
          <w:color w:val="auto"/>
          <w:highlight w:val="none"/>
        </w:rPr>
        <w:t>选择汇水面积小地形低洼之处，且避开山洪方向，为防治</w:t>
      </w:r>
      <w:r>
        <w:rPr>
          <w:rFonts w:hint="eastAsia" w:ascii="Times New Roman" w:hAnsi="Times New Roman" w:eastAsia="宋体" w:cs="Times New Roman"/>
          <w:color w:val="auto"/>
          <w:highlight w:val="none"/>
        </w:rPr>
        <w:t>临时排土场</w:t>
      </w:r>
      <w:r>
        <w:rPr>
          <w:rFonts w:ascii="Times New Roman" w:hAnsi="Times New Roman" w:eastAsia="宋体" w:cs="Times New Roman"/>
          <w:color w:val="auto"/>
          <w:highlight w:val="none"/>
        </w:rPr>
        <w:t>可能引发泥石流的情况，在堆积剥离表土时，应首先对环绕</w:t>
      </w:r>
      <w:r>
        <w:rPr>
          <w:rFonts w:hint="eastAsia" w:ascii="Times New Roman" w:hAnsi="Times New Roman" w:eastAsia="宋体" w:cs="Times New Roman"/>
          <w:color w:val="auto"/>
          <w:highlight w:val="none"/>
        </w:rPr>
        <w:t>排</w:t>
      </w:r>
      <w:r>
        <w:rPr>
          <w:rFonts w:ascii="Times New Roman" w:hAnsi="Times New Roman" w:eastAsia="宋体" w:cs="Times New Roman"/>
          <w:color w:val="auto"/>
          <w:highlight w:val="none"/>
        </w:rPr>
        <w:t>土场周围挖掘明沟截留地表水，沟谷中设置排水道或采取渗水措施，保证冲沟内水流畅通，排出沟外。设计合理的排弃参数，排放时要进行压实，在沟口修筑拦砂坝、挡渣墙等拦排工程。</w:t>
      </w:r>
    </w:p>
    <w:p>
      <w:pPr>
        <w:autoSpaceDE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对上游地段造成的植被破坏区应及时进行植被恢复，减少表土流物源和沟道松散堆积物，必要时设置拦砂坝工程，在中下游地区设置护岸工程、导流槽，减少暴雨发生时洪流对沟道的侵蚀，建立废石流预报警报措施，及时监测废石流可能发生的动态信息，以便对可能产生的灾情进行防治。</w:t>
      </w:r>
    </w:p>
    <w:p>
      <w:pPr>
        <w:autoSpaceDE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4、</w:t>
      </w:r>
      <w:r>
        <w:rPr>
          <w:rFonts w:hint="eastAsia" w:ascii="Times New Roman" w:hAnsi="Times New Roman" w:eastAsia="宋体" w:cs="Times New Roman"/>
          <w:color w:val="auto"/>
          <w:highlight w:val="none"/>
        </w:rPr>
        <w:t>排</w:t>
      </w:r>
      <w:r>
        <w:rPr>
          <w:rFonts w:ascii="Times New Roman" w:hAnsi="Times New Roman" w:eastAsia="宋体" w:cs="Times New Roman"/>
          <w:color w:val="auto"/>
          <w:highlight w:val="none"/>
        </w:rPr>
        <w:t>土场风险防范措施</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（1）矿山</w:t>
      </w:r>
      <w:r>
        <w:rPr>
          <w:rFonts w:hint="eastAsia" w:ascii="Times New Roman" w:hAnsi="Times New Roman" w:eastAsia="宋体" w:cs="Times New Roman"/>
          <w:color w:val="auto"/>
          <w:highlight w:val="none"/>
        </w:rPr>
        <w:t>排土场</w:t>
      </w:r>
      <w:r>
        <w:rPr>
          <w:rFonts w:ascii="Times New Roman" w:hAnsi="Times New Roman" w:eastAsia="宋体" w:cs="Times New Roman"/>
          <w:color w:val="auto"/>
          <w:highlight w:val="none"/>
        </w:rPr>
        <w:t>应由有资质的单位进行设计。</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r>
        <w:rPr>
          <w:rFonts w:hint="eastAsia" w:ascii="Times New Roman" w:hAnsi="Times New Roman" w:eastAsia="宋体" w:cs="Times New Roman"/>
          <w:color w:val="auto"/>
          <w:highlight w:val="none"/>
        </w:rPr>
        <w:t>排土场</w:t>
      </w:r>
      <w:r>
        <w:rPr>
          <w:rFonts w:ascii="Times New Roman" w:hAnsi="Times New Roman" w:eastAsia="宋体" w:cs="Times New Roman"/>
          <w:color w:val="auto"/>
          <w:highlight w:val="none"/>
        </w:rPr>
        <w:t>场址选定后，应进行专门的地质勘探工作。</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（3）符合设计要求。</w:t>
      </w:r>
      <w:r>
        <w:rPr>
          <w:rFonts w:hint="eastAsia" w:ascii="Times New Roman" w:hAnsi="Times New Roman" w:eastAsia="宋体" w:cs="Times New Roman"/>
          <w:color w:val="auto"/>
          <w:highlight w:val="none"/>
        </w:rPr>
        <w:t>排土场</w:t>
      </w:r>
      <w:r>
        <w:rPr>
          <w:rFonts w:ascii="Times New Roman" w:hAnsi="Times New Roman" w:eastAsia="宋体" w:cs="Times New Roman"/>
          <w:color w:val="auto"/>
          <w:highlight w:val="none"/>
        </w:rPr>
        <w:t>必须经有资质的单位设计才能建设使用，</w:t>
      </w:r>
      <w:r>
        <w:rPr>
          <w:rFonts w:hint="eastAsia" w:ascii="Times New Roman" w:hAnsi="Times New Roman" w:eastAsia="宋体" w:cs="Times New Roman"/>
          <w:color w:val="auto"/>
          <w:highlight w:val="none"/>
        </w:rPr>
        <w:t>排土场</w:t>
      </w:r>
      <w:r>
        <w:rPr>
          <w:rFonts w:ascii="Times New Roman" w:hAnsi="Times New Roman" w:eastAsia="宋体" w:cs="Times New Roman"/>
          <w:color w:val="auto"/>
          <w:highlight w:val="none"/>
        </w:rPr>
        <w:t>的位置必须保证排弃土岩时不致因大块滚石、滑坡、塌方等威胁工业场地（厂区）、生活区，居民点、道路等设施的安全，其安全距离应在设计中规定。</w:t>
      </w:r>
      <w:r>
        <w:rPr>
          <w:rFonts w:hint="eastAsia" w:ascii="Times New Roman" w:hAnsi="Times New Roman" w:eastAsia="宋体" w:cs="Times New Roman"/>
          <w:color w:val="auto"/>
          <w:highlight w:val="none"/>
        </w:rPr>
        <w:t>排土场</w:t>
      </w:r>
      <w:r>
        <w:rPr>
          <w:rFonts w:ascii="Times New Roman" w:hAnsi="Times New Roman" w:eastAsia="宋体" w:cs="Times New Roman"/>
          <w:color w:val="auto"/>
          <w:highlight w:val="none"/>
        </w:rPr>
        <w:t>的排土工艺、排土顺序、阶段高度、总堆置高度、安全平台宽度、总边坡角以及相邻阶段同时作业超前堆置距离应符合设计规定。未经设计或技术论证，任何单位不得在</w:t>
      </w:r>
      <w:r>
        <w:rPr>
          <w:rFonts w:hint="eastAsia" w:ascii="Times New Roman" w:hAnsi="Times New Roman" w:eastAsia="宋体" w:cs="Times New Roman"/>
          <w:color w:val="auto"/>
          <w:highlight w:val="none"/>
        </w:rPr>
        <w:t>排土场</w:t>
      </w:r>
      <w:r>
        <w:rPr>
          <w:rFonts w:ascii="Times New Roman" w:hAnsi="Times New Roman" w:eastAsia="宋体" w:cs="Times New Roman"/>
          <w:color w:val="auto"/>
          <w:highlight w:val="none"/>
        </w:rPr>
        <w:t>内回采低品位矿石和石材。</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（4）严格排土作业。严格按照设计要求进行排土作业，对</w:t>
      </w:r>
      <w:r>
        <w:rPr>
          <w:rFonts w:hint="eastAsia" w:ascii="Times New Roman" w:hAnsi="Times New Roman" w:eastAsia="宋体" w:cs="Times New Roman"/>
          <w:color w:val="auto"/>
          <w:highlight w:val="none"/>
        </w:rPr>
        <w:t>排土场</w:t>
      </w:r>
      <w:r>
        <w:rPr>
          <w:rFonts w:ascii="Times New Roman" w:hAnsi="Times New Roman" w:eastAsia="宋体" w:cs="Times New Roman"/>
          <w:color w:val="auto"/>
          <w:highlight w:val="none"/>
        </w:rPr>
        <w:t>排土参数、变形、裂缝、底鼓、滑坡等相关情况每周至少进行一次检查，雨季必须每天进行一次巡查，做好记录，并由检查或巡视人员签字，出现异常情况及时向上级单位报告，并采取有效控制和处理措施。</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（5）企业应加强</w:t>
      </w:r>
      <w:r>
        <w:rPr>
          <w:rFonts w:hint="eastAsia" w:ascii="Times New Roman" w:hAnsi="Times New Roman" w:eastAsia="宋体" w:cs="Times New Roman"/>
          <w:color w:val="auto"/>
          <w:highlight w:val="none"/>
        </w:rPr>
        <w:t>排土场</w:t>
      </w:r>
      <w:r>
        <w:rPr>
          <w:rFonts w:ascii="Times New Roman" w:hAnsi="Times New Roman" w:eastAsia="宋体" w:cs="Times New Roman"/>
          <w:color w:val="auto"/>
          <w:highlight w:val="none"/>
        </w:rPr>
        <w:t>管理，圈定危险范围，并设立警戒标志，安排专人看护。</w:t>
      </w:r>
      <w:r>
        <w:rPr>
          <w:rFonts w:hint="eastAsia" w:ascii="Times New Roman" w:hAnsi="Times New Roman" w:eastAsia="宋体" w:cs="Times New Roman"/>
          <w:color w:val="auto"/>
          <w:highlight w:val="none"/>
        </w:rPr>
        <w:t>排土场</w:t>
      </w:r>
      <w:r>
        <w:rPr>
          <w:rFonts w:ascii="Times New Roman" w:hAnsi="Times New Roman" w:eastAsia="宋体" w:cs="Times New Roman"/>
          <w:color w:val="auto"/>
          <w:highlight w:val="none"/>
        </w:rPr>
        <w:t>作业区或</w:t>
      </w:r>
      <w:r>
        <w:rPr>
          <w:rFonts w:hint="eastAsia" w:ascii="Times New Roman" w:hAnsi="Times New Roman" w:eastAsia="宋体" w:cs="Times New Roman"/>
          <w:color w:val="auto"/>
          <w:highlight w:val="none"/>
        </w:rPr>
        <w:t>排土场</w:t>
      </w:r>
      <w:r>
        <w:rPr>
          <w:rFonts w:ascii="Times New Roman" w:hAnsi="Times New Roman" w:eastAsia="宋体" w:cs="Times New Roman"/>
          <w:color w:val="auto"/>
          <w:highlight w:val="none"/>
        </w:rPr>
        <w:t>危险区不得有捡矿石、捡石材和其他活动。</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（6）内部</w:t>
      </w:r>
      <w:r>
        <w:rPr>
          <w:rFonts w:hint="eastAsia" w:ascii="Times New Roman" w:hAnsi="Times New Roman" w:eastAsia="宋体" w:cs="Times New Roman"/>
          <w:color w:val="auto"/>
          <w:highlight w:val="none"/>
        </w:rPr>
        <w:t>排土场</w:t>
      </w:r>
      <w:r>
        <w:rPr>
          <w:rFonts w:ascii="Times New Roman" w:hAnsi="Times New Roman" w:eastAsia="宋体" w:cs="Times New Roman"/>
          <w:color w:val="auto"/>
          <w:highlight w:val="none"/>
        </w:rPr>
        <w:t>不应影响矿山正常开采和边坡稳定。</w:t>
      </w:r>
      <w:r>
        <w:rPr>
          <w:rFonts w:hint="eastAsia" w:ascii="Times New Roman" w:hAnsi="Times New Roman" w:eastAsia="宋体" w:cs="Times New Roman"/>
          <w:color w:val="auto"/>
          <w:highlight w:val="none"/>
        </w:rPr>
        <w:t>排土场</w:t>
      </w:r>
      <w:r>
        <w:rPr>
          <w:rFonts w:ascii="Times New Roman" w:hAnsi="Times New Roman" w:eastAsia="宋体" w:cs="Times New Roman"/>
          <w:color w:val="auto"/>
          <w:highlight w:val="none"/>
        </w:rPr>
        <w:t>坡脚与矿体开采点和其他构筑物之间应有一定的安全距离，必要时应建设滚石或泥石流拦挡设施。</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（7）</w:t>
      </w:r>
      <w:r>
        <w:rPr>
          <w:rFonts w:hint="eastAsia" w:ascii="Times New Roman" w:hAnsi="Times New Roman" w:eastAsia="宋体" w:cs="Times New Roman"/>
          <w:color w:val="auto"/>
          <w:highlight w:val="none"/>
        </w:rPr>
        <w:t>排土场</w:t>
      </w:r>
      <w:r>
        <w:rPr>
          <w:rFonts w:ascii="Times New Roman" w:hAnsi="Times New Roman" w:eastAsia="宋体" w:cs="Times New Roman"/>
          <w:color w:val="auto"/>
          <w:highlight w:val="none"/>
        </w:rPr>
        <w:t>选址时应充分勘察其基底岩层工程地质和水文地质条件，不宜设在工程地质和水文地质不良的地带，如因地基不良影响安全，必须采取有效措施。</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（8）汛期时应做好</w:t>
      </w:r>
      <w:r>
        <w:rPr>
          <w:rFonts w:hint="eastAsia" w:ascii="Times New Roman" w:hAnsi="Times New Roman" w:eastAsia="宋体" w:cs="Times New Roman"/>
          <w:color w:val="auto"/>
          <w:highlight w:val="none"/>
        </w:rPr>
        <w:t>排土场</w:t>
      </w:r>
      <w:r>
        <w:rPr>
          <w:rFonts w:ascii="Times New Roman" w:hAnsi="Times New Roman" w:eastAsia="宋体" w:cs="Times New Roman"/>
          <w:color w:val="auto"/>
          <w:highlight w:val="none"/>
        </w:rPr>
        <w:t>的防汛工作，包括明确防汛安全生产责任制，建立紧急预案，疏浚</w:t>
      </w:r>
      <w:r>
        <w:rPr>
          <w:rFonts w:hint="eastAsia" w:ascii="Times New Roman" w:hAnsi="Times New Roman" w:eastAsia="宋体" w:cs="Times New Roman"/>
          <w:color w:val="auto"/>
          <w:highlight w:val="none"/>
        </w:rPr>
        <w:t>排土场</w:t>
      </w:r>
      <w:r>
        <w:rPr>
          <w:rFonts w:ascii="Times New Roman" w:hAnsi="Times New Roman" w:eastAsia="宋体" w:cs="Times New Roman"/>
          <w:color w:val="auto"/>
          <w:highlight w:val="none"/>
        </w:rPr>
        <w:t>内外的截洪沟，详细检查排洪系统的安全状况，配备足够物资，确保通讯、照明、道路、供电可靠和畅通等。</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（9）加强</w:t>
      </w:r>
      <w:r>
        <w:rPr>
          <w:rFonts w:hint="eastAsia" w:ascii="Times New Roman" w:hAnsi="Times New Roman" w:eastAsia="宋体" w:cs="Times New Roman"/>
          <w:color w:val="auto"/>
          <w:highlight w:val="none"/>
        </w:rPr>
        <w:t>排土场</w:t>
      </w:r>
      <w:r>
        <w:rPr>
          <w:rFonts w:ascii="Times New Roman" w:hAnsi="Times New Roman" w:eastAsia="宋体" w:cs="Times New Roman"/>
          <w:color w:val="auto"/>
          <w:highlight w:val="none"/>
        </w:rPr>
        <w:t>的管理，制定管理制度和措施，包括</w:t>
      </w:r>
      <w:r>
        <w:rPr>
          <w:rFonts w:hint="eastAsia" w:ascii="Times New Roman" w:hAnsi="Times New Roman" w:eastAsia="宋体" w:cs="Times New Roman"/>
          <w:color w:val="auto"/>
          <w:highlight w:val="none"/>
        </w:rPr>
        <w:t>排土场</w:t>
      </w:r>
      <w:r>
        <w:rPr>
          <w:rFonts w:ascii="Times New Roman" w:hAnsi="Times New Roman" w:eastAsia="宋体" w:cs="Times New Roman"/>
          <w:color w:val="auto"/>
          <w:highlight w:val="none"/>
        </w:rPr>
        <w:t>的安全目标管理制度、</w:t>
      </w:r>
      <w:r>
        <w:rPr>
          <w:rFonts w:hint="eastAsia" w:ascii="Times New Roman" w:hAnsi="Times New Roman" w:eastAsia="宋体" w:cs="Times New Roman"/>
          <w:color w:val="auto"/>
          <w:highlight w:val="none"/>
        </w:rPr>
        <w:t>排土场</w:t>
      </w:r>
      <w:r>
        <w:rPr>
          <w:rFonts w:ascii="Times New Roman" w:hAnsi="Times New Roman" w:eastAsia="宋体" w:cs="Times New Roman"/>
          <w:color w:val="auto"/>
          <w:highlight w:val="none"/>
        </w:rPr>
        <w:t>安全生产责任制度、安全生产检查制度、安全技术措施实施计划、</w:t>
      </w:r>
      <w:r>
        <w:rPr>
          <w:rFonts w:hint="eastAsia" w:ascii="Times New Roman" w:hAnsi="Times New Roman" w:eastAsia="宋体" w:cs="Times New Roman"/>
          <w:color w:val="auto"/>
          <w:highlight w:val="none"/>
        </w:rPr>
        <w:t>排土场</w:t>
      </w:r>
      <w:r>
        <w:rPr>
          <w:rFonts w:ascii="Times New Roman" w:hAnsi="Times New Roman" w:eastAsia="宋体" w:cs="Times New Roman"/>
          <w:color w:val="auto"/>
          <w:highlight w:val="none"/>
        </w:rPr>
        <w:t>安全操作及有关安全培训教育制度等。</w:t>
      </w:r>
    </w:p>
    <w:p>
      <w:pPr>
        <w:pStyle w:val="6"/>
        <w:rPr>
          <w:rFonts w:ascii="Times New Roman" w:hAnsi="Times New Roman" w:eastAsia="宋体"/>
          <w:color w:val="auto"/>
          <w:highlight w:val="none"/>
        </w:rPr>
      </w:pPr>
      <w:r>
        <w:rPr>
          <w:rFonts w:ascii="Times New Roman" w:hAnsi="Times New Roman" w:eastAsia="宋体"/>
          <w:color w:val="auto"/>
          <w:highlight w:val="none"/>
        </w:rPr>
        <w:t>4.3.5.2 应急要求</w:t>
      </w:r>
    </w:p>
    <w:p>
      <w:pPr>
        <w:ind w:firstLine="480"/>
        <w:rPr>
          <w:rFonts w:ascii="Times New Roman" w:hAnsi="Times New Roman" w:eastAsia="宋体"/>
          <w:color w:val="auto"/>
          <w:highlight w:val="none"/>
        </w:rPr>
      </w:pPr>
      <w:r>
        <w:rPr>
          <w:rFonts w:ascii="Times New Roman" w:hAnsi="Times New Roman" w:eastAsia="宋体"/>
          <w:color w:val="auto"/>
          <w:highlight w:val="none"/>
        </w:rPr>
        <w:t>为有效应对突发环境污染事件，提高应对突发环境污染事件的能力，将突发环境污染事件对人员、财产和环境造成的损失降至最小程度，最大限度地保障人民群众的生命财产安全、环境安全，维护社会稳定。应该制订《突发环境事件应急预案》。</w:t>
      </w:r>
    </w:p>
    <w:p>
      <w:pPr>
        <w:autoSpaceDE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1、组织机构和职责</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（1）采场应成立“应急预案领导小组”，负责处理重大安全生产事故应急救援抢险工作。应急预案领导小组由组长、副组长及三名成员组成。</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（2）应急预案领导小组下设“应急办公室”，办公地点在采石场办公室。应急办公室由主任、安全员、保卫员、财务等组成。应急救援办公室主要职责：</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①负责处理应急救援办公室日常工作，包括重大应急救援的备案及有关文件、资料管理，应急预案知识宣传教育，定期召开有关会议和预案演练。</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②负责应急预案救援队伍的建设，应急预案救援设备、器材、物资配备的落实和监督管理。</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③一旦重大事故或险情发生，迅速了解、收集、汇总事故或险情有关情况，及时向应急指挥部提供信息和资料，</w:t>
      </w:r>
      <w:r>
        <w:rPr>
          <w:rFonts w:ascii="Times New Roman" w:hAnsi="Times New Roman" w:eastAsia="宋体" w:cs="Times New Roman"/>
          <w:color w:val="auto"/>
          <w:highlight w:val="none"/>
          <w:u w:val="single"/>
        </w:rPr>
        <w:t>及时向</w:t>
      </w:r>
      <w:r>
        <w:rPr>
          <w:rFonts w:hint="eastAsia" w:cs="Times New Roman"/>
          <w:color w:val="auto"/>
          <w:highlight w:val="none"/>
          <w:u w:val="single"/>
          <w:lang w:val="en-US" w:eastAsia="zh-CN"/>
        </w:rPr>
        <w:t>相关部门</w:t>
      </w:r>
      <w:r>
        <w:rPr>
          <w:rFonts w:ascii="Times New Roman" w:hAnsi="Times New Roman" w:eastAsia="宋体" w:cs="Times New Roman"/>
          <w:color w:val="auto"/>
          <w:highlight w:val="none"/>
          <w:u w:val="single"/>
        </w:rPr>
        <w:t>汇报。</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④及时了解事故人员伤亡及财产损失情况，了解、汇总应急救援工作，出动抢险、救护人员，设备、抢险器材、物资供给情况，以及新闻报道情况。</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（3）成立重大事故救援现场指挥部，成员如下：</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总指挥：矿长</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副总指挥：分管安全生产的副矿长</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成员：由“应急办”的成员担任</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应急现场指挥部的责任是：</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①根据事故性质、危害程度、组织、指挥、调度应经救援队伍，包括抢险、医疗救护、现场秩序、环境保护、后勤保障、事故调查、善后处理等。</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②及时向洛满镇人民政府、安监局、公安局、消防大队、卫生局等单位求援，共同研究抢险救援具体事项。</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2、应急处理程序</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当发现事故险情时，现场人员或单位负责人应立即想采石场“应急办”报告，并积极采取抢救措施，控制事故发生蔓延，组织危险区域人员有序撤离。</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报告内容包括：</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（1）事故险情发生的时间、地点、单位场所；</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（2）事故险情的经过或险情的危险程度；</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（3）可能的事故原因或险情可能造成的后果；</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（4）伤亡情况及经济损失估计；</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（5）已采取的措施及事故、险情控制情况。</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确认是重大事故后，应急领导小组立即启动应急响应程序。</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根据事故类别、性质、严重程度及涉及的范围，应急领导小组立即成立现场指挥部，成立现场、医疗救护、现场秩序、善后处理、事故调查等工作组，并迅速赶赴现场指挥。</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事故发生单位的领导应积极与现场指挥部配合，提供详细相关资料，报请当地政府，请求支援。</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现场指挥部根据现场情况，按事故应急救援预案，统一协调、指挥，做好人员抢救、工程抢险、医疗救护等的应急救援工作。</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事故处理完毕后，由应急办总结应急处理工作的经验和教训，并将总结材料报采场。同时对参加应急救援有功的单位和个人给予表彰和奖励。</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3、应急预案</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（1）崩塌、滑坡等事故应急预案</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①场区内一旦发生发生崩塌、滑坡等事故，事故现场有关人员应第一时间报告应急小组负责人，由应急小组负责人立即启动应急预案。同时，及时向安全生产监督管理部门和有关地方人民政府报告进行汇报，不得隐瞒不报、谎报或者拖延不报，不得故意破坏事故现场、毁灭有关证据。</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②事故现场如有人员受伤较为严重的，应及时向急救中心汇报，以便急救中心出动足够的救护车辆、救护人员，并安排人员迅速赶到路口等候急救车辆，指引救护人员快速到达现场。如事故现场出现多位重伤人员的情况，应立即做好紧急救护准备（包括急救人员、物资、药品等），急救按照先重后轻的原则治疗；经现场治理后，迅速护送至医院救治。如人员受伤较轻的，可在场内直接医治。</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③应急小组对事故现场无关工作人员进行有秩序的紧急疏散和撤离，所有被疏散人员均应沿着矿山道路迅速撤至矿区办公室等远离采区的避难场所；同时对事故现场进行封锁，设立明显警示标志，禁止一切车辆和无关人员进入警戒区停止操作。</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④应急小组应根据事故的类型和大小确定是否向社会专业抢险队伍请求救助。应急小组应尽快实施导流、拦挡、挖找等作业进行应急救援和应急处置，防止事故扩大化。所有进入事故现场实施抢险、救援的工作人员，在进入现场前必须佩戴个人防护装备。当发生的坍塌、滑坡的事故规模较大时，应及时请求政府部门进行协助，由技术专家进行指导。同时向矿区附近的</w:t>
      </w:r>
      <w:r>
        <w:rPr>
          <w:rFonts w:hint="eastAsia" w:ascii="Times New Roman" w:hAnsi="Times New Roman" w:eastAsia="宋体" w:cs="Times New Roman"/>
          <w:color w:val="auto"/>
          <w:highlight w:val="none"/>
        </w:rPr>
        <w:t>东恒屯</w:t>
      </w:r>
      <w:r>
        <w:rPr>
          <w:rFonts w:ascii="Times New Roman" w:hAnsi="Times New Roman" w:eastAsia="宋体" w:cs="Times New Roman"/>
          <w:color w:val="auto"/>
          <w:highlight w:val="none"/>
        </w:rPr>
        <w:t>等周围村屯的居民进行求救，以获得足够的支援。</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⑤在事故得到有效控制后，应急预案结束。做好事故记录，为进一步处理事故的后期工作提供资料，同时认真科学的做出总结，完善预案的不足和缺陷，为今后预案的建立、制订提供经验和完善的依据。</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（2）</w:t>
      </w:r>
      <w:r>
        <w:rPr>
          <w:rFonts w:ascii="Times New Roman" w:hAnsi="Times New Roman" w:eastAsia="宋体" w:cs="Times New Roman"/>
          <w:color w:val="auto"/>
          <w:highlight w:val="none"/>
        </w:rPr>
        <w:t xml:space="preserve">柴油储存风险应急预案    </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①一旦发现</w:t>
      </w:r>
      <w:r>
        <w:rPr>
          <w:rFonts w:hint="eastAsia" w:cs="Times New Roman"/>
          <w:color w:val="auto"/>
          <w:highlight w:val="none"/>
          <w:u w:val="single"/>
          <w:lang w:val="en-US" w:eastAsia="zh-CN"/>
        </w:rPr>
        <w:t>柴油</w:t>
      </w:r>
      <w:r>
        <w:rPr>
          <w:rFonts w:ascii="Times New Roman" w:hAnsi="Times New Roman" w:eastAsia="宋体" w:cs="Times New Roman"/>
          <w:color w:val="auto"/>
          <w:highlight w:val="none"/>
          <w:u w:val="single"/>
        </w:rPr>
        <w:t>储</w:t>
      </w:r>
      <w:r>
        <w:rPr>
          <w:rFonts w:hint="eastAsia" w:cs="Times New Roman"/>
          <w:color w:val="auto"/>
          <w:highlight w:val="none"/>
          <w:u w:val="single"/>
          <w:lang w:val="en-US" w:eastAsia="zh-CN"/>
        </w:rPr>
        <w:t>罐</w:t>
      </w:r>
      <w:r>
        <w:rPr>
          <w:rFonts w:ascii="Times New Roman" w:hAnsi="Times New Roman" w:eastAsia="宋体" w:cs="Times New Roman"/>
          <w:color w:val="auto"/>
          <w:highlight w:val="none"/>
        </w:rPr>
        <w:t>泄漏、火灾事故，事故现场有关人员应立即通知矿区负责人，由</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负责人决定立即启动应急预案。并及时将有关情况上报安全生产监督管理部门和有关地方人民政府报告。</w:t>
      </w:r>
    </w:p>
    <w:p>
      <w:pPr>
        <w:ind w:firstLine="480"/>
        <w:rPr>
          <w:rFonts w:ascii="Times New Roman" w:hAnsi="Times New Roman" w:eastAsia="宋体"/>
          <w:color w:val="auto"/>
          <w:highlight w:val="none"/>
        </w:rPr>
      </w:pPr>
      <w:r>
        <w:rPr>
          <w:rFonts w:hint="eastAsia" w:ascii="Times New Roman" w:hAnsi="Times New Roman" w:eastAsia="宋体" w:cs="Times New Roman"/>
          <w:color w:val="auto"/>
          <w:highlight w:val="none"/>
        </w:rPr>
        <w:t>②发生柴油泄露时，要</w:t>
      </w:r>
      <w:r>
        <w:rPr>
          <w:rFonts w:ascii="Times New Roman" w:hAnsi="Times New Roman" w:eastAsia="宋体"/>
          <w:color w:val="auto"/>
          <w:highlight w:val="none"/>
        </w:rPr>
        <w:t>消除所有点火源。根据液体流动和蒸汽扩散的影响区域划定警戒区，无关人员从侧风、上风向撤离至安全区。建议应急处理人员戴正压自给式呼吸器，穿防毒、防静电服，戴橡胶耐手套。作业时使用的所有设备应接地、禁止接触或跨越泄漏物。尽可能切断泄漏源</w:t>
      </w:r>
    </w:p>
    <w:p>
      <w:pPr>
        <w:ind w:firstLine="480"/>
        <w:rPr>
          <w:rFonts w:ascii="Times New Roman" w:hAnsi="Times New Roman" w:eastAsia="宋体"/>
          <w:color w:val="auto"/>
          <w:highlight w:val="none"/>
        </w:rPr>
      </w:pPr>
      <w:r>
        <w:rPr>
          <w:rFonts w:ascii="Times New Roman" w:hAnsi="Times New Roman" w:eastAsia="宋体"/>
          <w:color w:val="auto"/>
          <w:highlight w:val="none"/>
        </w:rPr>
        <w:t>小量泄漏：用砂土或其它不燃材料吸收。用清净的无火花工具收集吸收材料。</w:t>
      </w:r>
    </w:p>
    <w:p>
      <w:pPr>
        <w:ind w:firstLine="480"/>
        <w:rPr>
          <w:rFonts w:ascii="Times New Roman" w:hAnsi="Times New Roman" w:eastAsia="宋体" w:cs="Times New Roman"/>
          <w:color w:val="auto"/>
          <w:highlight w:val="none"/>
        </w:rPr>
      </w:pPr>
      <w:r>
        <w:rPr>
          <w:rFonts w:ascii="Times New Roman" w:hAnsi="Times New Roman" w:eastAsia="宋体"/>
          <w:color w:val="auto"/>
          <w:highlight w:val="none"/>
        </w:rPr>
        <w:t>大量泄漏：构筑围堤或挖坑收容。用泡沫覆盖，减少蒸发。喷水雾能减少蒸发，但不能降低泄漏物在限制性空间内的易燃性。用防爆泵转移至槽车或专用收集器内。</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③如发现火情应立即组织自救。立即在警戒区内停电、停火，灭绝一切可能引发火灾和爆炸的火种，尽量关闭</w:t>
      </w:r>
      <w:r>
        <w:rPr>
          <w:rFonts w:ascii="Times New Roman" w:hAnsi="Times New Roman" w:eastAsia="宋体" w:cs="Times New Roman"/>
          <w:color w:val="auto"/>
          <w:highlight w:val="none"/>
          <w:u w:val="single"/>
        </w:rPr>
        <w:t>储</w:t>
      </w:r>
      <w:r>
        <w:rPr>
          <w:rFonts w:hint="eastAsia" w:cs="Times New Roman"/>
          <w:color w:val="auto"/>
          <w:highlight w:val="none"/>
          <w:u w:val="single"/>
          <w:lang w:val="en-US" w:eastAsia="zh-CN"/>
        </w:rPr>
        <w:t>罐</w:t>
      </w:r>
      <w:r>
        <w:rPr>
          <w:rFonts w:ascii="Times New Roman" w:hAnsi="Times New Roman" w:eastAsia="宋体" w:cs="Times New Roman"/>
          <w:color w:val="auto"/>
          <w:highlight w:val="none"/>
        </w:rPr>
        <w:t>阀门，制止泄漏。立即使用消防器材扑救，向火区喷射灭火剂，阻断空气与火苗继续接触，同时组织足够的力量将火势控制在一定范围内，用射流水冷却着</w:t>
      </w:r>
      <w:r>
        <w:rPr>
          <w:rFonts w:ascii="Times New Roman" w:hAnsi="Times New Roman" w:eastAsia="宋体" w:cs="Times New Roman"/>
          <w:color w:val="auto"/>
          <w:highlight w:val="none"/>
          <w:u w:val="single"/>
        </w:rPr>
        <w:t>储</w:t>
      </w:r>
      <w:r>
        <w:rPr>
          <w:rFonts w:hint="eastAsia" w:cs="Times New Roman"/>
          <w:color w:val="auto"/>
          <w:highlight w:val="none"/>
          <w:u w:val="single"/>
          <w:lang w:val="en-US" w:eastAsia="zh-CN"/>
        </w:rPr>
        <w:t>罐</w:t>
      </w:r>
      <w:r>
        <w:rPr>
          <w:rFonts w:ascii="Times New Roman" w:hAnsi="Times New Roman" w:eastAsia="宋体" w:cs="Times New Roman"/>
          <w:color w:val="auto"/>
          <w:highlight w:val="none"/>
        </w:rPr>
        <w:t>，同时监视火势蔓延情况。扑救时要采取严密措施，搞好个人防护，要选择好地形地物掩蔽身体，确保人员的安全，无法控制火势时，迅速撤离现场，第一时间拔打119报警，由119火警到来做进一步安全处置，并等候、引导消防车进场灭火。同时，封锁现场，设立明显警示标志，禁止一切车辆和无关人员进入警戒区停止操作。立即疏散附近人员并封锁现场，设立明显警示标志，禁止一切车辆和无关人员进入警戒区。</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④</w:t>
      </w:r>
      <w:r>
        <w:rPr>
          <w:rFonts w:ascii="Times New Roman" w:hAnsi="Times New Roman" w:eastAsia="宋体" w:cs="Times New Roman"/>
          <w:color w:val="auto"/>
          <w:highlight w:val="none"/>
        </w:rPr>
        <w:t>如泄漏未引起火灾，立即在警戒区内停电、停火，灭绝一切可能引发火灾和爆炸的火种，进入作业的人员必须穿戴防静电隔热服、手套、袜子、不带钉子的鞋子，佩戴空气呼吸器或全防型滤毒罐、简易滤毒罐、面罩或口罩等，使用无火花处置工具，作业时设备应确保接地。如确认</w:t>
      </w:r>
      <w:r>
        <w:rPr>
          <w:rFonts w:hint="eastAsia" w:cs="Times New Roman"/>
          <w:color w:val="auto"/>
          <w:highlight w:val="none"/>
          <w:u w:val="single"/>
          <w:lang w:val="en-US" w:eastAsia="zh-CN"/>
        </w:rPr>
        <w:t>柴油储罐</w:t>
      </w:r>
      <w:r>
        <w:rPr>
          <w:rFonts w:ascii="Times New Roman" w:hAnsi="Times New Roman" w:eastAsia="宋体" w:cs="Times New Roman"/>
          <w:color w:val="auto"/>
          <w:highlight w:val="none"/>
        </w:rPr>
        <w:t>泄漏小、无火灾和爆炸危险时可用不能产生静电的棉纱、毛巾对</w:t>
      </w:r>
      <w:r>
        <w:rPr>
          <w:rFonts w:ascii="Times New Roman" w:hAnsi="Times New Roman" w:eastAsia="宋体" w:cs="Times New Roman"/>
          <w:color w:val="auto"/>
          <w:highlight w:val="none"/>
          <w:u w:val="single"/>
        </w:rPr>
        <w:t>储</w:t>
      </w:r>
      <w:r>
        <w:rPr>
          <w:rFonts w:hint="eastAsia" w:cs="Times New Roman"/>
          <w:color w:val="auto"/>
          <w:highlight w:val="none"/>
          <w:u w:val="single"/>
          <w:lang w:val="en-US" w:eastAsia="zh-CN"/>
        </w:rPr>
        <w:t>罐</w:t>
      </w:r>
      <w:r>
        <w:rPr>
          <w:rFonts w:ascii="Times New Roman" w:hAnsi="Times New Roman" w:eastAsia="宋体" w:cs="Times New Roman"/>
          <w:color w:val="auto"/>
          <w:highlight w:val="none"/>
        </w:rPr>
        <w:t>泄漏点进行堵塞，对少量已泄漏于地面的油品可用不能产生静电的棉纱、毛巾、沙子、焦炭等进行吸附收集。</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⑤</w:t>
      </w:r>
      <w:r>
        <w:rPr>
          <w:rFonts w:ascii="Times New Roman" w:hAnsi="Times New Roman" w:eastAsia="宋体" w:cs="Times New Roman"/>
          <w:color w:val="auto"/>
          <w:highlight w:val="none"/>
        </w:rPr>
        <w:t>在事故得到有效控制后，应急预案结束。做好事故记录，为进一步处理事故的后期工作提供资料，同时认真科学的做出总结，完善预案的不足和缺陷，为今后预案的建立、制订提供经验和完善的依据。</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（3）爆炸风险应急预案</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①事故最早发现者如果认为事故可以控制，并能保证人身安全，可在自愿的基础上主动投入抢险工作，在第一时间抢救伤员。如果认为不可能控制，立即撤离现场并向应急领导小组组长报告，不得采取不必要的冒险措施。</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②应急小组接到报警后，并向矿应急救援指挥部报告，通知指挥部成员及预案有关人员迅速赶往事故现场。</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③达到事故现场后，首先查明现场有继续爆炸危险和有无伤害人员，以最快速度将伤者脱离现场，严重者尽快送医院抢救。</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④指挥部成员达到事故现场后，根据事故状态及危害程度做出相应的应急决定，依据具体情况只会各应急救援队立即开展救援并决定是否需要扩大救援。</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⑤事故波及到附近作业人员安全时，立即采取措施，通知受威胁区的人员，立即向安全地带转移。</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⑥医疗人员达到现场，应立即就会伤员或中毒人员，对中毒人员应根据中毒症状及时采取相应的急救措施，对伤员进行清洗包扎或输氧急救，重伤员及时送往医院救治。</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⑦在事故得到有效控制后，应急预案结束。做好事故记录，为进一步处理事故的后期工作提供资料，同时认真科学的做出总结，完善预案的不足和缺陷，为今后预案的建立、制订提供经验和完善的依据。</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（4）</w:t>
      </w:r>
      <w:r>
        <w:rPr>
          <w:rFonts w:hint="eastAsia" w:ascii="Times New Roman" w:hAnsi="Times New Roman" w:eastAsia="宋体" w:cs="Times New Roman"/>
          <w:color w:val="auto"/>
          <w:highlight w:val="none"/>
        </w:rPr>
        <w:t>排土场</w:t>
      </w:r>
      <w:r>
        <w:rPr>
          <w:rFonts w:ascii="Times New Roman" w:hAnsi="Times New Roman" w:eastAsia="宋体" w:cs="Times New Roman"/>
          <w:color w:val="auto"/>
          <w:highlight w:val="none"/>
        </w:rPr>
        <w:t>事故应急预案</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如果</w:t>
      </w:r>
      <w:r>
        <w:rPr>
          <w:rFonts w:hint="eastAsia" w:ascii="Times New Roman" w:hAnsi="Times New Roman" w:eastAsia="宋体" w:cs="Times New Roman"/>
          <w:color w:val="auto"/>
          <w:highlight w:val="none"/>
        </w:rPr>
        <w:t>排土场</w:t>
      </w:r>
      <w:r>
        <w:rPr>
          <w:rFonts w:ascii="Times New Roman" w:hAnsi="Times New Roman" w:eastAsia="宋体" w:cs="Times New Roman"/>
          <w:color w:val="auto"/>
          <w:highlight w:val="none"/>
        </w:rPr>
        <w:t>拦渣墙垮塌，其应急防范措施：</w:t>
      </w:r>
    </w:p>
    <w:p>
      <w:pPr>
        <w:pStyle w:val="128"/>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①</w:t>
      </w:r>
      <w:r>
        <w:rPr>
          <w:rFonts w:ascii="Times New Roman" w:hAnsi="Times New Roman" w:eastAsia="宋体" w:cs="Times New Roman"/>
          <w:color w:val="auto"/>
          <w:highlight w:val="none"/>
        </w:rPr>
        <w:t>立即通知矿山领导及工作人员，停止排土作业；</w:t>
      </w:r>
    </w:p>
    <w:p>
      <w:pPr>
        <w:ind w:firstLine="480"/>
        <w:rPr>
          <w:rFonts w:ascii="Times New Roman" w:hAnsi="Times New Roman" w:eastAsia="宋体"/>
          <w:color w:val="auto"/>
          <w:highlight w:val="none"/>
        </w:rPr>
      </w:pPr>
      <w:r>
        <w:rPr>
          <w:rFonts w:ascii="Times New Roman" w:hAnsi="Times New Roman" w:eastAsia="宋体"/>
          <w:color w:val="auto"/>
          <w:highlight w:val="none"/>
        </w:rPr>
        <w:t>②启动应急预案，组织应急救援队员迅速带上铁铲等工具和编织袋前往事故现场抢险补决。如果险情无法排除，必须及时通知地方人民政府和安监、环保等主管部门；</w:t>
      </w:r>
    </w:p>
    <w:p>
      <w:pPr>
        <w:ind w:firstLine="480"/>
        <w:rPr>
          <w:rFonts w:ascii="Times New Roman" w:hAnsi="Times New Roman" w:eastAsia="宋体"/>
          <w:color w:val="auto"/>
          <w:highlight w:val="none"/>
        </w:rPr>
      </w:pPr>
      <w:r>
        <w:rPr>
          <w:rFonts w:ascii="Times New Roman" w:hAnsi="Times New Roman" w:eastAsia="宋体"/>
          <w:color w:val="auto"/>
          <w:highlight w:val="none"/>
        </w:rPr>
        <w:t>③立即组织3~5人沿</w:t>
      </w:r>
      <w:r>
        <w:rPr>
          <w:rFonts w:hint="eastAsia" w:ascii="Times New Roman" w:hAnsi="Times New Roman" w:eastAsia="宋体"/>
          <w:color w:val="auto"/>
          <w:highlight w:val="none"/>
        </w:rPr>
        <w:t>排土场</w:t>
      </w:r>
      <w:r>
        <w:rPr>
          <w:rFonts w:ascii="Times New Roman" w:hAnsi="Times New Roman" w:eastAsia="宋体"/>
          <w:color w:val="auto"/>
          <w:highlight w:val="none"/>
        </w:rPr>
        <w:t>下游的沟谷、荒地、田地等进行搜查和通知，如有村民耕作则通知他们立即撤离危险区；</w:t>
      </w:r>
    </w:p>
    <w:p>
      <w:pPr>
        <w:ind w:firstLine="480"/>
        <w:rPr>
          <w:rFonts w:ascii="Times New Roman" w:hAnsi="Times New Roman" w:eastAsia="宋体"/>
          <w:color w:val="auto"/>
          <w:highlight w:val="none"/>
        </w:rPr>
      </w:pPr>
      <w:r>
        <w:rPr>
          <w:rFonts w:ascii="Times New Roman" w:hAnsi="Times New Roman" w:eastAsia="宋体"/>
          <w:color w:val="auto"/>
          <w:highlight w:val="none"/>
        </w:rPr>
        <w:t>④配合上级救援队做好事故处置工作，配合安监、环保、国土部门派专业人员现场处置工作；</w:t>
      </w:r>
    </w:p>
    <w:p>
      <w:pPr>
        <w:ind w:firstLine="480"/>
        <w:rPr>
          <w:rFonts w:ascii="Times New Roman" w:hAnsi="Times New Roman" w:eastAsia="宋体"/>
          <w:color w:val="auto"/>
          <w:highlight w:val="none"/>
        </w:rPr>
      </w:pPr>
      <w:r>
        <w:rPr>
          <w:rFonts w:ascii="Times New Roman" w:hAnsi="Times New Roman" w:eastAsia="宋体"/>
          <w:color w:val="auto"/>
          <w:highlight w:val="none"/>
        </w:rPr>
        <w:t>⑤现场应急救援指挥部组织安全技术人员、环境专家等成立事故现场检测、鉴定与评估小组，综合分析和评价检测数据，查找事故原因，评估事故发展趋势，预测事故后果，为指挥部门提供决策依据，而制订现场抢救方案和事故调查提供参考。检测与评估报告要及时上报。</w:t>
      </w:r>
    </w:p>
    <w:p>
      <w:pPr>
        <w:ind w:firstLine="480"/>
        <w:rPr>
          <w:rFonts w:ascii="Times New Roman" w:hAnsi="Times New Roman" w:eastAsia="宋体"/>
          <w:color w:val="auto"/>
          <w:highlight w:val="none"/>
        </w:rPr>
      </w:pPr>
      <w:r>
        <w:rPr>
          <w:rFonts w:ascii="Times New Roman" w:hAnsi="Times New Roman" w:eastAsia="宋体"/>
          <w:color w:val="auto"/>
          <w:highlight w:val="none"/>
        </w:rPr>
        <w:t>⑥根据有关部门对灾害进行调查统计，核实所造成的损失，以便进行赔偿；同时找出垮塌的原因，提出改正措施。</w:t>
      </w:r>
    </w:p>
    <w:p>
      <w:pPr>
        <w:ind w:firstLine="480"/>
        <w:rPr>
          <w:rFonts w:ascii="Times New Roman" w:hAnsi="Times New Roman" w:eastAsia="宋体"/>
          <w:color w:val="auto"/>
          <w:highlight w:val="none"/>
        </w:rPr>
      </w:pPr>
      <w:r>
        <w:rPr>
          <w:rFonts w:ascii="Times New Roman" w:hAnsi="Times New Roman" w:eastAsia="宋体"/>
          <w:color w:val="auto"/>
          <w:highlight w:val="none"/>
        </w:rPr>
        <w:t>⑦</w:t>
      </w:r>
      <w:r>
        <w:rPr>
          <w:rFonts w:ascii="Times New Roman" w:hAnsi="Times New Roman" w:eastAsia="宋体"/>
          <w:color w:val="auto"/>
          <w:highlight w:val="none"/>
          <w:u w:val="single"/>
        </w:rPr>
        <w:t>应急预案结束与否必须经</w:t>
      </w:r>
      <w:r>
        <w:rPr>
          <w:rFonts w:hint="eastAsia"/>
          <w:color w:val="auto"/>
          <w:highlight w:val="none"/>
          <w:u w:val="single"/>
          <w:lang w:val="en-US" w:eastAsia="zh-CN"/>
        </w:rPr>
        <w:t>三江</w:t>
      </w:r>
      <w:r>
        <w:rPr>
          <w:rFonts w:ascii="Times New Roman" w:hAnsi="Times New Roman" w:eastAsia="宋体"/>
          <w:color w:val="auto"/>
          <w:highlight w:val="none"/>
          <w:u w:val="single"/>
        </w:rPr>
        <w:t>县人民政府现场应急救援指挥部进行环境监测和安全评估，确认事故隐患得到消除、环境污染得到控制并符合当地的环境区划要求，此时，现场应急处置工作方可结束，应急救援队撤离现场。由值班领导宣布应急结束。</w:t>
      </w:r>
    </w:p>
    <w:p>
      <w:pPr>
        <w:pStyle w:val="5"/>
        <w:rPr>
          <w:rFonts w:ascii="Times New Roman" w:hAnsi="Times New Roman" w:eastAsia="宋体"/>
          <w:color w:val="auto"/>
          <w:highlight w:val="none"/>
        </w:rPr>
      </w:pPr>
      <w:r>
        <w:rPr>
          <w:rFonts w:ascii="Times New Roman" w:hAnsi="Times New Roman" w:eastAsia="宋体"/>
          <w:color w:val="auto"/>
          <w:highlight w:val="none"/>
        </w:rPr>
        <w:t>4.3.6 分析结论</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本项目所涉及的危险物质为柴油和</w:t>
      </w:r>
      <w:r>
        <w:rPr>
          <w:rFonts w:hint="eastAsia" w:ascii="Times New Roman" w:hAnsi="Times New Roman" w:eastAsia="宋体" w:cs="Times New Roman"/>
          <w:color w:val="auto"/>
          <w:highlight w:val="none"/>
        </w:rPr>
        <w:t>乳化炸药</w:t>
      </w:r>
      <w:r>
        <w:rPr>
          <w:rFonts w:ascii="Times New Roman" w:hAnsi="Times New Roman" w:eastAsia="宋体" w:cs="Times New Roman"/>
          <w:color w:val="auto"/>
          <w:highlight w:val="none"/>
        </w:rPr>
        <w:t>（主要成分</w:t>
      </w:r>
      <w:r>
        <w:rPr>
          <w:rFonts w:hint="eastAsia" w:ascii="Times New Roman" w:hAnsi="Times New Roman" w:eastAsia="宋体" w:cs="Times New Roman"/>
          <w:color w:val="auto"/>
          <w:highlight w:val="none"/>
        </w:rPr>
        <w:t>为</w:t>
      </w:r>
      <w:r>
        <w:rPr>
          <w:rFonts w:ascii="Times New Roman" w:hAnsi="Times New Roman" w:eastAsia="宋体" w:cs="Times New Roman"/>
          <w:color w:val="auto"/>
          <w:highlight w:val="none"/>
        </w:rPr>
        <w:t>硝酸铵），柴油罐堆放在矿区北侧，</w:t>
      </w:r>
      <w:r>
        <w:rPr>
          <w:rFonts w:hint="eastAsia" w:ascii="Times New Roman" w:hAnsi="Times New Roman" w:eastAsia="宋体" w:cs="Times New Roman"/>
          <w:color w:val="auto"/>
          <w:highlight w:val="none"/>
        </w:rPr>
        <w:t>乳化炸药</w:t>
      </w:r>
      <w:r>
        <w:rPr>
          <w:rFonts w:ascii="Times New Roman" w:hAnsi="Times New Roman" w:eastAsia="宋体" w:cs="Times New Roman"/>
          <w:color w:val="auto"/>
          <w:highlight w:val="none"/>
        </w:rPr>
        <w:t>由民爆管理公司按需要量当天运送、当天使用，不在场区内储存炸药。经计算，</w:t>
      </w:r>
      <w:r>
        <w:rPr>
          <w:rFonts w:ascii="Times New Roman" w:hAnsi="Times New Roman" w:eastAsia="宋体" w:cs="Times New Roman"/>
          <w:color w:val="auto"/>
          <w:highlight w:val="none"/>
          <w:shd w:val="clear" w:color="auto" w:fill="FFFFFF"/>
        </w:rPr>
        <w:t>项目环境风险潜势为</w:t>
      </w:r>
      <w:r>
        <w:rPr>
          <w:rFonts w:ascii="Times New Roman" w:hAnsi="Times New Roman" w:eastAsia="宋体" w:cs="Times New Roman"/>
          <w:color w:val="auto"/>
          <w:highlight w:val="none"/>
        </w:rPr>
        <w:t>Ⅰ，项目危险因素为</w:t>
      </w:r>
      <w:r>
        <w:rPr>
          <w:rFonts w:hint="eastAsia" w:ascii="Times New Roman" w:hAnsi="Times New Roman" w:eastAsia="宋体" w:cs="Times New Roman"/>
          <w:color w:val="auto"/>
          <w:highlight w:val="none"/>
        </w:rPr>
        <w:t>排土场</w:t>
      </w:r>
      <w:r>
        <w:rPr>
          <w:rFonts w:ascii="Times New Roman" w:hAnsi="Times New Roman" w:eastAsia="宋体" w:cs="Times New Roman"/>
          <w:color w:val="auto"/>
          <w:highlight w:val="none"/>
        </w:rPr>
        <w:t>产生泥石流、采空区引起滑坡、崩塌等地质灾害、除开采过程外炸药运输、装药等发生爆炸的可能性、柴油燃烧发生火灾和爆炸事故。</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拟采取的风险防范措施、风险应急预案等基本能满足本项目环境风险防范的要求。通过制定并严格执行风险防范措施及应急预案，在日常生产中加强安全风险管理，项目的环境风险在可接受的程度和范围内。项目环境风险简单分析内容见下表4.3-5。</w:t>
      </w:r>
    </w:p>
    <w:p>
      <w:pPr>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表4.3-5   建设项目环境风险简单分析内容表</w:t>
      </w:r>
    </w:p>
    <w:tbl>
      <w:tblPr>
        <w:tblStyle w:val="48"/>
        <w:tblW w:w="907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63"/>
        <w:gridCol w:w="1418"/>
        <w:gridCol w:w="1350"/>
        <w:gridCol w:w="1256"/>
        <w:gridCol w:w="1331"/>
        <w:gridCol w:w="11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56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建设项目名称</w:t>
            </w:r>
          </w:p>
        </w:tc>
        <w:tc>
          <w:tcPr>
            <w:tcW w:w="6508" w:type="dxa"/>
            <w:gridSpan w:val="5"/>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三江侗族自治县宏源采石场硅质岩矿年开采加工50万吨砂石料项目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56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建设地点</w:t>
            </w:r>
          </w:p>
        </w:tc>
        <w:tc>
          <w:tcPr>
            <w:tcW w:w="141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（广西）省</w:t>
            </w:r>
          </w:p>
        </w:tc>
        <w:tc>
          <w:tcPr>
            <w:tcW w:w="13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（柳州）市</w:t>
            </w:r>
          </w:p>
        </w:tc>
        <w:tc>
          <w:tcPr>
            <w:tcW w:w="125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（）区</w:t>
            </w:r>
          </w:p>
        </w:tc>
        <w:tc>
          <w:tcPr>
            <w:tcW w:w="133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三江</w:t>
            </w:r>
            <w:r>
              <w:rPr>
                <w:rFonts w:ascii="Times New Roman" w:hAnsi="Times New Roman" w:eastAsia="宋体" w:cs="Times New Roman"/>
                <w:color w:val="auto"/>
                <w:sz w:val="21"/>
                <w:highlight w:val="none"/>
              </w:rPr>
              <w:t>）县</w:t>
            </w:r>
          </w:p>
        </w:tc>
        <w:tc>
          <w:tcPr>
            <w:tcW w:w="115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56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地理坐标</w:t>
            </w:r>
          </w:p>
        </w:tc>
        <w:tc>
          <w:tcPr>
            <w:tcW w:w="1418"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经度</w:t>
            </w:r>
          </w:p>
        </w:tc>
        <w:tc>
          <w:tcPr>
            <w:tcW w:w="135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109.704875</w:t>
            </w:r>
            <w:r>
              <w:rPr>
                <w:rFonts w:ascii="Times New Roman" w:hAnsi="Times New Roman" w:eastAsia="宋体" w:cs="Times New Roman"/>
                <w:color w:val="auto"/>
                <w:sz w:val="21"/>
                <w:highlight w:val="none"/>
              </w:rPr>
              <w:t>°</w:t>
            </w:r>
          </w:p>
        </w:tc>
        <w:tc>
          <w:tcPr>
            <w:tcW w:w="125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纬度</w:t>
            </w:r>
          </w:p>
        </w:tc>
        <w:tc>
          <w:tcPr>
            <w:tcW w:w="2484" w:type="dxa"/>
            <w:gridSpan w:val="2"/>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25.757735</w:t>
            </w:r>
            <w:r>
              <w:rPr>
                <w:rFonts w:ascii="Times New Roman" w:hAnsi="Times New Roman" w:eastAsia="宋体" w:cs="Times New Roman"/>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56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主要危险物质及分布</w:t>
            </w:r>
          </w:p>
        </w:tc>
        <w:tc>
          <w:tcPr>
            <w:tcW w:w="6508" w:type="dxa"/>
            <w:gridSpan w:val="5"/>
            <w:noWrap w:val="0"/>
            <w:vAlign w:val="center"/>
          </w:tcPr>
          <w:p>
            <w:pPr>
              <w:spacing w:line="240" w:lineRule="auto"/>
              <w:ind w:firstLine="0" w:firstLineChars="0"/>
              <w:jc w:val="left"/>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乳化</w:t>
            </w:r>
            <w:r>
              <w:rPr>
                <w:rFonts w:ascii="Times New Roman" w:hAnsi="Times New Roman" w:eastAsia="宋体" w:cs="Times New Roman"/>
                <w:color w:val="auto"/>
                <w:sz w:val="21"/>
                <w:highlight w:val="none"/>
              </w:rPr>
              <w:t>炸药（主要成分为硝酸铵）：矿区内不设炸药库房，由安爆公司专车专人配送，单次使用量</w:t>
            </w:r>
            <w:r>
              <w:rPr>
                <w:rFonts w:hint="eastAsia" w:ascii="Times New Roman" w:hAnsi="Times New Roman" w:eastAsia="宋体" w:cs="Times New Roman"/>
                <w:color w:val="auto"/>
                <w:sz w:val="21"/>
                <w:highlight w:val="none"/>
              </w:rPr>
              <w:t>2.304</w:t>
            </w:r>
            <w:r>
              <w:rPr>
                <w:rFonts w:ascii="Times New Roman" w:hAnsi="Times New Roman" w:eastAsia="宋体" w:cs="Times New Roman"/>
                <w:color w:val="auto"/>
                <w:sz w:val="21"/>
                <w:highlight w:val="none"/>
              </w:rPr>
              <w:t>t；</w:t>
            </w:r>
          </w:p>
          <w:p>
            <w:pPr>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柴油：矿区</w:t>
            </w:r>
            <w:r>
              <w:rPr>
                <w:rFonts w:hint="eastAsia" w:cs="Times New Roman"/>
                <w:color w:val="auto"/>
                <w:sz w:val="21"/>
                <w:highlight w:val="none"/>
                <w:u w:val="single"/>
                <w:lang w:eastAsia="zh-CN"/>
              </w:rPr>
              <w:t>破碎场①</w:t>
            </w:r>
            <w:r>
              <w:rPr>
                <w:rFonts w:ascii="Times New Roman" w:hAnsi="Times New Roman" w:eastAsia="宋体" w:cs="Times New Roman"/>
                <w:color w:val="auto"/>
                <w:sz w:val="21"/>
                <w:highlight w:val="none"/>
              </w:rPr>
              <w:t>设置</w:t>
            </w:r>
            <w:r>
              <w:rPr>
                <w:rFonts w:hint="eastAsia" w:ascii="Times New Roman" w:hAnsi="Times New Roman" w:eastAsia="宋体" w:cs="Times New Roman"/>
                <w:color w:val="auto"/>
                <w:sz w:val="21"/>
                <w:highlight w:val="none"/>
              </w:rPr>
              <w:t>1个容积10</w:t>
            </w:r>
            <w:r>
              <w:rPr>
                <w:rFonts w:ascii="Times New Roman" w:hAnsi="Times New Roman" w:eastAsia="宋体" w:cs="Times New Roman"/>
                <w:color w:val="auto"/>
                <w:sz w:val="21"/>
                <w:highlight w:val="none"/>
              </w:rPr>
              <w:t>m</w:t>
            </w:r>
            <w:r>
              <w:rPr>
                <w:rFonts w:ascii="Times New Roman" w:hAnsi="Times New Roman" w:eastAsia="宋体" w:cs="Times New Roman"/>
                <w:color w:val="auto"/>
                <w:sz w:val="21"/>
                <w:highlight w:val="none"/>
                <w:vertAlign w:val="superscript"/>
              </w:rPr>
              <w:t>3</w:t>
            </w:r>
            <w:r>
              <w:rPr>
                <w:rFonts w:ascii="Times New Roman" w:hAnsi="Times New Roman" w:eastAsia="宋体" w:cs="Times New Roman"/>
                <w:color w:val="auto"/>
                <w:sz w:val="21"/>
                <w:highlight w:val="none"/>
              </w:rPr>
              <w:t>柴油储罐，</w:t>
            </w:r>
            <w:r>
              <w:rPr>
                <w:rFonts w:hint="eastAsia" w:cs="Times New Roman"/>
                <w:color w:val="auto"/>
                <w:sz w:val="21"/>
                <w:highlight w:val="none"/>
                <w:u w:val="single"/>
                <w:lang w:eastAsia="zh-CN"/>
              </w:rPr>
              <w:t>破碎场②</w:t>
            </w:r>
            <w:r>
              <w:rPr>
                <w:rFonts w:ascii="Times New Roman" w:hAnsi="Times New Roman" w:eastAsia="宋体" w:cs="Times New Roman"/>
                <w:color w:val="auto"/>
                <w:sz w:val="21"/>
                <w:highlight w:val="none"/>
              </w:rPr>
              <w:t>设置</w:t>
            </w:r>
            <w:r>
              <w:rPr>
                <w:rFonts w:hint="eastAsia" w:ascii="Times New Roman" w:hAnsi="Times New Roman" w:eastAsia="宋体" w:cs="Times New Roman"/>
                <w:color w:val="auto"/>
                <w:sz w:val="21"/>
                <w:highlight w:val="none"/>
              </w:rPr>
              <w:t>1个容积20</w:t>
            </w:r>
            <w:r>
              <w:rPr>
                <w:rFonts w:ascii="Times New Roman" w:hAnsi="Times New Roman" w:eastAsia="宋体" w:cs="Times New Roman"/>
                <w:color w:val="auto"/>
                <w:sz w:val="21"/>
                <w:highlight w:val="none"/>
              </w:rPr>
              <w:t>m</w:t>
            </w:r>
            <w:r>
              <w:rPr>
                <w:rFonts w:ascii="Times New Roman" w:hAnsi="Times New Roman" w:eastAsia="宋体" w:cs="Times New Roman"/>
                <w:color w:val="auto"/>
                <w:sz w:val="21"/>
                <w:highlight w:val="none"/>
                <w:vertAlign w:val="superscript"/>
              </w:rPr>
              <w:t>3</w:t>
            </w:r>
            <w:r>
              <w:rPr>
                <w:rFonts w:ascii="Times New Roman" w:hAnsi="Times New Roman" w:eastAsia="宋体" w:cs="Times New Roman"/>
                <w:color w:val="auto"/>
                <w:sz w:val="21"/>
                <w:highlight w:val="none"/>
              </w:rPr>
              <w:t>柴油储罐，</w:t>
            </w:r>
            <w:r>
              <w:rPr>
                <w:rFonts w:hint="eastAsia" w:ascii="Times New Roman" w:hAnsi="Times New Roman" w:eastAsia="宋体" w:cs="Times New Roman"/>
                <w:color w:val="auto"/>
                <w:sz w:val="21"/>
                <w:highlight w:val="none"/>
              </w:rPr>
              <w:t>柴油</w:t>
            </w:r>
            <w:r>
              <w:rPr>
                <w:rFonts w:ascii="Times New Roman" w:hAnsi="Times New Roman" w:eastAsia="宋体" w:cs="Times New Roman"/>
                <w:color w:val="auto"/>
                <w:sz w:val="21"/>
                <w:highlight w:val="none"/>
              </w:rPr>
              <w:t>最大存储量</w:t>
            </w:r>
            <w:r>
              <w:rPr>
                <w:rFonts w:hint="eastAsia" w:ascii="Times New Roman" w:hAnsi="Times New Roman" w:eastAsia="宋体" w:cs="Times New Roman"/>
                <w:color w:val="auto"/>
                <w:sz w:val="21"/>
                <w:highlight w:val="none"/>
                <w:u w:val="single"/>
              </w:rPr>
              <w:t>2</w:t>
            </w:r>
            <w:r>
              <w:rPr>
                <w:rFonts w:hint="eastAsia" w:ascii="Times New Roman" w:hAnsi="Times New Roman" w:eastAsia="宋体" w:cs="Times New Roman"/>
                <w:color w:val="auto"/>
                <w:sz w:val="21"/>
                <w:highlight w:val="none"/>
                <w:u w:val="single"/>
                <w:lang w:val="en-US" w:eastAsia="zh-CN"/>
              </w:rPr>
              <w:t>0.4</w:t>
            </w:r>
            <w:r>
              <w:rPr>
                <w:rFonts w:ascii="Times New Roman" w:hAnsi="Times New Roman" w:eastAsia="宋体" w:cs="Times New Roman"/>
                <w:color w:val="auto"/>
                <w:sz w:val="21"/>
                <w:highlight w:val="none"/>
                <w:u w:val="single"/>
              </w:rPr>
              <w:t>t</w:t>
            </w:r>
            <w:r>
              <w:rPr>
                <w:rFonts w:ascii="Times New Roman" w:hAnsi="Times New Roman" w:eastAsia="宋体" w:cs="Times New Roman"/>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563" w:type="dxa"/>
            <w:noWrap w:val="0"/>
            <w:vAlign w:val="center"/>
          </w:tcPr>
          <w:p>
            <w:pPr>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环境影响途径及危害后果（大气、地表水、地下水等）</w:t>
            </w:r>
          </w:p>
        </w:tc>
        <w:tc>
          <w:tcPr>
            <w:tcW w:w="6508" w:type="dxa"/>
            <w:gridSpan w:val="5"/>
            <w:noWrap w:val="0"/>
            <w:vAlign w:val="center"/>
          </w:tcPr>
          <w:p>
            <w:pPr>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矿区内的柴油运输、储存不当可能出现泄漏、火灾、爆炸事故；开采时使用</w:t>
            </w:r>
            <w:r>
              <w:rPr>
                <w:rFonts w:hint="eastAsia" w:ascii="Times New Roman" w:hAnsi="Times New Roman" w:eastAsia="宋体" w:cs="Times New Roman"/>
                <w:color w:val="auto"/>
                <w:sz w:val="21"/>
                <w:highlight w:val="none"/>
              </w:rPr>
              <w:t>乳化</w:t>
            </w:r>
            <w:r>
              <w:rPr>
                <w:rFonts w:ascii="Times New Roman" w:hAnsi="Times New Roman" w:eastAsia="宋体" w:cs="Times New Roman"/>
                <w:color w:val="auto"/>
                <w:sz w:val="21"/>
                <w:highlight w:val="none"/>
              </w:rPr>
              <w:t>炸药（主要成分为硝酸铵）和导爆管进行爆破，若爆破器材运输、使用不当则可能出现爆炸事故。柴油发生火灾、爆炸及炸药发生爆炸事故主要通过大气污染环境；柴油发生泄漏主要通过地下水污染环境。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2563"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风险防范措施要求</w:t>
            </w:r>
          </w:p>
        </w:tc>
        <w:tc>
          <w:tcPr>
            <w:tcW w:w="6508" w:type="dxa"/>
            <w:gridSpan w:val="5"/>
            <w:noWrap w:val="0"/>
            <w:vAlign w:val="center"/>
          </w:tcPr>
          <w:p>
            <w:pPr>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柴油储罐建设围堰并做好地面防渗，定期对柴油储罐进行巡查，按时维护和保养，柴油存储区设置严禁烟火标志牌。矿区内不设炸药库房，由安爆公司专车专人配送，露天爆破作业严格按《爆破安全规程》（GB</w:t>
            </w:r>
            <w:r>
              <w:rPr>
                <w:rFonts w:hint="eastAsia" w:ascii="Times New Roman" w:hAnsi="Times New Roman" w:eastAsia="宋体" w:cs="Times New Roman"/>
                <w:color w:val="auto"/>
                <w:sz w:val="21"/>
                <w:highlight w:val="none"/>
                <w:lang w:val="en-US" w:eastAsia="zh-CN"/>
              </w:rPr>
              <w:t xml:space="preserve"> </w:t>
            </w:r>
            <w:r>
              <w:rPr>
                <w:rFonts w:ascii="Times New Roman" w:hAnsi="Times New Roman" w:eastAsia="宋体" w:cs="Times New Roman"/>
                <w:color w:val="auto"/>
                <w:sz w:val="21"/>
                <w:highlight w:val="none"/>
              </w:rPr>
              <w:t>6722-2014）规定执行。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9071" w:type="dxa"/>
            <w:gridSpan w:val="6"/>
            <w:noWrap w:val="0"/>
            <w:vAlign w:val="center"/>
          </w:tcPr>
          <w:p>
            <w:pPr>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填表说明（列出项目相关信息及评价说明）：</w:t>
            </w:r>
          </w:p>
          <w:p>
            <w:pPr>
              <w:spacing w:line="240" w:lineRule="auto"/>
              <w:ind w:firstLine="420" w:firstLineChars="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项目爆破委托具备相应资质的专业爆破公司进行，矿山生产中需要炸药和雷管时，由民爆管理公司按需要量当天运送、当天使用，不在场区内储存炸药，使用量为</w:t>
            </w:r>
            <w:r>
              <w:rPr>
                <w:rFonts w:hint="eastAsia" w:ascii="Times New Roman" w:hAnsi="Times New Roman" w:eastAsia="宋体" w:cs="Times New Roman"/>
                <w:color w:val="auto"/>
                <w:sz w:val="21"/>
                <w:highlight w:val="none"/>
              </w:rPr>
              <w:t>2.304</w:t>
            </w:r>
            <w:r>
              <w:rPr>
                <w:rFonts w:ascii="Times New Roman" w:hAnsi="Times New Roman" w:eastAsia="宋体" w:cs="Times New Roman"/>
                <w:color w:val="auto"/>
                <w:sz w:val="21"/>
                <w:highlight w:val="none"/>
              </w:rPr>
              <w:t>t/次，硝酸铵临界量为50t。</w:t>
            </w:r>
            <w:r>
              <w:rPr>
                <w:rFonts w:ascii="Times New Roman" w:hAnsi="Times New Roman" w:eastAsia="宋体" w:cs="Times New Roman"/>
                <w:color w:val="auto"/>
                <w:sz w:val="21"/>
                <w:highlight w:val="none"/>
                <w:u w:val="single"/>
              </w:rPr>
              <w:t>柴油由当地加油站使用油罐车提供，矿区</w:t>
            </w:r>
            <w:r>
              <w:rPr>
                <w:rFonts w:hint="eastAsia" w:cs="Times New Roman"/>
                <w:color w:val="auto"/>
                <w:sz w:val="21"/>
                <w:highlight w:val="none"/>
                <w:u w:val="single"/>
                <w:lang w:eastAsia="zh-CN"/>
              </w:rPr>
              <w:t>破碎场①</w:t>
            </w:r>
            <w:r>
              <w:rPr>
                <w:rFonts w:ascii="Times New Roman" w:hAnsi="Times New Roman" w:eastAsia="宋体" w:cs="Times New Roman"/>
                <w:color w:val="auto"/>
                <w:sz w:val="21"/>
                <w:highlight w:val="none"/>
                <w:u w:val="single"/>
              </w:rPr>
              <w:t>设置</w:t>
            </w:r>
            <w:r>
              <w:rPr>
                <w:rFonts w:hint="eastAsia" w:ascii="Times New Roman" w:hAnsi="Times New Roman" w:eastAsia="宋体" w:cs="Times New Roman"/>
                <w:color w:val="auto"/>
                <w:sz w:val="21"/>
                <w:highlight w:val="none"/>
                <w:u w:val="single"/>
              </w:rPr>
              <w:t>1个容积10m</w:t>
            </w:r>
            <w:r>
              <w:rPr>
                <w:rFonts w:hint="eastAsia" w:ascii="Times New Roman" w:hAnsi="Times New Roman" w:eastAsia="宋体" w:cs="Times New Roman"/>
                <w:color w:val="auto"/>
                <w:sz w:val="21"/>
                <w:highlight w:val="none"/>
                <w:u w:val="single"/>
                <w:vertAlign w:val="superscript"/>
              </w:rPr>
              <w:t>3</w:t>
            </w:r>
            <w:r>
              <w:rPr>
                <w:rFonts w:ascii="Times New Roman" w:hAnsi="Times New Roman" w:eastAsia="宋体" w:cs="Times New Roman"/>
                <w:color w:val="auto"/>
                <w:sz w:val="21"/>
                <w:highlight w:val="none"/>
                <w:u w:val="single"/>
              </w:rPr>
              <w:t>柴油储罐，</w:t>
            </w:r>
            <w:r>
              <w:rPr>
                <w:rFonts w:hint="eastAsia" w:cs="Times New Roman"/>
                <w:color w:val="auto"/>
                <w:sz w:val="21"/>
                <w:highlight w:val="none"/>
                <w:u w:val="none"/>
                <w:lang w:eastAsia="zh-CN"/>
              </w:rPr>
              <w:t>破碎场②</w:t>
            </w:r>
            <w:r>
              <w:rPr>
                <w:rFonts w:hint="eastAsia" w:ascii="Times New Roman" w:hAnsi="Times New Roman" w:eastAsia="宋体" w:cs="Times New Roman"/>
                <w:color w:val="auto"/>
                <w:sz w:val="21"/>
                <w:highlight w:val="none"/>
                <w:u w:val="single"/>
              </w:rPr>
              <w:t>设置1个容积20m</w:t>
            </w:r>
            <w:r>
              <w:rPr>
                <w:rFonts w:hint="eastAsia" w:ascii="Times New Roman" w:hAnsi="Times New Roman" w:eastAsia="宋体" w:cs="Times New Roman"/>
                <w:color w:val="auto"/>
                <w:sz w:val="21"/>
                <w:highlight w:val="none"/>
                <w:u w:val="single"/>
                <w:vertAlign w:val="superscript"/>
              </w:rPr>
              <w:t>3</w:t>
            </w:r>
            <w:r>
              <w:rPr>
                <w:rFonts w:ascii="Times New Roman" w:hAnsi="Times New Roman" w:eastAsia="宋体" w:cs="Times New Roman"/>
                <w:color w:val="auto"/>
                <w:sz w:val="21"/>
                <w:highlight w:val="none"/>
                <w:u w:val="single"/>
              </w:rPr>
              <w:t>柴油储罐</w:t>
            </w:r>
            <w:r>
              <w:rPr>
                <w:rFonts w:hint="eastAsia" w:ascii="Times New Roman" w:hAnsi="Times New Roman" w:eastAsia="宋体" w:cs="Times New Roman"/>
                <w:color w:val="auto"/>
                <w:sz w:val="21"/>
                <w:highlight w:val="none"/>
                <w:u w:val="single"/>
              </w:rPr>
              <w:t>，</w:t>
            </w:r>
            <w:r>
              <w:rPr>
                <w:rFonts w:ascii="Times New Roman" w:hAnsi="Times New Roman" w:eastAsia="宋体" w:cs="Times New Roman"/>
                <w:color w:val="auto"/>
                <w:sz w:val="21"/>
                <w:highlight w:val="none"/>
                <w:u w:val="single"/>
              </w:rPr>
              <w:t>柴油储罐</w:t>
            </w:r>
            <w:r>
              <w:rPr>
                <w:rFonts w:hint="eastAsia" w:ascii="Times New Roman" w:hAnsi="Times New Roman" w:eastAsia="宋体" w:cs="Times New Roman"/>
                <w:color w:val="auto"/>
                <w:sz w:val="21"/>
                <w:highlight w:val="none"/>
                <w:u w:val="single"/>
              </w:rPr>
              <w:t>总容积30m</w:t>
            </w:r>
            <w:r>
              <w:rPr>
                <w:rFonts w:hint="eastAsia" w:ascii="Times New Roman" w:hAnsi="Times New Roman" w:eastAsia="宋体" w:cs="Times New Roman"/>
                <w:color w:val="auto"/>
                <w:sz w:val="21"/>
                <w:highlight w:val="none"/>
                <w:u w:val="single"/>
                <w:vertAlign w:val="superscript"/>
              </w:rPr>
              <w:t>3</w:t>
            </w:r>
            <w:r>
              <w:rPr>
                <w:rFonts w:hint="eastAsia" w:ascii="Times New Roman" w:hAnsi="Times New Roman" w:eastAsia="宋体" w:cs="Times New Roman"/>
                <w:color w:val="auto"/>
                <w:sz w:val="21"/>
                <w:highlight w:val="none"/>
                <w:u w:val="single"/>
              </w:rPr>
              <w:t>，</w:t>
            </w:r>
            <w:r>
              <w:rPr>
                <w:rFonts w:hint="eastAsia" w:ascii="Times New Roman" w:hAnsi="Times New Roman" w:eastAsia="宋体" w:cs="Times New Roman"/>
                <w:color w:val="auto"/>
                <w:sz w:val="21"/>
                <w:highlight w:val="none"/>
                <w:u w:val="single"/>
                <w:lang w:val="en-US" w:eastAsia="zh-CN"/>
              </w:rPr>
              <w:t>日常最大贮存量按容积的80%计算，则柴油储罐最大贮存总容积24</w:t>
            </w:r>
            <w:r>
              <w:rPr>
                <w:rFonts w:hint="eastAsia" w:ascii="Times New Roman" w:hAnsi="Times New Roman" w:eastAsia="宋体" w:cs="Times New Roman"/>
                <w:color w:val="auto"/>
                <w:sz w:val="21"/>
                <w:highlight w:val="none"/>
                <w:u w:val="single"/>
              </w:rPr>
              <w:t>m</w:t>
            </w:r>
            <w:r>
              <w:rPr>
                <w:rFonts w:hint="eastAsia" w:ascii="Times New Roman" w:hAnsi="Times New Roman" w:eastAsia="宋体" w:cs="Times New Roman"/>
                <w:color w:val="auto"/>
                <w:sz w:val="21"/>
                <w:highlight w:val="none"/>
                <w:u w:val="single"/>
                <w:vertAlign w:val="superscript"/>
              </w:rPr>
              <w:t>3</w:t>
            </w:r>
            <w:r>
              <w:rPr>
                <w:rFonts w:hint="eastAsia" w:ascii="Times New Roman" w:hAnsi="Times New Roman" w:eastAsia="宋体" w:cs="Times New Roman"/>
                <w:color w:val="auto"/>
                <w:sz w:val="21"/>
                <w:highlight w:val="none"/>
                <w:u w:val="single"/>
                <w:lang w:val="en-US" w:eastAsia="zh-CN"/>
              </w:rPr>
              <w:t>，</w:t>
            </w:r>
            <w:r>
              <w:rPr>
                <w:rFonts w:hint="eastAsia" w:ascii="Times New Roman" w:hAnsi="Times New Roman" w:eastAsia="宋体" w:cs="Times New Roman"/>
                <w:color w:val="auto"/>
                <w:sz w:val="21"/>
                <w:highlight w:val="none"/>
                <w:u w:val="single"/>
              </w:rPr>
              <w:t>柴油密度按0.85g/ml计算，最大</w:t>
            </w:r>
            <w:r>
              <w:rPr>
                <w:rFonts w:ascii="Times New Roman" w:hAnsi="Times New Roman" w:eastAsia="宋体" w:cs="Times New Roman"/>
                <w:color w:val="auto"/>
                <w:sz w:val="21"/>
                <w:highlight w:val="none"/>
                <w:u w:val="single"/>
              </w:rPr>
              <w:t>存贮量</w:t>
            </w:r>
            <w:r>
              <w:rPr>
                <w:rFonts w:hint="eastAsia" w:ascii="Times New Roman" w:hAnsi="Times New Roman" w:eastAsia="宋体" w:cs="Times New Roman"/>
                <w:color w:val="auto"/>
                <w:sz w:val="21"/>
                <w:highlight w:val="none"/>
                <w:u w:val="single"/>
              </w:rPr>
              <w:t>合计</w:t>
            </w:r>
            <w:r>
              <w:rPr>
                <w:rFonts w:hint="eastAsia" w:ascii="Times New Roman" w:hAnsi="Times New Roman" w:eastAsia="宋体" w:cs="Times New Roman"/>
                <w:color w:val="auto"/>
                <w:sz w:val="21"/>
                <w:highlight w:val="none"/>
                <w:u w:val="single"/>
                <w:lang w:val="en-US" w:eastAsia="zh-CN"/>
              </w:rPr>
              <w:t>20.4</w:t>
            </w:r>
            <w:r>
              <w:rPr>
                <w:rFonts w:ascii="Times New Roman" w:hAnsi="Times New Roman" w:eastAsia="宋体" w:cs="Times New Roman"/>
                <w:color w:val="auto"/>
                <w:sz w:val="21"/>
                <w:highlight w:val="none"/>
                <w:u w:val="single"/>
              </w:rPr>
              <w:t>t</w:t>
            </w:r>
            <w:r>
              <w:rPr>
                <w:rFonts w:hint="eastAsia" w:ascii="Times New Roman" w:hAnsi="Times New Roman" w:eastAsia="宋体" w:cs="Times New Roman"/>
                <w:color w:val="auto"/>
                <w:sz w:val="21"/>
                <w:highlight w:val="none"/>
                <w:u w:val="single"/>
                <w:lang w:eastAsia="zh-CN"/>
              </w:rPr>
              <w:t>，</w:t>
            </w:r>
            <w:r>
              <w:rPr>
                <w:rFonts w:ascii="Times New Roman" w:hAnsi="Times New Roman" w:eastAsia="宋体" w:cs="Times New Roman"/>
                <w:color w:val="auto"/>
                <w:sz w:val="21"/>
                <w:highlight w:val="none"/>
              </w:rPr>
              <w:t>柴油临界量为2500t。</w:t>
            </w:r>
          </w:p>
          <w:p>
            <w:pPr>
              <w:spacing w:line="240" w:lineRule="auto"/>
              <w:ind w:firstLine="420" w:firstLineChars="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根据《建设项目环境风险评价技术导则》（HJ 169-2018）附录C，当存在多种危险物质时，则按下式计算物质总量与其临界量比值Q。</w:t>
            </w:r>
          </w:p>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drawing>
                <wp:inline distT="0" distB="0" distL="114300" distR="114300">
                  <wp:extent cx="1682115" cy="516255"/>
                  <wp:effectExtent l="0" t="0" r="13335" b="17145"/>
                  <wp:docPr id="67"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33"/>
                          <pic:cNvPicPr>
                            <a:picLocks noChangeAspect="1"/>
                          </pic:cNvPicPr>
                        </pic:nvPicPr>
                        <pic:blipFill>
                          <a:blip r:embed="rId41"/>
                          <a:stretch>
                            <a:fillRect/>
                          </a:stretch>
                        </pic:blipFill>
                        <pic:spPr>
                          <a:xfrm>
                            <a:off x="0" y="0"/>
                            <a:ext cx="1682115" cy="516255"/>
                          </a:xfrm>
                          <a:prstGeom prst="rect">
                            <a:avLst/>
                          </a:prstGeom>
                          <a:noFill/>
                          <a:ln>
                            <a:noFill/>
                          </a:ln>
                        </pic:spPr>
                      </pic:pic>
                    </a:graphicData>
                  </a:graphic>
                </wp:inline>
              </w:drawing>
            </w:r>
          </w:p>
          <w:p>
            <w:pPr>
              <w:spacing w:line="240" w:lineRule="auto"/>
              <w:ind w:firstLine="42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式中：q</w:t>
            </w:r>
            <w:r>
              <w:rPr>
                <w:rFonts w:ascii="Times New Roman" w:hAnsi="Times New Roman" w:eastAsia="宋体" w:cs="Times New Roman"/>
                <w:color w:val="auto"/>
                <w:sz w:val="21"/>
                <w:highlight w:val="none"/>
                <w:vertAlign w:val="subscript"/>
              </w:rPr>
              <w:t>1</w:t>
            </w:r>
            <w:r>
              <w:rPr>
                <w:rFonts w:ascii="Times New Roman" w:hAnsi="Times New Roman" w:eastAsia="宋体" w:cs="Times New Roman"/>
                <w:color w:val="auto"/>
                <w:sz w:val="21"/>
                <w:highlight w:val="none"/>
              </w:rPr>
              <w:t>，q</w:t>
            </w:r>
            <w:r>
              <w:rPr>
                <w:rFonts w:ascii="Times New Roman" w:hAnsi="Times New Roman" w:eastAsia="宋体" w:cs="Times New Roman"/>
                <w:color w:val="auto"/>
                <w:sz w:val="21"/>
                <w:highlight w:val="none"/>
                <w:vertAlign w:val="subscript"/>
              </w:rPr>
              <w:t>2</w:t>
            </w:r>
            <w:r>
              <w:rPr>
                <w:rFonts w:ascii="Times New Roman" w:hAnsi="Times New Roman" w:eastAsia="宋体" w:cs="Times New Roman"/>
                <w:color w:val="auto"/>
                <w:sz w:val="21"/>
                <w:highlight w:val="none"/>
              </w:rPr>
              <w:t>，...，q</w:t>
            </w:r>
            <w:r>
              <w:rPr>
                <w:rFonts w:ascii="Times New Roman" w:hAnsi="Times New Roman" w:eastAsia="宋体" w:cs="Times New Roman"/>
                <w:color w:val="auto"/>
                <w:sz w:val="21"/>
                <w:highlight w:val="none"/>
                <w:vertAlign w:val="subscript"/>
              </w:rPr>
              <w:t>n</w:t>
            </w:r>
            <w:r>
              <w:rPr>
                <w:rFonts w:ascii="Times New Roman" w:hAnsi="Times New Roman" w:eastAsia="宋体" w:cs="Times New Roman"/>
                <w:color w:val="auto"/>
                <w:sz w:val="21"/>
                <w:highlight w:val="none"/>
              </w:rPr>
              <w:t>--每种危险物质的最大存在总量，t；</w:t>
            </w:r>
          </w:p>
          <w:p>
            <w:pPr>
              <w:spacing w:line="240" w:lineRule="auto"/>
              <w:ind w:firstLine="42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Q</w:t>
            </w:r>
            <w:r>
              <w:rPr>
                <w:rFonts w:ascii="Times New Roman" w:hAnsi="Times New Roman" w:eastAsia="宋体" w:cs="Times New Roman"/>
                <w:color w:val="auto"/>
                <w:sz w:val="21"/>
                <w:highlight w:val="none"/>
                <w:vertAlign w:val="subscript"/>
              </w:rPr>
              <w:t>1</w:t>
            </w:r>
            <w:r>
              <w:rPr>
                <w:rFonts w:ascii="Times New Roman" w:hAnsi="Times New Roman" w:eastAsia="宋体" w:cs="Times New Roman"/>
                <w:color w:val="auto"/>
                <w:sz w:val="21"/>
                <w:highlight w:val="none"/>
              </w:rPr>
              <w:t>，Q</w:t>
            </w:r>
            <w:r>
              <w:rPr>
                <w:rFonts w:ascii="Times New Roman" w:hAnsi="Times New Roman" w:eastAsia="宋体" w:cs="Times New Roman"/>
                <w:color w:val="auto"/>
                <w:sz w:val="21"/>
                <w:highlight w:val="none"/>
                <w:vertAlign w:val="subscript"/>
              </w:rPr>
              <w:t>2</w:t>
            </w:r>
            <w:r>
              <w:rPr>
                <w:rFonts w:ascii="Times New Roman" w:hAnsi="Times New Roman" w:eastAsia="宋体" w:cs="Times New Roman"/>
                <w:color w:val="auto"/>
                <w:sz w:val="21"/>
                <w:highlight w:val="none"/>
              </w:rPr>
              <w:t>，...，Q</w:t>
            </w:r>
            <w:r>
              <w:rPr>
                <w:rFonts w:ascii="Times New Roman" w:hAnsi="Times New Roman" w:eastAsia="宋体" w:cs="Times New Roman"/>
                <w:color w:val="auto"/>
                <w:sz w:val="21"/>
                <w:highlight w:val="none"/>
                <w:vertAlign w:val="subscript"/>
              </w:rPr>
              <w:t>n</w:t>
            </w:r>
            <w:r>
              <w:rPr>
                <w:rFonts w:ascii="Times New Roman" w:hAnsi="Times New Roman" w:eastAsia="宋体" w:cs="Times New Roman"/>
                <w:color w:val="auto"/>
                <w:sz w:val="21"/>
                <w:highlight w:val="none"/>
              </w:rPr>
              <w:t>--每种危险物质的临界量，t。</w:t>
            </w:r>
          </w:p>
          <w:p>
            <w:pPr>
              <w:spacing w:line="240" w:lineRule="auto"/>
              <w:ind w:firstLine="42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当Q&lt;1时，该项目环境风险潜势为 Ⅰ。</w:t>
            </w:r>
          </w:p>
          <w:p>
            <w:pPr>
              <w:spacing w:line="240" w:lineRule="auto"/>
              <w:ind w:firstLine="42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当Q≥1时，将Q值划分为（1）1≤Q&lt;10；（2）1≤Q&lt;10；（3）Q≥100。</w:t>
            </w:r>
          </w:p>
          <w:p>
            <w:pPr>
              <w:spacing w:line="240" w:lineRule="auto"/>
              <w:ind w:firstLine="0" w:firstLineChars="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本项目</w:t>
            </w:r>
            <w:r>
              <w:rPr>
                <w:rFonts w:ascii="Times New Roman" w:hAnsi="Times New Roman" w:eastAsia="宋体" w:cs="Times New Roman"/>
                <w:color w:val="auto"/>
                <w:sz w:val="21"/>
                <w:highlight w:val="none"/>
                <w:u w:val="single"/>
              </w:rPr>
              <w:t>Q=</w:t>
            </w:r>
            <w:r>
              <w:rPr>
                <w:rFonts w:hint="eastAsia" w:ascii="Times New Roman" w:hAnsi="Times New Roman" w:eastAsia="宋体" w:cs="Times New Roman"/>
                <w:color w:val="auto"/>
                <w:sz w:val="21"/>
                <w:highlight w:val="none"/>
                <w:u w:val="single"/>
              </w:rPr>
              <w:t>2.304</w:t>
            </w:r>
            <w:r>
              <w:rPr>
                <w:rFonts w:ascii="Times New Roman" w:hAnsi="Times New Roman" w:eastAsia="宋体" w:cs="Times New Roman"/>
                <w:color w:val="auto"/>
                <w:sz w:val="21"/>
                <w:highlight w:val="none"/>
                <w:u w:val="single"/>
              </w:rPr>
              <w:t>/50+</w:t>
            </w:r>
            <w:r>
              <w:rPr>
                <w:rFonts w:hint="eastAsia" w:ascii="Times New Roman" w:hAnsi="Times New Roman" w:eastAsia="宋体" w:cs="Times New Roman"/>
                <w:color w:val="auto"/>
                <w:sz w:val="21"/>
                <w:highlight w:val="none"/>
                <w:u w:val="single"/>
              </w:rPr>
              <w:t>2</w:t>
            </w:r>
            <w:r>
              <w:rPr>
                <w:rFonts w:hint="eastAsia" w:ascii="Times New Roman" w:hAnsi="Times New Roman" w:eastAsia="宋体" w:cs="Times New Roman"/>
                <w:color w:val="auto"/>
                <w:sz w:val="21"/>
                <w:highlight w:val="none"/>
                <w:u w:val="single"/>
                <w:lang w:val="en-US" w:eastAsia="zh-CN"/>
              </w:rPr>
              <w:t>0.4</w:t>
            </w:r>
            <w:r>
              <w:rPr>
                <w:rFonts w:ascii="Times New Roman" w:hAnsi="Times New Roman" w:eastAsia="宋体" w:cs="Times New Roman"/>
                <w:color w:val="auto"/>
                <w:sz w:val="21"/>
                <w:highlight w:val="none"/>
                <w:u w:val="single"/>
              </w:rPr>
              <w:t>/2500=0.0</w:t>
            </w:r>
            <w:r>
              <w:rPr>
                <w:rFonts w:hint="eastAsia" w:ascii="Times New Roman" w:hAnsi="Times New Roman" w:eastAsia="宋体" w:cs="Times New Roman"/>
                <w:color w:val="auto"/>
                <w:sz w:val="21"/>
                <w:highlight w:val="none"/>
                <w:u w:val="single"/>
              </w:rPr>
              <w:t>5</w:t>
            </w:r>
            <w:r>
              <w:rPr>
                <w:rFonts w:hint="eastAsia" w:ascii="Times New Roman" w:hAnsi="Times New Roman" w:eastAsia="宋体" w:cs="Times New Roman"/>
                <w:color w:val="auto"/>
                <w:sz w:val="21"/>
                <w:highlight w:val="none"/>
                <w:u w:val="single"/>
                <w:lang w:val="en-US" w:eastAsia="zh-CN"/>
              </w:rPr>
              <w:t>424</w:t>
            </w:r>
            <w:r>
              <w:rPr>
                <w:rFonts w:ascii="Times New Roman" w:hAnsi="Times New Roman" w:eastAsia="宋体" w:cs="Times New Roman"/>
                <w:color w:val="auto"/>
                <w:sz w:val="21"/>
                <w:highlight w:val="none"/>
              </w:rPr>
              <w:t>，故环境风险潜势为 Ⅰ。根据《建设项目环境风险评价技术导则》（HJ 169-2018）表1评价工作等级划分判定，确定本项目环境风险评价工作等级为简单分析。</w:t>
            </w:r>
          </w:p>
        </w:tc>
      </w:tr>
    </w:tbl>
    <w:p>
      <w:pPr>
        <w:pStyle w:val="4"/>
        <w:rPr>
          <w:rFonts w:ascii="Times New Roman" w:hAnsi="Times New Roman" w:eastAsia="宋体"/>
          <w:color w:val="auto"/>
          <w:highlight w:val="none"/>
        </w:rPr>
      </w:pPr>
      <w:bookmarkStart w:id="413" w:name="_Toc15281"/>
      <w:bookmarkStart w:id="414" w:name="_Toc16910"/>
      <w:bookmarkStart w:id="415" w:name="_Toc26059"/>
      <w:bookmarkStart w:id="416" w:name="_Toc2818"/>
      <w:bookmarkStart w:id="417" w:name="_Toc17942"/>
      <w:r>
        <w:rPr>
          <w:rFonts w:ascii="Times New Roman" w:hAnsi="Times New Roman" w:eastAsia="宋体"/>
          <w:color w:val="auto"/>
          <w:highlight w:val="none"/>
        </w:rPr>
        <w:t>4.4 闭矿期生态环境影响分析</w:t>
      </w:r>
      <w:bookmarkEnd w:id="413"/>
      <w:bookmarkEnd w:id="414"/>
      <w:bookmarkEnd w:id="415"/>
      <w:bookmarkEnd w:id="416"/>
      <w:bookmarkEnd w:id="417"/>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矿山闭矿后凿岩、爆破、采装、运输、排土等矿业活动将停止，矿上人员全部撤离，全部矿石已经运出。矿山开采对地表及地下的扰动也随之结束，不再产生新的生态影响问题。</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根据国土资源部关于印发《“十五”国土资源生态建设和环境保护规划》及国家环境保护部、国土资源部、科技部环发（2005）109 号文《矿山生态环境保护与污染防治技术政策》中规定，矿山企业必须依法履行环境保护、土地复垦等义务，大力加强矿山生态环境恢复治理。加快对矿山损毁土地进行复垦，对矿山“三废”进行综合治理、综合利用。矿山服务期满后，应当按照国家有关环境保护规定进行封场，并对矿山进行生态恢复，防止造成环境污染和生态破坏。</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山服务期满的主要生态问题为区域生态环境的恢复治理工作，具体包括：开采区生态恢复；工业场地、运矿道路的土地修复及植被恢复等。经过水土保持、土地修复、植被恢复等措施的逐步实施，矿区生态环境会得到逐步改善，只是原来的景观格局和土地利用情况发生了变化。</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矿山闭矿期没有外排水，对地表水环境没有影响；大气污染源不复存在，环境空气污染也随之消失；环境噪声较运营期将有所降低，并逐渐恢复到本底值。</w:t>
      </w:r>
    </w:p>
    <w:p>
      <w:pPr>
        <w:pStyle w:val="5"/>
        <w:rPr>
          <w:rFonts w:ascii="Times New Roman" w:hAnsi="Times New Roman" w:eastAsia="宋体"/>
          <w:color w:val="auto"/>
          <w:highlight w:val="none"/>
        </w:rPr>
      </w:pPr>
      <w:bookmarkStart w:id="418" w:name="_Toc9272"/>
      <w:bookmarkStart w:id="419" w:name="_Toc25368"/>
      <w:r>
        <w:rPr>
          <w:rFonts w:ascii="Times New Roman" w:hAnsi="Times New Roman" w:eastAsia="宋体"/>
          <w:color w:val="auto"/>
          <w:highlight w:val="none"/>
        </w:rPr>
        <w:t>4.4.1 复垦初期工作的环境影响分析</w:t>
      </w:r>
      <w:bookmarkEnd w:id="418"/>
      <w:bookmarkEnd w:id="419"/>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复垦工作的初期工作内容，主要是对工业广场的生产设备进行拆除、搬运，及对生活办公区、工业广场的建筑拆除、清理、平整土地，并将拆除建筑过程产生的建筑垃圾及时清运处理。根据项目生产的特点，由于拆除过程持续时间较短，这个过程除固体废物的影响相对明显外，其余颗粒物、噪声、废水等对环境影响不大。建筑垃圾运至有关部门指定处置地点后，对环境影响不大。</w:t>
      </w:r>
    </w:p>
    <w:p>
      <w:pPr>
        <w:pStyle w:val="5"/>
        <w:rPr>
          <w:rFonts w:ascii="Times New Roman" w:hAnsi="Times New Roman" w:eastAsia="宋体"/>
          <w:color w:val="auto"/>
          <w:highlight w:val="none"/>
        </w:rPr>
      </w:pPr>
      <w:bookmarkStart w:id="420" w:name="_Toc11107"/>
      <w:bookmarkStart w:id="421" w:name="_Toc24025"/>
      <w:r>
        <w:rPr>
          <w:rFonts w:ascii="Times New Roman" w:hAnsi="Times New Roman" w:eastAsia="宋体"/>
          <w:color w:val="auto"/>
          <w:highlight w:val="none"/>
        </w:rPr>
        <w:t>4.4.2 复垦后的环境影响分析</w:t>
      </w:r>
      <w:bookmarkEnd w:id="420"/>
      <w:bookmarkEnd w:id="421"/>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服务期满后，与矿山开发有关的矿产开采、加工各产污环节均停止，项目营运期的爆破噪声、设备噪声等高噪音活动消失，破碎站颗粒物、爆破颗粒物、机械设备的燃油废气等大气污染消失，生产废水、员工生活污水消失，废弃土石、生活垃圾等固体废物也消失。因此，区域的声环境、大气环境、水环境等环境的质量得到好转。</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复垦后，由于绿化植物根系的固持作用和草皮的拦挡、截留作用，减弱了雨水对裸露地面的冲刷，起到了防止水土流失，有效控制水土流失的作用。项目采场、其他区域内均播种草籽，项目场地基本为植被所覆盖，相比营运期，裸露面积大大减少，绿化面积增加，植被覆盖度增加。同时，由于植被的恢复，将逐渐恢复与周边自然景观的协调性，使生态结构得到一定的改善，增加了植物的多样性，美化了自然环境景观。</w:t>
      </w:r>
    </w:p>
    <w:p>
      <w:pPr>
        <w:pStyle w:val="4"/>
        <w:rPr>
          <w:rFonts w:ascii="Times New Roman" w:hAnsi="Times New Roman" w:eastAsia="宋体"/>
          <w:color w:val="auto"/>
          <w:highlight w:val="none"/>
        </w:rPr>
      </w:pPr>
      <w:bookmarkStart w:id="422" w:name="_Toc13887"/>
      <w:bookmarkStart w:id="423" w:name="_Toc30120"/>
      <w:bookmarkStart w:id="424" w:name="_Toc4471"/>
      <w:bookmarkStart w:id="425" w:name="_Toc31800"/>
      <w:bookmarkStart w:id="426" w:name="_Toc31487"/>
      <w:bookmarkStart w:id="427" w:name="_Toc2272"/>
      <w:r>
        <w:rPr>
          <w:rFonts w:ascii="Times New Roman" w:hAnsi="Times New Roman" w:eastAsia="宋体"/>
          <w:color w:val="auto"/>
          <w:highlight w:val="none"/>
        </w:rPr>
        <w:t>4.5 矿山地质环境影响</w:t>
      </w:r>
      <w:bookmarkEnd w:id="422"/>
      <w:bookmarkEnd w:id="423"/>
      <w:bookmarkEnd w:id="424"/>
      <w:bookmarkEnd w:id="425"/>
      <w:r>
        <w:rPr>
          <w:rFonts w:ascii="Times New Roman" w:hAnsi="Times New Roman" w:eastAsia="宋体"/>
          <w:color w:val="auto"/>
          <w:highlight w:val="none"/>
        </w:rPr>
        <w:t>分析</w:t>
      </w:r>
      <w:bookmarkEnd w:id="426"/>
      <w:bookmarkEnd w:id="427"/>
    </w:p>
    <w:p>
      <w:pPr>
        <w:pStyle w:val="5"/>
        <w:rPr>
          <w:rFonts w:ascii="Times New Roman" w:hAnsi="Times New Roman" w:eastAsia="宋体"/>
          <w:color w:val="auto"/>
          <w:highlight w:val="none"/>
        </w:rPr>
      </w:pPr>
      <w:bookmarkStart w:id="428" w:name="_Toc9410"/>
      <w:bookmarkStart w:id="429" w:name="_Toc25520"/>
      <w:r>
        <w:rPr>
          <w:rFonts w:ascii="Times New Roman" w:hAnsi="Times New Roman" w:eastAsia="宋体"/>
          <w:color w:val="auto"/>
          <w:highlight w:val="none"/>
        </w:rPr>
        <w:t>4.5.1 矿山地质环境影响现状评估</w:t>
      </w:r>
      <w:bookmarkEnd w:id="428"/>
      <w:bookmarkEnd w:id="429"/>
    </w:p>
    <w:p>
      <w:pPr>
        <w:pStyle w:val="6"/>
        <w:numPr>
          <w:ilvl w:val="3"/>
          <w:numId w:val="0"/>
        </w:numPr>
        <w:tabs>
          <w:tab w:val="left" w:pos="1390"/>
        </w:tabs>
        <w:rPr>
          <w:rFonts w:ascii="Times New Roman" w:hAnsi="Times New Roman" w:eastAsia="宋体"/>
          <w:color w:val="auto"/>
          <w:highlight w:val="none"/>
        </w:rPr>
      </w:pPr>
      <w:bookmarkStart w:id="430" w:name="_Toc14872"/>
      <w:r>
        <w:rPr>
          <w:rFonts w:ascii="Times New Roman" w:hAnsi="Times New Roman" w:eastAsia="宋体"/>
          <w:color w:val="auto"/>
          <w:highlight w:val="none"/>
        </w:rPr>
        <w:t>4.5.1.1 地质灾害现状评估</w:t>
      </w:r>
      <w:bookmarkEnd w:id="430"/>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根据现场调查，矿区</w:t>
      </w:r>
      <w:r>
        <w:rPr>
          <w:rFonts w:hint="eastAsia" w:cs="Times New Roman"/>
          <w:color w:val="auto"/>
          <w:highlight w:val="none"/>
          <w:lang w:val="en-US" w:eastAsia="zh-CN"/>
        </w:rPr>
        <w:t>现状</w:t>
      </w:r>
      <w:r>
        <w:rPr>
          <w:rFonts w:hint="eastAsia" w:ascii="Times New Roman" w:hAnsi="Times New Roman" w:eastAsia="宋体" w:cs="Times New Roman"/>
          <w:color w:val="auto"/>
          <w:highlight w:val="none"/>
        </w:rPr>
        <w:t>未发生崩塌、滑坡、泥石流、岩溶塌陷、及地面沉降地质灾害</w:t>
      </w:r>
      <w:r>
        <w:rPr>
          <w:rFonts w:hint="eastAsia" w:cs="Times New Roman"/>
          <w:color w:val="auto"/>
          <w:highlight w:val="none"/>
          <w:lang w:val="en-US" w:eastAsia="zh-CN"/>
        </w:rPr>
        <w:t>发生，矿山现状地质灾害隐患主要为不稳定人工斜坡，共3处不稳定斜坡，均分布于采区采面边坡</w:t>
      </w:r>
      <w:r>
        <w:rPr>
          <w:rFonts w:hint="eastAsia" w:ascii="Times New Roman" w:hAnsi="Times New Roman" w:eastAsia="宋体" w:cs="Times New Roman"/>
          <w:color w:val="auto"/>
          <w:highlight w:val="none"/>
        </w:rPr>
        <w:t>。</w:t>
      </w:r>
      <w:r>
        <w:rPr>
          <w:rFonts w:hint="eastAsia" w:cs="Times New Roman"/>
          <w:color w:val="auto"/>
          <w:highlight w:val="none"/>
          <w:lang w:val="en-US" w:eastAsia="zh-CN"/>
        </w:rPr>
        <w:t>不稳定斜坡强发育，存在</w:t>
      </w:r>
      <w:r>
        <w:rPr>
          <w:rFonts w:hint="eastAsia" w:ascii="Times New Roman" w:hAnsi="Times New Roman" w:eastAsia="宋体" w:cs="Times New Roman"/>
          <w:color w:val="auto"/>
          <w:highlight w:val="none"/>
        </w:rPr>
        <w:t>崩塌、滑坡地质灾害</w:t>
      </w:r>
      <w:r>
        <w:rPr>
          <w:rFonts w:hint="eastAsia" w:ascii="Times New Roman" w:hAnsi="Times New Roman" w:cs="Times New Roman"/>
          <w:color w:val="auto"/>
          <w:highlight w:val="none"/>
          <w:lang w:val="en-US" w:eastAsia="zh-CN"/>
        </w:rPr>
        <w:t>隐患。矿山现状不稳定斜坡强发育，</w:t>
      </w:r>
      <w:r>
        <w:rPr>
          <w:rFonts w:hint="eastAsia" w:ascii="Times New Roman" w:hAnsi="Times New Roman" w:eastAsia="宋体" w:cs="Times New Roman"/>
          <w:color w:val="auto"/>
          <w:highlight w:val="none"/>
        </w:rPr>
        <w:t>危险性小</w:t>
      </w:r>
      <w:r>
        <w:rPr>
          <w:rFonts w:hint="eastAsia" w:cs="Times New Roman"/>
          <w:color w:val="auto"/>
          <w:highlight w:val="none"/>
          <w:lang w:eastAsia="zh-CN"/>
        </w:rPr>
        <w:t>，</w:t>
      </w:r>
      <w:r>
        <w:rPr>
          <w:rFonts w:hint="eastAsia" w:ascii="Times New Roman" w:hAnsi="Times New Roman" w:eastAsia="宋体" w:cs="Times New Roman"/>
          <w:color w:val="auto"/>
          <w:highlight w:val="none"/>
        </w:rPr>
        <w:t>危害程度</w:t>
      </w:r>
      <w:r>
        <w:rPr>
          <w:rFonts w:hint="eastAsia" w:ascii="Times New Roman" w:hAnsi="Times New Roman" w:cs="Times New Roman"/>
          <w:color w:val="auto"/>
          <w:highlight w:val="none"/>
          <w:lang w:val="en-US" w:eastAsia="zh-CN"/>
        </w:rPr>
        <w:t>中等</w:t>
      </w:r>
      <w:r>
        <w:rPr>
          <w:rFonts w:hint="eastAsia" w:ascii="Times New Roman" w:hAnsi="Times New Roman" w:eastAsia="宋体" w:cs="Times New Roman"/>
          <w:color w:val="auto"/>
          <w:highlight w:val="none"/>
        </w:rPr>
        <w:t>。</w:t>
      </w:r>
    </w:p>
    <w:p>
      <w:pPr>
        <w:pStyle w:val="6"/>
        <w:rPr>
          <w:rFonts w:ascii="Times New Roman" w:hAnsi="Times New Roman" w:eastAsia="宋体"/>
          <w:color w:val="auto"/>
          <w:highlight w:val="none"/>
        </w:rPr>
      </w:pPr>
      <w:bookmarkStart w:id="431" w:name="_Toc83"/>
      <w:r>
        <w:rPr>
          <w:rFonts w:ascii="Times New Roman" w:hAnsi="Times New Roman" w:eastAsia="宋体"/>
          <w:color w:val="auto"/>
          <w:highlight w:val="none"/>
        </w:rPr>
        <w:t>4.5.1.2 地形地貌景观影响和破坏现状评估</w:t>
      </w:r>
      <w:bookmarkEnd w:id="431"/>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矿区及周围500m范围内无地质遗迹、人文景观。矿山开采活动主要是对矿山地形地貌景观的影响及破坏，主要表现在露天采场挖损。具体表现为：</w:t>
      </w:r>
    </w:p>
    <w:p>
      <w:pPr>
        <w:ind w:firstLine="480"/>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t>露天采场：据现场勘察测量，矿区</w:t>
      </w:r>
      <w:r>
        <w:rPr>
          <w:rFonts w:hint="eastAsia" w:cs="Times New Roman"/>
          <w:color w:val="auto"/>
          <w:highlight w:val="none"/>
          <w:u w:val="single"/>
          <w:lang w:eastAsia="zh-CN"/>
        </w:rPr>
        <w:t>破碎场②</w:t>
      </w:r>
      <w:r>
        <w:rPr>
          <w:rFonts w:hint="eastAsia" w:ascii="Times New Roman" w:hAnsi="Times New Roman" w:eastAsia="宋体" w:cs="Times New Roman"/>
          <w:color w:val="auto"/>
          <w:highlight w:val="none"/>
          <w:u w:val="single"/>
        </w:rPr>
        <w:t>南北向长510m，东西向宽80m，采面边坡高度10~45m，边坡倾角45~80°，局部较陡；</w:t>
      </w:r>
      <w:r>
        <w:rPr>
          <w:rFonts w:hint="eastAsia" w:cs="Times New Roman"/>
          <w:color w:val="auto"/>
          <w:highlight w:val="none"/>
          <w:u w:val="single"/>
          <w:lang w:eastAsia="zh-CN"/>
        </w:rPr>
        <w:t>破碎场①</w:t>
      </w:r>
      <w:r>
        <w:rPr>
          <w:rFonts w:hint="eastAsia" w:ascii="Times New Roman" w:hAnsi="Times New Roman" w:eastAsia="宋体" w:cs="Times New Roman"/>
          <w:color w:val="auto"/>
          <w:highlight w:val="none"/>
          <w:u w:val="single"/>
        </w:rPr>
        <w:t>采坑东西向长245m，南北向宽150m，采面边坡高度5~85m，边坡倾角40~75°，局部较陡。开采标高在+346m～+227m之间，统计得现状矿区采区挖损土地面积8.2967hm</w:t>
      </w:r>
      <w:r>
        <w:rPr>
          <w:rFonts w:hint="eastAsia" w:ascii="Times New Roman" w:hAnsi="Times New Roman" w:eastAsia="宋体" w:cs="Times New Roman"/>
          <w:color w:val="auto"/>
          <w:highlight w:val="none"/>
          <w:u w:val="single"/>
          <w:vertAlign w:val="superscript"/>
        </w:rPr>
        <w:t>2</w:t>
      </w:r>
      <w:r>
        <w:rPr>
          <w:rFonts w:hint="eastAsia" w:ascii="Times New Roman" w:hAnsi="Times New Roman" w:eastAsia="宋体" w:cs="Times New Roman"/>
          <w:color w:val="auto"/>
          <w:highlight w:val="none"/>
          <w:u w:val="single"/>
        </w:rPr>
        <w:t>。</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工业广场：临时办公生活区、加工场、堆料场：包括生产辅助用设施的临时建筑，主要是在表现为挖损，其面积包统计得现状矿区压损土地面积3.8389hm</w:t>
      </w:r>
      <w:r>
        <w:rPr>
          <w:rFonts w:hint="eastAsia"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rPr>
        <w:t>。</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综上所述，现状评估采矿活动整体上对原生地形地貌景观的影响与破坏程度为严重。</w:t>
      </w:r>
    </w:p>
    <w:p>
      <w:pPr>
        <w:pStyle w:val="6"/>
        <w:tabs>
          <w:tab w:val="left" w:pos="1390"/>
        </w:tabs>
        <w:rPr>
          <w:rFonts w:ascii="Times New Roman" w:hAnsi="Times New Roman" w:eastAsia="宋体"/>
          <w:color w:val="auto"/>
          <w:highlight w:val="none"/>
        </w:rPr>
      </w:pPr>
      <w:bookmarkStart w:id="432" w:name="_Toc32570"/>
      <w:r>
        <w:rPr>
          <w:rFonts w:ascii="Times New Roman" w:hAnsi="Times New Roman" w:eastAsia="宋体"/>
          <w:color w:val="auto"/>
          <w:highlight w:val="none"/>
        </w:rPr>
        <w:t>4.5.1.3 含水层的影响和破坏现状评估</w:t>
      </w:r>
      <w:bookmarkEnd w:id="432"/>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当地的最低侵蚀基准面为+200m 标高左右，矿区开采的资源储量在+447m～+227m 标高之间，高于当地最低侵蚀基准面，矿床开采不受地下水的影响。对含水层结构不构成破坏。</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矿区开采矿体高于当地最低侵蚀基准面，矿山开采不影响地下水位。</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综上，采矿活动对含水层的影响破坏程度较轻。</w:t>
      </w:r>
    </w:p>
    <w:p>
      <w:pPr>
        <w:pStyle w:val="6"/>
        <w:rPr>
          <w:rFonts w:hint="eastAsia" w:ascii="Times New Roman" w:hAnsi="Times New Roman" w:eastAsia="宋体"/>
          <w:color w:val="auto"/>
          <w:highlight w:val="none"/>
        </w:rPr>
      </w:pPr>
      <w:r>
        <w:rPr>
          <w:rFonts w:hint="eastAsia" w:ascii="Times New Roman" w:hAnsi="Times New Roman" w:eastAsia="宋体"/>
          <w:color w:val="auto"/>
          <w:highlight w:val="none"/>
        </w:rPr>
        <w:t>4.5.1.4 矿区水土环境污染现状评估</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 xml:space="preserve">矿区废水主要是采矿设备用水、防尘用水。凿岩、防尘用水形成水除含有矿石成份外，无其它有毒成份，主要的污染源是生活污水，对地下水水质影响较小。 </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矿山未设置专门的选矿场，没有选冶废水，没有尾矿库废水，主要的污染源是生活污水，开采过程中，产生的废石无有毒有害成份，可用于路、筑坝，矿山采矿对土壤的污染影响较小。</w:t>
      </w:r>
    </w:p>
    <w:p>
      <w:pPr>
        <w:pStyle w:val="6"/>
        <w:rPr>
          <w:rFonts w:hint="eastAsia" w:ascii="Times New Roman" w:hAnsi="Times New Roman" w:eastAsia="宋体"/>
          <w:color w:val="auto"/>
          <w:highlight w:val="none"/>
        </w:rPr>
      </w:pPr>
      <w:r>
        <w:rPr>
          <w:rFonts w:hint="eastAsia" w:ascii="Times New Roman" w:hAnsi="Times New Roman" w:eastAsia="宋体"/>
          <w:color w:val="auto"/>
          <w:highlight w:val="none"/>
        </w:rPr>
        <w:t xml:space="preserve">4.5.1.5 土地损毁现状评估 </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w:t>
      </w:r>
      <w:r>
        <w:rPr>
          <w:rFonts w:ascii="Times New Roman" w:hAnsi="Times New Roman" w:eastAsia="宋体" w:cs="Times New Roman"/>
          <w:color w:val="auto"/>
          <w:highlight w:val="none"/>
        </w:rPr>
        <w:t>《</w:t>
      </w:r>
      <w:r>
        <w:rPr>
          <w:rFonts w:ascii="Times New Roman" w:hAnsi="Times New Roman" w:eastAsia="宋体" w:cs="Times New Roman"/>
          <w:color w:val="auto"/>
          <w:szCs w:val="24"/>
          <w:highlight w:val="none"/>
        </w:rPr>
        <w:t>三江县宏源采石场硅质岩矿</w:t>
      </w:r>
      <w:r>
        <w:rPr>
          <w:rFonts w:ascii="Times New Roman" w:hAnsi="Times New Roman" w:eastAsia="宋体" w:cs="Times New Roman"/>
          <w:color w:val="auto"/>
          <w:highlight w:val="none"/>
        </w:rPr>
        <w:t>矿山地质环境保护与土地复垦方案》</w:t>
      </w:r>
      <w:r>
        <w:rPr>
          <w:rFonts w:hint="eastAsia" w:ascii="Times New Roman" w:hAnsi="Times New Roman" w:eastAsia="宋体" w:cs="Times New Roman"/>
          <w:color w:val="auto"/>
          <w:highlight w:val="none"/>
        </w:rPr>
        <w:t xml:space="preserve">，矿山目前工程活动对土地资源的破坏主要由露天采场、矿山道路和工业场地组成（详见附图2）。项目已破坏土地面积如下表4.5-1。 </w:t>
      </w:r>
    </w:p>
    <w:p>
      <w:pPr>
        <w:pStyle w:val="13"/>
        <w:rPr>
          <w:rFonts w:hint="eastAsia" w:ascii="Times New Roman" w:hAnsi="Times New Roman" w:eastAsia="宋体"/>
          <w:color w:val="auto"/>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13"/>
        <w:rPr>
          <w:rFonts w:hint="eastAsia" w:ascii="Times New Roman" w:hAnsi="Times New Roman" w:eastAsia="宋体"/>
          <w:color w:val="auto"/>
          <w:highlight w:val="none"/>
        </w:rPr>
      </w:pPr>
      <w:r>
        <w:rPr>
          <w:rFonts w:hint="eastAsia" w:ascii="Times New Roman" w:hAnsi="Times New Roman" w:eastAsia="宋体"/>
          <w:color w:val="auto"/>
          <w:highlight w:val="none"/>
        </w:rPr>
        <w:t>表4.5-1 矿山已损毁土地地类及面积统计表（单位：hm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w:t>
      </w:r>
    </w:p>
    <w:tbl>
      <w:tblPr>
        <w:tblStyle w:val="48"/>
        <w:tblW w:w="924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701"/>
        <w:gridCol w:w="839"/>
        <w:gridCol w:w="770"/>
        <w:gridCol w:w="770"/>
        <w:gridCol w:w="846"/>
        <w:gridCol w:w="694"/>
        <w:gridCol w:w="770"/>
        <w:gridCol w:w="770"/>
        <w:gridCol w:w="770"/>
        <w:gridCol w:w="770"/>
        <w:gridCol w:w="861"/>
        <w:gridCol w:w="6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249" w:hRule="atLeast"/>
        </w:trPr>
        <w:tc>
          <w:tcPr>
            <w:tcW w:w="701"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场地名称</w:t>
            </w:r>
          </w:p>
        </w:tc>
        <w:tc>
          <w:tcPr>
            <w:tcW w:w="839" w:type="dxa"/>
            <w:vMerge w:val="restart"/>
            <w:noWrap w:val="0"/>
            <w:vAlign w:val="center"/>
          </w:tcPr>
          <w:p>
            <w:pPr>
              <w:spacing w:line="240" w:lineRule="auto"/>
              <w:ind w:firstLine="0" w:firstLineChars="0"/>
              <w:jc w:val="center"/>
              <w:rPr>
                <w:rFonts w:hint="eastAsia"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损毁</w:t>
            </w:r>
          </w:p>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方式</w:t>
            </w:r>
          </w:p>
        </w:tc>
        <w:tc>
          <w:tcPr>
            <w:tcW w:w="770" w:type="dxa"/>
            <w:vMerge w:val="restart"/>
            <w:noWrap w:val="0"/>
            <w:vAlign w:val="center"/>
          </w:tcPr>
          <w:p>
            <w:pPr>
              <w:spacing w:line="240" w:lineRule="auto"/>
              <w:ind w:firstLine="0" w:firstLineChars="0"/>
              <w:jc w:val="center"/>
              <w:rPr>
                <w:rFonts w:hint="eastAsia"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损毁</w:t>
            </w:r>
          </w:p>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程度</w:t>
            </w:r>
          </w:p>
        </w:tc>
        <w:tc>
          <w:tcPr>
            <w:tcW w:w="770" w:type="dxa"/>
            <w:vMerge w:val="restart"/>
            <w:noWrap w:val="0"/>
            <w:vAlign w:val="center"/>
          </w:tcPr>
          <w:p>
            <w:pPr>
              <w:spacing w:line="240" w:lineRule="auto"/>
              <w:ind w:firstLine="0" w:firstLineChars="0"/>
              <w:jc w:val="center"/>
              <w:rPr>
                <w:rFonts w:hint="eastAsia"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损毁</w:t>
            </w:r>
          </w:p>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时段</w:t>
            </w:r>
          </w:p>
        </w:tc>
        <w:tc>
          <w:tcPr>
            <w:tcW w:w="846"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合计</w:t>
            </w:r>
          </w:p>
        </w:tc>
        <w:tc>
          <w:tcPr>
            <w:tcW w:w="4635" w:type="dxa"/>
            <w:gridSpan w:val="6"/>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szCs w:val="18"/>
                <w:highlight w:val="none"/>
              </w:rPr>
              <w:t>一</w:t>
            </w:r>
            <w:r>
              <w:rPr>
                <w:rFonts w:ascii="Times New Roman" w:hAnsi="Times New Roman" w:eastAsia="宋体" w:cs="Times New Roman"/>
                <w:b/>
                <w:bCs/>
                <w:color w:val="auto"/>
                <w:sz w:val="21"/>
                <w:szCs w:val="18"/>
                <w:highlight w:val="none"/>
              </w:rPr>
              <w:t>二级地类</w:t>
            </w:r>
            <w:r>
              <w:rPr>
                <w:rFonts w:hint="eastAsia" w:ascii="Times New Roman" w:hAnsi="Times New Roman" w:eastAsia="宋体" w:cs="Times New Roman"/>
                <w:b/>
                <w:bCs/>
                <w:color w:val="auto"/>
                <w:sz w:val="21"/>
                <w:szCs w:val="18"/>
                <w:highlight w:val="none"/>
              </w:rPr>
              <w:t>及面积</w:t>
            </w:r>
          </w:p>
        </w:tc>
        <w:tc>
          <w:tcPr>
            <w:tcW w:w="681" w:type="dxa"/>
            <w:vMerge w:val="restart"/>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土地权属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249" w:hRule="atLeast"/>
        </w:trPr>
        <w:tc>
          <w:tcPr>
            <w:tcW w:w="701" w:type="dxa"/>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p>
        </w:tc>
        <w:tc>
          <w:tcPr>
            <w:tcW w:w="839" w:type="dxa"/>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p>
        </w:tc>
        <w:tc>
          <w:tcPr>
            <w:tcW w:w="770" w:type="dxa"/>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p>
        </w:tc>
        <w:tc>
          <w:tcPr>
            <w:tcW w:w="770" w:type="dxa"/>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p>
        </w:tc>
        <w:tc>
          <w:tcPr>
            <w:tcW w:w="846" w:type="dxa"/>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p>
        </w:tc>
        <w:tc>
          <w:tcPr>
            <w:tcW w:w="1464" w:type="dxa"/>
            <w:gridSpan w:val="2"/>
            <w:noWrap w:val="0"/>
            <w:vAlign w:val="center"/>
          </w:tcPr>
          <w:p>
            <w:pPr>
              <w:spacing w:line="240" w:lineRule="auto"/>
              <w:ind w:firstLine="0" w:firstLineChars="0"/>
              <w:jc w:val="center"/>
              <w:rPr>
                <w:rFonts w:hint="eastAsia"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szCs w:val="18"/>
                <w:highlight w:val="none"/>
              </w:rPr>
              <w:t>耕地01</w:t>
            </w:r>
          </w:p>
        </w:tc>
        <w:tc>
          <w:tcPr>
            <w:tcW w:w="1540" w:type="dxa"/>
            <w:gridSpan w:val="2"/>
            <w:noWrap w:val="0"/>
            <w:vAlign w:val="center"/>
          </w:tcPr>
          <w:p>
            <w:pPr>
              <w:spacing w:line="240" w:lineRule="auto"/>
              <w:ind w:firstLine="0" w:firstLineChars="0"/>
              <w:jc w:val="center"/>
              <w:rPr>
                <w:rFonts w:hint="eastAsia" w:ascii="Times New Roman" w:hAnsi="Times New Roman" w:eastAsia="宋体" w:cs="Times New Roman"/>
                <w:b/>
                <w:bCs/>
                <w:color w:val="auto"/>
                <w:sz w:val="21"/>
                <w:highlight w:val="none"/>
              </w:rPr>
            </w:pPr>
            <w:r>
              <w:rPr>
                <w:rFonts w:ascii="Times New Roman" w:hAnsi="Times New Roman" w:eastAsia="宋体" w:cs="Times New Roman"/>
                <w:b/>
                <w:bCs/>
                <w:color w:val="auto"/>
                <w:sz w:val="21"/>
                <w:szCs w:val="18"/>
                <w:highlight w:val="none"/>
              </w:rPr>
              <w:t>林地</w:t>
            </w:r>
            <w:r>
              <w:rPr>
                <w:rFonts w:hint="eastAsia" w:ascii="Times New Roman" w:hAnsi="Times New Roman" w:eastAsia="宋体" w:cs="Times New Roman"/>
                <w:b/>
                <w:bCs/>
                <w:color w:val="auto"/>
                <w:sz w:val="21"/>
                <w:szCs w:val="18"/>
                <w:highlight w:val="none"/>
              </w:rPr>
              <w:t>03</w:t>
            </w:r>
          </w:p>
        </w:tc>
        <w:tc>
          <w:tcPr>
            <w:tcW w:w="770"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szCs w:val="18"/>
                <w:highlight w:val="none"/>
              </w:rPr>
              <w:t>园地02</w:t>
            </w:r>
          </w:p>
        </w:tc>
        <w:tc>
          <w:tcPr>
            <w:tcW w:w="861"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草</w:t>
            </w:r>
            <w:r>
              <w:rPr>
                <w:rFonts w:ascii="Times New Roman" w:hAnsi="Times New Roman" w:eastAsia="宋体" w:cs="Times New Roman"/>
                <w:b/>
                <w:bCs/>
                <w:color w:val="auto"/>
                <w:sz w:val="21"/>
                <w:highlight w:val="none"/>
              </w:rPr>
              <w:t>地</w:t>
            </w:r>
            <w:r>
              <w:rPr>
                <w:rFonts w:hint="eastAsia" w:ascii="Times New Roman" w:hAnsi="Times New Roman" w:eastAsia="宋体" w:cs="Times New Roman"/>
                <w:b/>
                <w:bCs/>
                <w:color w:val="auto"/>
                <w:sz w:val="21"/>
                <w:highlight w:val="none"/>
              </w:rPr>
              <w:t>04</w:t>
            </w:r>
          </w:p>
        </w:tc>
        <w:tc>
          <w:tcPr>
            <w:tcW w:w="681" w:type="dxa"/>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249" w:hRule="atLeast"/>
        </w:trPr>
        <w:tc>
          <w:tcPr>
            <w:tcW w:w="701" w:type="dxa"/>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p>
        </w:tc>
        <w:tc>
          <w:tcPr>
            <w:tcW w:w="839" w:type="dxa"/>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p>
        </w:tc>
        <w:tc>
          <w:tcPr>
            <w:tcW w:w="770" w:type="dxa"/>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p>
        </w:tc>
        <w:tc>
          <w:tcPr>
            <w:tcW w:w="770" w:type="dxa"/>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p>
        </w:tc>
        <w:tc>
          <w:tcPr>
            <w:tcW w:w="846" w:type="dxa"/>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p>
        </w:tc>
        <w:tc>
          <w:tcPr>
            <w:tcW w:w="694"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szCs w:val="18"/>
                <w:highlight w:val="none"/>
              </w:rPr>
              <w:t>水田011</w:t>
            </w:r>
          </w:p>
        </w:tc>
        <w:tc>
          <w:tcPr>
            <w:tcW w:w="770"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szCs w:val="18"/>
                <w:highlight w:val="none"/>
              </w:rPr>
              <w:t>旱地013</w:t>
            </w:r>
          </w:p>
        </w:tc>
        <w:tc>
          <w:tcPr>
            <w:tcW w:w="770"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szCs w:val="18"/>
                <w:highlight w:val="none"/>
              </w:rPr>
              <w:t>有林地031</w:t>
            </w:r>
          </w:p>
        </w:tc>
        <w:tc>
          <w:tcPr>
            <w:tcW w:w="77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bCs/>
                <w:color w:val="auto"/>
                <w:sz w:val="21"/>
                <w:szCs w:val="18"/>
                <w:highlight w:val="none"/>
              </w:rPr>
            </w:pPr>
            <w:r>
              <w:rPr>
                <w:rFonts w:hint="eastAsia" w:ascii="Times New Roman" w:hAnsi="Times New Roman" w:eastAsia="宋体" w:cs="Times New Roman"/>
                <w:b/>
                <w:bCs/>
                <w:color w:val="auto"/>
                <w:sz w:val="21"/>
                <w:szCs w:val="18"/>
                <w:highlight w:val="none"/>
              </w:rPr>
              <w:t>灌木</w:t>
            </w:r>
          </w:p>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szCs w:val="18"/>
                <w:highlight w:val="none"/>
              </w:rPr>
              <w:t>林地032</w:t>
            </w:r>
          </w:p>
        </w:tc>
        <w:tc>
          <w:tcPr>
            <w:tcW w:w="770"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b/>
                <w:bCs/>
                <w:color w:val="auto"/>
                <w:sz w:val="21"/>
                <w:highlight w:val="none"/>
              </w:rPr>
              <w:t>果园021</w:t>
            </w:r>
          </w:p>
        </w:tc>
        <w:tc>
          <w:tcPr>
            <w:tcW w:w="861"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szCs w:val="18"/>
                <w:highlight w:val="none"/>
              </w:rPr>
            </w:pPr>
            <w:r>
              <w:rPr>
                <w:rFonts w:ascii="Times New Roman" w:hAnsi="Times New Roman" w:eastAsia="宋体" w:cs="Times New Roman"/>
                <w:b/>
                <w:bCs/>
                <w:color w:val="auto"/>
                <w:sz w:val="21"/>
                <w:szCs w:val="18"/>
                <w:highlight w:val="none"/>
              </w:rPr>
              <w:t>其它</w:t>
            </w:r>
          </w:p>
          <w:p>
            <w:pPr>
              <w:spacing w:line="240" w:lineRule="auto"/>
              <w:ind w:firstLine="0" w:firstLineChars="0"/>
              <w:jc w:val="center"/>
              <w:rPr>
                <w:rFonts w:hint="eastAsia" w:ascii="Times New Roman" w:hAnsi="Times New Roman" w:eastAsia="宋体" w:cs="Times New Roman"/>
                <w:b/>
                <w:bCs/>
                <w:color w:val="auto"/>
                <w:sz w:val="21"/>
                <w:highlight w:val="none"/>
              </w:rPr>
            </w:pPr>
            <w:r>
              <w:rPr>
                <w:rFonts w:ascii="Times New Roman" w:hAnsi="Times New Roman" w:eastAsia="宋体" w:cs="Times New Roman"/>
                <w:b/>
                <w:bCs/>
                <w:color w:val="auto"/>
                <w:sz w:val="21"/>
                <w:szCs w:val="18"/>
                <w:highlight w:val="none"/>
              </w:rPr>
              <w:t>草地</w:t>
            </w:r>
            <w:r>
              <w:rPr>
                <w:rFonts w:hint="eastAsia" w:ascii="Times New Roman" w:hAnsi="Times New Roman" w:eastAsia="宋体" w:cs="Times New Roman"/>
                <w:b/>
                <w:bCs/>
                <w:color w:val="auto"/>
                <w:sz w:val="21"/>
                <w:szCs w:val="18"/>
                <w:highlight w:val="none"/>
              </w:rPr>
              <w:t>04</w:t>
            </w:r>
            <w:r>
              <w:rPr>
                <w:rFonts w:ascii="Times New Roman" w:hAnsi="Times New Roman" w:eastAsia="宋体" w:cs="Times New Roman"/>
                <w:b/>
                <w:bCs/>
                <w:color w:val="auto"/>
                <w:sz w:val="21"/>
                <w:szCs w:val="18"/>
                <w:highlight w:val="none"/>
              </w:rPr>
              <w:t>3</w:t>
            </w:r>
          </w:p>
        </w:tc>
        <w:tc>
          <w:tcPr>
            <w:tcW w:w="681" w:type="dxa"/>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249" w:hRule="atLeast"/>
        </w:trPr>
        <w:tc>
          <w:tcPr>
            <w:tcW w:w="70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露天采场</w:t>
            </w:r>
          </w:p>
        </w:tc>
        <w:tc>
          <w:tcPr>
            <w:tcW w:w="83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挖损</w:t>
            </w:r>
          </w:p>
        </w:tc>
        <w:tc>
          <w:tcPr>
            <w:tcW w:w="77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重度</w:t>
            </w:r>
          </w:p>
        </w:tc>
        <w:tc>
          <w:tcPr>
            <w:tcW w:w="7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生产期</w:t>
            </w:r>
          </w:p>
        </w:tc>
        <w:tc>
          <w:tcPr>
            <w:tcW w:w="84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7.9223</w:t>
            </w:r>
          </w:p>
        </w:tc>
        <w:tc>
          <w:tcPr>
            <w:tcW w:w="69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7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7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4.5188</w:t>
            </w:r>
          </w:p>
        </w:tc>
        <w:tc>
          <w:tcPr>
            <w:tcW w:w="7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3.4035</w:t>
            </w:r>
          </w:p>
        </w:tc>
        <w:tc>
          <w:tcPr>
            <w:tcW w:w="7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86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681"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斗江镇社区居民委员会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249" w:hRule="atLeast"/>
        </w:trPr>
        <w:tc>
          <w:tcPr>
            <w:tcW w:w="70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矿山道路</w:t>
            </w:r>
          </w:p>
        </w:tc>
        <w:tc>
          <w:tcPr>
            <w:tcW w:w="83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挖损</w:t>
            </w:r>
          </w:p>
        </w:tc>
        <w:tc>
          <w:tcPr>
            <w:tcW w:w="7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轻度</w:t>
            </w:r>
          </w:p>
        </w:tc>
        <w:tc>
          <w:tcPr>
            <w:tcW w:w="77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基建期</w:t>
            </w:r>
          </w:p>
        </w:tc>
        <w:tc>
          <w:tcPr>
            <w:tcW w:w="84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0.3348</w:t>
            </w:r>
          </w:p>
        </w:tc>
        <w:tc>
          <w:tcPr>
            <w:tcW w:w="69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7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7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0.2944</w:t>
            </w:r>
          </w:p>
        </w:tc>
        <w:tc>
          <w:tcPr>
            <w:tcW w:w="7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0.0404</w:t>
            </w:r>
          </w:p>
        </w:tc>
        <w:tc>
          <w:tcPr>
            <w:tcW w:w="7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86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681" w:type="dxa"/>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249" w:hRule="atLeast"/>
        </w:trPr>
        <w:tc>
          <w:tcPr>
            <w:tcW w:w="701" w:type="dxa"/>
            <w:vMerge w:val="restart"/>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工业场地</w:t>
            </w:r>
          </w:p>
        </w:tc>
        <w:tc>
          <w:tcPr>
            <w:tcW w:w="83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挖损</w:t>
            </w:r>
          </w:p>
        </w:tc>
        <w:tc>
          <w:tcPr>
            <w:tcW w:w="7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轻度</w:t>
            </w:r>
          </w:p>
        </w:tc>
        <w:tc>
          <w:tcPr>
            <w:tcW w:w="770" w:type="dxa"/>
            <w:vMerge w:val="restart"/>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基建期</w:t>
            </w:r>
          </w:p>
        </w:tc>
        <w:tc>
          <w:tcPr>
            <w:tcW w:w="84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0.0396</w:t>
            </w:r>
          </w:p>
        </w:tc>
        <w:tc>
          <w:tcPr>
            <w:tcW w:w="69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7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7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0.0396</w:t>
            </w:r>
          </w:p>
        </w:tc>
        <w:tc>
          <w:tcPr>
            <w:tcW w:w="7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7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86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681" w:type="dxa"/>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249" w:hRule="atLeast"/>
        </w:trPr>
        <w:tc>
          <w:tcPr>
            <w:tcW w:w="701" w:type="dxa"/>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p>
        </w:tc>
        <w:tc>
          <w:tcPr>
            <w:tcW w:w="839"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压占</w:t>
            </w:r>
          </w:p>
        </w:tc>
        <w:tc>
          <w:tcPr>
            <w:tcW w:w="7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重度</w:t>
            </w:r>
          </w:p>
        </w:tc>
        <w:tc>
          <w:tcPr>
            <w:tcW w:w="770" w:type="dxa"/>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p>
        </w:tc>
        <w:tc>
          <w:tcPr>
            <w:tcW w:w="846"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3.8389</w:t>
            </w:r>
          </w:p>
        </w:tc>
        <w:tc>
          <w:tcPr>
            <w:tcW w:w="69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3.2654</w:t>
            </w:r>
          </w:p>
        </w:tc>
        <w:tc>
          <w:tcPr>
            <w:tcW w:w="770"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0.1817</w:t>
            </w:r>
          </w:p>
        </w:tc>
        <w:tc>
          <w:tcPr>
            <w:tcW w:w="7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7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7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0.1814</w:t>
            </w:r>
          </w:p>
        </w:tc>
        <w:tc>
          <w:tcPr>
            <w:tcW w:w="86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0.2104</w:t>
            </w:r>
          </w:p>
        </w:tc>
        <w:tc>
          <w:tcPr>
            <w:tcW w:w="681" w:type="dxa"/>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249" w:hRule="atLeast"/>
        </w:trPr>
        <w:tc>
          <w:tcPr>
            <w:tcW w:w="3080" w:type="dxa"/>
            <w:gridSpan w:val="4"/>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合计</w:t>
            </w:r>
          </w:p>
        </w:tc>
        <w:tc>
          <w:tcPr>
            <w:tcW w:w="846" w:type="dxa"/>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12.1356</w:t>
            </w:r>
          </w:p>
        </w:tc>
        <w:tc>
          <w:tcPr>
            <w:tcW w:w="694"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3.2654</w:t>
            </w:r>
          </w:p>
        </w:tc>
        <w:tc>
          <w:tcPr>
            <w:tcW w:w="7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0.1817</w:t>
            </w:r>
          </w:p>
        </w:tc>
        <w:tc>
          <w:tcPr>
            <w:tcW w:w="7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4.8528</w:t>
            </w:r>
          </w:p>
        </w:tc>
        <w:tc>
          <w:tcPr>
            <w:tcW w:w="7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3.4439</w:t>
            </w:r>
          </w:p>
        </w:tc>
        <w:tc>
          <w:tcPr>
            <w:tcW w:w="770"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0.1814</w:t>
            </w:r>
          </w:p>
        </w:tc>
        <w:tc>
          <w:tcPr>
            <w:tcW w:w="861" w:type="dxa"/>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0.2104</w:t>
            </w:r>
          </w:p>
        </w:tc>
        <w:tc>
          <w:tcPr>
            <w:tcW w:w="681" w:type="dxa"/>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p>
        </w:tc>
      </w:tr>
    </w:tbl>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由上表可知，现状采矿活动总损毁面积：12.1356hm</w:t>
      </w:r>
      <w:r>
        <w:rPr>
          <w:rFonts w:hint="eastAsia"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rPr>
        <w:t>。其中：水田3.2654hm</w:t>
      </w:r>
      <w:r>
        <w:rPr>
          <w:rFonts w:hint="eastAsia"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rPr>
        <w:t>、旱地 0.1817hm</w:t>
      </w:r>
      <w:r>
        <w:rPr>
          <w:rFonts w:hint="eastAsia"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rPr>
        <w:t>、有林地4.8528hm</w:t>
      </w:r>
      <w:r>
        <w:rPr>
          <w:rFonts w:hint="eastAsia"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rPr>
        <w:t>、灌木林地3.4439hm</w:t>
      </w:r>
      <w:r>
        <w:rPr>
          <w:rFonts w:hint="eastAsia"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rPr>
        <w:t>、果园0.1814hm</w:t>
      </w:r>
      <w:r>
        <w:rPr>
          <w:rFonts w:hint="eastAsia"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rPr>
        <w:t>、其他草地0.2104 hm</w:t>
      </w:r>
      <w:r>
        <w:rPr>
          <w:rFonts w:hint="eastAsia"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rPr>
        <w:t xml:space="preserve">。因此，现状采矿活动对土地资源的影响和破坏程度严重。 </w:t>
      </w:r>
    </w:p>
    <w:p>
      <w:pPr>
        <w:pStyle w:val="5"/>
        <w:rPr>
          <w:rFonts w:ascii="Times New Roman" w:hAnsi="Times New Roman" w:eastAsia="宋体"/>
          <w:color w:val="auto"/>
          <w:highlight w:val="none"/>
        </w:rPr>
      </w:pPr>
      <w:r>
        <w:rPr>
          <w:rFonts w:ascii="Times New Roman" w:hAnsi="Times New Roman" w:eastAsia="宋体"/>
          <w:color w:val="auto"/>
          <w:highlight w:val="none"/>
        </w:rPr>
        <w:t>4.5.2 矿山地质环境影响预测评估</w:t>
      </w:r>
    </w:p>
    <w:p>
      <w:pPr>
        <w:pStyle w:val="6"/>
        <w:tabs>
          <w:tab w:val="left" w:pos="1390"/>
        </w:tabs>
        <w:rPr>
          <w:rFonts w:ascii="Times New Roman" w:hAnsi="Times New Roman" w:eastAsia="宋体"/>
          <w:color w:val="auto"/>
          <w:highlight w:val="none"/>
        </w:rPr>
      </w:pPr>
      <w:r>
        <w:rPr>
          <w:rFonts w:ascii="Times New Roman" w:hAnsi="Times New Roman" w:eastAsia="宋体"/>
          <w:color w:val="auto"/>
          <w:highlight w:val="none"/>
        </w:rPr>
        <w:t>4.5.2.1 地质灾害预测评估</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1、崩塌、滑坡</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①采场边坡可能引发并遭受的崩塌、滑坡地质灾害预测</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矿山边坡岩性为灰—灰白色薄—厚层状石英硅质岩。岩石坚硬，表层局部呈中风化，结构较为破碎。矿山开采形成边坡局部较陡，在采矿过程的振动及自然因素（如地形条件、风化作用、大气降水）作用下，有可能使陡坡或斜坡上的岩体突然离开母体，向下崩落，直接危害采场下工业场地的生命财产安全。</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根据开采方案，矿山采用露天开采，采场工作台阶坡面角70°，台阶高度15m，安全平台宽度4m，采场最终边坡角≤60°。采矿证</w:t>
      </w:r>
      <w:r>
        <w:rPr>
          <w:rFonts w:hint="eastAsia" w:cs="Times New Roman"/>
          <w:color w:val="auto"/>
          <w:highlight w:val="none"/>
          <w:lang w:val="en-US" w:eastAsia="zh-CN"/>
        </w:rPr>
        <w:t>剩余</w:t>
      </w:r>
      <w:r>
        <w:rPr>
          <w:rFonts w:hint="eastAsia" w:ascii="Times New Roman" w:hAnsi="Times New Roman" w:eastAsia="宋体" w:cs="Times New Roman"/>
          <w:color w:val="auto"/>
          <w:highlight w:val="none"/>
        </w:rPr>
        <w:t>年限内，矿区自上而下开采首采平台范围+</w:t>
      </w:r>
      <w:r>
        <w:rPr>
          <w:rFonts w:hint="eastAsia" w:cs="Times New Roman"/>
          <w:color w:val="auto"/>
          <w:highlight w:val="none"/>
          <w:lang w:val="en-US" w:eastAsia="zh-CN"/>
        </w:rPr>
        <w:t>447</w:t>
      </w:r>
      <w:r>
        <w:rPr>
          <w:rFonts w:hint="eastAsia" w:ascii="Times New Roman" w:hAnsi="Times New Roman" w:eastAsia="宋体" w:cs="Times New Roman"/>
          <w:color w:val="auto"/>
          <w:highlight w:val="none"/>
        </w:rPr>
        <w:t>m~+227m标高，形成水平标高为+227m的开采平台，边坡最大高度</w:t>
      </w:r>
      <w:r>
        <w:rPr>
          <w:rFonts w:hint="eastAsia" w:cs="Times New Roman"/>
          <w:color w:val="auto"/>
          <w:highlight w:val="none"/>
          <w:lang w:val="en-US" w:eastAsia="zh-CN"/>
        </w:rPr>
        <w:t>220</w:t>
      </w:r>
      <w:r>
        <w:rPr>
          <w:rFonts w:hint="eastAsia" w:ascii="Times New Roman" w:hAnsi="Times New Roman" w:eastAsia="宋体" w:cs="Times New Roman"/>
          <w:color w:val="auto"/>
          <w:highlight w:val="none"/>
        </w:rPr>
        <w:t>m。</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矿山在生产采矿过程中边坡上岩体在自重应力、表层爆破作业加上原有节理裂隙等因素作用下，岩体会产生一些新的临空面和裂面，破裂面的产生使岩体被再次切割，变得相对破碎，局部可能成为危岩。且项目位于雨量充沛地区，边坡表层受风化降雨影响，雨水渗入裂面会降低岩体的抗剪强度，削弱边坡的稳定性，从而引起边坡失稳，导致边坡发生崩塌、滑坡地质灾害。预测未来采矿活动过程可能引发采场边坡崩塌、滑坡，规模一般小于1000m</w:t>
      </w:r>
      <w:r>
        <w:rPr>
          <w:rFonts w:hint="eastAsia"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rPr>
        <w:t>，危害对象为坡下施工人员、设备及矿区外南面的乡村公路，估计受威胁人数小于10~20人，直接经济损失100~500万元。预测采矿活动引发边坡崩塌、滑坡地质灾害可能性中等，危害程度中等，危险性中等。</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②</w:t>
      </w:r>
      <w:r>
        <w:rPr>
          <w:rFonts w:hint="eastAsia" w:ascii="Times New Roman" w:hAnsi="Times New Roman" w:eastAsia="宋体" w:cs="Times New Roman"/>
          <w:color w:val="auto"/>
          <w:highlight w:val="none"/>
        </w:rPr>
        <w:t>采矿活动引发堆料场、表土场等其他地段崩塌、滑坡的危险性</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为恢复治理和复垦需要，拟在工业场地的排土场内设置表土场，表土场主要堆放矿山生产过程中收集到的石缝藏土、离析土和粉泥。所收集的种植土按自然休止角堆放，最大堆高1.5m。由于表土收集场地平整宽阔，预测未来采矿活动该地段引发崩塌、滑坡地质灾害的可能性小，危害程度小，危险性小。</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另外，矿山生产过程中，爆破崩落的矿岩经机械简单加工后，往外销售，堆放量不大，生产过程中基本为临时性堆放，堆高小，堆矿形成椭圆形的山包，在短时间内即销售完毕。矿山运矿道路主要利用原有的乡村道路，连接于采区与工业场地，坡度一般不大于15°，挖填边坡高度一般0.5~2.0m，边坡上覆松散表土层厚0.2~1.0m，矿山道路坡度较小，切坡面较小，在生产开采过程根据需要保养维护。因此，预测采矿活动上述地段引发崩塌、滑坡地质灾害的可能性小，危害程度小，危险性小。</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2、采矿活动加剧地质灾害的危险性预测评估</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矿山现状自然山坡体稳定，地质灾害弱发育，不存在加剧地质灾害。</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3、矿山建设本身可能遭受地质灾害危险性评估</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矿区的地质环境条件、地质灾害调查与现状评估结果，滑坡、崩塌是矿区在今后的矿业活动中可能遭受的主要地质灾害。在今后矿山施工建设和开采过程中，如不采取有效的防治措施和加强开采活动、采矿工艺的管理，矿区将会遭受这些地质灾害的危害，影响矿山正常生产，甚至危及采矿人员和采矿设备的安全，浪费宝贵的矿产资源。</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预测矿山建设本身可能遭受崩塌、滑坡地质灾害的区段主要为露天采坑及附近工业场地。矿山为山坡型露天开采，采矿形成一系列高15m，边坡角为70°的开采台阶，局部临时边坡较陡，台阶外侧边坡上的岩土体受岩体节理、裂隙发育、岩层产状内部因素，加上长时间风吹日晒、降雨渗透等外部因素交叉影响，开采边坡存在崩塌、滑坡的可能性。预测矿山建设本身遭受崩塌、滑坡的规模小于1000m</w:t>
      </w:r>
      <w:r>
        <w:rPr>
          <w:rFonts w:hint="eastAsia"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rPr>
        <w:t>，危害对象为坡下施工人员和设备，估计受威胁人数小于10~20人。</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预测矿山建设本身遭受崩塌、滑坡地质灾害的可能性中等，危害程度中等，危险性中等。</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3、地质灾害预测评估小结</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预测未来采矿活动引发边坡崩塌、滑坡的可能性中等，危害程度中等，危险性中等；引发其他工业场地崩塌、滑坡地质灾害的可能性小，危害程度小，危险性小。矿山建设本身遭受崩塌、滑坡地质灾害的可能性中等，危害程度中等，危险性中等。未来采矿活动引发的地质灾害对矿山地质环境的影响和破坏程度严重。</w:t>
      </w:r>
    </w:p>
    <w:p>
      <w:pPr>
        <w:pStyle w:val="6"/>
        <w:tabs>
          <w:tab w:val="left" w:pos="1390"/>
        </w:tabs>
        <w:rPr>
          <w:rFonts w:ascii="Times New Roman" w:hAnsi="Times New Roman" w:eastAsia="宋体"/>
          <w:color w:val="auto"/>
          <w:highlight w:val="none"/>
        </w:rPr>
      </w:pPr>
      <w:r>
        <w:rPr>
          <w:rFonts w:ascii="Times New Roman" w:hAnsi="Times New Roman" w:eastAsia="宋体"/>
          <w:color w:val="auto"/>
          <w:highlight w:val="none"/>
        </w:rPr>
        <w:t>4.5.2.2 地形地貌景观影响和破坏程度预测评估</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矿区及周围无地质遗迹、人文景观、国家或自治区级的文物保护单位，采矿活动主要是对矿山地形地貌景观产生影响及破坏。根据开发利用方案，未来采矿活动对地形地貌景观的破坏主要表现在露天采场、矿山公路、工业广场等。</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露天采场：根据矿山开采现状，结合矿山《矿产资源开发利用方案》及采掘计划，矿山未来持续开采矿区范围内矿体。本次拟申请采矿证年限内，露天采场的开挖，原有地表植被、土壤被破坏殆尽，破坏了原有地形地貌景观，对地形地貌构成极大的反差和视觉的不协调，对地形地貌的影响和破坏程度严重。</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矿山公路：矿区已有公路与附近乡村公路相通，已能满足日常产品运输的需要；根据开采设计，矿山仍需修建开拓公路至最高开采标高附近，会影响和破坏地形地貌。</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工业广场：矿区现状的加工场和其辅助设施未能满足生产需求，未来工业场地需要完善的场地为表土场、矿石加工厂等设施。工业场地对土地资源的损毁方式主要为压占，对原生的地形地貌景观影响和破坏程度较轻。</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评估范围内无水利工程、村庄、其他工矿企业及其他建筑物，不存在影响和破坏。矿山开采方解石矿采用自上而下分台阶进行开采，挖掘机掘矿装车，汽车运输的台阶式采矿工艺。因此，预测评估采矿活动对周围交通干线的影响和破坏程度较轻。</w:t>
      </w:r>
    </w:p>
    <w:p>
      <w:p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综上，预测矿山未来采矿活动对地形地貌景观的破坏程度严重。</w:t>
      </w:r>
    </w:p>
    <w:p>
      <w:pPr>
        <w:pStyle w:val="6"/>
        <w:tabs>
          <w:tab w:val="left" w:pos="1390"/>
        </w:tabs>
        <w:rPr>
          <w:rFonts w:ascii="Times New Roman" w:hAnsi="Times New Roman" w:eastAsia="宋体"/>
          <w:color w:val="auto"/>
          <w:highlight w:val="none"/>
        </w:rPr>
      </w:pPr>
      <w:r>
        <w:rPr>
          <w:rFonts w:ascii="Times New Roman" w:hAnsi="Times New Roman" w:eastAsia="宋体"/>
          <w:color w:val="auto"/>
          <w:highlight w:val="none"/>
        </w:rPr>
        <w:t>4.5.2.3 含水层的影响和破坏预测评估</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矿山地下水类型为碎屑岩基岩裂隙水，主要接受大气降雨的补给。矿山采用露天开采，开采矿体标高位于当地最低侵蚀基准面+200m 以上。采场汇水面积较小，与区域含水层联系不密切，矿山水文地质条件简单。未来矿山的开采活动，对区域地下水位影响较小，不破坏含水层的结构，不会造成大范围的区域地下水位降。预测采矿活动对含水层的影响和破坏程度较轻。</w:t>
      </w:r>
    </w:p>
    <w:p>
      <w:pPr>
        <w:pStyle w:val="6"/>
        <w:tabs>
          <w:tab w:val="left" w:pos="1390"/>
        </w:tabs>
        <w:rPr>
          <w:rFonts w:ascii="Times New Roman" w:hAnsi="Times New Roman" w:eastAsia="宋体"/>
          <w:color w:val="auto"/>
          <w:highlight w:val="none"/>
        </w:rPr>
      </w:pPr>
      <w:r>
        <w:rPr>
          <w:rFonts w:ascii="Times New Roman" w:hAnsi="Times New Roman" w:eastAsia="宋体"/>
          <w:color w:val="auto"/>
          <w:highlight w:val="none"/>
        </w:rPr>
        <w:t>4.5.2.4 预测评估小结</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综上所述，预测未来采矿活动引发或遭受崩塌、滑坡地质灾害的可能性中等，危害程度中等，危险性中等；采矿活动引发或遭受的地质灾害对矿山地质环境影响程度严重；采矿活动对含水层的影响和破坏程度较轻；对地形地貌景观的影响和破坏程度严重；对水土环境污染较轻；对土地资源的影响和破坏程度严重。因此，预测评估采矿活动对矿山地质环境的影响程度严重</w:t>
      </w:r>
      <w:r>
        <w:rPr>
          <w:rFonts w:ascii="Times New Roman" w:hAnsi="Times New Roman" w:eastAsia="宋体" w:cs="Times New Roman"/>
          <w:color w:val="auto"/>
          <w:highlight w:val="none"/>
        </w:rPr>
        <w:t>。</w:t>
      </w:r>
    </w:p>
    <w:p>
      <w:pPr>
        <w:pStyle w:val="87"/>
        <w:spacing w:line="360" w:lineRule="auto"/>
        <w:jc w:val="left"/>
        <w:rPr>
          <w:rFonts w:ascii="Times New Roman" w:hAnsi="Times New Roman" w:eastAsia="宋体" w:cs="Times New Roman"/>
          <w:color w:val="auto"/>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bookmarkEnd w:id="127"/>
    <w:p>
      <w:pPr>
        <w:pStyle w:val="2"/>
        <w:rPr>
          <w:rFonts w:ascii="Times New Roman" w:hAnsi="Times New Roman" w:eastAsia="宋体"/>
          <w:color w:val="auto"/>
          <w:highlight w:val="none"/>
        </w:rPr>
      </w:pPr>
      <w:bookmarkStart w:id="433" w:name="_Toc1415"/>
      <w:r>
        <w:rPr>
          <w:rFonts w:ascii="Times New Roman" w:hAnsi="Times New Roman" w:eastAsia="宋体"/>
          <w:color w:val="auto"/>
          <w:highlight w:val="none"/>
        </w:rPr>
        <w:t>5 环境保护措施及可行性论证</w:t>
      </w:r>
      <w:bookmarkEnd w:id="433"/>
    </w:p>
    <w:p>
      <w:pPr>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项目施工期建设内容主要包括完善开拓运输道路、开挖截排水沟以及各种生产配套设施设备的建设等，因此，本报告重点论述运营及闭矿期间的环保措施及其技术经济可行性。要求严格按照开采设计方案中提出的开采方式进行分层分期开采，禁止随意无计划开采，各分层、分期开采严格执行以下环保措施。</w:t>
      </w:r>
    </w:p>
    <w:p>
      <w:pPr>
        <w:pStyle w:val="4"/>
        <w:rPr>
          <w:rFonts w:ascii="Times New Roman" w:hAnsi="Times New Roman" w:eastAsia="宋体"/>
          <w:color w:val="auto"/>
          <w:highlight w:val="none"/>
        </w:rPr>
      </w:pPr>
      <w:bookmarkStart w:id="434" w:name="_Toc12295"/>
      <w:r>
        <w:rPr>
          <w:rFonts w:ascii="Times New Roman" w:hAnsi="Times New Roman" w:eastAsia="宋体"/>
          <w:color w:val="auto"/>
          <w:highlight w:val="none"/>
        </w:rPr>
        <w:t>5.1 运营期污染防治措施可行性分析</w:t>
      </w:r>
      <w:bookmarkEnd w:id="434"/>
      <w:r>
        <w:rPr>
          <w:rFonts w:ascii="Times New Roman" w:hAnsi="Times New Roman" w:eastAsia="宋体"/>
          <w:color w:val="auto"/>
          <w:highlight w:val="none"/>
        </w:rPr>
        <w:t xml:space="preserve"> </w:t>
      </w:r>
    </w:p>
    <w:p>
      <w:pPr>
        <w:pStyle w:val="5"/>
        <w:rPr>
          <w:rFonts w:ascii="Times New Roman" w:hAnsi="Times New Roman" w:eastAsia="宋体"/>
          <w:color w:val="auto"/>
          <w:highlight w:val="none"/>
        </w:rPr>
      </w:pPr>
      <w:r>
        <w:rPr>
          <w:rFonts w:ascii="Times New Roman" w:hAnsi="Times New Roman" w:eastAsia="宋体"/>
          <w:color w:val="auto"/>
          <w:highlight w:val="none"/>
        </w:rPr>
        <w:t xml:space="preserve">5.1.1 大气污染防治措施论证 </w:t>
      </w:r>
    </w:p>
    <w:p>
      <w:pPr>
        <w:ind w:firstLine="480"/>
        <w:rPr>
          <w:rFonts w:ascii="Times New Roman" w:hAnsi="Times New Roman" w:eastAsia="宋体"/>
          <w:color w:val="auto"/>
          <w:highlight w:val="none"/>
        </w:rPr>
      </w:pPr>
      <w:r>
        <w:rPr>
          <w:rFonts w:ascii="Times New Roman" w:hAnsi="Times New Roman" w:eastAsia="宋体" w:cs="Times New Roman"/>
          <w:color w:val="auto"/>
          <w:szCs w:val="24"/>
          <w:highlight w:val="none"/>
        </w:rPr>
        <w:t>根据</w:t>
      </w:r>
      <w:r>
        <w:rPr>
          <w:rFonts w:hint="eastAsia" w:ascii="Times New Roman" w:hAnsi="Times New Roman" w:eastAsia="宋体" w:cs="Times New Roman"/>
          <w:color w:val="auto"/>
          <w:szCs w:val="24"/>
          <w:highlight w:val="none"/>
          <w:lang w:bidi="ar"/>
        </w:rPr>
        <w:t>《砂石行业绿色矿山建设规范》（</w:t>
      </w:r>
      <w:r>
        <w:rPr>
          <w:rFonts w:ascii="Times New Roman" w:hAnsi="Times New Roman" w:eastAsia="宋体" w:cs="Times New Roman"/>
          <w:color w:val="auto"/>
          <w:szCs w:val="24"/>
          <w:highlight w:val="none"/>
          <w:lang w:bidi="ar"/>
        </w:rPr>
        <w:t>DZ/T</w:t>
      </w:r>
      <w:r>
        <w:rPr>
          <w:rFonts w:hint="eastAsia" w:ascii="Times New Roman" w:hAnsi="Times New Roman" w:eastAsia="宋体" w:cs="Times New Roman"/>
          <w:color w:val="auto"/>
          <w:szCs w:val="24"/>
          <w:highlight w:val="none"/>
          <w:lang w:val="en-US" w:eastAsia="zh-CN" w:bidi="ar"/>
        </w:rPr>
        <w:t xml:space="preserve"> </w:t>
      </w:r>
      <w:r>
        <w:rPr>
          <w:rFonts w:ascii="Times New Roman" w:hAnsi="Times New Roman" w:eastAsia="宋体" w:cs="Times New Roman"/>
          <w:color w:val="auto"/>
          <w:szCs w:val="24"/>
          <w:highlight w:val="none"/>
          <w:lang w:bidi="ar"/>
        </w:rPr>
        <w:t>0316-2018</w:t>
      </w:r>
      <w:r>
        <w:rPr>
          <w:rFonts w:hint="eastAsia" w:ascii="Times New Roman" w:hAnsi="Times New Roman" w:eastAsia="宋体" w:cs="Times New Roman"/>
          <w:color w:val="auto"/>
          <w:szCs w:val="24"/>
          <w:highlight w:val="none"/>
          <w:lang w:bidi="ar"/>
        </w:rPr>
        <w:t>），矿山生产过程中应采取喷雾、喷洒水或生物纳膜、加装除尘设备等措施处置粉尘，工作场所粉尘浓度应符合《工作场所有害因素职业接触限值 化学有害因素》（GBZ</w:t>
      </w:r>
      <w:r>
        <w:rPr>
          <w:rFonts w:hint="eastAsia" w:ascii="Times New Roman" w:hAnsi="Times New Roman" w:eastAsia="宋体" w:cs="Times New Roman"/>
          <w:color w:val="auto"/>
          <w:szCs w:val="24"/>
          <w:highlight w:val="none"/>
          <w:lang w:val="en-US" w:eastAsia="zh-CN" w:bidi="ar"/>
        </w:rPr>
        <w:t xml:space="preserve"> </w:t>
      </w:r>
      <w:r>
        <w:rPr>
          <w:rFonts w:hint="eastAsia" w:ascii="Times New Roman" w:hAnsi="Times New Roman" w:eastAsia="宋体" w:cs="Times New Roman"/>
          <w:color w:val="auto"/>
          <w:szCs w:val="24"/>
          <w:highlight w:val="none"/>
          <w:lang w:bidi="ar"/>
        </w:rPr>
        <w:t>2.1-2007）的规定。应对输送系统、生产线、料库等采取有效措施进行抑尘；做好车辆保洁，车辆驶离矿区必须冲洗，严禁运料遗撒和带泥上路，保持矿区及周边环境卫生。本项目矿山采用湿式作业，破碎筛分工序配置除尘设备，堆料场定期洒水并覆盖防尘网，对进出场车辆进行清洗等防护措施，使矿山工作场所粉尘浓度符合《工作场所有害因素职业接触限值 化学有害因素》（GBZ</w:t>
      </w:r>
      <w:r>
        <w:rPr>
          <w:rFonts w:hint="eastAsia" w:ascii="Times New Roman" w:hAnsi="Times New Roman" w:eastAsia="宋体" w:cs="Times New Roman"/>
          <w:color w:val="auto"/>
          <w:szCs w:val="24"/>
          <w:highlight w:val="none"/>
          <w:lang w:val="en-US" w:eastAsia="zh-CN" w:bidi="ar"/>
        </w:rPr>
        <w:t xml:space="preserve"> </w:t>
      </w:r>
      <w:r>
        <w:rPr>
          <w:rFonts w:hint="eastAsia" w:ascii="Times New Roman" w:hAnsi="Times New Roman" w:eastAsia="宋体" w:cs="Times New Roman"/>
          <w:color w:val="auto"/>
          <w:szCs w:val="24"/>
          <w:highlight w:val="none"/>
          <w:lang w:bidi="ar"/>
        </w:rPr>
        <w:t>2.1-2007）的规定。</w:t>
      </w:r>
    </w:p>
    <w:p>
      <w:pPr>
        <w:pStyle w:val="6"/>
        <w:rPr>
          <w:rFonts w:ascii="Times New Roman" w:hAnsi="Times New Roman" w:eastAsia="宋体"/>
          <w:color w:val="auto"/>
          <w:highlight w:val="none"/>
        </w:rPr>
      </w:pPr>
      <w:r>
        <w:rPr>
          <w:rFonts w:ascii="Times New Roman" w:hAnsi="Times New Roman" w:eastAsia="宋体"/>
          <w:color w:val="auto"/>
          <w:highlight w:val="none"/>
        </w:rPr>
        <w:t xml:space="preserve">5.1.1.1 </w:t>
      </w:r>
      <w:r>
        <w:rPr>
          <w:rFonts w:hint="eastAsia" w:ascii="Times New Roman" w:hAnsi="Times New Roman" w:eastAsia="宋体"/>
          <w:color w:val="auto"/>
          <w:highlight w:val="none"/>
        </w:rPr>
        <w:t>开采区</w:t>
      </w:r>
      <w:r>
        <w:rPr>
          <w:rFonts w:ascii="Times New Roman" w:hAnsi="Times New Roman" w:eastAsia="宋体"/>
          <w:color w:val="auto"/>
          <w:highlight w:val="none"/>
        </w:rPr>
        <w:t xml:space="preserve">大气污染防治措施及可行性分析 </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露天矿山采场扬尘的防治经验，一般采取洒水抑尘和严格管理作业方法进行采场扬尘污染控制，本项目主要采取以下措施。</w:t>
      </w:r>
    </w:p>
    <w:p>
      <w:pPr>
        <w:numPr>
          <w:ilvl w:val="0"/>
          <w:numId w:val="12"/>
        </w:num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凿岩钻孔时洒水抑尘，潜孔钻采用湿式作业机型，自带收尘装置，可减少钻孔凿岩颗粒物排放量约90%。根据《露天采矿湿式凿岩技术的试验与实践》（采矿技术，侯顺生，2012）一文，湿法作业时抑尘效率可达94%以上，本项目除尘效率</w:t>
      </w:r>
      <w:r>
        <w:rPr>
          <w:rFonts w:hint="eastAsia" w:ascii="Times New Roman" w:hAnsi="Times New Roman" w:eastAsia="宋体" w:cs="Times New Roman"/>
          <w:color w:val="auto"/>
          <w:szCs w:val="24"/>
          <w:highlight w:val="none"/>
        </w:rPr>
        <w:t>可达</w:t>
      </w:r>
      <w:r>
        <w:rPr>
          <w:rFonts w:ascii="Times New Roman" w:hAnsi="Times New Roman" w:eastAsia="宋体" w:cs="Times New Roman"/>
          <w:color w:val="auto"/>
          <w:szCs w:val="24"/>
          <w:highlight w:val="none"/>
        </w:rPr>
        <w:t>90%，</w:t>
      </w:r>
      <w:r>
        <w:rPr>
          <w:rFonts w:hint="eastAsia" w:ascii="Times New Roman" w:hAnsi="Times New Roman" w:eastAsia="宋体" w:cs="Times New Roman"/>
          <w:color w:val="auto"/>
          <w:szCs w:val="24"/>
          <w:highlight w:val="none"/>
        </w:rPr>
        <w:t>除尘</w:t>
      </w:r>
      <w:r>
        <w:rPr>
          <w:rFonts w:ascii="Times New Roman" w:hAnsi="Times New Roman" w:eastAsia="宋体" w:cs="Times New Roman"/>
          <w:color w:val="auto"/>
          <w:szCs w:val="24"/>
          <w:highlight w:val="none"/>
        </w:rPr>
        <w:t>措施可行。</w:t>
      </w:r>
    </w:p>
    <w:p>
      <w:pPr>
        <w:numPr>
          <w:ilvl w:val="0"/>
          <w:numId w:val="12"/>
        </w:numPr>
        <w:ind w:firstLine="48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原矿</w:t>
      </w:r>
      <w:r>
        <w:rPr>
          <w:rFonts w:ascii="Times New Roman" w:hAnsi="Times New Roman" w:eastAsia="宋体" w:cs="Times New Roman"/>
          <w:color w:val="auto"/>
          <w:szCs w:val="24"/>
          <w:highlight w:val="none"/>
        </w:rPr>
        <w:t>装车过程中通过降低物料的抛洒高度、</w:t>
      </w:r>
      <w:r>
        <w:rPr>
          <w:rFonts w:hint="eastAsia" w:ascii="Times New Roman" w:hAnsi="Times New Roman" w:eastAsia="宋体" w:cs="Times New Roman"/>
          <w:color w:val="auto"/>
          <w:szCs w:val="24"/>
          <w:highlight w:val="none"/>
        </w:rPr>
        <w:t>自卸车</w:t>
      </w:r>
      <w:r>
        <w:rPr>
          <w:rFonts w:ascii="Times New Roman" w:hAnsi="Times New Roman" w:eastAsia="宋体" w:cs="Times New Roman"/>
          <w:color w:val="auto"/>
          <w:szCs w:val="24"/>
          <w:highlight w:val="none"/>
        </w:rPr>
        <w:t>运输时不得装载过满，装车前洒水使石料含水率为5%以上、装车时洒水抑尘等措施，可减少</w:t>
      </w:r>
      <w:r>
        <w:rPr>
          <w:rFonts w:hint="eastAsia" w:ascii="Times New Roman" w:hAnsi="Times New Roman" w:eastAsia="宋体" w:cs="Times New Roman"/>
          <w:color w:val="auto"/>
          <w:szCs w:val="24"/>
          <w:highlight w:val="none"/>
        </w:rPr>
        <w:t>采装过程</w:t>
      </w:r>
      <w:r>
        <w:rPr>
          <w:rFonts w:ascii="Times New Roman" w:hAnsi="Times New Roman" w:eastAsia="宋体" w:cs="Times New Roman"/>
          <w:color w:val="auto"/>
          <w:szCs w:val="24"/>
          <w:highlight w:val="none"/>
        </w:rPr>
        <w:t xml:space="preserve">起尘量约70%。 </w:t>
      </w:r>
    </w:p>
    <w:p>
      <w:pPr>
        <w:numPr>
          <w:ilvl w:val="0"/>
          <w:numId w:val="12"/>
        </w:num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爆破作业颗粒物防治措施爆破会击起大量扬尘，虽然是一次性的，但也应予以重视。为</w:t>
      </w:r>
      <w:r>
        <w:rPr>
          <w:rFonts w:hint="eastAsia" w:ascii="Times New Roman" w:hAnsi="Times New Roman" w:eastAsia="宋体" w:cs="Times New Roman"/>
          <w:color w:val="auto"/>
          <w:szCs w:val="24"/>
          <w:highlight w:val="none"/>
        </w:rPr>
        <w:t>降低</w:t>
      </w:r>
      <w:r>
        <w:rPr>
          <w:rFonts w:ascii="Times New Roman" w:hAnsi="Times New Roman" w:eastAsia="宋体" w:cs="Times New Roman"/>
          <w:color w:val="auto"/>
          <w:szCs w:val="24"/>
          <w:highlight w:val="none"/>
        </w:rPr>
        <w:t>爆破起尘</w:t>
      </w:r>
      <w:r>
        <w:rPr>
          <w:rFonts w:hint="eastAsia" w:ascii="Times New Roman" w:hAnsi="Times New Roman" w:eastAsia="宋体" w:cs="Times New Roman"/>
          <w:color w:val="auto"/>
          <w:szCs w:val="24"/>
          <w:highlight w:val="none"/>
        </w:rPr>
        <w:t>量</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本项目</w:t>
      </w:r>
      <w:r>
        <w:rPr>
          <w:rFonts w:ascii="Times New Roman" w:hAnsi="Times New Roman" w:eastAsia="宋体" w:cs="Times New Roman"/>
          <w:color w:val="auto"/>
          <w:kern w:val="0"/>
          <w:szCs w:val="24"/>
          <w:highlight w:val="none"/>
        </w:rPr>
        <w:t>通过采用合理的炮孔网度和微差爆破，并采用水封炮眼代替部分炮泥充填炮眼、向预爆区洒水、钻孔注水等措施人为地提高矿石湿度，爆破后开启雾炮机增湿及洒水装置进行洒水降尘</w:t>
      </w:r>
      <w:r>
        <w:rPr>
          <w:rFonts w:hint="eastAsia" w:ascii="Times New Roman" w:hAnsi="Times New Roman" w:eastAsia="宋体" w:cs="Times New Roman"/>
          <w:color w:val="auto"/>
          <w:kern w:val="0"/>
          <w:szCs w:val="24"/>
          <w:highlight w:val="none"/>
        </w:rPr>
        <w:t>，根据</w:t>
      </w:r>
      <w:r>
        <w:rPr>
          <w:rFonts w:ascii="Times New Roman" w:hAnsi="Times New Roman" w:eastAsia="宋体" w:cs="Times New Roman"/>
          <w:color w:val="auto"/>
          <w:szCs w:val="24"/>
          <w:highlight w:val="none"/>
        </w:rPr>
        <w:t>《逸散性工业颗粒物控制技术》（中国环境科学出版社）</w:t>
      </w:r>
      <w:r>
        <w:rPr>
          <w:rFonts w:hint="eastAsia" w:ascii="Times New Roman" w:hAnsi="Times New Roman" w:eastAsia="宋体" w:cs="Times New Roman"/>
          <w:color w:val="auto"/>
          <w:szCs w:val="24"/>
          <w:highlight w:val="none"/>
        </w:rPr>
        <w:t>，仅采取洒水降尘，颗粒物控制效率可达50%</w:t>
      </w:r>
      <w:r>
        <w:rPr>
          <w:rFonts w:hint="eastAsia" w:ascii="Times New Roman" w:hAnsi="Times New Roman" w:eastAsia="宋体" w:cs="Times New Roman"/>
          <w:color w:val="auto"/>
          <w:kern w:val="0"/>
          <w:szCs w:val="24"/>
          <w:highlight w:val="none"/>
        </w:rPr>
        <w:t>，本项目</w:t>
      </w:r>
      <w:r>
        <w:rPr>
          <w:rFonts w:ascii="Times New Roman" w:hAnsi="Times New Roman" w:eastAsia="宋体" w:cs="Times New Roman"/>
          <w:color w:val="auto"/>
          <w:kern w:val="0"/>
          <w:szCs w:val="24"/>
          <w:highlight w:val="none"/>
        </w:rPr>
        <w:t>通过采取以上</w:t>
      </w:r>
      <w:r>
        <w:rPr>
          <w:rFonts w:hint="eastAsia" w:ascii="Times New Roman" w:hAnsi="Times New Roman" w:eastAsia="宋体" w:cs="Times New Roman"/>
          <w:color w:val="auto"/>
          <w:kern w:val="0"/>
          <w:szCs w:val="24"/>
          <w:highlight w:val="none"/>
        </w:rPr>
        <w:t>综合</w:t>
      </w:r>
      <w:r>
        <w:rPr>
          <w:rFonts w:ascii="Times New Roman" w:hAnsi="Times New Roman" w:eastAsia="宋体" w:cs="Times New Roman"/>
          <w:color w:val="auto"/>
          <w:kern w:val="0"/>
          <w:szCs w:val="24"/>
          <w:highlight w:val="none"/>
        </w:rPr>
        <w:t>措施，</w:t>
      </w:r>
      <w:r>
        <w:rPr>
          <w:rFonts w:ascii="Times New Roman" w:hAnsi="Times New Roman" w:eastAsia="宋体" w:cs="Times New Roman"/>
          <w:color w:val="auto"/>
          <w:szCs w:val="24"/>
          <w:highlight w:val="none"/>
        </w:rPr>
        <w:t>除尘效率</w:t>
      </w:r>
      <w:r>
        <w:rPr>
          <w:rFonts w:hint="eastAsia" w:ascii="Times New Roman" w:hAnsi="Times New Roman" w:eastAsia="宋体" w:cs="Times New Roman"/>
          <w:color w:val="auto"/>
          <w:szCs w:val="24"/>
          <w:highlight w:val="none"/>
        </w:rPr>
        <w:t>取</w:t>
      </w:r>
      <w:r>
        <w:rPr>
          <w:rFonts w:ascii="Times New Roman" w:hAnsi="Times New Roman" w:eastAsia="宋体" w:cs="Times New Roman"/>
          <w:color w:val="auto"/>
          <w:szCs w:val="24"/>
          <w:highlight w:val="none"/>
        </w:rPr>
        <w:t>70%</w:t>
      </w:r>
      <w:r>
        <w:rPr>
          <w:rFonts w:hint="eastAsia" w:ascii="Times New Roman" w:hAnsi="Times New Roman" w:eastAsia="宋体" w:cs="Times New Roman"/>
          <w:color w:val="auto"/>
          <w:szCs w:val="24"/>
          <w:highlight w:val="none"/>
        </w:rPr>
        <w:t>较为合理</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可</w:t>
      </w:r>
      <w:r>
        <w:rPr>
          <w:rFonts w:ascii="Times New Roman" w:hAnsi="Times New Roman" w:eastAsia="宋体" w:cs="Times New Roman"/>
          <w:color w:val="auto"/>
          <w:szCs w:val="24"/>
          <w:highlight w:val="none"/>
        </w:rPr>
        <w:t>有效地抑制</w:t>
      </w:r>
      <w:r>
        <w:rPr>
          <w:rFonts w:hint="eastAsia" w:ascii="Times New Roman" w:hAnsi="Times New Roman" w:eastAsia="宋体" w:cs="Times New Roman"/>
          <w:color w:val="auto"/>
          <w:szCs w:val="24"/>
          <w:highlight w:val="none"/>
        </w:rPr>
        <w:t>爆破过程</w:t>
      </w:r>
      <w:r>
        <w:rPr>
          <w:rFonts w:ascii="Times New Roman" w:hAnsi="Times New Roman" w:eastAsia="宋体" w:cs="Times New Roman"/>
          <w:color w:val="auto"/>
          <w:szCs w:val="24"/>
          <w:highlight w:val="none"/>
        </w:rPr>
        <w:t>颗粒物飞扬。同时为进一步降低爆破扬尘及炮烟对局部环境的影响，爆破时应选择有利于大气污染物扩散的时间爆破，尽可能避开静风或逆温等大气污染物不易扩散的天气。</w:t>
      </w:r>
    </w:p>
    <w:p>
      <w:pPr>
        <w:numPr>
          <w:ilvl w:val="0"/>
          <w:numId w:val="12"/>
        </w:num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避免在大风天气进行挖掘、装卸作业，并在大风时对施工工作面及时进行洒水或用苫布遮盖，防治工作面风蚀扬尘。</w:t>
      </w:r>
      <w:r>
        <w:rPr>
          <w:rFonts w:hint="eastAsia" w:ascii="Times New Roman" w:hAnsi="Times New Roman" w:eastAsia="宋体" w:cs="Times New Roman"/>
          <w:color w:val="auto"/>
          <w:szCs w:val="24"/>
          <w:highlight w:val="none"/>
        </w:rPr>
        <w:t>项目在开采区配置雾炮机，作业时视作业面粉尘情况开启雾炮机洒水降尘。</w:t>
      </w:r>
    </w:p>
    <w:p>
      <w:pPr>
        <w:numPr>
          <w:ilvl w:val="0"/>
          <w:numId w:val="12"/>
        </w:num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严格控制剥、采进度，剥采同步，以避免挖掘面大面积裸露。</w:t>
      </w:r>
    </w:p>
    <w:p>
      <w:pPr>
        <w:numPr>
          <w:ilvl w:val="0"/>
          <w:numId w:val="12"/>
        </w:num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采矿和复垦同步、复垦的工程措施和生物措施同步，尽早恢复场地植被，干燥季节施工采取洒水降尘措施，这样不但可以减少扬尘点，而且可使扬尘造成的TSP污染距离缩小到20～50m的范围内。</w:t>
      </w:r>
    </w:p>
    <w:p>
      <w:pPr>
        <w:numPr>
          <w:ilvl w:val="0"/>
          <w:numId w:val="12"/>
        </w:num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 xml:space="preserve">加强作业管理，提倡文明作业，避免野蛮作业造成不必要的扬尘污染。 </w:t>
      </w:r>
    </w:p>
    <w:p>
      <w:pPr>
        <w:numPr>
          <w:ilvl w:val="0"/>
          <w:numId w:val="12"/>
        </w:num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 xml:space="preserve">使用达到相关移动源环保要求的内燃机施工机械，使用符合国家标准的燃料油，并通过加强保养和维护，确保内燃机燃油尾气达标排放。 </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采取以上措施后，可将采场大气污染物排放降低到最低程度，可确保采场周界颗粒物无组织排放浓度满足《大气污染物综合排放标准》（GB</w:t>
      </w:r>
      <w:r>
        <w:rPr>
          <w:rFonts w:hint="eastAsia" w:ascii="Times New Roman" w:hAnsi="Times New Roman" w:eastAsia="宋体" w:cs="Times New Roman"/>
          <w:color w:val="auto"/>
          <w:szCs w:val="24"/>
          <w:highlight w:val="none"/>
          <w:lang w:val="en-US" w:eastAsia="zh-CN"/>
        </w:rPr>
        <w:t xml:space="preserve"> </w:t>
      </w:r>
      <w:r>
        <w:rPr>
          <w:rFonts w:ascii="Times New Roman" w:hAnsi="Times New Roman" w:eastAsia="宋体" w:cs="Times New Roman"/>
          <w:color w:val="auto"/>
          <w:szCs w:val="24"/>
          <w:highlight w:val="none"/>
        </w:rPr>
        <w:t>16297-1996）表2无组织排放</w:t>
      </w:r>
      <w:r>
        <w:rPr>
          <w:rFonts w:ascii="Times New Roman" w:hAnsi="Times New Roman" w:eastAsia="宋体" w:cs="Times New Roman"/>
          <w:color w:val="auto"/>
          <w:highlight w:val="none"/>
        </w:rPr>
        <w:t>监控浓度限值</w:t>
      </w:r>
      <w:r>
        <w:rPr>
          <w:rFonts w:ascii="Times New Roman" w:hAnsi="Times New Roman" w:eastAsia="宋体" w:cs="Times New Roman"/>
          <w:color w:val="auto"/>
          <w:szCs w:val="24"/>
          <w:highlight w:val="none"/>
        </w:rPr>
        <w:t>要求（周界外浓度最高点≤1.0mg/m</w:t>
      </w:r>
      <w:r>
        <w:rPr>
          <w:rFonts w:ascii="Times New Roman" w:hAnsi="Times New Roman" w:eastAsia="宋体" w:cs="Times New Roman"/>
          <w:color w:val="auto"/>
          <w:szCs w:val="24"/>
          <w:highlight w:val="none"/>
          <w:vertAlign w:val="superscript"/>
        </w:rPr>
        <w:t>3</w:t>
      </w:r>
      <w:r>
        <w:rPr>
          <w:rFonts w:ascii="Times New Roman" w:hAnsi="Times New Roman" w:eastAsia="宋体" w:cs="Times New Roman"/>
          <w:color w:val="auto"/>
          <w:szCs w:val="24"/>
          <w:highlight w:val="none"/>
        </w:rPr>
        <w:t>的）；并使燃油尾气达到国家对移动源尾气排放的相应标准，可减轻运营期大气污染物对周边环境空气质量的影响。</w:t>
      </w:r>
    </w:p>
    <w:p>
      <w:pPr>
        <w:pStyle w:val="6"/>
        <w:rPr>
          <w:rFonts w:ascii="Times New Roman" w:hAnsi="Times New Roman" w:eastAsia="宋体"/>
          <w:color w:val="auto"/>
          <w:highlight w:val="none"/>
        </w:rPr>
      </w:pPr>
      <w:r>
        <w:rPr>
          <w:rFonts w:ascii="Times New Roman" w:hAnsi="Times New Roman" w:eastAsia="宋体"/>
          <w:color w:val="auto"/>
          <w:highlight w:val="none"/>
        </w:rPr>
        <w:t>5.1.1.2 破碎筛分场大气污染防治措施及可行性分析</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石破碎筛分加工过程中产生的颗粒物较多，破碎时增加矿石湿度，可有效抑制颗粒物的产生，据《资源调查与环境》（24卷，第四期，2003）相关的经验数据，当矿石湿润程度达到40%时，颗粒物的产生量将降低76%，故本项目通过在破碎时增加矿石湿度，减少颗粒物的产生量，该方法简单有效，具有很强的可操作性。</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脉冲袋式除尘器工作时含尘气体从箱底下部进入灰斗后，由于气流断面积突然扩大，流速降低，气流中一部分颗粒组、密度大的尘粒在重力作用下，在灰斗内沉降下来；粒度细、密度小的尘粒进入袋滤室后，通过滤袋表面的惯性碰撞、筛滤等综合效应，使粉尘沉积在滤袋表面上。净化后的气体进入净化室由排气管经风机排出。袋式除尘器是一种与运用比较广泛的收尘设备，收尘效率稳定，很少受废气物理化学性质的变化的影响，操作比较简单等特点。目前，袋式除尘器属于工业企业治理颗粒物废气主要采取的措施，该措施技术成熟可靠。</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根据《除尘器手册》（张殿印、王纯主编，化学工业出版社）表1-18，截图如下：</w:t>
      </w:r>
    </w:p>
    <w:p>
      <w:pPr>
        <w:ind w:firstLine="0" w:firstLineChars="0"/>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inline distT="0" distB="0" distL="114300" distR="114300">
            <wp:extent cx="5728335" cy="2251075"/>
            <wp:effectExtent l="0" t="0" r="5715" b="15875"/>
            <wp:docPr id="68"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90"/>
                    <pic:cNvPicPr>
                      <a:picLocks noChangeAspect="1"/>
                    </pic:cNvPicPr>
                  </pic:nvPicPr>
                  <pic:blipFill>
                    <a:blip r:embed="rId102"/>
                    <a:stretch>
                      <a:fillRect/>
                    </a:stretch>
                  </pic:blipFill>
                  <pic:spPr>
                    <a:xfrm>
                      <a:off x="0" y="0"/>
                      <a:ext cx="5728335" cy="2251075"/>
                    </a:xfrm>
                    <a:prstGeom prst="rect">
                      <a:avLst/>
                    </a:prstGeom>
                    <a:noFill/>
                    <a:ln>
                      <a:noFill/>
                    </a:ln>
                  </pic:spPr>
                </pic:pic>
              </a:graphicData>
            </a:graphic>
          </wp:inline>
        </w:drawing>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根据截图数据，脉冲袋式除尘器对50um以上颗粒物处理效率可达100%，对5um以上颗粒物处理效率大于99%，对1um以上颗粒物处理效率为99%，综合处理效率效率可达99.5%，故本报告中脉冲袋式</w:t>
      </w:r>
      <w:r>
        <w:rPr>
          <w:rFonts w:hint="eastAsia" w:ascii="Times New Roman" w:hAnsi="Times New Roman" w:eastAsia="宋体" w:cs="Times New Roman"/>
          <w:color w:val="auto"/>
          <w:highlight w:val="none"/>
        </w:rPr>
        <w:t>除尘器粉尘</w:t>
      </w:r>
      <w:r>
        <w:rPr>
          <w:rFonts w:ascii="Times New Roman" w:hAnsi="Times New Roman" w:eastAsia="宋体" w:cs="Times New Roman"/>
          <w:color w:val="auto"/>
          <w:highlight w:val="none"/>
        </w:rPr>
        <w:t>效率取99%较合理。</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w:t>
      </w:r>
      <w:r>
        <w:rPr>
          <w:rFonts w:hint="eastAsia"/>
          <w:color w:val="auto"/>
          <w:highlight w:val="none"/>
          <w:u w:val="single"/>
          <w:lang w:eastAsia="zh-CN"/>
        </w:rPr>
        <w:t>破碎场①</w:t>
      </w:r>
      <w:r>
        <w:rPr>
          <w:rFonts w:hint="eastAsia" w:ascii="Times New Roman" w:hAnsi="Times New Roman" w:eastAsia="宋体" w:cs="Times New Roman"/>
          <w:color w:val="auto"/>
          <w:highlight w:val="none"/>
          <w:u w:val="single"/>
        </w:rPr>
        <w:t>、</w:t>
      </w:r>
      <w:r>
        <w:rPr>
          <w:rFonts w:hint="eastAsia" w:cs="Times New Roman"/>
          <w:color w:val="auto"/>
          <w:highlight w:val="none"/>
          <w:u w:val="single"/>
          <w:lang w:eastAsia="zh-CN"/>
        </w:rPr>
        <w:t>破碎场②</w:t>
      </w:r>
      <w:r>
        <w:rPr>
          <w:rFonts w:hint="eastAsia" w:ascii="Times New Roman" w:hAnsi="Times New Roman" w:eastAsia="宋体" w:cs="Times New Roman"/>
          <w:color w:val="auto"/>
          <w:highlight w:val="none"/>
        </w:rPr>
        <w:t>筛选</w:t>
      </w:r>
      <w:r>
        <w:rPr>
          <w:rFonts w:ascii="Times New Roman" w:hAnsi="Times New Roman" w:eastAsia="宋体" w:cs="Times New Roman"/>
          <w:color w:val="auto"/>
          <w:highlight w:val="none"/>
        </w:rPr>
        <w:t>破碎、</w:t>
      </w:r>
      <w:r>
        <w:rPr>
          <w:rFonts w:hint="eastAsia" w:ascii="Times New Roman" w:hAnsi="Times New Roman" w:eastAsia="宋体" w:cs="Times New Roman"/>
          <w:color w:val="auto"/>
          <w:highlight w:val="none"/>
        </w:rPr>
        <w:t>二级破碎筛分</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三级破碎筛分工序均</w:t>
      </w:r>
      <w:r>
        <w:rPr>
          <w:rFonts w:ascii="Times New Roman" w:hAnsi="Times New Roman" w:eastAsia="宋体" w:cs="Times New Roman"/>
          <w:color w:val="auto"/>
          <w:highlight w:val="none"/>
        </w:rPr>
        <w:t>分别设置</w:t>
      </w:r>
      <w:r>
        <w:rPr>
          <w:rFonts w:hint="eastAsia" w:ascii="Times New Roman" w:hAnsi="Times New Roman" w:eastAsia="宋体" w:cs="Times New Roman"/>
          <w:color w:val="auto"/>
          <w:szCs w:val="24"/>
          <w:highlight w:val="none"/>
        </w:rPr>
        <w:t>喷淋+封闭+负压收集</w:t>
      </w:r>
      <w:r>
        <w:rPr>
          <w:rFonts w:ascii="Times New Roman" w:hAnsi="Times New Roman" w:eastAsia="宋体" w:cs="Times New Roman"/>
          <w:color w:val="auto"/>
          <w:szCs w:val="24"/>
          <w:highlight w:val="none"/>
        </w:rPr>
        <w:t>+袋式除尘</w:t>
      </w:r>
      <w:r>
        <w:rPr>
          <w:rFonts w:hint="eastAsia" w:ascii="Times New Roman" w:hAnsi="Times New Roman" w:eastAsia="宋体" w:cs="Times New Roman"/>
          <w:color w:val="auto"/>
          <w:szCs w:val="24"/>
          <w:highlight w:val="none"/>
        </w:rPr>
        <w:t>设施</w:t>
      </w:r>
      <w:r>
        <w:rPr>
          <w:rFonts w:ascii="Times New Roman" w:hAnsi="Times New Roman" w:eastAsia="宋体" w:cs="Times New Roman"/>
          <w:color w:val="auto"/>
          <w:szCs w:val="24"/>
          <w:highlight w:val="none"/>
        </w:rPr>
        <w:t>，颗粒物经</w:t>
      </w:r>
      <w:r>
        <w:rPr>
          <w:rFonts w:hint="eastAsia" w:ascii="Times New Roman" w:hAnsi="Times New Roman" w:eastAsia="宋体" w:cs="Times New Roman"/>
          <w:color w:val="auto"/>
          <w:szCs w:val="24"/>
          <w:highlight w:val="none"/>
        </w:rPr>
        <w:t>收集</w:t>
      </w:r>
      <w:r>
        <w:rPr>
          <w:rFonts w:ascii="Times New Roman" w:hAnsi="Times New Roman" w:eastAsia="宋体" w:cs="Times New Roman"/>
          <w:color w:val="auto"/>
          <w:szCs w:val="24"/>
          <w:highlight w:val="none"/>
        </w:rPr>
        <w:t>处理后由15m排气筒排放</w:t>
      </w:r>
      <w:r>
        <w:rPr>
          <w:rFonts w:ascii="Times New Roman" w:hAnsi="Times New Roman" w:eastAsia="宋体" w:cs="Times New Roman"/>
          <w:color w:val="auto"/>
          <w:highlight w:val="none"/>
        </w:rPr>
        <w:t>，即破碎筛分各个生产环节的颗粒物经过封闭处理，颗粒物经</w:t>
      </w:r>
      <w:r>
        <w:rPr>
          <w:rFonts w:hint="eastAsia" w:ascii="Times New Roman" w:hAnsi="Times New Roman" w:eastAsia="宋体" w:cs="Times New Roman"/>
          <w:color w:val="auto"/>
          <w:highlight w:val="none"/>
        </w:rPr>
        <w:t>负压</w:t>
      </w:r>
      <w:r>
        <w:rPr>
          <w:rFonts w:ascii="Times New Roman" w:hAnsi="Times New Roman" w:eastAsia="宋体" w:cs="Times New Roman"/>
          <w:color w:val="auto"/>
          <w:highlight w:val="none"/>
        </w:rPr>
        <w:t>收集后分别进入各自的袋式除尘器处理，</w:t>
      </w:r>
      <w:r>
        <w:rPr>
          <w:rFonts w:hint="eastAsia" w:ascii="Times New Roman" w:hAnsi="Times New Roman" w:eastAsia="宋体" w:cs="Times New Roman"/>
          <w:color w:val="auto"/>
          <w:highlight w:val="none"/>
        </w:rPr>
        <w:t>负压收集效率为90%，</w:t>
      </w:r>
      <w:r>
        <w:rPr>
          <w:rFonts w:ascii="Times New Roman" w:hAnsi="Times New Roman" w:eastAsia="宋体" w:cs="Times New Roman"/>
          <w:color w:val="auto"/>
          <w:highlight w:val="none"/>
        </w:rPr>
        <w:t>除尘效率均为99%，风机风量10000m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/h，项目年运行</w:t>
      </w:r>
      <w:r>
        <w:rPr>
          <w:rFonts w:hint="eastAsia" w:ascii="Times New Roman" w:hAnsi="Times New Roman" w:eastAsia="宋体" w:cs="Times New Roman"/>
          <w:color w:val="auto"/>
          <w:highlight w:val="none"/>
        </w:rPr>
        <w:t>24</w:t>
      </w:r>
      <w:r>
        <w:rPr>
          <w:rFonts w:ascii="Times New Roman" w:hAnsi="Times New Roman" w:eastAsia="宋体" w:cs="Times New Roman"/>
          <w:color w:val="auto"/>
          <w:highlight w:val="none"/>
        </w:rPr>
        <w:t>00h，处理后</w:t>
      </w:r>
      <w:r>
        <w:rPr>
          <w:rFonts w:hint="eastAsia" w:ascii="Times New Roman" w:hAnsi="Times New Roman" w:eastAsia="宋体" w:cs="Times New Roman"/>
          <w:color w:val="auto"/>
          <w:highlight w:val="none"/>
        </w:rPr>
        <w:t>筛选</w:t>
      </w:r>
      <w:r>
        <w:rPr>
          <w:rFonts w:ascii="Times New Roman" w:hAnsi="Times New Roman" w:eastAsia="宋体" w:cs="Times New Roman"/>
          <w:color w:val="auto"/>
          <w:highlight w:val="none"/>
        </w:rPr>
        <w:t>破碎、</w:t>
      </w:r>
      <w:r>
        <w:rPr>
          <w:rFonts w:hint="eastAsia" w:ascii="Times New Roman" w:hAnsi="Times New Roman" w:eastAsia="宋体" w:cs="Times New Roman"/>
          <w:color w:val="auto"/>
          <w:highlight w:val="none"/>
        </w:rPr>
        <w:t>二级破碎筛分</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三级破碎筛分</w:t>
      </w:r>
      <w:r>
        <w:rPr>
          <w:rFonts w:ascii="Times New Roman" w:hAnsi="Times New Roman" w:eastAsia="宋体" w:cs="Times New Roman"/>
          <w:color w:val="auto"/>
          <w:highlight w:val="none"/>
        </w:rPr>
        <w:t>颗粒物排放浓度</w:t>
      </w:r>
      <w:r>
        <w:rPr>
          <w:rFonts w:hint="eastAsia" w:ascii="Times New Roman" w:hAnsi="Times New Roman" w:eastAsia="宋体" w:cs="Times New Roman"/>
          <w:color w:val="auto"/>
          <w:highlight w:val="none"/>
        </w:rPr>
        <w:t>和速率</w:t>
      </w:r>
      <w:r>
        <w:rPr>
          <w:rFonts w:ascii="Times New Roman" w:hAnsi="Times New Roman" w:eastAsia="宋体" w:cs="Times New Roman"/>
          <w:color w:val="auto"/>
          <w:szCs w:val="24"/>
          <w:highlight w:val="none"/>
        </w:rPr>
        <w:t>均满足《大气污染物综合排放标准》（GB</w:t>
      </w:r>
      <w:r>
        <w:rPr>
          <w:rFonts w:hint="eastAsia" w:ascii="Times New Roman" w:hAnsi="Times New Roman" w:eastAsia="宋体" w:cs="Times New Roman"/>
          <w:color w:val="auto"/>
          <w:szCs w:val="24"/>
          <w:highlight w:val="none"/>
          <w:lang w:val="en-US" w:eastAsia="zh-CN"/>
        </w:rPr>
        <w:t xml:space="preserve"> </w:t>
      </w:r>
      <w:r>
        <w:rPr>
          <w:rFonts w:ascii="Times New Roman" w:hAnsi="Times New Roman" w:eastAsia="宋体" w:cs="Times New Roman"/>
          <w:color w:val="auto"/>
          <w:szCs w:val="24"/>
          <w:highlight w:val="none"/>
        </w:rPr>
        <w:t>16297-1996）</w:t>
      </w:r>
      <w:r>
        <w:rPr>
          <w:rFonts w:ascii="Times New Roman" w:hAnsi="Times New Roman" w:eastAsia="宋体" w:cs="Times New Roman"/>
          <w:color w:val="auto"/>
          <w:highlight w:val="none"/>
        </w:rPr>
        <w:t>表2中二级限值标准</w:t>
      </w:r>
      <w:r>
        <w:rPr>
          <w:rFonts w:hint="eastAsia" w:ascii="Times New Roman" w:hAnsi="Times New Roman" w:eastAsia="宋体" w:cs="Times New Roman"/>
          <w:color w:val="auto"/>
          <w:szCs w:val="24"/>
          <w:highlight w:val="none"/>
        </w:rPr>
        <w:t>，未收集颗粒物经封闭厂房四周喷淋设施喷淋降尘，同时在破碎加工区配置雾炮机，日常生产过程通过高空喷水降尘，根据</w:t>
      </w:r>
      <w:r>
        <w:rPr>
          <w:rFonts w:ascii="Times New Roman" w:hAnsi="Times New Roman" w:eastAsia="宋体" w:cs="Times New Roman"/>
          <w:color w:val="auto"/>
          <w:szCs w:val="24"/>
          <w:highlight w:val="none"/>
        </w:rPr>
        <w:t>《逸散性工业颗粒物控制技术》（中国环境科学出版社）</w:t>
      </w:r>
      <w:r>
        <w:rPr>
          <w:rFonts w:hint="eastAsia" w:ascii="Times New Roman" w:hAnsi="Times New Roman" w:eastAsia="宋体" w:cs="Times New Roman"/>
          <w:color w:val="auto"/>
          <w:szCs w:val="24"/>
          <w:highlight w:val="none"/>
        </w:rPr>
        <w:t>，</w:t>
      </w:r>
      <w:r>
        <w:rPr>
          <w:rFonts w:hint="eastAsia" w:ascii="Times New Roman" w:hAnsi="Times New Roman" w:eastAsia="宋体"/>
          <w:color w:val="auto"/>
          <w:highlight w:val="none"/>
        </w:rPr>
        <w:t>采用喷淋控制技术颗粒物有效控制效率为70%，无组织排放经喷淋和封闭控制，处理效率可达90%，可大大降低破碎筛分过程颗粒物无组织排放，</w:t>
      </w:r>
      <w:r>
        <w:rPr>
          <w:rFonts w:ascii="Times New Roman" w:hAnsi="Times New Roman" w:eastAsia="宋体" w:cs="Times New Roman"/>
          <w:color w:val="auto"/>
          <w:highlight w:val="none"/>
        </w:rPr>
        <w:t xml:space="preserve">破碎筛分颗粒物处理措施可行。 </w:t>
      </w:r>
    </w:p>
    <w:p>
      <w:pPr>
        <w:pStyle w:val="6"/>
        <w:rPr>
          <w:rFonts w:ascii="Times New Roman" w:hAnsi="Times New Roman" w:eastAsia="宋体"/>
          <w:color w:val="auto"/>
          <w:highlight w:val="none"/>
        </w:rPr>
      </w:pPr>
      <w:r>
        <w:rPr>
          <w:rFonts w:ascii="Times New Roman" w:hAnsi="Times New Roman" w:eastAsia="宋体"/>
          <w:color w:val="auto"/>
          <w:highlight w:val="none"/>
        </w:rPr>
        <w:t xml:space="preserve">5.1.1.3 堆料场防治措施及可行性分析     </w:t>
      </w:r>
    </w:p>
    <w:p>
      <w:pPr>
        <w:ind w:firstLine="48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临时排土场</w:t>
      </w:r>
      <w:r>
        <w:rPr>
          <w:rFonts w:ascii="Times New Roman" w:hAnsi="Times New Roman" w:eastAsia="宋体" w:cs="Times New Roman"/>
          <w:color w:val="auto"/>
          <w:szCs w:val="24"/>
          <w:highlight w:val="none"/>
        </w:rPr>
        <w:t>和堆料场颗粒物主要来源于表土和石料的堆放场、装卸、运输三大环节</w:t>
      </w:r>
      <w:r>
        <w:rPr>
          <w:rFonts w:hint="eastAsia" w:ascii="Times New Roman" w:hAnsi="Times New Roman" w:eastAsia="宋体" w:cs="Times New Roman"/>
          <w:color w:val="auto"/>
          <w:szCs w:val="24"/>
          <w:highlight w:val="none"/>
        </w:rPr>
        <w:t>，需对堆料场和表土场采取以下</w:t>
      </w:r>
      <w:r>
        <w:rPr>
          <w:rFonts w:ascii="Times New Roman" w:hAnsi="Times New Roman" w:eastAsia="宋体" w:cs="Times New Roman"/>
          <w:color w:val="auto"/>
          <w:szCs w:val="24"/>
          <w:highlight w:val="none"/>
        </w:rPr>
        <w:t>防尘措施：</w:t>
      </w:r>
    </w:p>
    <w:p>
      <w:pPr>
        <w:numPr>
          <w:ilvl w:val="0"/>
          <w:numId w:val="13"/>
        </w:num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采装时，应尽量降低卸料高度，并实时洒水抑尘，减少采装产生的扬尘；</w:t>
      </w:r>
    </w:p>
    <w:p>
      <w:pPr>
        <w:numPr>
          <w:ilvl w:val="0"/>
          <w:numId w:val="13"/>
        </w:numPr>
        <w:ind w:firstLine="48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石粉堆场建设厂棚，</w:t>
      </w:r>
      <w:r>
        <w:rPr>
          <w:rFonts w:ascii="Times New Roman" w:hAnsi="Times New Roman" w:eastAsia="宋体" w:cs="Times New Roman"/>
          <w:color w:val="auto"/>
          <w:szCs w:val="24"/>
          <w:highlight w:val="none"/>
        </w:rPr>
        <w:t>堆料场布设防尘网，定期洒水，保持堆矿的矿体湿润，降低风力扬尘；</w:t>
      </w:r>
      <w:r>
        <w:rPr>
          <w:rFonts w:hint="eastAsia" w:ascii="Times New Roman" w:hAnsi="Times New Roman" w:eastAsia="宋体" w:cs="Times New Roman"/>
          <w:color w:val="auto"/>
          <w:szCs w:val="24"/>
          <w:highlight w:val="none"/>
        </w:rPr>
        <w:t>临时排土场</w:t>
      </w:r>
      <w:r>
        <w:rPr>
          <w:rFonts w:ascii="Times New Roman" w:hAnsi="Times New Roman" w:eastAsia="宋体" w:cs="Times New Roman"/>
          <w:color w:val="auto"/>
          <w:szCs w:val="24"/>
          <w:highlight w:val="none"/>
        </w:rPr>
        <w:t>布设防尘网，定期洒水，</w:t>
      </w:r>
      <w:r>
        <w:rPr>
          <w:rFonts w:hint="eastAsia" w:ascii="Times New Roman" w:hAnsi="Times New Roman" w:eastAsia="宋体" w:cs="Times New Roman"/>
          <w:color w:val="auto"/>
          <w:szCs w:val="24"/>
          <w:highlight w:val="none"/>
        </w:rPr>
        <w:t>周边建设不低于堆土高度的挡土墙</w:t>
      </w:r>
      <w:r>
        <w:rPr>
          <w:rFonts w:ascii="Times New Roman" w:hAnsi="Times New Roman" w:eastAsia="宋体" w:cs="Times New Roman"/>
          <w:color w:val="auto"/>
          <w:szCs w:val="24"/>
          <w:highlight w:val="none"/>
        </w:rPr>
        <w:t>，降低风力扬尘</w:t>
      </w:r>
      <w:r>
        <w:rPr>
          <w:rFonts w:hint="eastAsia" w:ascii="Times New Roman" w:hAnsi="Times New Roman" w:eastAsia="宋体" w:cs="Times New Roman"/>
          <w:color w:val="auto"/>
          <w:szCs w:val="24"/>
          <w:highlight w:val="none"/>
        </w:rPr>
        <w:t>，根据边开采边复垦原则，减少表土堆存周期和储存量。</w:t>
      </w:r>
    </w:p>
    <w:p>
      <w:pPr>
        <w:numPr>
          <w:ilvl w:val="0"/>
          <w:numId w:val="13"/>
        </w:numPr>
        <w:ind w:firstLine="48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堆料场和运输道路地面进行硬化处理，</w:t>
      </w:r>
      <w:r>
        <w:rPr>
          <w:rFonts w:ascii="Times New Roman" w:hAnsi="Times New Roman" w:eastAsia="宋体" w:cs="Times New Roman"/>
          <w:color w:val="auto"/>
          <w:szCs w:val="24"/>
          <w:highlight w:val="none"/>
        </w:rPr>
        <w:t>采用洒水车对矿区</w:t>
      </w:r>
      <w:r>
        <w:rPr>
          <w:rFonts w:hint="eastAsia" w:ascii="Times New Roman" w:hAnsi="Times New Roman" w:eastAsia="宋体" w:cs="Times New Roman"/>
          <w:color w:val="auto"/>
          <w:szCs w:val="24"/>
          <w:highlight w:val="none"/>
        </w:rPr>
        <w:t>内</w:t>
      </w:r>
      <w:r>
        <w:rPr>
          <w:rFonts w:ascii="Times New Roman" w:hAnsi="Times New Roman" w:eastAsia="宋体" w:cs="Times New Roman"/>
          <w:color w:val="auto"/>
          <w:szCs w:val="24"/>
          <w:highlight w:val="none"/>
        </w:rPr>
        <w:t>道路进行定期洒水，使矿区</w:t>
      </w:r>
      <w:r>
        <w:rPr>
          <w:rFonts w:hint="eastAsia" w:ascii="Times New Roman" w:hAnsi="Times New Roman" w:eastAsia="宋体" w:cs="Times New Roman"/>
          <w:color w:val="auto"/>
          <w:szCs w:val="24"/>
          <w:highlight w:val="none"/>
        </w:rPr>
        <w:t>内</w:t>
      </w:r>
      <w:r>
        <w:rPr>
          <w:rFonts w:ascii="Times New Roman" w:hAnsi="Times New Roman" w:eastAsia="宋体" w:cs="Times New Roman"/>
          <w:color w:val="auto"/>
          <w:szCs w:val="24"/>
          <w:highlight w:val="none"/>
        </w:rPr>
        <w:t>道路的路面保持湿润，确保运输车辆通过时基本不产生可视的扬尘</w:t>
      </w:r>
      <w:r>
        <w:rPr>
          <w:rFonts w:hint="eastAsia" w:ascii="Times New Roman" w:hAnsi="Times New Roman" w:eastAsia="宋体" w:cs="Times New Roman"/>
          <w:color w:val="auto"/>
          <w:szCs w:val="24"/>
          <w:highlight w:val="none"/>
        </w:rPr>
        <w:t>。</w:t>
      </w:r>
    </w:p>
    <w:p>
      <w:pPr>
        <w:numPr>
          <w:ilvl w:val="0"/>
          <w:numId w:val="13"/>
        </w:num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运输车辆所装石料辆的装载高度不得超过车辆槽帮上沿，运输道路定期洒水，运输车辆加盖篷布，并保证物料不遗撒外漏。</w:t>
      </w:r>
    </w:p>
    <w:p>
      <w:pPr>
        <w:numPr>
          <w:ilvl w:val="0"/>
          <w:numId w:val="13"/>
        </w:numPr>
        <w:ind w:firstLine="48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落料过程使用可伸缩斜槽导料，降低落料高度。</w:t>
      </w:r>
    </w:p>
    <w:p>
      <w:pPr>
        <w:numPr>
          <w:ilvl w:val="0"/>
          <w:numId w:val="13"/>
        </w:numPr>
        <w:ind w:firstLine="48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本项目产品的粒径分别为0⁓0.5cm、0.5⁓1.0cm、1.0⁓2.0cm、2.0⁓3.0cm，针对不同的产品粒度，堆料场应进行合理分区，不同粒径的产品分别进行堆存，减少堆料场的扰动影响，其中小于0.5cm粒径产品为石粉，应该设置厂棚堆存。</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采取以上措施后，可将矿区大气污染物排放降低到最低程度，可确保采场周界颗粒物无组织排放浓度满足《大气污染物综合排放标准》（GB</w:t>
      </w:r>
      <w:r>
        <w:rPr>
          <w:rFonts w:hint="eastAsia" w:ascii="Times New Roman" w:hAnsi="Times New Roman" w:eastAsia="宋体" w:cs="Times New Roman"/>
          <w:color w:val="auto"/>
          <w:szCs w:val="24"/>
          <w:highlight w:val="none"/>
          <w:lang w:val="en-US" w:eastAsia="zh-CN"/>
        </w:rPr>
        <w:t xml:space="preserve"> </w:t>
      </w:r>
      <w:r>
        <w:rPr>
          <w:rFonts w:ascii="Times New Roman" w:hAnsi="Times New Roman" w:eastAsia="宋体" w:cs="Times New Roman"/>
          <w:color w:val="auto"/>
          <w:szCs w:val="24"/>
          <w:highlight w:val="none"/>
        </w:rPr>
        <w:t>16297-1996）表2无组织排放</w:t>
      </w:r>
      <w:r>
        <w:rPr>
          <w:rFonts w:ascii="Times New Roman" w:hAnsi="Times New Roman" w:eastAsia="宋体" w:cs="Times New Roman"/>
          <w:color w:val="auto"/>
          <w:highlight w:val="none"/>
        </w:rPr>
        <w:t>监控浓度限值</w:t>
      </w:r>
      <w:r>
        <w:rPr>
          <w:rFonts w:ascii="Times New Roman" w:hAnsi="Times New Roman" w:eastAsia="宋体" w:cs="Times New Roman"/>
          <w:color w:val="auto"/>
          <w:szCs w:val="24"/>
          <w:highlight w:val="none"/>
        </w:rPr>
        <w:t>要求（周界外浓度最高点≤1.0mg/m</w:t>
      </w:r>
      <w:r>
        <w:rPr>
          <w:rFonts w:ascii="Times New Roman" w:hAnsi="Times New Roman" w:eastAsia="宋体" w:cs="Times New Roman"/>
          <w:color w:val="auto"/>
          <w:szCs w:val="24"/>
          <w:highlight w:val="none"/>
          <w:vertAlign w:val="superscript"/>
        </w:rPr>
        <w:t>3</w:t>
      </w:r>
      <w:r>
        <w:rPr>
          <w:rFonts w:ascii="Times New Roman" w:hAnsi="Times New Roman" w:eastAsia="宋体" w:cs="Times New Roman"/>
          <w:color w:val="auto"/>
          <w:szCs w:val="24"/>
          <w:highlight w:val="none"/>
        </w:rPr>
        <w:t>的）。</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w:t>
      </w:r>
      <w:r>
        <w:rPr>
          <w:rFonts w:ascii="Times New Roman" w:hAnsi="Times New Roman" w:eastAsia="宋体"/>
          <w:color w:val="auto"/>
          <w:highlight w:val="none"/>
        </w:rPr>
        <w:t>《</w:t>
      </w:r>
      <w:r>
        <w:rPr>
          <w:rFonts w:hint="eastAsia" w:ascii="Times New Roman" w:hAnsi="Times New Roman" w:eastAsia="宋体"/>
          <w:color w:val="auto"/>
          <w:highlight w:val="none"/>
        </w:rPr>
        <w:t>三江县鑫贝矿业有限公司</w:t>
      </w:r>
      <w:r>
        <w:rPr>
          <w:rFonts w:ascii="Times New Roman" w:hAnsi="Times New Roman" w:eastAsia="宋体"/>
          <w:color w:val="auto"/>
          <w:highlight w:val="none"/>
        </w:rPr>
        <w:t>采石场</w:t>
      </w:r>
      <w:r>
        <w:rPr>
          <w:rFonts w:hint="eastAsia" w:ascii="Times New Roman" w:hAnsi="Times New Roman" w:eastAsia="宋体"/>
          <w:color w:val="auto"/>
          <w:highlight w:val="none"/>
        </w:rPr>
        <w:t>硅质岩</w:t>
      </w:r>
      <w:r>
        <w:rPr>
          <w:rFonts w:ascii="Times New Roman" w:hAnsi="Times New Roman" w:eastAsia="宋体"/>
          <w:color w:val="auto"/>
          <w:highlight w:val="none"/>
        </w:rPr>
        <w:t>矿矿产资源储量核实报告》</w:t>
      </w:r>
      <w:r>
        <w:rPr>
          <w:rFonts w:hint="eastAsia" w:ascii="Times New Roman" w:hAnsi="Times New Roman" w:eastAsia="宋体"/>
          <w:color w:val="auto"/>
          <w:highlight w:val="none"/>
        </w:rPr>
        <w:t>，本项目矿山</w:t>
      </w:r>
      <w:r>
        <w:rPr>
          <w:rFonts w:ascii="Times New Roman" w:hAnsi="Times New Roman" w:eastAsia="宋体"/>
          <w:color w:val="auto"/>
          <w:highlight w:val="none"/>
        </w:rPr>
        <w:t>石料</w:t>
      </w:r>
      <w:r>
        <w:rPr>
          <w:rFonts w:hint="eastAsia" w:ascii="Times New Roman" w:hAnsi="Times New Roman" w:eastAsia="宋体"/>
          <w:color w:val="auto"/>
          <w:highlight w:val="none"/>
        </w:rPr>
        <w:t>密度为2.4t/m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，项目石料产量约1667t/d，正常生产情况下约需15d周转一次，</w:t>
      </w:r>
      <w:r>
        <w:rPr>
          <w:rFonts w:ascii="Times New Roman" w:hAnsi="Times New Roman" w:eastAsia="宋体" w:cs="Times New Roman"/>
          <w:color w:val="auto"/>
          <w:szCs w:val="24"/>
          <w:highlight w:val="none"/>
        </w:rPr>
        <w:t>项目</w:t>
      </w:r>
      <w:r>
        <w:rPr>
          <w:rFonts w:hint="eastAsia" w:ascii="Times New Roman" w:hAnsi="Times New Roman" w:eastAsia="宋体" w:cs="Times New Roman"/>
          <w:color w:val="auto"/>
          <w:szCs w:val="24"/>
          <w:highlight w:val="none"/>
        </w:rPr>
        <w:t>8个</w:t>
      </w:r>
      <w:r>
        <w:rPr>
          <w:rFonts w:ascii="Times New Roman" w:hAnsi="Times New Roman" w:eastAsia="宋体" w:cs="Times New Roman"/>
          <w:color w:val="auto"/>
          <w:kern w:val="0"/>
          <w:highlight w:val="none"/>
        </w:rPr>
        <w:t>堆料场</w:t>
      </w:r>
      <w:r>
        <w:rPr>
          <w:rFonts w:hint="eastAsia" w:ascii="Times New Roman" w:hAnsi="Times New Roman" w:eastAsia="宋体" w:cs="Times New Roman"/>
          <w:color w:val="auto"/>
          <w:kern w:val="0"/>
          <w:highlight w:val="none"/>
        </w:rPr>
        <w:t>总</w:t>
      </w:r>
      <w:r>
        <w:rPr>
          <w:rFonts w:ascii="Times New Roman" w:hAnsi="Times New Roman" w:eastAsia="宋体" w:cs="Times New Roman"/>
          <w:color w:val="auto"/>
          <w:kern w:val="0"/>
          <w:highlight w:val="none"/>
        </w:rPr>
        <w:t>占地面积为</w:t>
      </w:r>
      <w:r>
        <w:rPr>
          <w:rFonts w:hint="eastAsia" w:ascii="Times New Roman" w:hAnsi="Times New Roman" w:eastAsia="宋体" w:cs="Times New Roman"/>
          <w:color w:val="auto"/>
          <w:kern w:val="0"/>
          <w:highlight w:val="none"/>
        </w:rPr>
        <w:t>120</w:t>
      </w:r>
      <w:r>
        <w:rPr>
          <w:rFonts w:ascii="Times New Roman" w:hAnsi="Times New Roman" w:eastAsia="宋体" w:cs="Times New Roman"/>
          <w:color w:val="auto"/>
          <w:kern w:val="0"/>
          <w:highlight w:val="none"/>
        </w:rPr>
        <w:t>00m</w:t>
      </w:r>
      <w:r>
        <w:rPr>
          <w:rFonts w:ascii="Times New Roman" w:hAnsi="Times New Roman" w:eastAsia="宋体" w:cs="Times New Roman"/>
          <w:color w:val="auto"/>
          <w:kern w:val="0"/>
          <w:highlight w:val="none"/>
          <w:vertAlign w:val="superscript"/>
        </w:rPr>
        <w:t>2</w:t>
      </w:r>
      <w:r>
        <w:rPr>
          <w:rFonts w:hint="eastAsia" w:ascii="Times New Roman" w:hAnsi="Times New Roman" w:eastAsia="宋体" w:cs="Times New Roman"/>
          <w:color w:val="auto"/>
          <w:kern w:val="0"/>
          <w:highlight w:val="none"/>
        </w:rPr>
        <w:t>，</w:t>
      </w:r>
      <w:r>
        <w:rPr>
          <w:rFonts w:ascii="Times New Roman" w:hAnsi="Times New Roman" w:eastAsia="宋体" w:cs="Times New Roman"/>
          <w:color w:val="auto"/>
          <w:szCs w:val="24"/>
          <w:highlight w:val="none"/>
        </w:rPr>
        <w:t>堆料场</w:t>
      </w:r>
      <w:r>
        <w:rPr>
          <w:rFonts w:hint="eastAsia" w:ascii="Times New Roman" w:hAnsi="Times New Roman" w:eastAsia="宋体" w:cs="Times New Roman"/>
          <w:color w:val="auto"/>
          <w:szCs w:val="24"/>
          <w:highlight w:val="none"/>
        </w:rPr>
        <w:t>最大堆料</w:t>
      </w:r>
      <w:r>
        <w:rPr>
          <w:rFonts w:ascii="Times New Roman" w:hAnsi="Times New Roman" w:eastAsia="宋体" w:cs="Times New Roman"/>
          <w:color w:val="auto"/>
          <w:szCs w:val="24"/>
          <w:highlight w:val="none"/>
        </w:rPr>
        <w:t>高度</w:t>
      </w:r>
      <w:r>
        <w:rPr>
          <w:rFonts w:hint="eastAsia" w:ascii="Times New Roman" w:hAnsi="Times New Roman" w:eastAsia="宋体" w:cs="Times New Roman"/>
          <w:color w:val="auto"/>
          <w:szCs w:val="24"/>
          <w:highlight w:val="none"/>
        </w:rPr>
        <w:t>均</w:t>
      </w:r>
      <w:r>
        <w:rPr>
          <w:rFonts w:ascii="Times New Roman" w:hAnsi="Times New Roman" w:eastAsia="宋体" w:cs="Times New Roman"/>
          <w:color w:val="auto"/>
          <w:szCs w:val="24"/>
          <w:highlight w:val="none"/>
        </w:rPr>
        <w:t>按10m</w:t>
      </w:r>
      <w:r>
        <w:rPr>
          <w:rFonts w:hint="eastAsia" w:ascii="Times New Roman" w:hAnsi="Times New Roman" w:eastAsia="宋体" w:cs="Times New Roman"/>
          <w:color w:val="auto"/>
          <w:szCs w:val="24"/>
          <w:highlight w:val="none"/>
        </w:rPr>
        <w:t>计算</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则总容量约</w:t>
      </w:r>
      <w:r>
        <w:rPr>
          <w:rFonts w:ascii="Times New Roman" w:hAnsi="Times New Roman" w:eastAsia="宋体" w:cs="Times New Roman"/>
          <w:color w:val="auto"/>
          <w:kern w:val="0"/>
          <w:highlight w:val="none"/>
        </w:rPr>
        <w:t>为</w:t>
      </w:r>
      <w:r>
        <w:rPr>
          <w:rFonts w:hint="eastAsia" w:ascii="Times New Roman" w:hAnsi="Times New Roman" w:eastAsia="宋体" w:cs="Times New Roman"/>
          <w:color w:val="auto"/>
          <w:kern w:val="0"/>
          <w:highlight w:val="none"/>
        </w:rPr>
        <w:t>40</w:t>
      </w:r>
      <w:r>
        <w:rPr>
          <w:rFonts w:ascii="Times New Roman" w:hAnsi="Times New Roman" w:eastAsia="宋体" w:cs="Times New Roman"/>
          <w:color w:val="auto"/>
          <w:kern w:val="0"/>
          <w:highlight w:val="none"/>
        </w:rPr>
        <w:t>0</w:t>
      </w:r>
      <w:r>
        <w:rPr>
          <w:rFonts w:hint="eastAsia" w:ascii="Times New Roman" w:hAnsi="Times New Roman" w:eastAsia="宋体" w:cs="Times New Roman"/>
          <w:color w:val="auto"/>
          <w:kern w:val="0"/>
          <w:highlight w:val="none"/>
        </w:rPr>
        <w:t>0</w:t>
      </w:r>
      <w:r>
        <w:rPr>
          <w:rFonts w:ascii="Times New Roman" w:hAnsi="Times New Roman" w:eastAsia="宋体" w:cs="Times New Roman"/>
          <w:color w:val="auto"/>
          <w:kern w:val="0"/>
          <w:highlight w:val="none"/>
        </w:rPr>
        <w:t>0m</w:t>
      </w:r>
      <w:r>
        <w:rPr>
          <w:rFonts w:hint="eastAsia" w:ascii="Times New Roman" w:hAnsi="Times New Roman" w:eastAsia="宋体" w:cs="Times New Roman"/>
          <w:color w:val="auto"/>
          <w:kern w:val="0"/>
          <w:highlight w:val="none"/>
          <w:vertAlign w:val="superscript"/>
        </w:rPr>
        <w:t>3</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可堆存石料约10万t，完全可满足日常生产过程的石料堆存需求。</w:t>
      </w:r>
    </w:p>
    <w:p>
      <w:pPr>
        <w:pStyle w:val="6"/>
        <w:rPr>
          <w:rFonts w:ascii="Times New Roman" w:hAnsi="Times New Roman" w:eastAsia="宋体"/>
          <w:color w:val="auto"/>
          <w:highlight w:val="none"/>
        </w:rPr>
      </w:pPr>
      <w:r>
        <w:rPr>
          <w:rFonts w:ascii="Times New Roman" w:hAnsi="Times New Roman" w:eastAsia="宋体"/>
          <w:color w:val="auto"/>
          <w:highlight w:val="none"/>
        </w:rPr>
        <w:t xml:space="preserve">5.1.1.4 运输道路扬尘污染防治措施及可行性分析 </w:t>
      </w:r>
    </w:p>
    <w:p>
      <w:pPr>
        <w:ind w:firstLine="480"/>
        <w:rPr>
          <w:rFonts w:ascii="Times New Roman" w:hAnsi="Times New Roman" w:eastAsia="宋体" w:cs="Times New Roman"/>
          <w:color w:val="auto"/>
          <w:szCs w:val="24"/>
          <w:highlight w:val="none"/>
        </w:rPr>
      </w:pPr>
      <w:r>
        <w:rPr>
          <w:rFonts w:hint="eastAsia"/>
          <w:color w:val="auto"/>
          <w:highlight w:val="none"/>
          <w:u w:val="single"/>
          <w:lang w:val="en-US" w:eastAsia="zh-CN"/>
        </w:rPr>
        <w:t>根据工程分析，矿山对外运输主要由大型货车装运，装载量可达60t/辆，日常生产过程</w:t>
      </w:r>
      <w:r>
        <w:rPr>
          <w:rFonts w:ascii="Times New Roman" w:hAnsi="Times New Roman" w:eastAsia="宋体" w:cs="Times New Roman"/>
          <w:color w:val="auto"/>
          <w:highlight w:val="none"/>
          <w:u w:val="single"/>
        </w:rPr>
        <w:t>运输量</w:t>
      </w:r>
      <w:r>
        <w:rPr>
          <w:rFonts w:hint="eastAsia" w:cs="Times New Roman"/>
          <w:color w:val="auto"/>
          <w:highlight w:val="none"/>
          <w:u w:val="single"/>
          <w:lang w:val="en-US" w:eastAsia="zh-CN"/>
        </w:rPr>
        <w:t>28</w:t>
      </w:r>
      <w:r>
        <w:rPr>
          <w:rFonts w:ascii="Times New Roman" w:hAnsi="Times New Roman" w:eastAsia="宋体" w:cs="Times New Roman"/>
          <w:color w:val="auto"/>
          <w:highlight w:val="none"/>
          <w:u w:val="single"/>
        </w:rPr>
        <w:t>辆次/天</w:t>
      </w:r>
      <w:r>
        <w:rPr>
          <w:rFonts w:hint="eastAsia" w:cs="Times New Roman"/>
          <w:color w:val="auto"/>
          <w:highlight w:val="none"/>
          <w:u w:val="single"/>
          <w:lang w:eastAsia="zh-CN"/>
        </w:rPr>
        <w:t>，</w:t>
      </w:r>
      <w:r>
        <w:rPr>
          <w:rFonts w:hint="eastAsia" w:cs="Times New Roman"/>
          <w:color w:val="auto"/>
          <w:highlight w:val="none"/>
          <w:u w:val="single"/>
          <w:lang w:val="en-US" w:eastAsia="zh-CN"/>
        </w:rPr>
        <w:t>主要在白天进行</w:t>
      </w:r>
      <w:r>
        <w:rPr>
          <w:rFonts w:hint="eastAsia" w:ascii="Times New Roman" w:hAnsi="Times New Roman" w:cs="Times New Roman"/>
          <w:color w:val="auto"/>
          <w:highlight w:val="none"/>
          <w:u w:val="single"/>
          <w:lang w:eastAsia="zh-CN"/>
        </w:rPr>
        <w:t>。</w:t>
      </w:r>
      <w:r>
        <w:rPr>
          <w:rFonts w:hint="eastAsia" w:ascii="Times New Roman" w:hAnsi="Times New Roman" w:cs="Times New Roman"/>
          <w:color w:val="auto"/>
          <w:highlight w:val="none"/>
          <w:u w:val="single"/>
          <w:lang w:val="en-US" w:eastAsia="zh-CN"/>
        </w:rPr>
        <w:t>大型货车由</w:t>
      </w:r>
      <w:r>
        <w:rPr>
          <w:rFonts w:hint="eastAsia" w:cs="Times New Roman"/>
          <w:color w:val="auto"/>
          <w:highlight w:val="none"/>
          <w:u w:val="single"/>
          <w:lang w:val="en-US" w:eastAsia="zh-CN"/>
        </w:rPr>
        <w:t>客户自备</w:t>
      </w:r>
      <w:r>
        <w:rPr>
          <w:rFonts w:ascii="Times New Roman" w:hAnsi="Times New Roman" w:eastAsia="宋体" w:cs="Times New Roman"/>
          <w:color w:val="auto"/>
          <w:highlight w:val="none"/>
          <w:u w:val="single"/>
        </w:rPr>
        <w:t>。</w:t>
      </w:r>
      <w:r>
        <w:rPr>
          <w:rFonts w:hint="eastAsia" w:ascii="Times New Roman" w:hAnsi="Times New Roman" w:eastAsia="宋体" w:cs="Times New Roman"/>
          <w:color w:val="auto"/>
          <w:szCs w:val="24"/>
          <w:highlight w:val="none"/>
        </w:rPr>
        <w:t>本项目矿山石料外卖对外运输主要往三江县及附近村屯（附图7），运输车从堆料场行驶至国道G321需经过矿山自建道路和进山村级道路，</w:t>
      </w:r>
      <w:r>
        <w:rPr>
          <w:rFonts w:ascii="Times New Roman" w:hAnsi="Times New Roman" w:eastAsia="宋体" w:cs="Times New Roman"/>
          <w:color w:val="auto"/>
          <w:szCs w:val="24"/>
          <w:highlight w:val="none"/>
        </w:rPr>
        <w:t>为降低对外运矿对运矿公路沿线环境空气的影响，提出以下运输道路大气污染物减排措施。</w:t>
      </w:r>
    </w:p>
    <w:p>
      <w:pPr>
        <w:numPr>
          <w:ilvl w:val="0"/>
          <w:numId w:val="14"/>
        </w:num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 xml:space="preserve">严禁超高运输，降低装载矿石的高度，保证装料高度不超过车厢边沿，并在装矿完毕后洒水增湿料面，最后加盖苫布，采用密闭运输避免运输过程中车厢产生扬尘； </w:t>
      </w:r>
    </w:p>
    <w:p>
      <w:pPr>
        <w:numPr>
          <w:ilvl w:val="0"/>
          <w:numId w:val="14"/>
        </w:num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运输车辆要搞好车辆外部清洁，及时清洗车辆</w:t>
      </w:r>
      <w:r>
        <w:rPr>
          <w:rFonts w:hint="eastAsia" w:ascii="Times New Roman" w:hAnsi="Times New Roman" w:eastAsia="宋体" w:cs="Times New Roman"/>
          <w:color w:val="auto"/>
          <w:szCs w:val="24"/>
          <w:highlight w:val="none"/>
        </w:rPr>
        <w:t>，矿山道路出口处设置车辆清洗池，对进出矿山车辆轮胎进行有效清洗，减少车辆带尘上路</w:t>
      </w:r>
      <w:r>
        <w:rPr>
          <w:rFonts w:ascii="Times New Roman" w:hAnsi="Times New Roman" w:eastAsia="宋体" w:cs="Times New Roman"/>
          <w:color w:val="auto"/>
          <w:szCs w:val="24"/>
          <w:highlight w:val="none"/>
        </w:rPr>
        <w:t>；</w:t>
      </w:r>
    </w:p>
    <w:p>
      <w:pPr>
        <w:numPr>
          <w:ilvl w:val="0"/>
          <w:numId w:val="14"/>
        </w:num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行驶过程中控制汽车行驶车速，降低车轮产生的交通扬尘；</w:t>
      </w:r>
    </w:p>
    <w:p>
      <w:pPr>
        <w:numPr>
          <w:ilvl w:val="0"/>
          <w:numId w:val="14"/>
        </w:num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 xml:space="preserve">加强驾驶员的管理，提倡文明驾驶； </w:t>
      </w:r>
    </w:p>
    <w:p>
      <w:pPr>
        <w:numPr>
          <w:ilvl w:val="0"/>
          <w:numId w:val="14"/>
        </w:numPr>
        <w:ind w:firstLine="48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对外运输上山道路应进行地面硬化，同时</w:t>
      </w:r>
      <w:r>
        <w:rPr>
          <w:rFonts w:ascii="Times New Roman" w:hAnsi="Times New Roman" w:eastAsia="宋体" w:cs="Times New Roman"/>
          <w:color w:val="auto"/>
          <w:szCs w:val="24"/>
          <w:highlight w:val="none"/>
        </w:rPr>
        <w:t>加强路面观察，发现路面干燥起尘时，应及时派出矿山洒水车洒水降尘；</w:t>
      </w:r>
    </w:p>
    <w:p>
      <w:pPr>
        <w:numPr>
          <w:ilvl w:val="0"/>
          <w:numId w:val="14"/>
        </w:num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委托运输时应查看车辆是否已经过汽车尾气年检，不得委派尾气排放不达标的车辆运输，并要求委托车辆使用符合国家标准的燃料油。</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通过采取以上抑尘措施、加强矿山机械和汽车的环保管理后，根据大气环境预测的结果，评价区域大气敏感点的环境空气质量可满足《环境空气质量标准》（GB</w:t>
      </w:r>
      <w:r>
        <w:rPr>
          <w:rFonts w:hint="eastAsia" w:ascii="Times New Roman" w:hAnsi="Times New Roman" w:eastAsia="宋体" w:cs="Times New Roman"/>
          <w:color w:val="auto"/>
          <w:szCs w:val="24"/>
          <w:highlight w:val="none"/>
          <w:lang w:val="en-US" w:eastAsia="zh-CN"/>
        </w:rPr>
        <w:t xml:space="preserve"> </w:t>
      </w:r>
      <w:r>
        <w:rPr>
          <w:rFonts w:ascii="Times New Roman" w:hAnsi="Times New Roman" w:eastAsia="宋体" w:cs="Times New Roman"/>
          <w:color w:val="auto"/>
          <w:szCs w:val="24"/>
          <w:highlight w:val="none"/>
        </w:rPr>
        <w:t>3095-2012）及其修改单二级标准，并且可确保运营期矿山场界满足《大气污染物综合排放标准》（GB</w:t>
      </w:r>
      <w:r>
        <w:rPr>
          <w:rFonts w:hint="eastAsia" w:ascii="Times New Roman" w:hAnsi="Times New Roman" w:eastAsia="宋体" w:cs="Times New Roman"/>
          <w:color w:val="auto"/>
          <w:szCs w:val="24"/>
          <w:highlight w:val="none"/>
          <w:lang w:val="en-US" w:eastAsia="zh-CN"/>
        </w:rPr>
        <w:t xml:space="preserve"> </w:t>
      </w:r>
      <w:r>
        <w:rPr>
          <w:rFonts w:ascii="Times New Roman" w:hAnsi="Times New Roman" w:eastAsia="宋体" w:cs="Times New Roman"/>
          <w:color w:val="auto"/>
          <w:szCs w:val="24"/>
          <w:highlight w:val="none"/>
        </w:rPr>
        <w:t xml:space="preserve">16297-1996）表2无组织排放监控浓度限值。 </w:t>
      </w:r>
    </w:p>
    <w:p>
      <w:pPr>
        <w:ind w:firstLine="480"/>
        <w:rPr>
          <w:rFonts w:ascii="Times New Roman" w:hAnsi="Times New Roman" w:eastAsia="宋体" w:cs="Times New Roman"/>
          <w:color w:val="auto"/>
          <w:szCs w:val="22"/>
          <w:highlight w:val="none"/>
        </w:rPr>
      </w:pPr>
      <w:r>
        <w:rPr>
          <w:rFonts w:ascii="Times New Roman" w:hAnsi="Times New Roman" w:eastAsia="宋体" w:cs="Times New Roman"/>
          <w:color w:val="auto"/>
          <w:szCs w:val="22"/>
          <w:highlight w:val="none"/>
        </w:rPr>
        <w:t>以上矿山作业颗粒物和道路扬尘的防治措施均为简单、易行、有效的环境空气污染防治措施，具有很强的可操作性和实用性，可以达到“双达标”的要求（污染物排放达标、环境质量达标）。</w:t>
      </w:r>
    </w:p>
    <w:p>
      <w:pPr>
        <w:pStyle w:val="5"/>
        <w:rPr>
          <w:rFonts w:ascii="Times New Roman" w:hAnsi="Times New Roman" w:eastAsia="宋体"/>
          <w:color w:val="auto"/>
          <w:highlight w:val="none"/>
        </w:rPr>
      </w:pPr>
      <w:r>
        <w:rPr>
          <w:rFonts w:ascii="Times New Roman" w:hAnsi="Times New Roman" w:eastAsia="宋体"/>
          <w:color w:val="auto"/>
          <w:highlight w:val="none"/>
        </w:rPr>
        <w:t xml:space="preserve">5.1.2 地表水污染防治措施论证 </w:t>
      </w:r>
    </w:p>
    <w:p>
      <w:pPr>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本项目运营期凿岩钻孔、爆破抑尘、矿山内运输道路抑尘、矿石加工洒水抑尘、堆场洒水抑尘等工序消耗的新鲜水均自然蒸发渗透到矿石中，各工序无生产废水产生。车辆清洗废水</w:t>
      </w:r>
      <w:r>
        <w:rPr>
          <w:rFonts w:hint="eastAsia" w:ascii="Times New Roman" w:hAnsi="Times New Roman" w:eastAsia="宋体" w:cs="Times New Roman"/>
          <w:color w:val="auto"/>
          <w:szCs w:val="24"/>
          <w:highlight w:val="none"/>
        </w:rPr>
        <w:t>和洗砂废水</w:t>
      </w:r>
      <w:r>
        <w:rPr>
          <w:rFonts w:ascii="Times New Roman" w:hAnsi="Times New Roman" w:eastAsia="宋体" w:cs="Times New Roman"/>
          <w:color w:val="auto"/>
          <w:szCs w:val="24"/>
          <w:highlight w:val="none"/>
        </w:rPr>
        <w:t>循环使用，不外排。产生的废水主要包括矿区初期雨水、职工生活污水。</w:t>
      </w:r>
    </w:p>
    <w:p>
      <w:pPr>
        <w:ind w:left="480" w:leftChars="200" w:firstLine="0" w:firstLineChars="0"/>
        <w:rPr>
          <w:rFonts w:hint="eastAsia" w:ascii="Times New Roman" w:hAnsi="Times New Roman" w:eastAsia="宋体"/>
          <w:color w:val="auto"/>
          <w:highlight w:val="none"/>
        </w:rPr>
      </w:pPr>
      <w:r>
        <w:rPr>
          <w:rFonts w:hint="eastAsia" w:ascii="Times New Roman" w:hAnsi="Times New Roman" w:eastAsia="宋体"/>
          <w:color w:val="auto"/>
          <w:highlight w:val="none"/>
        </w:rPr>
        <w:t>1、洗砂废水</w:t>
      </w:r>
    </w:p>
    <w:p>
      <w:pPr>
        <w:ind w:firstLine="480"/>
        <w:rPr>
          <w:rFonts w:ascii="Times New Roman" w:hAnsi="Times New Roman" w:eastAsia="宋体" w:cs="Times New Roman"/>
          <w:color w:val="auto"/>
          <w:szCs w:val="20"/>
          <w:highlight w:val="none"/>
        </w:rPr>
      </w:pPr>
      <w:r>
        <w:rPr>
          <w:rFonts w:hint="eastAsia" w:ascii="Times New Roman" w:hAnsi="Times New Roman" w:eastAsia="宋体" w:cs="Times New Roman"/>
          <w:color w:val="auto"/>
          <w:szCs w:val="20"/>
          <w:highlight w:val="none"/>
        </w:rPr>
        <w:t>石粉由铲车铲入料斗，顺着水流冲进螺旋洗砂机里进行冲洗，冲洗后产生洗砂废水，螺旋洗砂机配套尾水回收装置，可回收洗砂废水中的细砂。洗砂废水经沉砂池进行三级沉淀后，上层清水流入清水池，清水补充至洗砂工序循环使用，洗砂工序定期补充新鲜水。沉砂池底部污泥经脱水机脱水后得到洗砂泥饼，外卖砖厂，滤液回流至沉砂池内沉淀，不外排。水洗砂工艺流程及产污节点见下图5.1-1。</w:t>
      </w:r>
    </w:p>
    <w:p>
      <w:pPr>
        <w:ind w:firstLine="0" w:firstLineChars="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0"/>
          <w:highlight w:val="none"/>
        </w:rPr>
        <w:object>
          <v:shape id="_x0000_i1037" o:spt="75" type="#_x0000_t75" style="height:207pt;width:396.75pt;" o:ole="t" filled="f" o:preferrelative="t" stroked="f" coordsize="21600,21600">
            <v:path/>
            <v:fill on="f" focussize="0,0"/>
            <v:stroke on="f"/>
            <v:imagedata r:id="rId104" o:title=""/>
            <o:lock v:ext="edit" aspectratio="f"/>
            <w10:wrap type="none"/>
            <w10:anchorlock/>
          </v:shape>
          <o:OLEObject Type="Embed" ProgID="Visio.Drawing.11" ShapeID="_x0000_i1037" DrawAspect="Content" ObjectID="_1468075740" r:id="rId103">
            <o:LockedField>false</o:LockedField>
          </o:OLEObject>
        </w:objec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w:t>
      </w:r>
      <w:r>
        <w:rPr>
          <w:rFonts w:ascii="Times New Roman" w:hAnsi="Times New Roman" w:eastAsia="宋体"/>
          <w:color w:val="auto"/>
          <w:highlight w:val="none"/>
        </w:rPr>
        <w:t xml:space="preserve">初期雨水 </w:t>
      </w:r>
    </w:p>
    <w:p>
      <w:pPr>
        <w:ind w:firstLine="480"/>
        <w:jc w:val="left"/>
        <w:rPr>
          <w:rFonts w:ascii="Times New Roman" w:hAnsi="Times New Roman" w:eastAsia="宋体" w:cs="Times New Roman"/>
          <w:color w:val="auto"/>
          <w:highlight w:val="none"/>
        </w:rPr>
      </w:pPr>
      <w:r>
        <w:rPr>
          <w:rFonts w:ascii="Times New Roman" w:hAnsi="Times New Roman" w:eastAsia="宋体" w:cs="Times New Roman"/>
          <w:color w:val="auto"/>
          <w:szCs w:val="24"/>
          <w:highlight w:val="none"/>
        </w:rPr>
        <w:t>根据工程分析，考虑初期雨水收集前30min，</w:t>
      </w:r>
      <w:r>
        <w:rPr>
          <w:rFonts w:ascii="Times New Roman" w:hAnsi="Times New Roman" w:eastAsia="宋体" w:cs="Times New Roman"/>
          <w:color w:val="auto"/>
          <w:szCs w:val="24"/>
          <w:highlight w:val="none"/>
          <w:u w:val="single"/>
        </w:rPr>
        <w:t>项目</w:t>
      </w:r>
      <w:r>
        <w:rPr>
          <w:rFonts w:hint="eastAsia" w:cs="Times New Roman"/>
          <w:color w:val="auto"/>
          <w:szCs w:val="24"/>
          <w:highlight w:val="none"/>
          <w:u w:val="single"/>
          <w:lang w:eastAsia="zh-CN"/>
        </w:rPr>
        <w:t>破碎场①</w:t>
      </w:r>
      <w:r>
        <w:rPr>
          <w:rFonts w:hint="eastAsia" w:ascii="Times New Roman" w:hAnsi="Times New Roman" w:eastAsia="宋体" w:cs="Times New Roman"/>
          <w:color w:val="auto"/>
          <w:szCs w:val="24"/>
          <w:highlight w:val="none"/>
          <w:u w:val="single"/>
        </w:rPr>
        <w:t>、</w:t>
      </w:r>
      <w:r>
        <w:rPr>
          <w:rFonts w:hint="eastAsia" w:cs="Times New Roman"/>
          <w:color w:val="auto"/>
          <w:szCs w:val="24"/>
          <w:highlight w:val="none"/>
          <w:u w:val="single"/>
          <w:lang w:eastAsia="zh-CN"/>
        </w:rPr>
        <w:t>破碎场②</w:t>
      </w:r>
      <w:r>
        <w:rPr>
          <w:rFonts w:ascii="Times New Roman" w:hAnsi="Times New Roman" w:eastAsia="宋体" w:cs="Times New Roman"/>
          <w:color w:val="auto"/>
          <w:szCs w:val="24"/>
          <w:highlight w:val="none"/>
          <w:u w:val="single"/>
        </w:rPr>
        <w:t>初期雨水收集</w:t>
      </w:r>
      <w:r>
        <w:rPr>
          <w:rFonts w:hint="eastAsia" w:cs="Times New Roman"/>
          <w:color w:val="auto"/>
          <w:szCs w:val="24"/>
          <w:highlight w:val="none"/>
          <w:u w:val="single"/>
          <w:lang w:val="en-US" w:eastAsia="zh-CN"/>
        </w:rPr>
        <w:t>总</w:t>
      </w:r>
      <w:r>
        <w:rPr>
          <w:rFonts w:ascii="Times New Roman" w:hAnsi="Times New Roman" w:eastAsia="宋体" w:cs="Times New Roman"/>
          <w:color w:val="auto"/>
          <w:szCs w:val="24"/>
          <w:highlight w:val="none"/>
          <w:u w:val="single"/>
        </w:rPr>
        <w:t>量为</w:t>
      </w:r>
      <w:r>
        <w:rPr>
          <w:rFonts w:hint="eastAsia" w:cs="Times New Roman"/>
          <w:color w:val="auto"/>
          <w:szCs w:val="24"/>
          <w:highlight w:val="none"/>
          <w:u w:val="single"/>
          <w:lang w:val="en-US" w:eastAsia="zh-CN"/>
        </w:rPr>
        <w:t>401</w:t>
      </w:r>
      <w:r>
        <w:rPr>
          <w:rFonts w:ascii="Times New Roman" w:hAnsi="Times New Roman" w:eastAsia="宋体" w:cs="Times New Roman"/>
          <w:color w:val="auto"/>
          <w:highlight w:val="none"/>
          <w:u w:val="single"/>
        </w:rPr>
        <w:t>m</w:t>
      </w:r>
      <w:r>
        <w:rPr>
          <w:rFonts w:ascii="Times New Roman" w:hAnsi="Times New Roman" w:eastAsia="宋体" w:cs="Times New Roman"/>
          <w:color w:val="auto"/>
          <w:highlight w:val="none"/>
          <w:u w:val="single"/>
          <w:vertAlign w:val="superscript"/>
        </w:rPr>
        <w:t>3</w:t>
      </w:r>
      <w:r>
        <w:rPr>
          <w:rFonts w:ascii="Times New Roman" w:hAnsi="Times New Roman" w:eastAsia="宋体" w:cs="Times New Roman"/>
          <w:color w:val="auto"/>
          <w:szCs w:val="24"/>
          <w:highlight w:val="none"/>
        </w:rPr>
        <w:t>，污染物主要以悬浮物为主，浓度约为500mg/L。</w:t>
      </w:r>
    </w:p>
    <w:p>
      <w:pPr>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项目拟在矿区</w:t>
      </w:r>
      <w:r>
        <w:rPr>
          <w:rFonts w:hint="eastAsia" w:ascii="Times New Roman" w:hAnsi="Times New Roman" w:eastAsia="宋体" w:cs="Times New Roman"/>
          <w:color w:val="auto"/>
          <w:szCs w:val="24"/>
          <w:highlight w:val="none"/>
        </w:rPr>
        <w:t>沿山</w:t>
      </w:r>
      <w:r>
        <w:rPr>
          <w:rFonts w:ascii="Times New Roman" w:hAnsi="Times New Roman" w:eastAsia="宋体" w:cs="Times New Roman"/>
          <w:color w:val="auto"/>
          <w:szCs w:val="24"/>
          <w:highlight w:val="none"/>
        </w:rPr>
        <w:t>道路周边修建截排水沟，将</w:t>
      </w:r>
      <w:r>
        <w:rPr>
          <w:rFonts w:hint="eastAsia" w:ascii="Times New Roman" w:hAnsi="Times New Roman" w:eastAsia="宋体" w:cs="Times New Roman"/>
          <w:color w:val="auto"/>
          <w:szCs w:val="24"/>
          <w:highlight w:val="none"/>
        </w:rPr>
        <w:t>采区和加工区初期雨水引入截排水沟，最终汇流入截排水沟底部的初期雨水沉砂池。截</w:t>
      </w:r>
      <w:r>
        <w:rPr>
          <w:rFonts w:ascii="Times New Roman" w:hAnsi="Times New Roman" w:eastAsia="宋体" w:cs="Times New Roman"/>
          <w:color w:val="auto"/>
          <w:szCs w:val="24"/>
          <w:highlight w:val="none"/>
        </w:rPr>
        <w:t>排水沟底部为采石场的基岩，通过砌两边小挡墙形成排水沟，水沟墙要求采用砂浆砌筑。根据项目</w:t>
      </w:r>
      <w:r>
        <w:rPr>
          <w:rFonts w:hint="eastAsia" w:ascii="Times New Roman" w:hAnsi="Times New Roman" w:eastAsia="宋体" w:cs="Times New Roman"/>
          <w:color w:val="auto"/>
          <w:szCs w:val="24"/>
          <w:highlight w:val="none"/>
        </w:rPr>
        <w:t>设计要求</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截排水沟按</w:t>
      </w:r>
      <w:r>
        <w:rPr>
          <w:rFonts w:ascii="Times New Roman" w:hAnsi="Times New Roman" w:eastAsia="宋体" w:cs="Times New Roman"/>
          <w:color w:val="auto"/>
          <w:szCs w:val="24"/>
          <w:highlight w:val="none"/>
        </w:rPr>
        <w:t>矩形断面设计，沟深0.60m，</w:t>
      </w:r>
      <w:r>
        <w:rPr>
          <w:rFonts w:hint="eastAsia" w:ascii="Times New Roman" w:hAnsi="Times New Roman" w:eastAsia="宋体" w:cs="Times New Roman"/>
          <w:color w:val="auto"/>
          <w:szCs w:val="24"/>
          <w:highlight w:val="none"/>
        </w:rPr>
        <w:t>墙面</w:t>
      </w:r>
      <w:r>
        <w:rPr>
          <w:rFonts w:ascii="Times New Roman" w:hAnsi="Times New Roman" w:eastAsia="宋体" w:cs="Times New Roman"/>
          <w:color w:val="auto"/>
          <w:szCs w:val="24"/>
          <w:highlight w:val="none"/>
        </w:rPr>
        <w:t>宽0.30m，</w:t>
      </w:r>
      <w:r>
        <w:rPr>
          <w:rFonts w:hint="eastAsia" w:ascii="Times New Roman" w:hAnsi="Times New Roman" w:eastAsia="宋体" w:cs="Times New Roman"/>
          <w:color w:val="auto"/>
          <w:szCs w:val="24"/>
          <w:highlight w:val="none"/>
        </w:rPr>
        <w:t>排水沟</w:t>
      </w:r>
      <w:r>
        <w:rPr>
          <w:rFonts w:ascii="Times New Roman" w:hAnsi="Times New Roman" w:eastAsia="宋体" w:cs="Times New Roman"/>
          <w:color w:val="auto"/>
          <w:szCs w:val="24"/>
          <w:highlight w:val="none"/>
        </w:rPr>
        <w:t>底部宽0.60m</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highlight w:val="none"/>
        </w:rPr>
        <w:t>同时在排水沟底部建设2座初期雨水沉沙池，</w:t>
      </w:r>
      <w:r>
        <w:rPr>
          <w:rFonts w:ascii="Times New Roman" w:hAnsi="Times New Roman" w:eastAsia="宋体" w:cs="Times New Roman"/>
          <w:color w:val="auto"/>
          <w:highlight w:val="none"/>
          <w:u w:val="single"/>
        </w:rPr>
        <w:t>1#沉砂池设在</w:t>
      </w:r>
      <w:r>
        <w:rPr>
          <w:rFonts w:hint="eastAsia" w:cs="Times New Roman"/>
          <w:color w:val="auto"/>
          <w:highlight w:val="none"/>
          <w:u w:val="single"/>
          <w:lang w:eastAsia="zh-CN"/>
        </w:rPr>
        <w:t>破碎场①</w:t>
      </w:r>
      <w:r>
        <w:rPr>
          <w:rFonts w:hint="eastAsia" w:ascii="Times New Roman" w:hAnsi="Times New Roman" w:eastAsia="宋体" w:cs="Times New Roman"/>
          <w:color w:val="auto"/>
          <w:highlight w:val="none"/>
          <w:u w:val="single"/>
        </w:rPr>
        <w:t>中部</w:t>
      </w:r>
      <w:r>
        <w:rPr>
          <w:rFonts w:ascii="Times New Roman" w:hAnsi="Times New Roman" w:eastAsia="宋体" w:cs="Times New Roman"/>
          <w:color w:val="auto"/>
          <w:highlight w:val="none"/>
          <w:u w:val="single"/>
        </w:rPr>
        <w:t>，容积为</w:t>
      </w:r>
      <w:r>
        <w:rPr>
          <w:rFonts w:hint="eastAsia" w:cs="Times New Roman"/>
          <w:color w:val="auto"/>
          <w:highlight w:val="none"/>
          <w:u w:val="single"/>
          <w:lang w:val="en-US" w:eastAsia="zh-CN"/>
        </w:rPr>
        <w:t>3</w:t>
      </w:r>
      <w:r>
        <w:rPr>
          <w:rFonts w:hint="eastAsia" w:ascii="Times New Roman" w:hAnsi="Times New Roman" w:eastAsia="宋体" w:cs="Times New Roman"/>
          <w:color w:val="auto"/>
          <w:highlight w:val="none"/>
          <w:u w:val="single"/>
        </w:rPr>
        <w:t>0</w:t>
      </w:r>
      <w:r>
        <w:rPr>
          <w:rFonts w:ascii="Times New Roman" w:hAnsi="Times New Roman" w:eastAsia="宋体" w:cs="Times New Roman"/>
          <w:color w:val="auto"/>
          <w:highlight w:val="none"/>
          <w:u w:val="single"/>
        </w:rPr>
        <w:t>0m</w:t>
      </w:r>
      <w:r>
        <w:rPr>
          <w:rFonts w:ascii="Times New Roman" w:hAnsi="Times New Roman" w:eastAsia="宋体" w:cs="Times New Roman"/>
          <w:color w:val="auto"/>
          <w:highlight w:val="none"/>
          <w:u w:val="single"/>
          <w:vertAlign w:val="superscript"/>
        </w:rPr>
        <w:t>3</w:t>
      </w:r>
      <w:r>
        <w:rPr>
          <w:rFonts w:hint="eastAsia" w:ascii="Times New Roman" w:hAnsi="Times New Roman" w:eastAsia="宋体" w:cs="Times New Roman"/>
          <w:color w:val="auto"/>
          <w:highlight w:val="none"/>
          <w:u w:val="single"/>
        </w:rPr>
        <w:t>，可接收</w:t>
      </w:r>
      <w:r>
        <w:rPr>
          <w:rFonts w:hint="eastAsia" w:cs="Times New Roman"/>
          <w:color w:val="auto"/>
          <w:highlight w:val="none"/>
          <w:u w:val="single"/>
          <w:lang w:val="en-US" w:eastAsia="zh-CN"/>
        </w:rPr>
        <w:t>采区、</w:t>
      </w:r>
      <w:r>
        <w:rPr>
          <w:rFonts w:hint="eastAsia" w:cs="Times New Roman"/>
          <w:color w:val="auto"/>
          <w:highlight w:val="none"/>
          <w:u w:val="single"/>
          <w:lang w:eastAsia="zh-CN"/>
        </w:rPr>
        <w:t>破碎场①</w:t>
      </w:r>
      <w:r>
        <w:rPr>
          <w:rFonts w:hint="eastAsia" w:ascii="Times New Roman" w:hAnsi="Times New Roman" w:eastAsia="宋体" w:cs="Times New Roman"/>
          <w:color w:val="auto"/>
          <w:highlight w:val="none"/>
          <w:u w:val="single"/>
        </w:rPr>
        <w:t>加工区</w:t>
      </w:r>
      <w:r>
        <w:rPr>
          <w:rFonts w:hint="eastAsia" w:cs="Times New Roman"/>
          <w:color w:val="auto"/>
          <w:highlight w:val="none"/>
          <w:u w:val="single"/>
          <w:lang w:val="en-US" w:eastAsia="zh-CN"/>
        </w:rPr>
        <w:t>和堆场</w:t>
      </w:r>
      <w:r>
        <w:rPr>
          <w:rFonts w:hint="eastAsia" w:ascii="Times New Roman" w:hAnsi="Times New Roman" w:eastAsia="宋体" w:cs="Times New Roman"/>
          <w:color w:val="auto"/>
          <w:highlight w:val="none"/>
          <w:u w:val="single"/>
        </w:rPr>
        <w:t>截排水沟收集到的初期雨水</w:t>
      </w:r>
      <w:r>
        <w:rPr>
          <w:rFonts w:ascii="Times New Roman" w:hAnsi="Times New Roman" w:eastAsia="宋体" w:cs="Times New Roman"/>
          <w:color w:val="auto"/>
          <w:highlight w:val="none"/>
          <w:u w:val="single"/>
        </w:rPr>
        <w:t>；2#沉砂池设在</w:t>
      </w:r>
      <w:r>
        <w:rPr>
          <w:rFonts w:hint="eastAsia" w:cs="Times New Roman"/>
          <w:color w:val="auto"/>
          <w:highlight w:val="none"/>
          <w:u w:val="single"/>
          <w:lang w:eastAsia="zh-CN"/>
        </w:rPr>
        <w:t>破碎场②</w:t>
      </w:r>
      <w:r>
        <w:rPr>
          <w:rFonts w:hint="eastAsia" w:ascii="Times New Roman" w:hAnsi="Times New Roman" w:eastAsia="宋体" w:cs="Times New Roman"/>
          <w:color w:val="auto"/>
          <w:highlight w:val="none"/>
          <w:u w:val="single"/>
        </w:rPr>
        <w:t>西</w:t>
      </w:r>
      <w:r>
        <w:rPr>
          <w:rFonts w:ascii="Times New Roman" w:hAnsi="Times New Roman" w:eastAsia="宋体" w:cs="Times New Roman"/>
          <w:color w:val="auto"/>
          <w:highlight w:val="none"/>
          <w:u w:val="single"/>
        </w:rPr>
        <w:t>面</w:t>
      </w:r>
      <w:r>
        <w:rPr>
          <w:rFonts w:hint="eastAsia" w:ascii="Times New Roman" w:hAnsi="Times New Roman" w:eastAsia="宋体" w:cs="Times New Roman"/>
          <w:color w:val="auto"/>
          <w:highlight w:val="none"/>
          <w:u w:val="single"/>
        </w:rPr>
        <w:t>最低处</w:t>
      </w:r>
      <w:r>
        <w:rPr>
          <w:rFonts w:ascii="Times New Roman" w:hAnsi="Times New Roman" w:eastAsia="宋体" w:cs="Times New Roman"/>
          <w:color w:val="auto"/>
          <w:highlight w:val="none"/>
          <w:u w:val="single"/>
        </w:rPr>
        <w:t>，容积为</w:t>
      </w:r>
      <w:r>
        <w:rPr>
          <w:rFonts w:hint="eastAsia" w:cs="Times New Roman"/>
          <w:color w:val="auto"/>
          <w:highlight w:val="none"/>
          <w:u w:val="single"/>
          <w:lang w:val="en-US" w:eastAsia="zh-CN"/>
        </w:rPr>
        <w:t>2</w:t>
      </w:r>
      <w:r>
        <w:rPr>
          <w:rFonts w:hint="eastAsia" w:ascii="Times New Roman" w:hAnsi="Times New Roman" w:eastAsia="宋体" w:cs="Times New Roman"/>
          <w:color w:val="auto"/>
          <w:highlight w:val="none"/>
          <w:u w:val="single"/>
        </w:rPr>
        <w:t>00</w:t>
      </w:r>
      <w:r>
        <w:rPr>
          <w:rFonts w:ascii="Times New Roman" w:hAnsi="Times New Roman" w:eastAsia="宋体" w:cs="Times New Roman"/>
          <w:color w:val="auto"/>
          <w:highlight w:val="none"/>
          <w:u w:val="single"/>
        </w:rPr>
        <w:t>m</w:t>
      </w:r>
      <w:r>
        <w:rPr>
          <w:rFonts w:ascii="Times New Roman" w:hAnsi="Times New Roman" w:eastAsia="宋体" w:cs="Times New Roman"/>
          <w:color w:val="auto"/>
          <w:highlight w:val="none"/>
          <w:u w:val="single"/>
          <w:vertAlign w:val="superscript"/>
        </w:rPr>
        <w:t>3</w:t>
      </w:r>
      <w:r>
        <w:rPr>
          <w:rFonts w:ascii="Times New Roman" w:hAnsi="Times New Roman" w:eastAsia="宋体" w:cs="Times New Roman"/>
          <w:color w:val="auto"/>
          <w:highlight w:val="none"/>
          <w:u w:val="single"/>
        </w:rPr>
        <w:t>，</w:t>
      </w:r>
      <w:r>
        <w:rPr>
          <w:rFonts w:hint="eastAsia" w:ascii="Times New Roman" w:hAnsi="Times New Roman" w:eastAsia="宋体" w:cs="Times New Roman"/>
          <w:color w:val="auto"/>
          <w:highlight w:val="none"/>
          <w:u w:val="single"/>
        </w:rPr>
        <w:t>可接收</w:t>
      </w:r>
      <w:r>
        <w:rPr>
          <w:rFonts w:hint="eastAsia" w:cs="Times New Roman"/>
          <w:color w:val="auto"/>
          <w:highlight w:val="none"/>
          <w:u w:val="single"/>
          <w:lang w:eastAsia="zh-CN"/>
        </w:rPr>
        <w:t>破碎场②</w:t>
      </w:r>
      <w:r>
        <w:rPr>
          <w:rFonts w:hint="eastAsia" w:ascii="Times New Roman" w:hAnsi="Times New Roman" w:eastAsia="宋体" w:cs="Times New Roman"/>
          <w:color w:val="auto"/>
          <w:highlight w:val="none"/>
          <w:u w:val="single"/>
        </w:rPr>
        <w:t>加工区</w:t>
      </w:r>
      <w:r>
        <w:rPr>
          <w:rFonts w:hint="eastAsia" w:cs="Times New Roman"/>
          <w:color w:val="auto"/>
          <w:highlight w:val="none"/>
          <w:u w:val="single"/>
          <w:lang w:val="en-US" w:eastAsia="zh-CN"/>
        </w:rPr>
        <w:t>和堆场</w:t>
      </w:r>
      <w:r>
        <w:rPr>
          <w:rFonts w:hint="eastAsia" w:ascii="Times New Roman" w:hAnsi="Times New Roman" w:eastAsia="宋体" w:cs="Times New Roman"/>
          <w:color w:val="auto"/>
          <w:highlight w:val="none"/>
          <w:u w:val="single"/>
        </w:rPr>
        <w:t>截排水沟收集的初期雨水。</w:t>
      </w:r>
      <w:r>
        <w:rPr>
          <w:rFonts w:ascii="Times New Roman" w:hAnsi="Times New Roman" w:eastAsia="宋体" w:cs="Times New Roman"/>
          <w:color w:val="auto"/>
          <w:highlight w:val="none"/>
          <w:u w:val="single"/>
        </w:rPr>
        <w:t>2个沉砂池总容积</w:t>
      </w:r>
      <w:r>
        <w:rPr>
          <w:rFonts w:hint="eastAsia" w:cs="Times New Roman"/>
          <w:color w:val="auto"/>
          <w:highlight w:val="none"/>
          <w:u w:val="single"/>
          <w:lang w:val="en-US" w:eastAsia="zh-CN"/>
        </w:rPr>
        <w:t>5</w:t>
      </w:r>
      <w:r>
        <w:rPr>
          <w:rFonts w:ascii="Times New Roman" w:hAnsi="Times New Roman" w:eastAsia="宋体" w:cs="Times New Roman"/>
          <w:color w:val="auto"/>
          <w:highlight w:val="none"/>
          <w:u w:val="single"/>
        </w:rPr>
        <w:t>00m</w:t>
      </w:r>
      <w:r>
        <w:rPr>
          <w:rFonts w:ascii="Times New Roman" w:hAnsi="Times New Roman" w:eastAsia="宋体" w:cs="Times New Roman"/>
          <w:color w:val="auto"/>
          <w:highlight w:val="none"/>
          <w:u w:val="single"/>
          <w:vertAlign w:val="superscript"/>
        </w:rPr>
        <w:t>3</w:t>
      </w:r>
      <w:r>
        <w:rPr>
          <w:rFonts w:ascii="Times New Roman" w:hAnsi="Times New Roman" w:eastAsia="宋体" w:cs="Times New Roman"/>
          <w:color w:val="auto"/>
          <w:highlight w:val="none"/>
          <w:u w:val="single"/>
        </w:rPr>
        <w:t>，初期雨水</w:t>
      </w:r>
      <w:r>
        <w:rPr>
          <w:rFonts w:hint="eastAsia" w:cs="Times New Roman"/>
          <w:color w:val="auto"/>
          <w:highlight w:val="none"/>
          <w:u w:val="single"/>
          <w:lang w:val="en-US" w:eastAsia="zh-CN"/>
        </w:rPr>
        <w:t>总</w:t>
      </w:r>
      <w:r>
        <w:rPr>
          <w:rFonts w:ascii="Times New Roman" w:hAnsi="Times New Roman" w:eastAsia="宋体" w:cs="Times New Roman"/>
          <w:color w:val="auto"/>
          <w:highlight w:val="none"/>
          <w:u w:val="single"/>
        </w:rPr>
        <w:t>量仅占沉砂池总容积的</w:t>
      </w:r>
      <w:r>
        <w:rPr>
          <w:rFonts w:hint="eastAsia" w:cs="Times New Roman"/>
          <w:color w:val="auto"/>
          <w:highlight w:val="none"/>
          <w:u w:val="single"/>
          <w:lang w:val="en-US" w:eastAsia="zh-CN"/>
        </w:rPr>
        <w:t>80.2</w:t>
      </w:r>
      <w:r>
        <w:rPr>
          <w:rFonts w:ascii="Times New Roman" w:hAnsi="Times New Roman" w:eastAsia="宋体" w:cs="Times New Roman"/>
          <w:color w:val="auto"/>
          <w:highlight w:val="none"/>
          <w:u w:val="single"/>
        </w:rPr>
        <w:t>%，</w:t>
      </w:r>
      <w:r>
        <w:rPr>
          <w:rFonts w:ascii="Times New Roman" w:hAnsi="Times New Roman" w:eastAsia="宋体" w:cs="Times New Roman"/>
          <w:color w:val="auto"/>
          <w:highlight w:val="none"/>
        </w:rPr>
        <w:t>沉砂池可满足矿区内</w:t>
      </w:r>
      <w:r>
        <w:rPr>
          <w:rFonts w:hint="eastAsia" w:ascii="Times New Roman" w:hAnsi="Times New Roman" w:eastAsia="宋体" w:cs="Times New Roman"/>
          <w:color w:val="auto"/>
          <w:highlight w:val="none"/>
        </w:rPr>
        <w:t>采场</w:t>
      </w:r>
      <w:r>
        <w:rPr>
          <w:rFonts w:ascii="Times New Roman" w:hAnsi="Times New Roman" w:eastAsia="宋体" w:cs="Times New Roman"/>
          <w:color w:val="auto"/>
          <w:highlight w:val="none"/>
        </w:rPr>
        <w:t>和加工区前30min初期雨水收集需求。截排水沟、</w:t>
      </w:r>
      <w:r>
        <w:rPr>
          <w:rFonts w:hint="eastAsia" w:ascii="Times New Roman" w:hAnsi="Times New Roman" w:eastAsia="宋体" w:cs="Times New Roman"/>
          <w:color w:val="auto"/>
          <w:highlight w:val="none"/>
        </w:rPr>
        <w:t>初期雨水径流方向、</w:t>
      </w:r>
      <w:r>
        <w:rPr>
          <w:rFonts w:ascii="Times New Roman" w:hAnsi="Times New Roman" w:eastAsia="宋体" w:cs="Times New Roman"/>
          <w:color w:val="auto"/>
          <w:highlight w:val="none"/>
        </w:rPr>
        <w:t>沉砂池布设情况</w:t>
      </w:r>
      <w:r>
        <w:rPr>
          <w:rFonts w:hint="eastAsia" w:ascii="Times New Roman" w:hAnsi="Times New Roman" w:eastAsia="宋体" w:cs="Times New Roman"/>
          <w:color w:val="auto"/>
          <w:highlight w:val="none"/>
        </w:rPr>
        <w:t>可</w:t>
      </w:r>
      <w:r>
        <w:rPr>
          <w:rFonts w:ascii="Times New Roman" w:hAnsi="Times New Roman" w:eastAsia="宋体" w:cs="Times New Roman"/>
          <w:color w:val="auto"/>
          <w:highlight w:val="none"/>
        </w:rPr>
        <w:t>见附图3，设计参数见附图12。</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沉砂池内</w:t>
      </w:r>
      <w:r>
        <w:rPr>
          <w:rFonts w:ascii="Times New Roman" w:hAnsi="Times New Roman" w:eastAsia="宋体"/>
          <w:color w:val="auto"/>
          <w:highlight w:val="none"/>
        </w:rPr>
        <w:t>初期雨水经4⁓6h自然沉淀后，上层清水可用于矿区洒水降尘，下层沉渣定期清理，用于矿区道路平整。</w:t>
      </w:r>
      <w:r>
        <w:rPr>
          <w:rFonts w:hint="eastAsia"/>
          <w:color w:val="auto"/>
          <w:highlight w:val="none"/>
          <w:u w:val="single"/>
        </w:rPr>
        <w:t>中后期雨水直接排</w:t>
      </w:r>
      <w:r>
        <w:rPr>
          <w:rFonts w:hint="eastAsia"/>
          <w:color w:val="auto"/>
          <w:highlight w:val="none"/>
          <w:u w:val="single"/>
          <w:lang w:val="en-US" w:eastAsia="zh-CN"/>
        </w:rPr>
        <w:t>入矿区周边无名小沟</w:t>
      </w:r>
      <w:r>
        <w:rPr>
          <w:rFonts w:hint="eastAsia"/>
          <w:color w:val="auto"/>
          <w:highlight w:val="none"/>
          <w:u w:val="single"/>
        </w:rPr>
        <w:t>。</w:t>
      </w:r>
    </w:p>
    <w:p>
      <w:pPr>
        <w:ind w:firstLine="480"/>
        <w:rPr>
          <w:rFonts w:ascii="Times New Roman" w:hAnsi="Times New Roman" w:eastAsia="宋体" w:cs="Times New Roman"/>
          <w:color w:val="auto"/>
          <w:szCs w:val="24"/>
          <w:highlight w:val="none"/>
        </w:rPr>
      </w:pPr>
      <w:r>
        <w:rPr>
          <w:rFonts w:hint="eastAsia" w:ascii="Times New Roman" w:hAnsi="Times New Roman" w:eastAsia="宋体"/>
          <w:color w:val="auto"/>
          <w:highlight w:val="none"/>
        </w:rPr>
        <w:t>3、</w:t>
      </w:r>
      <w:r>
        <w:rPr>
          <w:rFonts w:ascii="Times New Roman" w:hAnsi="Times New Roman" w:eastAsia="宋体" w:cs="Times New Roman"/>
          <w:color w:val="auto"/>
          <w:szCs w:val="24"/>
          <w:highlight w:val="none"/>
        </w:rPr>
        <w:t xml:space="preserve">生活污水 </w:t>
      </w:r>
    </w:p>
    <w:p>
      <w:pPr>
        <w:ind w:firstLine="480"/>
        <w:jc w:val="left"/>
        <w:rPr>
          <w:rFonts w:ascii="Times New Roman" w:hAnsi="Times New Roman" w:eastAsia="宋体" w:cs="Times New Roman"/>
          <w:bCs/>
          <w:color w:val="auto"/>
          <w:highlight w:val="none"/>
        </w:rPr>
      </w:pPr>
      <w:r>
        <w:rPr>
          <w:rFonts w:ascii="Times New Roman" w:hAnsi="Times New Roman" w:eastAsia="宋体" w:cs="Times New Roman"/>
          <w:color w:val="auto"/>
          <w:szCs w:val="24"/>
          <w:highlight w:val="none"/>
        </w:rPr>
        <w:t>项目隔油后的厨房废水和</w:t>
      </w:r>
      <w:r>
        <w:rPr>
          <w:rFonts w:ascii="Times New Roman" w:hAnsi="Times New Roman" w:eastAsia="宋体" w:cs="Times New Roman"/>
          <w:bCs/>
          <w:color w:val="auto"/>
          <w:highlight w:val="none"/>
        </w:rPr>
        <w:t>生活污水经化粪池处理后用于周边旱地施肥。</w:t>
      </w:r>
    </w:p>
    <w:p>
      <w:pPr>
        <w:ind w:firstLine="480"/>
        <w:jc w:val="left"/>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项目设置的</w:t>
      </w:r>
      <w:r>
        <w:rPr>
          <w:rFonts w:hint="eastAsia" w:ascii="Times New Roman" w:hAnsi="Times New Roman" w:eastAsia="宋体" w:cs="Times New Roman"/>
          <w:color w:val="auto"/>
          <w:highlight w:val="none"/>
        </w:rPr>
        <w:t>2个</w:t>
      </w:r>
      <w:r>
        <w:rPr>
          <w:rFonts w:ascii="Times New Roman" w:hAnsi="Times New Roman" w:eastAsia="宋体" w:cs="Times New Roman"/>
          <w:color w:val="auto"/>
          <w:highlight w:val="none"/>
        </w:rPr>
        <w:t>20m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化粪池用于处理生活污水，</w:t>
      </w:r>
      <w:r>
        <w:rPr>
          <w:rFonts w:ascii="Times New Roman" w:hAnsi="Times New Roman" w:eastAsia="宋体" w:cs="Times New Roman"/>
          <w:color w:val="auto"/>
          <w:szCs w:val="24"/>
          <w:highlight w:val="none"/>
        </w:rPr>
        <w:t>项目周边有大量旱地，根据</w:t>
      </w:r>
      <w:r>
        <w:rPr>
          <w:rFonts w:ascii="Times New Roman" w:hAnsi="Times New Roman" w:eastAsia="宋体" w:cs="Times New Roman"/>
          <w:bCs/>
          <w:color w:val="auto"/>
          <w:highlight w:val="none"/>
        </w:rPr>
        <w:t>《农田灌溉水质标准》（GB</w:t>
      </w:r>
      <w:r>
        <w:rPr>
          <w:rFonts w:hint="eastAsia" w:ascii="Times New Roman" w:hAnsi="Times New Roman" w:eastAsia="宋体" w:cs="Times New Roman"/>
          <w:bCs/>
          <w:color w:val="auto"/>
          <w:highlight w:val="none"/>
          <w:lang w:val="en-US" w:eastAsia="zh-CN"/>
        </w:rPr>
        <w:t xml:space="preserve"> </w:t>
      </w:r>
      <w:r>
        <w:rPr>
          <w:rFonts w:ascii="Times New Roman" w:hAnsi="Times New Roman" w:eastAsia="宋体" w:cs="Times New Roman"/>
          <w:bCs/>
          <w:color w:val="auto"/>
          <w:highlight w:val="none"/>
        </w:rPr>
        <w:t>5084-2005），旱作类土地浇灌水量300m</w:t>
      </w:r>
      <w:r>
        <w:rPr>
          <w:rFonts w:ascii="Times New Roman" w:hAnsi="Times New Roman" w:eastAsia="宋体" w:cs="Times New Roman"/>
          <w:bCs/>
          <w:color w:val="auto"/>
          <w:highlight w:val="none"/>
          <w:vertAlign w:val="superscript"/>
        </w:rPr>
        <w:t>3</w:t>
      </w:r>
      <w:r>
        <w:rPr>
          <w:rFonts w:ascii="Times New Roman" w:hAnsi="Times New Roman" w:eastAsia="宋体" w:cs="Times New Roman"/>
          <w:bCs/>
          <w:color w:val="auto"/>
          <w:highlight w:val="none"/>
        </w:rPr>
        <w:t>/亩·a。项目总排水量1</w:t>
      </w:r>
      <w:r>
        <w:rPr>
          <w:rFonts w:hint="eastAsia" w:ascii="Times New Roman" w:hAnsi="Times New Roman" w:eastAsia="宋体" w:cs="Times New Roman"/>
          <w:bCs/>
          <w:color w:val="auto"/>
          <w:highlight w:val="none"/>
        </w:rPr>
        <w:t>89</w:t>
      </w:r>
      <w:r>
        <w:rPr>
          <w:rFonts w:ascii="Times New Roman" w:hAnsi="Times New Roman" w:eastAsia="宋体" w:cs="Times New Roman"/>
          <w:bCs/>
          <w:color w:val="auto"/>
          <w:highlight w:val="none"/>
        </w:rPr>
        <w:t>0m</w:t>
      </w:r>
      <w:r>
        <w:rPr>
          <w:rFonts w:ascii="Times New Roman" w:hAnsi="Times New Roman" w:eastAsia="宋体" w:cs="Times New Roman"/>
          <w:bCs/>
          <w:color w:val="auto"/>
          <w:highlight w:val="none"/>
          <w:vertAlign w:val="superscript"/>
        </w:rPr>
        <w:t>3</w:t>
      </w:r>
      <w:r>
        <w:rPr>
          <w:rFonts w:ascii="Times New Roman" w:hAnsi="Times New Roman" w:eastAsia="宋体" w:cs="Times New Roman"/>
          <w:bCs/>
          <w:color w:val="auto"/>
          <w:highlight w:val="none"/>
        </w:rPr>
        <w:t>/a，周边旱地可完全容纳本项目</w:t>
      </w:r>
      <w:r>
        <w:rPr>
          <w:rFonts w:ascii="Times New Roman" w:hAnsi="Times New Roman" w:eastAsia="宋体" w:cs="Times New Roman"/>
          <w:color w:val="auto"/>
          <w:szCs w:val="24"/>
          <w:highlight w:val="none"/>
        </w:rPr>
        <w:t>的生活污水。施肥时采取人工作业，施肥</w:t>
      </w:r>
      <w:r>
        <w:rPr>
          <w:rFonts w:ascii="Times New Roman" w:hAnsi="Times New Roman" w:eastAsia="宋体" w:cs="Times New Roman"/>
          <w:color w:val="auto"/>
          <w:spacing w:val="-2"/>
          <w:kern w:val="0"/>
          <w:szCs w:val="24"/>
          <w:highlight w:val="none"/>
        </w:rPr>
        <w:t>后</w:t>
      </w:r>
      <w:r>
        <w:rPr>
          <w:rFonts w:ascii="Times New Roman" w:hAnsi="Times New Roman" w:eastAsia="宋体" w:cs="Times New Roman"/>
          <w:color w:val="auto"/>
          <w:highlight w:val="none"/>
        </w:rPr>
        <w:t>生活污水大部分自然蒸发掉，废水</w:t>
      </w:r>
      <w:r>
        <w:rPr>
          <w:rFonts w:hint="eastAsia" w:ascii="Times New Roman" w:hAnsi="Times New Roman" w:eastAsia="宋体" w:cs="Times New Roman"/>
          <w:color w:val="auto"/>
          <w:highlight w:val="none"/>
        </w:rPr>
        <w:t>容易</w:t>
      </w:r>
      <w:r>
        <w:rPr>
          <w:rFonts w:ascii="Times New Roman" w:hAnsi="Times New Roman" w:eastAsia="宋体" w:cs="Times New Roman"/>
          <w:color w:val="auto"/>
          <w:highlight w:val="none"/>
        </w:rPr>
        <w:t>被植被吸收，不会残留在地表而进入附近水体，项目生活污水对周边水体产生的影响较小。</w:t>
      </w:r>
    </w:p>
    <w:p>
      <w:pPr>
        <w:pStyle w:val="5"/>
        <w:rPr>
          <w:rFonts w:ascii="Times New Roman" w:hAnsi="Times New Roman" w:eastAsia="宋体"/>
          <w:color w:val="auto"/>
          <w:highlight w:val="none"/>
        </w:rPr>
      </w:pPr>
      <w:r>
        <w:rPr>
          <w:rFonts w:ascii="Times New Roman" w:hAnsi="Times New Roman" w:eastAsia="宋体"/>
          <w:color w:val="auto"/>
          <w:highlight w:val="none"/>
        </w:rPr>
        <w:t xml:space="preserve">5.1.3 地下水污染防治措施 </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highlight w:val="none"/>
        </w:rPr>
        <w:t>根据《环境影响评价技术导则 地下水环境》（HJ</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610-2016）</w:t>
      </w:r>
      <w:r>
        <w:rPr>
          <w:rFonts w:hint="eastAsia" w:ascii="Times New Roman" w:hAnsi="Times New Roman" w:eastAsia="宋体" w:cs="Times New Roman"/>
          <w:color w:val="auto"/>
          <w:highlight w:val="none"/>
        </w:rPr>
        <w:t>，本项目为</w:t>
      </w:r>
      <w:r>
        <w:rPr>
          <w:rFonts w:ascii="Times New Roman" w:hAnsi="Times New Roman" w:eastAsia="宋体" w:cs="Times New Roman"/>
          <w:color w:val="auto"/>
          <w:highlight w:val="none"/>
        </w:rPr>
        <w:t>Ⅳ类建设项目</w:t>
      </w:r>
      <w:r>
        <w:rPr>
          <w:rFonts w:hint="eastAsia" w:ascii="Times New Roman" w:hAnsi="Times New Roman" w:eastAsia="宋体" w:cs="Times New Roman"/>
          <w:color w:val="auto"/>
          <w:highlight w:val="none"/>
        </w:rPr>
        <w:t>，可</w:t>
      </w:r>
      <w:r>
        <w:rPr>
          <w:rFonts w:ascii="Times New Roman" w:hAnsi="Times New Roman" w:eastAsia="宋体" w:cs="Times New Roman"/>
          <w:color w:val="auto"/>
          <w:highlight w:val="none"/>
        </w:rPr>
        <w:t>不开展地下水环境影响评价。</w:t>
      </w:r>
      <w:r>
        <w:rPr>
          <w:rFonts w:ascii="Times New Roman" w:hAnsi="Times New Roman" w:eastAsia="宋体" w:cs="Times New Roman"/>
          <w:color w:val="auto"/>
          <w:szCs w:val="24"/>
          <w:highlight w:val="none"/>
        </w:rPr>
        <w:t xml:space="preserve">项目在开采过程中，对地下水影响甚微，不会引起地下水环境问题。但由于化粪池、沉砂池及管网沟渠等设施存在有渗漏风险，需对沉砂池及其污水管网进行硬化和铺设防渗层处理，拟采取以下措施。采取相应的防渗措施以及泄/渗漏污染物的收集处理措施后，废水对地下水水质影响不大。 </w:t>
      </w:r>
    </w:p>
    <w:p>
      <w:pPr>
        <w:numPr>
          <w:ilvl w:val="0"/>
          <w:numId w:val="15"/>
        </w:num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 xml:space="preserve">污水排放沟渠、化粪池、机修车间均采用钢筋混凝土防渗漏。 </w:t>
      </w:r>
    </w:p>
    <w:p>
      <w:pPr>
        <w:numPr>
          <w:ilvl w:val="0"/>
          <w:numId w:val="15"/>
        </w:num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严格按照开采设计方案规定的开采标高进行开采，禁止进行超标高开采。</w:t>
      </w:r>
    </w:p>
    <w:p>
      <w:pPr>
        <w:numPr>
          <w:ilvl w:val="0"/>
          <w:numId w:val="15"/>
        </w:num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采区、</w:t>
      </w:r>
      <w:r>
        <w:rPr>
          <w:rFonts w:hint="eastAsia" w:ascii="Times New Roman" w:hAnsi="Times New Roman" w:eastAsia="宋体" w:cs="Times New Roman"/>
          <w:color w:val="auto"/>
          <w:szCs w:val="24"/>
          <w:highlight w:val="none"/>
        </w:rPr>
        <w:t>临时排土场</w:t>
      </w:r>
      <w:r>
        <w:rPr>
          <w:rFonts w:ascii="Times New Roman" w:hAnsi="Times New Roman" w:eastAsia="宋体" w:cs="Times New Roman"/>
          <w:color w:val="auto"/>
          <w:szCs w:val="24"/>
          <w:highlight w:val="none"/>
        </w:rPr>
        <w:t xml:space="preserve">四周设置截排水沟，将雨季产生的初期雨水（含淋溶水）截留至沉砂池，要求截排水沟和沉砂池须采用防渗措施。 </w:t>
      </w:r>
    </w:p>
    <w:p>
      <w:pPr>
        <w:numPr>
          <w:ilvl w:val="0"/>
          <w:numId w:val="15"/>
        </w:num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生产</w:t>
      </w:r>
      <w:r>
        <w:rPr>
          <w:rFonts w:hint="eastAsia" w:ascii="Times New Roman" w:hAnsi="Times New Roman" w:eastAsia="宋体" w:cs="Times New Roman"/>
          <w:color w:val="auto"/>
          <w:szCs w:val="24"/>
          <w:highlight w:val="none"/>
        </w:rPr>
        <w:t>过程中</w:t>
      </w:r>
      <w:r>
        <w:rPr>
          <w:rFonts w:ascii="Times New Roman" w:hAnsi="Times New Roman" w:eastAsia="宋体" w:cs="Times New Roman"/>
          <w:color w:val="auto"/>
          <w:szCs w:val="24"/>
          <w:highlight w:val="none"/>
        </w:rPr>
        <w:t>初期雨水沉砂池收集的雨水</w:t>
      </w:r>
      <w:r>
        <w:rPr>
          <w:rFonts w:hint="eastAsia" w:ascii="Times New Roman" w:hAnsi="Times New Roman" w:eastAsia="宋体" w:cs="Times New Roman"/>
          <w:color w:val="auto"/>
          <w:szCs w:val="24"/>
          <w:highlight w:val="none"/>
        </w:rPr>
        <w:t>回用于矿区洒水降尘</w:t>
      </w:r>
      <w:r>
        <w:rPr>
          <w:rFonts w:ascii="Times New Roman" w:hAnsi="Times New Roman" w:eastAsia="宋体" w:cs="Times New Roman"/>
          <w:color w:val="auto"/>
          <w:szCs w:val="24"/>
          <w:highlight w:val="none"/>
        </w:rPr>
        <w:t xml:space="preserve">。 </w:t>
      </w:r>
    </w:p>
    <w:p>
      <w:pPr>
        <w:numPr>
          <w:ilvl w:val="0"/>
          <w:numId w:val="15"/>
        </w:numPr>
        <w:ind w:firstLine="480"/>
        <w:rPr>
          <w:rFonts w:ascii="Times New Roman" w:hAnsi="Times New Roman" w:eastAsia="宋体" w:cs="Times New Roman"/>
          <w:color w:val="auto"/>
          <w:sz w:val="23"/>
          <w:highlight w:val="none"/>
        </w:rPr>
      </w:pPr>
      <w:r>
        <w:rPr>
          <w:rFonts w:ascii="Times New Roman" w:hAnsi="Times New Roman" w:eastAsia="宋体" w:cs="Times New Roman"/>
          <w:color w:val="auto"/>
          <w:szCs w:val="24"/>
          <w:highlight w:val="none"/>
        </w:rPr>
        <w:t>化粪池、危险废物暂存间按照《危险废物贮存污染控制标准》（GB</w:t>
      </w:r>
      <w:r>
        <w:rPr>
          <w:rFonts w:hint="eastAsia" w:ascii="Times New Roman" w:hAnsi="Times New Roman" w:eastAsia="宋体" w:cs="Times New Roman"/>
          <w:color w:val="auto"/>
          <w:szCs w:val="24"/>
          <w:highlight w:val="none"/>
          <w:lang w:val="en-US" w:eastAsia="zh-CN"/>
        </w:rPr>
        <w:t xml:space="preserve"> </w:t>
      </w:r>
      <w:r>
        <w:rPr>
          <w:rFonts w:ascii="Times New Roman" w:hAnsi="Times New Roman" w:eastAsia="宋体" w:cs="Times New Roman"/>
          <w:color w:val="auto"/>
          <w:szCs w:val="24"/>
          <w:highlight w:val="none"/>
        </w:rPr>
        <w:t>18597-2001）及其修改单（2013年修订）的防渗要求建设，杜绝危险废物泄漏影响地下水环境。</w:t>
      </w:r>
    </w:p>
    <w:p>
      <w:pPr>
        <w:pStyle w:val="5"/>
        <w:rPr>
          <w:rFonts w:ascii="Times New Roman" w:hAnsi="Times New Roman" w:eastAsia="宋体"/>
          <w:color w:val="auto"/>
          <w:highlight w:val="none"/>
        </w:rPr>
      </w:pPr>
      <w:r>
        <w:rPr>
          <w:rFonts w:ascii="Times New Roman" w:hAnsi="Times New Roman" w:eastAsia="宋体"/>
          <w:color w:val="auto"/>
          <w:highlight w:val="none"/>
        </w:rPr>
        <w:t xml:space="preserve">5.1.4 噪声及振动控制措施 </w:t>
      </w:r>
    </w:p>
    <w:p>
      <w:pPr>
        <w:ind w:firstLine="482"/>
        <w:jc w:val="left"/>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4"/>
          <w:highlight w:val="none"/>
        </w:rPr>
        <w:t xml:space="preserve">1、露天采场设备噪声污染防治 </w:t>
      </w:r>
    </w:p>
    <w:p>
      <w:pPr>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露天采场采石过程噪声主要来自爆破工序，噪声强度与装药量及爆破方式有关。采用中深孔爆破产生噪声要比浅孔爆破产生的噪声小很多；本项目采用中深孔爆破，爆破时在50m远处的噪声强度为76dB(A)。本环评要求通过减低爆破脉冲峰压声级，如间隔、缓震爆破等，规范噪声爆破操程。其次，合理安排爆破时间，控制爆破频次，严禁夜间爆破。</w:t>
      </w:r>
    </w:p>
    <w:p>
      <w:pPr>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钻机是噪声源强最高的设备，声级高达100dB(A)以上，加之频谱宽，应加强操作人员个人防护措施，以减少噪声对操作人员的影响。</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项目使用的空压机为移动式空压机，为了减轻空压机运行产生噪声对周边环境的影响，要求在进出口安装消声器。</w:t>
      </w:r>
    </w:p>
    <w:p>
      <w:pPr>
        <w:ind w:firstLine="482"/>
        <w:rPr>
          <w:rFonts w:ascii="Times New Roman" w:hAnsi="Times New Roman" w:eastAsia="宋体" w:cs="Times New Roman"/>
          <w:b/>
          <w:bCs/>
          <w:color w:val="auto"/>
          <w:szCs w:val="24"/>
          <w:highlight w:val="none"/>
        </w:rPr>
      </w:pPr>
      <w:r>
        <w:rPr>
          <w:rFonts w:ascii="Times New Roman" w:hAnsi="Times New Roman" w:eastAsia="宋体" w:cs="Times New Roman"/>
          <w:b/>
          <w:bCs/>
          <w:color w:val="auto"/>
          <w:szCs w:val="24"/>
          <w:highlight w:val="none"/>
        </w:rPr>
        <w:t xml:space="preserve">2、工业场地矿石加工噪声防治措施 </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项目破碎机、振动筛安装减振基座，采用彩钢板进行封闭；加强项目场界四周的绿化，可起到隔声降噪作用；加强对矿石加工设备的维修和保养，确保设备正常运行。</w:t>
      </w:r>
    </w:p>
    <w:p>
      <w:pPr>
        <w:numPr>
          <w:ilvl w:val="0"/>
          <w:numId w:val="16"/>
        </w:numPr>
        <w:ind w:firstLine="482"/>
        <w:rPr>
          <w:rFonts w:ascii="Times New Roman" w:hAnsi="Times New Roman" w:eastAsia="宋体" w:cs="Times New Roman"/>
          <w:b/>
          <w:bCs/>
          <w:color w:val="auto"/>
          <w:szCs w:val="24"/>
          <w:highlight w:val="none"/>
        </w:rPr>
      </w:pPr>
      <w:r>
        <w:rPr>
          <w:rFonts w:ascii="Times New Roman" w:hAnsi="Times New Roman" w:eastAsia="宋体" w:cs="Times New Roman"/>
          <w:b/>
          <w:bCs/>
          <w:color w:val="auto"/>
          <w:szCs w:val="24"/>
          <w:highlight w:val="none"/>
        </w:rPr>
        <w:t xml:space="preserve">矿石采装、装卸、运输噪声防治措施 </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 xml:space="preserve">矿石集堆、采装时不要把石料举起太高，轻装轻放，尽量减少在采装过程中产生的噪声；对运输交通噪声，禁止使用超过噪声限值的运输车辆，汽车运输机械设备应安装消声器和禁用高音喇叭，机动车辆必须加强维修和保养，保持技术性能良好，在经过运输道路沿途村庄等敏感点时，应限制鸣笛，合理安排运输车辆工作时间，不得在夜间、休息时间运输，避免交通噪声对沿途村庄产生影响。 </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通过采取上述控制措施，项目场界噪声可</w:t>
      </w:r>
      <w:r>
        <w:rPr>
          <w:rFonts w:hint="eastAsia" w:ascii="Times New Roman" w:hAnsi="Times New Roman" w:eastAsia="宋体" w:cs="Times New Roman"/>
          <w:color w:val="auto"/>
          <w:szCs w:val="24"/>
          <w:highlight w:val="none"/>
        </w:rPr>
        <w:t>满足</w:t>
      </w:r>
      <w:r>
        <w:rPr>
          <w:rFonts w:ascii="Times New Roman" w:hAnsi="Times New Roman" w:eastAsia="宋体" w:cs="Times New Roman"/>
          <w:color w:val="auto"/>
          <w:szCs w:val="24"/>
          <w:highlight w:val="none"/>
        </w:rPr>
        <w:t>《工业企业厂界环境噪声排放标准》（GB</w:t>
      </w:r>
      <w:r>
        <w:rPr>
          <w:rFonts w:hint="eastAsia" w:ascii="Times New Roman" w:hAnsi="Times New Roman" w:eastAsia="宋体" w:cs="Times New Roman"/>
          <w:color w:val="auto"/>
          <w:szCs w:val="24"/>
          <w:highlight w:val="none"/>
          <w:lang w:val="en-US" w:eastAsia="zh-CN"/>
        </w:rPr>
        <w:t xml:space="preserve"> </w:t>
      </w:r>
      <w:r>
        <w:rPr>
          <w:rFonts w:ascii="Times New Roman" w:hAnsi="Times New Roman" w:eastAsia="宋体" w:cs="Times New Roman"/>
          <w:color w:val="auto"/>
          <w:szCs w:val="24"/>
          <w:highlight w:val="none"/>
        </w:rPr>
        <w:t>12348-2008）2类标准。</w:t>
      </w:r>
      <w:r>
        <w:rPr>
          <w:rFonts w:hint="eastAsia" w:ascii="Times New Roman" w:hAnsi="Times New Roman" w:eastAsia="宋体" w:cs="Times New Roman"/>
          <w:color w:val="auto"/>
          <w:szCs w:val="24"/>
          <w:highlight w:val="none"/>
        </w:rPr>
        <w:t>噪声防治</w:t>
      </w:r>
      <w:r>
        <w:rPr>
          <w:rFonts w:ascii="Times New Roman" w:hAnsi="Times New Roman" w:eastAsia="宋体" w:cs="Times New Roman"/>
          <w:color w:val="auto"/>
          <w:szCs w:val="24"/>
          <w:highlight w:val="none"/>
        </w:rPr>
        <w:t>措施可行。</w:t>
      </w:r>
    </w:p>
    <w:p>
      <w:pPr>
        <w:numPr>
          <w:ilvl w:val="0"/>
          <w:numId w:val="16"/>
        </w:numPr>
        <w:ind w:firstLine="482"/>
        <w:rPr>
          <w:rFonts w:ascii="Times New Roman" w:hAnsi="Times New Roman" w:eastAsia="宋体" w:cs="Times New Roman"/>
          <w:b/>
          <w:bCs/>
          <w:color w:val="auto"/>
          <w:szCs w:val="24"/>
          <w:highlight w:val="none"/>
        </w:rPr>
      </w:pPr>
      <w:r>
        <w:rPr>
          <w:rFonts w:ascii="Times New Roman" w:hAnsi="Times New Roman" w:eastAsia="宋体" w:cs="Times New Roman"/>
          <w:b/>
          <w:bCs/>
          <w:color w:val="auto"/>
          <w:szCs w:val="24"/>
          <w:highlight w:val="none"/>
        </w:rPr>
        <w:t xml:space="preserve">爆破振动防治措施 </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工程爆破施工过程中的有害效应还有爆破地震、冲击波等，下面分类叙述各种工况的防治措施：</w:t>
      </w:r>
    </w:p>
    <w:p>
      <w:pPr>
        <w:numPr>
          <w:ilvl w:val="0"/>
          <w:numId w:val="17"/>
        </w:num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爆破地震波的措施</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为了减少爆破地震波对爆区周围建筑物的影响，建议可以采取以下措施：</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①严格限制最大一段的装药量，总药量相同时，分段越多，则爆破震动强度越小；</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②合理选取微差间隔时间和爆破参数，减少爆破夹制作用；</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③选用低爆速的炸药和不耦合装药；</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 xml:space="preserve">④采取预裂爆破技术，预裂缝有显著的降震作用。露天中深孔爆破时，防止超深过大。 </w:t>
      </w:r>
    </w:p>
    <w:p>
      <w:pPr>
        <w:numPr>
          <w:ilvl w:val="0"/>
          <w:numId w:val="17"/>
        </w:num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防空气冲击波的措施</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为了预防空气冲击波的破坏作用，建议可采取以下措施：</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①保证合理的堵塞长度、堵塞质量和采取反向起爆；</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②大力推广导爆管，用导爆管起爆来取代导爆索起爆；</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③合理确定爆破参数，合理选择微差起爆方案和微差间隔时间，以消除冲天炮，减少大块率；</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④在设计中要考虑避免形成波束。</w:t>
      </w:r>
    </w:p>
    <w:p>
      <w:pPr>
        <w:numPr>
          <w:ilvl w:val="0"/>
          <w:numId w:val="17"/>
        </w:num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爆破飞石防治措施</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根据《爆破安全规程》（GB</w:t>
      </w:r>
      <w:r>
        <w:rPr>
          <w:rFonts w:hint="eastAsia" w:ascii="Times New Roman" w:hAnsi="Times New Roman" w:eastAsia="宋体" w:cs="Times New Roman"/>
          <w:color w:val="auto"/>
          <w:szCs w:val="24"/>
          <w:highlight w:val="none"/>
          <w:lang w:val="en-US" w:eastAsia="zh-CN"/>
        </w:rPr>
        <w:t xml:space="preserve"> </w:t>
      </w:r>
      <w:r>
        <w:rPr>
          <w:rFonts w:ascii="Times New Roman" w:hAnsi="Times New Roman" w:eastAsia="宋体" w:cs="Times New Roman"/>
          <w:color w:val="auto"/>
          <w:szCs w:val="24"/>
          <w:highlight w:val="none"/>
        </w:rPr>
        <w:t>6722-2014）的规定本项目爆破安全距离为300m，根据现场调查安全距离内无敏感目标。但为了最大减少爆破飞石的损害，评价要求采取以下具体措施进行防护：</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 xml:space="preserve">①设计合理，测量验收严格，避免单耗失控，是控制飞石危害的基础工作； </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②慎重对待断层、软弱带、张开裂隙、成组发育的节理、溶洞、采空区、覆盖层等地质构造，采取间隔堵塞，调整药量，避免过量装药等措施；</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③保证堵塞质量，不但要保证堵塞长度，而且保证堵塞密实、连续，堵塞物中应避免夹杂碎石，要保证堵塞长度不小于最小抵抗线值；</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④多排爆破时要选择合理的延迟时间，防止因前排带炮（后冲），造成后排最小抵抗线大小与方向失控；</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⑤采用低速炸药，不耦合装药，挤压爆破和毫秒微差起爆等；</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⑥本项目矿山设计爆破安全距离为300m。爆破前，所有在场的工作人员需撤离到爆破禁戒线（300m）之外。爆破前需张贴公告，做好办公生活区的日常管理工作。</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⑦若在爆破时，发生人员伤亡等危险事故，应立即通知当地政府、安监等部门，第一时间保护好现场，作好人员的抢救工作，并采取相应的事故应急预案。</w:t>
      </w:r>
    </w:p>
    <w:p>
      <w:pPr>
        <w:pStyle w:val="5"/>
        <w:rPr>
          <w:rFonts w:ascii="Times New Roman" w:hAnsi="Times New Roman" w:eastAsia="宋体"/>
          <w:color w:val="auto"/>
          <w:highlight w:val="none"/>
        </w:rPr>
      </w:pPr>
      <w:r>
        <w:rPr>
          <w:rFonts w:ascii="Times New Roman" w:hAnsi="Times New Roman" w:eastAsia="宋体"/>
          <w:color w:val="auto"/>
          <w:highlight w:val="none"/>
        </w:rPr>
        <w:t xml:space="preserve">5.1.5 固体废物污染防治措施 </w:t>
      </w:r>
    </w:p>
    <w:p>
      <w:pPr>
        <w:snapToGrid w:val="0"/>
        <w:ind w:firstLine="480"/>
        <w:rPr>
          <w:rFonts w:ascii="Times New Roman" w:hAnsi="Times New Roman" w:eastAsia="宋体" w:cs="Times New Roman"/>
          <w:color w:val="auto"/>
          <w:szCs w:val="22"/>
          <w:highlight w:val="none"/>
        </w:rPr>
      </w:pPr>
      <w:r>
        <w:rPr>
          <w:rFonts w:ascii="Times New Roman" w:hAnsi="Times New Roman" w:eastAsia="宋体" w:cs="Times New Roman"/>
          <w:color w:val="auto"/>
          <w:szCs w:val="22"/>
          <w:highlight w:val="none"/>
        </w:rPr>
        <w:t>（1）项目设置</w:t>
      </w:r>
      <w:r>
        <w:rPr>
          <w:rFonts w:hint="eastAsia" w:ascii="Times New Roman" w:hAnsi="Times New Roman" w:eastAsia="宋体" w:cs="Times New Roman"/>
          <w:color w:val="auto"/>
          <w:szCs w:val="22"/>
          <w:highlight w:val="none"/>
        </w:rPr>
        <w:t>临时排土场</w:t>
      </w:r>
      <w:r>
        <w:rPr>
          <w:rFonts w:ascii="Times New Roman" w:hAnsi="Times New Roman" w:eastAsia="宋体" w:cs="Times New Roman"/>
          <w:color w:val="auto"/>
          <w:szCs w:val="22"/>
          <w:highlight w:val="none"/>
        </w:rPr>
        <w:t>，堆放矿山开采过程中剥离的表土，后期用于采空区复垦。</w:t>
      </w:r>
      <w:r>
        <w:rPr>
          <w:rFonts w:hint="eastAsia" w:ascii="Times New Roman" w:hAnsi="Times New Roman" w:eastAsia="宋体" w:cs="Times New Roman"/>
          <w:color w:val="auto"/>
          <w:szCs w:val="22"/>
          <w:highlight w:val="none"/>
        </w:rPr>
        <w:t>临时排土场</w:t>
      </w:r>
      <w:r>
        <w:rPr>
          <w:rFonts w:ascii="Times New Roman" w:hAnsi="Times New Roman" w:eastAsia="宋体" w:cs="Times New Roman"/>
          <w:color w:val="auto"/>
          <w:szCs w:val="22"/>
          <w:highlight w:val="none"/>
        </w:rPr>
        <w:t>四周均修建浆砌石挡土墙，防止水土流失和土方垮塌。</w:t>
      </w:r>
    </w:p>
    <w:p>
      <w:pPr>
        <w:snapToGrid w:val="0"/>
        <w:ind w:firstLine="480"/>
        <w:rPr>
          <w:rFonts w:ascii="Times New Roman" w:hAnsi="Times New Roman" w:eastAsia="宋体" w:cs="Times New Roman"/>
          <w:color w:val="auto"/>
          <w:szCs w:val="22"/>
          <w:highlight w:val="none"/>
        </w:rPr>
      </w:pPr>
      <w:r>
        <w:rPr>
          <w:rFonts w:ascii="Times New Roman" w:hAnsi="Times New Roman" w:eastAsia="宋体" w:cs="Times New Roman"/>
          <w:color w:val="auto"/>
          <w:szCs w:val="22"/>
          <w:highlight w:val="none"/>
        </w:rPr>
        <w:t>（2）项目矿山开采过程中产生的</w:t>
      </w:r>
      <w:r>
        <w:rPr>
          <w:rFonts w:hint="eastAsia" w:ascii="Times New Roman" w:hAnsi="Times New Roman" w:eastAsia="宋体" w:cs="Times New Roman"/>
          <w:color w:val="auto"/>
          <w:szCs w:val="22"/>
          <w:highlight w:val="none"/>
        </w:rPr>
        <w:t>废土石渣经外卖</w:t>
      </w:r>
      <w:r>
        <w:rPr>
          <w:rFonts w:ascii="Times New Roman" w:hAnsi="Times New Roman" w:eastAsia="宋体" w:cs="Times New Roman"/>
          <w:color w:val="auto"/>
          <w:szCs w:val="22"/>
          <w:highlight w:val="none"/>
        </w:rPr>
        <w:t>用于</w:t>
      </w:r>
      <w:r>
        <w:rPr>
          <w:rFonts w:hint="eastAsia" w:ascii="Times New Roman" w:hAnsi="Times New Roman" w:eastAsia="宋体" w:cs="Times New Roman"/>
          <w:color w:val="auto"/>
          <w:szCs w:val="22"/>
          <w:highlight w:val="none"/>
        </w:rPr>
        <w:t>周边</w:t>
      </w:r>
      <w:r>
        <w:rPr>
          <w:rFonts w:ascii="Times New Roman" w:hAnsi="Times New Roman" w:eastAsia="宋体" w:cs="Times New Roman"/>
          <w:color w:val="auto"/>
          <w:szCs w:val="22"/>
          <w:highlight w:val="none"/>
        </w:rPr>
        <w:t>道路</w:t>
      </w:r>
      <w:r>
        <w:rPr>
          <w:rFonts w:hint="eastAsia" w:ascii="Times New Roman" w:hAnsi="Times New Roman" w:eastAsia="宋体" w:cs="Times New Roman"/>
          <w:color w:val="auto"/>
          <w:szCs w:val="22"/>
          <w:highlight w:val="none"/>
        </w:rPr>
        <w:t>建设</w:t>
      </w:r>
      <w:r>
        <w:rPr>
          <w:rFonts w:ascii="Times New Roman" w:hAnsi="Times New Roman" w:eastAsia="宋体" w:cs="Times New Roman"/>
          <w:color w:val="auto"/>
          <w:szCs w:val="22"/>
          <w:highlight w:val="none"/>
        </w:rPr>
        <w:t>，不再另行堆存。</w:t>
      </w:r>
    </w:p>
    <w:p>
      <w:pPr>
        <w:snapToGrid w:val="0"/>
        <w:ind w:firstLine="480"/>
        <w:rPr>
          <w:rFonts w:ascii="Times New Roman" w:hAnsi="Times New Roman" w:eastAsia="宋体" w:cs="Times New Roman"/>
          <w:color w:val="auto"/>
          <w:szCs w:val="22"/>
          <w:highlight w:val="none"/>
        </w:rPr>
      </w:pPr>
      <w:r>
        <w:rPr>
          <w:rFonts w:ascii="Times New Roman" w:hAnsi="Times New Roman" w:eastAsia="宋体" w:cs="Times New Roman"/>
          <w:color w:val="auto"/>
          <w:szCs w:val="22"/>
          <w:highlight w:val="none"/>
        </w:rPr>
        <w:t>（3）初期雨水沉砂池的泥渣应定期清理，用于矿山道路平整，保证沉砂池具有良好的沉淀效果，上清液回用于矿区洒水降尘。</w:t>
      </w:r>
    </w:p>
    <w:p>
      <w:pPr>
        <w:snapToGrid w:val="0"/>
        <w:ind w:firstLine="480"/>
        <w:rPr>
          <w:rFonts w:ascii="Times New Roman" w:hAnsi="Times New Roman" w:eastAsia="宋体" w:cs="Times New Roman"/>
          <w:color w:val="auto"/>
          <w:szCs w:val="22"/>
          <w:highlight w:val="none"/>
        </w:rPr>
      </w:pPr>
      <w:r>
        <w:rPr>
          <w:rFonts w:ascii="Times New Roman" w:hAnsi="Times New Roman" w:eastAsia="宋体" w:cs="Times New Roman"/>
          <w:color w:val="auto"/>
          <w:szCs w:val="22"/>
          <w:highlight w:val="none"/>
        </w:rPr>
        <w:t>（4）机械维修产生的废机油属于危险废物，要求在矿区内设置危险废物暂存点，临时储存点的设置必须符合《危险废物贮存污染控制标准》（GB</w:t>
      </w:r>
      <w:r>
        <w:rPr>
          <w:rFonts w:hint="eastAsia" w:ascii="Times New Roman" w:hAnsi="Times New Roman" w:eastAsia="宋体" w:cs="Times New Roman"/>
          <w:color w:val="auto"/>
          <w:szCs w:val="22"/>
          <w:highlight w:val="none"/>
          <w:lang w:val="en-US" w:eastAsia="zh-CN"/>
        </w:rPr>
        <w:t xml:space="preserve"> </w:t>
      </w:r>
      <w:r>
        <w:rPr>
          <w:rFonts w:ascii="Times New Roman" w:hAnsi="Times New Roman" w:eastAsia="宋体" w:cs="Times New Roman"/>
          <w:color w:val="auto"/>
          <w:szCs w:val="22"/>
          <w:highlight w:val="none"/>
        </w:rPr>
        <w:t>18597-2001）及2013年修改单要求做好密闭及放渗透工作，危险废物的处置必须委托有资质的专业机构进行处理处置，禁止在厂区内随意堆放和丢弃。</w:t>
      </w:r>
    </w:p>
    <w:p>
      <w:pPr>
        <w:snapToGrid w:val="0"/>
        <w:ind w:firstLine="480"/>
        <w:rPr>
          <w:rFonts w:ascii="Times New Roman" w:hAnsi="Times New Roman" w:eastAsia="宋体" w:cs="Times New Roman"/>
          <w:color w:val="auto"/>
          <w:szCs w:val="22"/>
          <w:highlight w:val="none"/>
        </w:rPr>
      </w:pPr>
      <w:r>
        <w:rPr>
          <w:rFonts w:ascii="Times New Roman" w:hAnsi="Times New Roman" w:eastAsia="宋体" w:cs="Times New Roman"/>
          <w:color w:val="auto"/>
          <w:szCs w:val="22"/>
          <w:highlight w:val="none"/>
        </w:rPr>
        <w:t>（5）</w:t>
      </w:r>
      <w:r>
        <w:rPr>
          <w:rFonts w:hint="eastAsia" w:ascii="Times New Roman" w:hAnsi="Times New Roman" w:eastAsia="宋体" w:cs="Times New Roman"/>
          <w:color w:val="auto"/>
          <w:szCs w:val="22"/>
          <w:highlight w:val="none"/>
        </w:rPr>
        <w:t>废土石渣</w:t>
      </w:r>
      <w:r>
        <w:rPr>
          <w:rFonts w:ascii="Times New Roman" w:hAnsi="Times New Roman" w:eastAsia="宋体" w:cs="Times New Roman"/>
          <w:color w:val="auto"/>
          <w:szCs w:val="22"/>
          <w:highlight w:val="none"/>
        </w:rPr>
        <w:t>渣临时单独堆放于堆矿场内，与产品矿石中间保留一定距离。项目产生的</w:t>
      </w:r>
      <w:r>
        <w:rPr>
          <w:rFonts w:hint="eastAsia" w:ascii="Times New Roman" w:hAnsi="Times New Roman" w:eastAsia="宋体" w:cs="Times New Roman"/>
          <w:color w:val="auto"/>
          <w:szCs w:val="22"/>
          <w:highlight w:val="none"/>
        </w:rPr>
        <w:t>废土石渣</w:t>
      </w:r>
      <w:r>
        <w:rPr>
          <w:rFonts w:ascii="Times New Roman" w:hAnsi="Times New Roman" w:eastAsia="宋体" w:cs="Times New Roman"/>
          <w:color w:val="auto"/>
          <w:szCs w:val="22"/>
          <w:highlight w:val="none"/>
        </w:rPr>
        <w:t>不宜长时间堆放，应及时外售给</w:t>
      </w:r>
      <w:r>
        <w:rPr>
          <w:rFonts w:hint="eastAsia" w:ascii="Times New Roman" w:hAnsi="Times New Roman" w:eastAsia="宋体" w:cs="Times New Roman"/>
          <w:color w:val="auto"/>
          <w:szCs w:val="22"/>
          <w:highlight w:val="none"/>
        </w:rPr>
        <w:t>周边用于道路建设或</w:t>
      </w:r>
      <w:r>
        <w:rPr>
          <w:rFonts w:ascii="Times New Roman" w:hAnsi="Times New Roman" w:eastAsia="宋体" w:cs="Times New Roman"/>
          <w:color w:val="auto"/>
          <w:szCs w:val="22"/>
          <w:highlight w:val="none"/>
        </w:rPr>
        <w:t>相关企业用于基础填筑，避免长期堆放产生二次污染。</w:t>
      </w:r>
    </w:p>
    <w:p>
      <w:pPr>
        <w:snapToGrid w:val="0"/>
        <w:ind w:firstLine="480"/>
        <w:rPr>
          <w:rFonts w:ascii="Times New Roman" w:hAnsi="Times New Roman" w:eastAsia="宋体" w:cs="Times New Roman"/>
          <w:color w:val="auto"/>
          <w:szCs w:val="22"/>
          <w:highlight w:val="none"/>
        </w:rPr>
      </w:pPr>
      <w:r>
        <w:rPr>
          <w:rFonts w:ascii="Times New Roman" w:hAnsi="Times New Roman" w:eastAsia="宋体" w:cs="Times New Roman"/>
          <w:color w:val="auto"/>
          <w:szCs w:val="22"/>
          <w:highlight w:val="none"/>
        </w:rPr>
        <w:t>（6）场内生活区设置生活垃圾收集点一处，集中收集职工办公、生活产生的各种垃圾。生活垃圾统一收集后定期拉运到附近村庄生活垃圾集中点，由当地环卫工人统一清运、处置。</w:t>
      </w:r>
    </w:p>
    <w:p>
      <w:pPr>
        <w:snapToGrid w:val="0"/>
        <w:ind w:firstLine="480"/>
        <w:rPr>
          <w:rFonts w:ascii="Times New Roman" w:hAnsi="Times New Roman" w:eastAsia="宋体" w:cs="Times New Roman"/>
          <w:color w:val="auto"/>
          <w:szCs w:val="22"/>
          <w:highlight w:val="none"/>
        </w:rPr>
      </w:pPr>
      <w:r>
        <w:rPr>
          <w:rFonts w:ascii="Times New Roman" w:hAnsi="Times New Roman" w:eastAsia="宋体" w:cs="Times New Roman"/>
          <w:color w:val="auto"/>
          <w:szCs w:val="22"/>
          <w:highlight w:val="none"/>
        </w:rPr>
        <w:t>（7）</w:t>
      </w:r>
      <w:r>
        <w:rPr>
          <w:rFonts w:hint="eastAsia" w:ascii="Times New Roman" w:hAnsi="Times New Roman" w:eastAsia="宋体" w:cs="Times New Roman"/>
          <w:color w:val="auto"/>
          <w:szCs w:val="22"/>
          <w:highlight w:val="none"/>
        </w:rPr>
        <w:t>袋式除尘器</w:t>
      </w:r>
      <w:r>
        <w:rPr>
          <w:rFonts w:ascii="Times New Roman" w:hAnsi="Times New Roman" w:eastAsia="宋体" w:cs="Times New Roman"/>
          <w:color w:val="auto"/>
          <w:szCs w:val="22"/>
          <w:highlight w:val="none"/>
        </w:rPr>
        <w:t>收集到的粉尘</w:t>
      </w:r>
      <w:r>
        <w:rPr>
          <w:rFonts w:hint="eastAsia" w:ascii="Times New Roman" w:hAnsi="Times New Roman" w:eastAsia="宋体" w:cs="Times New Roman"/>
          <w:color w:val="auto"/>
          <w:szCs w:val="22"/>
          <w:highlight w:val="none"/>
        </w:rPr>
        <w:t>和洗砂泥饼</w:t>
      </w:r>
      <w:r>
        <w:rPr>
          <w:rFonts w:ascii="Times New Roman" w:hAnsi="Times New Roman" w:eastAsia="宋体" w:cs="Times New Roman"/>
          <w:color w:val="auto"/>
          <w:szCs w:val="22"/>
          <w:highlight w:val="none"/>
        </w:rPr>
        <w:t>可外售给</w:t>
      </w:r>
      <w:r>
        <w:rPr>
          <w:rFonts w:hint="eastAsia" w:ascii="Times New Roman" w:hAnsi="Times New Roman" w:eastAsia="宋体" w:cs="Times New Roman"/>
          <w:color w:val="auto"/>
          <w:szCs w:val="22"/>
          <w:highlight w:val="none"/>
        </w:rPr>
        <w:t>砖厂</w:t>
      </w:r>
      <w:r>
        <w:rPr>
          <w:rFonts w:ascii="Times New Roman" w:hAnsi="Times New Roman" w:eastAsia="宋体" w:cs="Times New Roman"/>
          <w:color w:val="auto"/>
          <w:szCs w:val="22"/>
          <w:highlight w:val="none"/>
        </w:rPr>
        <w:t>，对环境的影响较小。</w:t>
      </w:r>
    </w:p>
    <w:p>
      <w:pPr>
        <w:pStyle w:val="5"/>
        <w:rPr>
          <w:rFonts w:ascii="Times New Roman" w:hAnsi="Times New Roman" w:eastAsia="宋体"/>
          <w:color w:val="auto"/>
          <w:highlight w:val="none"/>
        </w:rPr>
      </w:pPr>
      <w:r>
        <w:rPr>
          <w:rFonts w:ascii="Times New Roman" w:hAnsi="Times New Roman" w:eastAsia="宋体"/>
          <w:color w:val="auto"/>
          <w:highlight w:val="none"/>
        </w:rPr>
        <w:t>5.1.6 环境风险防范措施可行性分析</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项目爆破委托具备相应资质的专业爆破公司进行，矿山生产中需要炸药和雷管时，由民爆管理公司按需要量当天运送、当天使用，不在场区内储存炸药，露天爆破作业严格按《爆破安全规程》（GB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6722-2014）规定执行。</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项目使用的柴油由当地加油站使用油罐车提供，</w:t>
      </w:r>
      <w:r>
        <w:rPr>
          <w:rFonts w:ascii="Times New Roman" w:hAnsi="Times New Roman" w:eastAsia="宋体" w:cs="Times New Roman"/>
          <w:color w:val="auto"/>
          <w:highlight w:val="none"/>
          <w:u w:val="single"/>
        </w:rPr>
        <w:t>矿区</w:t>
      </w:r>
      <w:r>
        <w:rPr>
          <w:rFonts w:hint="eastAsia" w:cs="Times New Roman"/>
          <w:color w:val="auto"/>
          <w:highlight w:val="none"/>
          <w:u w:val="single"/>
          <w:lang w:eastAsia="zh-CN"/>
        </w:rPr>
        <w:t>破碎场①</w:t>
      </w:r>
      <w:r>
        <w:rPr>
          <w:rFonts w:ascii="Times New Roman" w:hAnsi="Times New Roman" w:eastAsia="宋体" w:cs="Times New Roman"/>
          <w:color w:val="auto"/>
          <w:highlight w:val="none"/>
          <w:u w:val="single"/>
        </w:rPr>
        <w:t>设置</w:t>
      </w:r>
      <w:r>
        <w:rPr>
          <w:rFonts w:hint="eastAsia" w:ascii="Times New Roman" w:hAnsi="Times New Roman" w:eastAsia="宋体" w:cs="Times New Roman"/>
          <w:color w:val="auto"/>
          <w:highlight w:val="none"/>
          <w:u w:val="single"/>
        </w:rPr>
        <w:t>1个容积10m</w:t>
      </w:r>
      <w:r>
        <w:rPr>
          <w:rFonts w:hint="eastAsia" w:ascii="Times New Roman" w:hAnsi="Times New Roman" w:eastAsia="宋体" w:cs="Times New Roman"/>
          <w:color w:val="auto"/>
          <w:highlight w:val="none"/>
          <w:u w:val="single"/>
          <w:vertAlign w:val="superscript"/>
        </w:rPr>
        <w:t>3</w:t>
      </w:r>
      <w:r>
        <w:rPr>
          <w:rFonts w:ascii="Times New Roman" w:hAnsi="Times New Roman" w:eastAsia="宋体" w:cs="Times New Roman"/>
          <w:color w:val="auto"/>
          <w:highlight w:val="none"/>
          <w:u w:val="single"/>
        </w:rPr>
        <w:t>柴油储罐，</w:t>
      </w:r>
      <w:r>
        <w:rPr>
          <w:rFonts w:hint="eastAsia" w:cs="Times New Roman"/>
          <w:color w:val="auto"/>
          <w:highlight w:val="none"/>
          <w:u w:val="single"/>
          <w:lang w:eastAsia="zh-CN"/>
        </w:rPr>
        <w:t>破碎场②</w:t>
      </w:r>
      <w:r>
        <w:rPr>
          <w:rFonts w:hint="eastAsia" w:ascii="Times New Roman" w:hAnsi="Times New Roman" w:eastAsia="宋体" w:cs="Times New Roman"/>
          <w:color w:val="auto"/>
          <w:highlight w:val="none"/>
          <w:u w:val="single"/>
        </w:rPr>
        <w:t>设置1个容积20m</w:t>
      </w:r>
      <w:r>
        <w:rPr>
          <w:rFonts w:hint="eastAsia" w:ascii="Times New Roman" w:hAnsi="Times New Roman" w:eastAsia="宋体" w:cs="Times New Roman"/>
          <w:color w:val="auto"/>
          <w:highlight w:val="none"/>
          <w:u w:val="single"/>
          <w:vertAlign w:val="superscript"/>
        </w:rPr>
        <w:t>3</w:t>
      </w:r>
      <w:r>
        <w:rPr>
          <w:rFonts w:ascii="Times New Roman" w:hAnsi="Times New Roman" w:eastAsia="宋体" w:cs="Times New Roman"/>
          <w:color w:val="auto"/>
          <w:highlight w:val="none"/>
          <w:u w:val="single"/>
        </w:rPr>
        <w:t>柴油储罐</w:t>
      </w:r>
      <w:r>
        <w:rPr>
          <w:rFonts w:hint="eastAsia" w:ascii="Times New Roman" w:hAnsi="Times New Roman" w:eastAsia="宋体" w:cs="Times New Roman"/>
          <w:color w:val="auto"/>
          <w:highlight w:val="none"/>
          <w:u w:val="single"/>
        </w:rPr>
        <w:t>，</w:t>
      </w:r>
      <w:r>
        <w:rPr>
          <w:rFonts w:ascii="Times New Roman" w:hAnsi="Times New Roman" w:eastAsia="宋体" w:cs="Times New Roman"/>
          <w:color w:val="auto"/>
          <w:highlight w:val="none"/>
          <w:u w:val="single"/>
        </w:rPr>
        <w:t>柴油储罐</w:t>
      </w:r>
      <w:r>
        <w:rPr>
          <w:rFonts w:hint="eastAsia" w:ascii="Times New Roman" w:hAnsi="Times New Roman" w:eastAsia="宋体" w:cs="Times New Roman"/>
          <w:color w:val="auto"/>
          <w:highlight w:val="none"/>
          <w:u w:val="single"/>
        </w:rPr>
        <w:t>总容积30m</w:t>
      </w:r>
      <w:r>
        <w:rPr>
          <w:rFonts w:hint="eastAsia" w:ascii="Times New Roman" w:hAnsi="Times New Roman" w:eastAsia="宋体" w:cs="Times New Roman"/>
          <w:color w:val="auto"/>
          <w:highlight w:val="none"/>
          <w:u w:val="single"/>
          <w:vertAlign w:val="superscript"/>
        </w:rPr>
        <w:t>3</w:t>
      </w:r>
      <w:r>
        <w:rPr>
          <w:rFonts w:hint="eastAsia" w:ascii="Times New Roman" w:hAnsi="Times New Roman" w:eastAsia="宋体" w:cs="Times New Roman"/>
          <w:color w:val="auto"/>
          <w:highlight w:val="none"/>
          <w:u w:val="single"/>
        </w:rPr>
        <w:t>，</w:t>
      </w:r>
      <w:r>
        <w:rPr>
          <w:rFonts w:hint="eastAsia" w:ascii="Times New Roman" w:hAnsi="Times New Roman" w:eastAsia="宋体" w:cs="Times New Roman"/>
          <w:color w:val="auto"/>
          <w:highlight w:val="none"/>
          <w:u w:val="single"/>
          <w:lang w:val="en-US" w:eastAsia="zh-CN"/>
        </w:rPr>
        <w:t>日常最大贮存量按容积的80%计算，则柴油储罐最大贮存总容积24</w:t>
      </w:r>
      <w:r>
        <w:rPr>
          <w:rFonts w:hint="eastAsia" w:ascii="Times New Roman" w:hAnsi="Times New Roman" w:eastAsia="宋体" w:cs="Times New Roman"/>
          <w:color w:val="auto"/>
          <w:highlight w:val="none"/>
          <w:u w:val="single"/>
        </w:rPr>
        <w:t>m</w:t>
      </w:r>
      <w:r>
        <w:rPr>
          <w:rFonts w:hint="eastAsia" w:ascii="Times New Roman" w:hAnsi="Times New Roman" w:eastAsia="宋体" w:cs="Times New Roman"/>
          <w:color w:val="auto"/>
          <w:highlight w:val="none"/>
          <w:u w:val="single"/>
          <w:vertAlign w:val="superscript"/>
        </w:rPr>
        <w:t>3</w:t>
      </w:r>
      <w:r>
        <w:rPr>
          <w:rFonts w:hint="eastAsia" w:ascii="Times New Roman" w:hAnsi="Times New Roman" w:eastAsia="宋体" w:cs="Times New Roman"/>
          <w:color w:val="auto"/>
          <w:highlight w:val="none"/>
          <w:u w:val="single"/>
          <w:lang w:val="en-US" w:eastAsia="zh-CN"/>
        </w:rPr>
        <w:t>，</w:t>
      </w:r>
      <w:r>
        <w:rPr>
          <w:rFonts w:hint="eastAsia" w:ascii="Times New Roman" w:hAnsi="Times New Roman" w:eastAsia="宋体" w:cs="Times New Roman"/>
          <w:color w:val="auto"/>
          <w:highlight w:val="none"/>
          <w:u w:val="single"/>
        </w:rPr>
        <w:t>柴油密度按0.85g/ml计算，最大</w:t>
      </w:r>
      <w:r>
        <w:rPr>
          <w:rFonts w:ascii="Times New Roman" w:hAnsi="Times New Roman" w:eastAsia="宋体" w:cs="Times New Roman"/>
          <w:color w:val="auto"/>
          <w:highlight w:val="none"/>
          <w:u w:val="single"/>
        </w:rPr>
        <w:t>存贮量</w:t>
      </w:r>
      <w:r>
        <w:rPr>
          <w:rFonts w:hint="eastAsia" w:ascii="Times New Roman" w:hAnsi="Times New Roman" w:eastAsia="宋体" w:cs="Times New Roman"/>
          <w:color w:val="auto"/>
          <w:highlight w:val="none"/>
          <w:u w:val="single"/>
        </w:rPr>
        <w:t>合计</w:t>
      </w:r>
      <w:r>
        <w:rPr>
          <w:rFonts w:hint="eastAsia" w:ascii="Times New Roman" w:hAnsi="Times New Roman" w:eastAsia="宋体" w:cs="Times New Roman"/>
          <w:color w:val="auto"/>
          <w:highlight w:val="none"/>
          <w:u w:val="single"/>
          <w:lang w:val="en-US" w:eastAsia="zh-CN"/>
        </w:rPr>
        <w:t>20.4</w:t>
      </w:r>
      <w:r>
        <w:rPr>
          <w:rFonts w:ascii="Times New Roman" w:hAnsi="Times New Roman" w:eastAsia="宋体" w:cs="Times New Roman"/>
          <w:color w:val="auto"/>
          <w:highlight w:val="none"/>
          <w:u w:val="single"/>
        </w:rPr>
        <w:t>t。</w:t>
      </w:r>
      <w:r>
        <w:rPr>
          <w:rFonts w:ascii="Times New Roman" w:hAnsi="Times New Roman" w:eastAsia="宋体" w:cs="Times New Roman"/>
          <w:color w:val="auto"/>
          <w:highlight w:val="none"/>
        </w:rPr>
        <w:t>柴油储罐区建设围堰并做好地面防渗，定期对柴油储罐进行巡查，按时维护和保养，柴油存储区设置严禁烟火标志牌。根据</w:t>
      </w:r>
      <w:r>
        <w:rPr>
          <w:rFonts w:ascii="Times New Roman" w:hAnsi="Times New Roman" w:eastAsia="宋体" w:cs="Times New Roman"/>
          <w:color w:val="auto"/>
          <w:szCs w:val="24"/>
          <w:highlight w:val="none"/>
        </w:rPr>
        <w:t>本环境风险分析，项目柴油储罐为常压单包容储罐，发生泄漏孔径为10mm孔径的泄漏频率为1×10</w:t>
      </w:r>
      <w:r>
        <w:rPr>
          <w:rFonts w:ascii="Times New Roman" w:hAnsi="Times New Roman" w:eastAsia="宋体" w:cs="Times New Roman"/>
          <w:color w:val="auto"/>
          <w:szCs w:val="24"/>
          <w:highlight w:val="none"/>
          <w:vertAlign w:val="superscript"/>
        </w:rPr>
        <w:t>-4</w:t>
      </w:r>
      <w:r>
        <w:rPr>
          <w:rFonts w:ascii="Times New Roman" w:hAnsi="Times New Roman" w:eastAsia="宋体" w:cs="Times New Roman"/>
          <w:color w:val="auto"/>
          <w:szCs w:val="24"/>
          <w:highlight w:val="none"/>
        </w:rPr>
        <w:t>/a</w:t>
      </w:r>
      <w:r>
        <w:rPr>
          <w:rFonts w:hint="eastAsia" w:ascii="Times New Roman" w:hAnsi="Times New Roman" w:eastAsia="宋体" w:cs="Times New Roman"/>
          <w:color w:val="auto"/>
          <w:szCs w:val="24"/>
          <w:highlight w:val="none"/>
        </w:rPr>
        <w:t>，柴油储罐为常压储罐，发生泄漏的可能性较小，</w:t>
      </w:r>
      <w:r>
        <w:rPr>
          <w:rFonts w:ascii="Times New Roman" w:hAnsi="Times New Roman" w:eastAsia="宋体" w:cs="Times New Roman"/>
          <w:color w:val="auto"/>
          <w:highlight w:val="none"/>
        </w:rPr>
        <w:t>故项目环境风险防范措施可行。</w:t>
      </w:r>
    </w:p>
    <w:p>
      <w:pPr>
        <w:pStyle w:val="5"/>
        <w:rPr>
          <w:rFonts w:ascii="Times New Roman" w:hAnsi="Times New Roman" w:eastAsia="宋体"/>
          <w:color w:val="auto"/>
          <w:highlight w:val="none"/>
        </w:rPr>
      </w:pPr>
      <w:r>
        <w:rPr>
          <w:rFonts w:ascii="Times New Roman" w:hAnsi="Times New Roman" w:eastAsia="宋体"/>
          <w:color w:val="auto"/>
          <w:highlight w:val="none"/>
        </w:rPr>
        <w:t>5.1.7</w:t>
      </w:r>
      <w:r>
        <w:rPr>
          <w:rFonts w:hint="eastAsia"/>
          <w:color w:val="auto"/>
          <w:highlight w:val="none"/>
          <w:lang w:val="en-US" w:eastAsia="zh-CN"/>
        </w:rPr>
        <w:t xml:space="preserve"> </w:t>
      </w:r>
      <w:r>
        <w:rPr>
          <w:rFonts w:ascii="Times New Roman" w:hAnsi="Times New Roman" w:eastAsia="宋体"/>
          <w:color w:val="auto"/>
          <w:highlight w:val="none"/>
        </w:rPr>
        <w:t xml:space="preserve">生态防护和恢复措施 </w:t>
      </w:r>
    </w:p>
    <w:p>
      <w:pPr>
        <w:ind w:firstLine="480"/>
        <w:rPr>
          <w:rFonts w:ascii="Times New Roman" w:hAnsi="Times New Roman" w:eastAsia="宋体" w:cs="Times New Roman"/>
          <w:color w:val="auto"/>
          <w:szCs w:val="22"/>
          <w:highlight w:val="none"/>
        </w:rPr>
      </w:pPr>
      <w:r>
        <w:rPr>
          <w:rFonts w:ascii="Times New Roman" w:hAnsi="Times New Roman" w:eastAsia="宋体" w:cs="Times New Roman"/>
          <w:color w:val="auto"/>
          <w:szCs w:val="22"/>
          <w:highlight w:val="none"/>
        </w:rPr>
        <w:t>本项目采用露天开采方式，运营期对生态环境的影响主要表现为破坏植被、引发水土流失加剧、扰动野生动物的栖息环境、破坏景观等，项目必须采取切实有效的生态环境保护措施，将项目运营期对生态环境的影响降到最低程度。</w:t>
      </w:r>
    </w:p>
    <w:p>
      <w:pPr>
        <w:pStyle w:val="6"/>
        <w:rPr>
          <w:rFonts w:ascii="Times New Roman" w:hAnsi="Times New Roman" w:eastAsia="宋体"/>
          <w:color w:val="auto"/>
          <w:highlight w:val="none"/>
        </w:rPr>
      </w:pPr>
      <w:r>
        <w:rPr>
          <w:rFonts w:ascii="Times New Roman" w:hAnsi="Times New Roman" w:eastAsia="宋体"/>
          <w:color w:val="auto"/>
          <w:highlight w:val="none"/>
        </w:rPr>
        <w:t xml:space="preserve">5.1.7.1 对植物资源保护措施 </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矿区植物群落组成简单，矿区内被破坏的植被在矿区其他地方及矿区外有大量分布，因此，本项目的开采对区域内植被影响较小。矿山开采方式为露天开采，矿区的露天采场在矿山闭矿后都将进行土地复垦，可使矿区被破坏的地表植被部分得到恢复。</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在项目建设过程中，拟采取以下植物资源保护措施：</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①保护好非</w:t>
      </w:r>
      <w:r>
        <w:rPr>
          <w:rFonts w:hint="eastAsia" w:ascii="Times New Roman" w:hAnsi="Times New Roman" w:eastAsia="宋体" w:cs="Times New Roman"/>
          <w:color w:val="auto"/>
          <w:highlight w:val="none"/>
        </w:rPr>
        <w:t>矿区范围</w:t>
      </w:r>
      <w:r>
        <w:rPr>
          <w:rFonts w:ascii="Times New Roman" w:hAnsi="Times New Roman" w:eastAsia="宋体" w:cs="Times New Roman"/>
          <w:color w:val="auto"/>
          <w:highlight w:val="none"/>
        </w:rPr>
        <w:t>用地的植被，减少对生态环境的破坏。在工程建设中，除</w:t>
      </w:r>
      <w:r>
        <w:rPr>
          <w:rFonts w:hint="eastAsia" w:ascii="Times New Roman" w:hAnsi="Times New Roman" w:eastAsia="宋体" w:cs="Times New Roman"/>
          <w:color w:val="auto"/>
          <w:highlight w:val="none"/>
        </w:rPr>
        <w:t>矿区范围</w:t>
      </w:r>
      <w:r>
        <w:rPr>
          <w:rFonts w:ascii="Times New Roman" w:hAnsi="Times New Roman" w:eastAsia="宋体" w:cs="Times New Roman"/>
          <w:color w:val="auto"/>
          <w:highlight w:val="none"/>
        </w:rPr>
        <w:t>占地</w:t>
      </w:r>
      <w:r>
        <w:rPr>
          <w:rFonts w:hint="eastAsia" w:ascii="Times New Roman" w:hAnsi="Times New Roman" w:eastAsia="宋体" w:cs="Times New Roman"/>
          <w:color w:val="auto"/>
          <w:highlight w:val="none"/>
        </w:rPr>
        <w:t>和临时占地</w:t>
      </w:r>
      <w:r>
        <w:rPr>
          <w:rFonts w:ascii="Times New Roman" w:hAnsi="Times New Roman" w:eastAsia="宋体" w:cs="Times New Roman"/>
          <w:color w:val="auto"/>
          <w:highlight w:val="none"/>
        </w:rPr>
        <w:t>外，不得随意开挖、填埋、毁坏矿区及其周围区域原有的林地、草地等；生活燃料尽量采用液化气等清洁能源，尽可能减少薪柴砍伐引起的对生态环境的不利影响；</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②将滑落到山坡植被上的土方尽快清理，使植被恢复原有的生长状态。项目施工过程中应加强管理，要采取尽量少占地、少破坏植被的原则，将临时占地面积控制在最低限度，以免造成土壤与植被的大面积破坏；</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③采矿生产期间禁止在非规划用地毁林开荒和放火烧山，不得随意砍伐工程用地外的现有树木，破坏植被；对矿区应及时进行植树绿化，以恢复植被。</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④合理规划矿山开采顺序，分阶段对矿山进行复垦，恢复地表植被。</w:t>
      </w:r>
    </w:p>
    <w:p>
      <w:pPr>
        <w:ind w:firstLine="480"/>
        <w:rPr>
          <w:rFonts w:hint="default" w:ascii="Times New Roman" w:hAnsi="Times New Roman" w:eastAsia="宋体" w:cs="Times New Roman"/>
          <w:color w:val="auto"/>
          <w:highlight w:val="none"/>
          <w:lang w:val="en-US" w:eastAsia="zh-CN"/>
        </w:rPr>
      </w:pPr>
      <w:r>
        <w:rPr>
          <w:rFonts w:hint="eastAsia" w:ascii="宋体" w:hAnsi="宋体" w:eastAsia="宋体" w:cs="宋体"/>
          <w:color w:val="auto"/>
          <w:highlight w:val="none"/>
          <w:u w:val="single"/>
        </w:rPr>
        <w:t>⑤</w:t>
      </w:r>
      <w:r>
        <w:rPr>
          <w:rFonts w:hint="eastAsia" w:ascii="宋体" w:hAnsi="宋体" w:cs="宋体"/>
          <w:color w:val="auto"/>
          <w:highlight w:val="none"/>
          <w:u w:val="single"/>
          <w:lang w:val="en-US" w:eastAsia="zh-CN"/>
        </w:rPr>
        <w:t>保护好评价区内重点保护野生植物金毛狗、南方红豆杉及古树名木，在金毛狗、南方红豆杉和古树名木生长区域悬挂警示牌，禁止在矿山开采及运输过程压占或破坏重点保护植物和古树名木。</w:t>
      </w:r>
    </w:p>
    <w:p>
      <w:pPr>
        <w:pStyle w:val="6"/>
        <w:rPr>
          <w:rFonts w:ascii="Times New Roman" w:hAnsi="Times New Roman" w:eastAsia="宋体"/>
          <w:color w:val="auto"/>
          <w:highlight w:val="none"/>
        </w:rPr>
      </w:pPr>
      <w:r>
        <w:rPr>
          <w:rFonts w:ascii="Times New Roman" w:hAnsi="Times New Roman" w:eastAsia="宋体"/>
          <w:color w:val="auto"/>
          <w:highlight w:val="none"/>
        </w:rPr>
        <w:t xml:space="preserve">5.1.7.2 对野生动物资源保护措施 </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矿区范围内由于人类活动频繁，区域内野生动物的种类及数量较少，矿山建设对野生动物的影响主要是对其栖息地的影响，对野生物资源潜在的最大威胁主要来自人为因素造成的间接影响。为了保护生态平衡，在项目建设前后应禁止乱捕滥杀，建设单位要加强对员工的教育及管理，提高企业职工保护野生动物的意识及法纪观念，禁止捕猎野生动物。</w:t>
      </w:r>
    </w:p>
    <w:p>
      <w:pPr>
        <w:pStyle w:val="6"/>
        <w:rPr>
          <w:rFonts w:ascii="Times New Roman" w:hAnsi="Times New Roman" w:eastAsia="宋体"/>
          <w:color w:val="auto"/>
          <w:highlight w:val="none"/>
          <w:u w:val="none"/>
        </w:rPr>
      </w:pPr>
      <w:r>
        <w:rPr>
          <w:rFonts w:ascii="Times New Roman" w:hAnsi="Times New Roman" w:eastAsia="宋体"/>
          <w:color w:val="auto"/>
          <w:highlight w:val="none"/>
          <w:u w:val="none"/>
        </w:rPr>
        <w:t xml:space="preserve">5.1.7.3 对采空区的生态恢复措施 </w:t>
      </w:r>
    </w:p>
    <w:p>
      <w:pPr>
        <w:snapToGrid w:val="0"/>
        <w:ind w:firstLine="480"/>
        <w:rPr>
          <w:rFonts w:ascii="Times New Roman" w:hAnsi="Times New Roman" w:eastAsia="宋体" w:cs="Times New Roman"/>
          <w:color w:val="auto"/>
          <w:szCs w:val="22"/>
          <w:highlight w:val="none"/>
          <w:u w:val="none"/>
        </w:rPr>
      </w:pPr>
      <w:r>
        <w:rPr>
          <w:rFonts w:ascii="Times New Roman" w:hAnsi="Times New Roman" w:eastAsia="宋体" w:cs="Times New Roman"/>
          <w:color w:val="auto"/>
          <w:szCs w:val="22"/>
          <w:highlight w:val="none"/>
          <w:u w:val="none"/>
        </w:rPr>
        <w:t>（1）原有采空区</w:t>
      </w:r>
    </w:p>
    <w:p>
      <w:pPr>
        <w:snapToGrid w:val="0"/>
        <w:ind w:firstLine="480"/>
        <w:rPr>
          <w:rFonts w:ascii="Times New Roman" w:hAnsi="Times New Roman" w:eastAsia="宋体" w:cs="Times New Roman"/>
          <w:color w:val="auto"/>
          <w:szCs w:val="22"/>
          <w:highlight w:val="none"/>
          <w:u w:val="none"/>
        </w:rPr>
      </w:pPr>
      <w:r>
        <w:rPr>
          <w:rFonts w:ascii="Times New Roman" w:hAnsi="Times New Roman" w:eastAsia="宋体" w:cs="Times New Roman"/>
          <w:color w:val="auto"/>
          <w:szCs w:val="22"/>
          <w:highlight w:val="none"/>
          <w:u w:val="none"/>
        </w:rPr>
        <w:t>矿山</w:t>
      </w:r>
      <w:r>
        <w:rPr>
          <w:rFonts w:hint="eastAsia" w:ascii="Times New Roman" w:hAnsi="Times New Roman" w:eastAsia="宋体" w:cs="Times New Roman"/>
          <w:color w:val="auto"/>
          <w:szCs w:val="22"/>
          <w:highlight w:val="none"/>
          <w:u w:val="none"/>
        </w:rPr>
        <w:t>为老矿山</w:t>
      </w:r>
      <w:r>
        <w:rPr>
          <w:rFonts w:ascii="Times New Roman" w:hAnsi="Times New Roman" w:eastAsia="宋体" w:cs="Times New Roman"/>
          <w:color w:val="auto"/>
          <w:szCs w:val="22"/>
          <w:highlight w:val="none"/>
          <w:u w:val="none"/>
        </w:rPr>
        <w:t>，形成一定规模的采空区。</w:t>
      </w:r>
      <w:r>
        <w:rPr>
          <w:rFonts w:hint="eastAsia" w:ascii="Times New Roman" w:hAnsi="Times New Roman" w:eastAsia="宋体" w:cs="Times New Roman"/>
          <w:color w:val="auto"/>
          <w:szCs w:val="22"/>
          <w:highlight w:val="none"/>
          <w:u w:val="none"/>
        </w:rPr>
        <w:t>整合</w:t>
      </w:r>
      <w:r>
        <w:rPr>
          <w:rFonts w:ascii="Times New Roman" w:hAnsi="Times New Roman" w:eastAsia="宋体" w:cs="Times New Roman"/>
          <w:color w:val="auto"/>
          <w:szCs w:val="22"/>
          <w:highlight w:val="none"/>
          <w:u w:val="none"/>
        </w:rPr>
        <w:t>后，利用开采过程中产生的废弃岩土和</w:t>
      </w:r>
      <w:r>
        <w:rPr>
          <w:rFonts w:hint="eastAsia" w:ascii="Times New Roman" w:hAnsi="Times New Roman" w:eastAsia="宋体" w:cs="Times New Roman"/>
          <w:color w:val="auto"/>
          <w:szCs w:val="22"/>
          <w:highlight w:val="none"/>
          <w:u w:val="none"/>
        </w:rPr>
        <w:t>废土石渣</w:t>
      </w:r>
      <w:r>
        <w:rPr>
          <w:rFonts w:ascii="Times New Roman" w:hAnsi="Times New Roman" w:eastAsia="宋体" w:cs="Times New Roman"/>
          <w:color w:val="auto"/>
          <w:szCs w:val="22"/>
          <w:highlight w:val="none"/>
          <w:u w:val="none"/>
        </w:rPr>
        <w:t>渣进行回填，回填完毕后，对地表进行植被恢复（种植当地优势树种，并进行草皮移植修复或撒播草种）。</w:t>
      </w:r>
    </w:p>
    <w:p>
      <w:pPr>
        <w:numPr>
          <w:ilvl w:val="0"/>
          <w:numId w:val="18"/>
        </w:numPr>
        <w:snapToGrid w:val="0"/>
        <w:ind w:firstLine="480"/>
        <w:rPr>
          <w:rFonts w:ascii="Times New Roman" w:hAnsi="Times New Roman" w:eastAsia="宋体" w:cs="Times New Roman"/>
          <w:color w:val="auto"/>
          <w:szCs w:val="22"/>
          <w:highlight w:val="none"/>
          <w:u w:val="none"/>
        </w:rPr>
      </w:pPr>
      <w:r>
        <w:rPr>
          <w:rFonts w:ascii="Times New Roman" w:hAnsi="Times New Roman" w:eastAsia="宋体" w:cs="Times New Roman"/>
          <w:color w:val="auto"/>
          <w:szCs w:val="22"/>
          <w:highlight w:val="none"/>
          <w:u w:val="none"/>
        </w:rPr>
        <w:t>项目开采形成的采空区</w:t>
      </w:r>
    </w:p>
    <w:p>
      <w:pPr>
        <w:snapToGrid w:val="0"/>
        <w:ind w:firstLine="480"/>
        <w:rPr>
          <w:rFonts w:ascii="Times New Roman" w:hAnsi="Times New Roman" w:eastAsia="宋体" w:cs="Times New Roman"/>
          <w:color w:val="auto"/>
          <w:szCs w:val="22"/>
          <w:highlight w:val="none"/>
          <w:u w:val="none"/>
        </w:rPr>
      </w:pPr>
      <w:r>
        <w:rPr>
          <w:rFonts w:ascii="Times New Roman" w:hAnsi="Times New Roman" w:eastAsia="宋体" w:cs="Times New Roman"/>
          <w:color w:val="auto"/>
          <w:szCs w:val="22"/>
          <w:highlight w:val="none"/>
          <w:u w:val="none"/>
        </w:rPr>
        <w:t>项目采用分区开采，按顺序开采，边开采边回填露采形成的采空区，分阶段对矿山进行复垦，恢复地表植被（种植当地优势树种，并进行草皮移植修复或撒播草种）。</w:t>
      </w:r>
    </w:p>
    <w:p>
      <w:pPr>
        <w:pStyle w:val="6"/>
        <w:rPr>
          <w:rFonts w:ascii="Times New Roman" w:hAnsi="Times New Roman" w:eastAsia="宋体"/>
          <w:color w:val="auto"/>
          <w:highlight w:val="none"/>
        </w:rPr>
      </w:pPr>
      <w:r>
        <w:rPr>
          <w:rFonts w:ascii="Times New Roman" w:hAnsi="Times New Roman" w:eastAsia="宋体"/>
          <w:color w:val="auto"/>
          <w:highlight w:val="none"/>
        </w:rPr>
        <w:t>5.1.7.4 水土流失保护措施</w:t>
      </w:r>
    </w:p>
    <w:p>
      <w:pPr>
        <w:snapToGrid w:val="0"/>
        <w:ind w:firstLine="480"/>
        <w:rPr>
          <w:rFonts w:ascii="Times New Roman" w:hAnsi="Times New Roman" w:eastAsia="宋体" w:cs="Times New Roman"/>
          <w:color w:val="auto"/>
          <w:szCs w:val="22"/>
          <w:highlight w:val="none"/>
        </w:rPr>
      </w:pPr>
      <w:r>
        <w:rPr>
          <w:rFonts w:ascii="Times New Roman" w:hAnsi="Times New Roman" w:eastAsia="宋体" w:cs="Times New Roman"/>
          <w:color w:val="auto"/>
          <w:szCs w:val="22"/>
          <w:highlight w:val="none"/>
        </w:rPr>
        <w:t>矿山开采过程中，由于扰动地貌、平整场地所造成的地表植被破坏和土壤裸露，遇降雨天气，极易引起水土流失。裸露面被雨水冲刷流失的泥土随着径流的雨水流向低洼处或进入附近水体，会影响地表水体水质，如果大量的泥土进入排洪沟，会堵塞沟渠，并影响区域行洪等。</w:t>
      </w:r>
    </w:p>
    <w:p>
      <w:pPr>
        <w:snapToGrid w:val="0"/>
        <w:ind w:firstLine="480"/>
        <w:rPr>
          <w:rFonts w:ascii="Times New Roman" w:hAnsi="Times New Roman" w:eastAsia="宋体" w:cs="Times New Roman"/>
          <w:color w:val="auto"/>
          <w:szCs w:val="22"/>
          <w:highlight w:val="none"/>
        </w:rPr>
      </w:pPr>
      <w:r>
        <w:rPr>
          <w:rFonts w:ascii="Times New Roman" w:hAnsi="Times New Roman" w:eastAsia="宋体" w:cs="Times New Roman"/>
          <w:color w:val="auto"/>
          <w:szCs w:val="22"/>
          <w:highlight w:val="none"/>
        </w:rPr>
        <w:t>项目针对可能造成的水土流失状况，在采区等单元四周设置截排水沟，将矿区外汇集的雨水有序的沿矿区周边排走，减少雨水进入采区等单元内，从而控制水土流失量。通过以下措施可以有效的减缓水土流失。</w:t>
      </w:r>
    </w:p>
    <w:p>
      <w:pPr>
        <w:snapToGrid w:val="0"/>
        <w:ind w:firstLine="480"/>
        <w:rPr>
          <w:rFonts w:ascii="Times New Roman" w:hAnsi="Times New Roman" w:eastAsia="宋体" w:cs="Times New Roman"/>
          <w:color w:val="auto"/>
          <w:szCs w:val="22"/>
          <w:highlight w:val="none"/>
        </w:rPr>
      </w:pPr>
      <w:r>
        <w:rPr>
          <w:rFonts w:ascii="Times New Roman" w:hAnsi="Times New Roman" w:eastAsia="宋体" w:cs="Times New Roman"/>
          <w:color w:val="auto"/>
          <w:szCs w:val="22"/>
          <w:highlight w:val="none"/>
        </w:rPr>
        <w:t>①项目的建设应严格执行水土保持措施，加强建设管理，把植被破坏减少到最低程度，工作面结束后，可以进行植被恢复的地方应尽量进行植被恢复和修复工作，如坡面植树种草固土，尽可能减少水土流失和土壤侵蚀。项目建设施工时还应避开雨期，减少水土流失现象；</w:t>
      </w:r>
    </w:p>
    <w:p>
      <w:pPr>
        <w:snapToGrid w:val="0"/>
        <w:ind w:firstLine="480"/>
        <w:rPr>
          <w:rFonts w:ascii="Times New Roman" w:hAnsi="Times New Roman" w:eastAsia="宋体" w:cs="Times New Roman"/>
          <w:color w:val="auto"/>
          <w:szCs w:val="22"/>
          <w:highlight w:val="none"/>
        </w:rPr>
      </w:pPr>
      <w:r>
        <w:rPr>
          <w:rFonts w:ascii="Times New Roman" w:hAnsi="Times New Roman" w:eastAsia="宋体" w:cs="Times New Roman"/>
          <w:color w:val="auto"/>
          <w:szCs w:val="22"/>
          <w:highlight w:val="none"/>
        </w:rPr>
        <w:t xml:space="preserve">②新开挖边坡要采取工程防护与绿化相结合的方法，尽可能种树植草，最大程度地减轻工程构筑物占地对生态环境的影响。合理布置道路、厂房等基础设施，尽可能减少土地的占用，控制导致土地退化的用地方式，使土地利用更趋合理； </w:t>
      </w:r>
    </w:p>
    <w:p>
      <w:pPr>
        <w:snapToGrid w:val="0"/>
        <w:ind w:firstLine="480"/>
        <w:rPr>
          <w:rFonts w:ascii="Times New Roman" w:hAnsi="Times New Roman" w:eastAsia="宋体" w:cs="Times New Roman"/>
          <w:color w:val="auto"/>
          <w:szCs w:val="22"/>
          <w:highlight w:val="none"/>
        </w:rPr>
      </w:pPr>
      <w:r>
        <w:rPr>
          <w:rFonts w:ascii="Times New Roman" w:hAnsi="Times New Roman" w:eastAsia="宋体" w:cs="Times New Roman"/>
          <w:color w:val="auto"/>
          <w:szCs w:val="22"/>
          <w:highlight w:val="none"/>
        </w:rPr>
        <w:t>③对矿山道路内侧边坡采取浆砌片石骨架内种杂草防护，且浆砌片石骨架要与上坡植被措施衔接完好。矿山道路外侧边坡采取草灌木植被进行防护。且在矿山道路的内侧设置排水沟（截水沟），一是拦截山坡汇集流下来的雨水，二是降低雨水对路基造成的冲刷，从而减轻水土流失；</w:t>
      </w:r>
    </w:p>
    <w:p>
      <w:pPr>
        <w:snapToGrid w:val="0"/>
        <w:ind w:firstLine="480"/>
        <w:rPr>
          <w:rFonts w:ascii="Times New Roman" w:hAnsi="Times New Roman" w:eastAsia="宋体" w:cs="Times New Roman"/>
          <w:color w:val="auto"/>
          <w:szCs w:val="22"/>
          <w:highlight w:val="none"/>
        </w:rPr>
      </w:pPr>
      <w:r>
        <w:rPr>
          <w:rFonts w:ascii="Times New Roman" w:hAnsi="Times New Roman" w:eastAsia="宋体" w:cs="Times New Roman"/>
          <w:color w:val="auto"/>
          <w:szCs w:val="22"/>
          <w:highlight w:val="none"/>
        </w:rPr>
        <w:t>④根据开采进度，对未开采到的矿段，先保留其上的植被，待开采到该矿段时再清理，以此尽量减少新增水土流失量和缩短流失时间。</w:t>
      </w:r>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临时堆放场需采用以下环保措施：</w:t>
      </w:r>
    </w:p>
    <w:p>
      <w:pPr>
        <w:numPr>
          <w:ilvl w:val="0"/>
          <w:numId w:val="19"/>
        </w:numPr>
        <w:snapToGri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临时排土场</w:t>
      </w:r>
      <w:r>
        <w:rPr>
          <w:rFonts w:ascii="Times New Roman" w:hAnsi="Times New Roman" w:eastAsia="宋体" w:cs="Times New Roman"/>
          <w:color w:val="auto"/>
          <w:highlight w:val="none"/>
        </w:rPr>
        <w:t>按规范建设。</w:t>
      </w:r>
    </w:p>
    <w:p>
      <w:pPr>
        <w:numPr>
          <w:ilvl w:val="0"/>
          <w:numId w:val="19"/>
        </w:num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在</w:t>
      </w:r>
      <w:r>
        <w:rPr>
          <w:rFonts w:hint="eastAsia" w:ascii="Times New Roman" w:hAnsi="Times New Roman" w:eastAsia="宋体" w:cs="Times New Roman"/>
          <w:color w:val="auto"/>
          <w:highlight w:val="none"/>
        </w:rPr>
        <w:t>临时排土场</w:t>
      </w:r>
      <w:r>
        <w:rPr>
          <w:rFonts w:ascii="Times New Roman" w:hAnsi="Times New Roman" w:eastAsia="宋体" w:cs="Times New Roman"/>
          <w:color w:val="auto"/>
          <w:highlight w:val="none"/>
        </w:rPr>
        <w:t>周边设置截洪沟，将雨水及时导出，以防因暴雨冲刷，固体废物流失，造成河流、山溪堵塞，污染水体。</w:t>
      </w:r>
    </w:p>
    <w:p>
      <w:pPr>
        <w:numPr>
          <w:ilvl w:val="0"/>
          <w:numId w:val="19"/>
        </w:numPr>
        <w:snapToGri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临时排土场</w:t>
      </w:r>
      <w:r>
        <w:rPr>
          <w:rFonts w:ascii="Times New Roman" w:hAnsi="Times New Roman" w:eastAsia="宋体" w:cs="Times New Roman"/>
          <w:color w:val="auto"/>
          <w:highlight w:val="none"/>
        </w:rPr>
        <w:t>南侧及表土堆周围设置挡土墙，防止泥土流失，减少进一步对周边土地造成损毁。挡墙应有专门的单位进行设计、施工、验收，确保结构安全，重视堆场的管理</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杜绝溃坝事故。</w:t>
      </w:r>
    </w:p>
    <w:p>
      <w:pPr>
        <w:pStyle w:val="6"/>
        <w:rPr>
          <w:rFonts w:ascii="Times New Roman" w:hAnsi="Times New Roman" w:eastAsia="宋体"/>
          <w:color w:val="auto"/>
          <w:highlight w:val="none"/>
          <w:u w:val="none"/>
        </w:rPr>
      </w:pPr>
      <w:r>
        <w:rPr>
          <w:rFonts w:ascii="Times New Roman" w:hAnsi="Times New Roman" w:eastAsia="宋体"/>
          <w:color w:val="auto"/>
          <w:highlight w:val="none"/>
          <w:u w:val="none"/>
        </w:rPr>
        <w:t xml:space="preserve">5.1.7.5 矿区生态恢复措施及对策 </w:t>
      </w:r>
    </w:p>
    <w:p>
      <w:pPr>
        <w:snapToGrid w:val="0"/>
        <w:ind w:firstLine="480"/>
        <w:rPr>
          <w:rFonts w:ascii="Times New Roman" w:hAnsi="Times New Roman" w:eastAsia="宋体" w:cs="Times New Roman"/>
          <w:color w:val="auto"/>
          <w:highlight w:val="none"/>
          <w:u w:val="none"/>
        </w:rPr>
      </w:pPr>
      <w:r>
        <w:rPr>
          <w:rFonts w:ascii="Times New Roman" w:hAnsi="Times New Roman" w:eastAsia="宋体" w:cs="Times New Roman"/>
          <w:color w:val="auto"/>
          <w:highlight w:val="none"/>
          <w:u w:val="none"/>
        </w:rPr>
        <w:t>（1）根据“谁开发谁保护，谁造成污染负责治理”的原则，建设单位要制定并实施矿山环境治理和生态恢复方案，切实履行矿产资源开发过程中的水土流失防治、土地复垦、生态恢复重建等责任。</w:t>
      </w:r>
    </w:p>
    <w:p>
      <w:pPr>
        <w:snapToGrid w:val="0"/>
        <w:ind w:firstLine="480"/>
        <w:rPr>
          <w:rFonts w:hint="eastAsia" w:ascii="Times New Roman" w:hAnsi="Times New Roman" w:eastAsia="宋体" w:cs="Times New Roman"/>
          <w:color w:val="auto"/>
          <w:highlight w:val="none"/>
          <w:u w:val="none"/>
          <w:lang w:eastAsia="zh-CN"/>
        </w:rPr>
      </w:pPr>
      <w:r>
        <w:rPr>
          <w:rFonts w:ascii="Times New Roman" w:hAnsi="Times New Roman" w:eastAsia="宋体" w:cs="Times New Roman"/>
          <w:color w:val="auto"/>
          <w:highlight w:val="none"/>
          <w:u w:val="none"/>
        </w:rPr>
        <w:t>（2）建设单位须认真落实执行水土保持方案，避免项目建设及营运造成大范围的水土流失</w:t>
      </w:r>
      <w:r>
        <w:rPr>
          <w:rFonts w:hint="eastAsia" w:cs="Times New Roman"/>
          <w:color w:val="auto"/>
          <w:highlight w:val="none"/>
          <w:u w:val="none"/>
          <w:lang w:eastAsia="zh-CN"/>
        </w:rPr>
        <w:t>。</w:t>
      </w:r>
    </w:p>
    <w:p>
      <w:pPr>
        <w:snapToGrid w:val="0"/>
        <w:ind w:firstLine="480"/>
        <w:rPr>
          <w:rFonts w:hint="eastAsia" w:ascii="Times New Roman" w:hAnsi="Times New Roman" w:eastAsia="宋体" w:cs="Times New Roman"/>
          <w:color w:val="auto"/>
          <w:highlight w:val="none"/>
          <w:u w:val="none"/>
          <w:lang w:eastAsia="zh-CN"/>
        </w:rPr>
      </w:pPr>
      <w:r>
        <w:rPr>
          <w:rFonts w:ascii="Times New Roman" w:hAnsi="Times New Roman" w:eastAsia="宋体" w:cs="Times New Roman"/>
          <w:color w:val="auto"/>
          <w:highlight w:val="none"/>
          <w:u w:val="none"/>
        </w:rPr>
        <w:t>（3）严格按照工程计划和规划的范围进行开发，禁止超范围开发，尽量减少施工临时占地面积，以减少对土地的破坏。工业场地与矿山道路建设等，开挖的土方禁止乱弃乱堆，应充分进行回填，并应注意依山边坡的稳定性，防止塌方或滑坡</w:t>
      </w:r>
      <w:r>
        <w:rPr>
          <w:rFonts w:hint="eastAsia" w:cs="Times New Roman"/>
          <w:color w:val="auto"/>
          <w:highlight w:val="none"/>
          <w:u w:val="none"/>
          <w:lang w:eastAsia="zh-CN"/>
        </w:rPr>
        <w:t>。</w:t>
      </w:r>
    </w:p>
    <w:p>
      <w:pPr>
        <w:snapToGrid w:val="0"/>
        <w:ind w:firstLine="480"/>
        <w:rPr>
          <w:rFonts w:ascii="Times New Roman" w:hAnsi="Times New Roman" w:eastAsia="宋体" w:cs="Times New Roman"/>
          <w:color w:val="auto"/>
          <w:highlight w:val="none"/>
          <w:u w:val="none"/>
        </w:rPr>
      </w:pPr>
      <w:r>
        <w:rPr>
          <w:rFonts w:ascii="Times New Roman" w:hAnsi="Times New Roman" w:eastAsia="宋体" w:cs="Times New Roman"/>
          <w:color w:val="auto"/>
          <w:highlight w:val="none"/>
          <w:u w:val="none"/>
        </w:rPr>
        <w:t>（4）为了避免开采过程中对生态环境的破坏，建设单位必须严格开采设计方提出的开采方案，禁止摊大饼开采，同时要求矿山分区开采时，必须严格执行“开采一片、治理一片，恢复一片”的原则，确保矿山生态环境的可持续发展。</w:t>
      </w:r>
    </w:p>
    <w:p>
      <w:pPr>
        <w:bidi w:val="0"/>
        <w:rPr>
          <w:color w:val="auto"/>
          <w:highlight w:val="none"/>
        </w:rPr>
      </w:pPr>
      <w:r>
        <w:rPr>
          <w:color w:val="auto"/>
          <w:highlight w:val="none"/>
        </w:rPr>
        <w:t>（5）针对项目营运对生态环境造成较为严重的破坏，在矿山运营期内和服务期满后，建设单位须认真落实矿山生态恢复方案，按计划全面实施完成矿山生态恢复工作，经当地环保部门验收同意后方可闭矿。</w:t>
      </w:r>
    </w:p>
    <w:p>
      <w:pPr>
        <w:bidi w:val="0"/>
        <w:rPr>
          <w:rFonts w:hint="eastAsia"/>
          <w:color w:val="auto"/>
          <w:highlight w:val="none"/>
          <w:u w:val="single"/>
          <w:lang w:val="en-US" w:eastAsia="zh-CN"/>
        </w:rPr>
      </w:pPr>
      <w:r>
        <w:rPr>
          <w:rFonts w:hint="eastAsia"/>
          <w:color w:val="auto"/>
          <w:highlight w:val="none"/>
          <w:u w:val="single"/>
          <w:lang w:val="en-US" w:eastAsia="zh-CN"/>
        </w:rPr>
        <w:t>根据</w:t>
      </w:r>
      <w:r>
        <w:rPr>
          <w:color w:val="auto"/>
          <w:highlight w:val="none"/>
          <w:u w:val="single"/>
        </w:rPr>
        <w:t>《三江县宏源采石场硅质岩矿矿山地质环境保护与土地复垦方案》</w:t>
      </w:r>
      <w:r>
        <w:rPr>
          <w:rFonts w:hint="eastAsia"/>
          <w:color w:val="auto"/>
          <w:highlight w:val="none"/>
          <w:u w:val="single"/>
        </w:rPr>
        <w:t>及评审意见书</w:t>
      </w:r>
      <w:r>
        <w:rPr>
          <w:rFonts w:hint="eastAsia"/>
          <w:color w:val="auto"/>
          <w:highlight w:val="none"/>
          <w:u w:val="single"/>
          <w:lang w:eastAsia="zh-CN"/>
        </w:rPr>
        <w:t>，</w:t>
      </w:r>
      <w:r>
        <w:rPr>
          <w:rFonts w:hint="eastAsia"/>
          <w:color w:val="auto"/>
          <w:highlight w:val="none"/>
          <w:u w:val="single"/>
          <w:lang w:val="en-US" w:eastAsia="zh-CN"/>
        </w:rPr>
        <w:t>项目矿山在开采过程中实施的</w:t>
      </w:r>
      <w:r>
        <w:rPr>
          <w:color w:val="auto"/>
          <w:highlight w:val="none"/>
          <w:u w:val="single"/>
        </w:rPr>
        <w:t>生态恢复措施</w:t>
      </w:r>
      <w:r>
        <w:rPr>
          <w:rFonts w:hint="eastAsia"/>
          <w:color w:val="auto"/>
          <w:highlight w:val="none"/>
          <w:u w:val="single"/>
          <w:lang w:val="en-US" w:eastAsia="zh-CN"/>
        </w:rPr>
        <w:t>如下：</w:t>
      </w:r>
    </w:p>
    <w:p>
      <w:pPr>
        <w:bidi w:val="0"/>
        <w:rPr>
          <w:rFonts w:hint="eastAsia"/>
          <w:color w:val="auto"/>
          <w:highlight w:val="none"/>
          <w:u w:val="single"/>
        </w:rPr>
      </w:pPr>
      <w:r>
        <w:rPr>
          <w:rFonts w:hint="eastAsia"/>
          <w:color w:val="auto"/>
          <w:highlight w:val="none"/>
          <w:u w:val="single"/>
          <w:lang w:eastAsia="zh-CN"/>
        </w:rPr>
        <w:t>（</w:t>
      </w:r>
      <w:r>
        <w:rPr>
          <w:rFonts w:hint="eastAsia"/>
          <w:color w:val="auto"/>
          <w:highlight w:val="none"/>
          <w:u w:val="single"/>
          <w:lang w:val="en-US" w:eastAsia="zh-CN"/>
        </w:rPr>
        <w:t>1</w:t>
      </w:r>
      <w:r>
        <w:rPr>
          <w:rFonts w:hint="eastAsia"/>
          <w:color w:val="auto"/>
          <w:highlight w:val="none"/>
          <w:u w:val="single"/>
          <w:lang w:eastAsia="zh-CN"/>
        </w:rPr>
        <w:t>）</w:t>
      </w:r>
      <w:r>
        <w:rPr>
          <w:rFonts w:hint="eastAsia"/>
          <w:color w:val="auto"/>
          <w:highlight w:val="none"/>
          <w:u w:val="single"/>
        </w:rPr>
        <w:t>崩塌、滑坡防治工程</w:t>
      </w:r>
    </w:p>
    <w:p>
      <w:pPr>
        <w:bidi w:val="0"/>
        <w:rPr>
          <w:rFonts w:hint="eastAsia"/>
          <w:color w:val="auto"/>
          <w:highlight w:val="none"/>
          <w:u w:val="single"/>
          <w:lang w:val="en-US" w:eastAsia="zh-CN"/>
        </w:rPr>
      </w:pPr>
      <w:r>
        <w:rPr>
          <w:rFonts w:hint="eastAsia"/>
          <w:color w:val="auto"/>
          <w:highlight w:val="none"/>
          <w:u w:val="single"/>
        </w:rPr>
        <w:t xml:space="preserve">矿山建设和生产过程中，要严格执行有关矿山工作条例和国家有关技术规范要求进行开采，杜绝不合理、不规范的开采。严格按照开采设计的边坡角、台阶高度、宽度等放坡开采，科学施工，工作面禁止形成伞檐和空洞，台阶工作台应保持平整，确保矿山开采安全性和可靠性。对已形成 </w:t>
      </w:r>
      <w:r>
        <w:rPr>
          <w:rFonts w:hint="default"/>
          <w:color w:val="auto"/>
          <w:highlight w:val="none"/>
          <w:u w:val="single"/>
        </w:rPr>
        <w:t>“</w:t>
      </w:r>
      <w:r>
        <w:rPr>
          <w:rFonts w:hint="eastAsia"/>
          <w:color w:val="auto"/>
          <w:highlight w:val="none"/>
          <w:u w:val="single"/>
        </w:rPr>
        <w:t>一面墙</w:t>
      </w:r>
      <w:r>
        <w:rPr>
          <w:rFonts w:hint="default"/>
          <w:color w:val="auto"/>
          <w:highlight w:val="none"/>
          <w:u w:val="single"/>
        </w:rPr>
        <w:t>”</w:t>
      </w:r>
      <w:r>
        <w:rPr>
          <w:rFonts w:hint="eastAsia"/>
          <w:color w:val="auto"/>
          <w:highlight w:val="none"/>
          <w:u w:val="single"/>
        </w:rPr>
        <w:t>采矿边坡，按设计逐渐分层降坡、削坡；后续采矿严格按水平分层台阶式设计方案执行；在裂隙密集带发育地段，适当降低开采台阶高度，开采前均应对采矿场边坡进行巡视排查，清除浮石、不稳定岩块。对现阶段形成的采区进行边坡清理、削坡，以利于边坡的稳定及后期的复垦。</w:t>
      </w:r>
    </w:p>
    <w:p>
      <w:pPr>
        <w:bidi w:val="0"/>
        <w:rPr>
          <w:rFonts w:hint="eastAsia"/>
          <w:color w:val="auto"/>
          <w:highlight w:val="none"/>
          <w:u w:val="single"/>
        </w:rPr>
      </w:pPr>
      <w:r>
        <w:rPr>
          <w:rFonts w:hint="eastAsia"/>
          <w:color w:val="auto"/>
          <w:highlight w:val="none"/>
          <w:u w:val="single"/>
          <w:lang w:eastAsia="zh-CN"/>
        </w:rPr>
        <w:t>（</w:t>
      </w:r>
      <w:r>
        <w:rPr>
          <w:rFonts w:hint="eastAsia"/>
          <w:color w:val="auto"/>
          <w:highlight w:val="none"/>
          <w:u w:val="single"/>
          <w:lang w:val="en-US" w:eastAsia="zh-CN"/>
        </w:rPr>
        <w:t>2</w:t>
      </w:r>
      <w:r>
        <w:rPr>
          <w:rFonts w:hint="eastAsia"/>
          <w:color w:val="auto"/>
          <w:highlight w:val="none"/>
          <w:u w:val="single"/>
          <w:lang w:eastAsia="zh-CN"/>
        </w:rPr>
        <w:t>）</w:t>
      </w:r>
      <w:r>
        <w:rPr>
          <w:rFonts w:hint="eastAsia"/>
          <w:color w:val="auto"/>
          <w:highlight w:val="none"/>
          <w:u w:val="single"/>
        </w:rPr>
        <w:t xml:space="preserve">截排水沟工程 </w:t>
      </w:r>
    </w:p>
    <w:p>
      <w:pPr>
        <w:bidi w:val="0"/>
        <w:rPr>
          <w:rFonts w:hint="eastAsia"/>
          <w:color w:val="auto"/>
          <w:highlight w:val="none"/>
          <w:u w:val="single"/>
        </w:rPr>
      </w:pPr>
      <w:r>
        <w:rPr>
          <w:rFonts w:hint="eastAsia"/>
          <w:color w:val="auto"/>
          <w:highlight w:val="none"/>
          <w:u w:val="single"/>
        </w:rPr>
        <w:t>对开采形成的边坡底部沿下坡修建截排水沟，防止雨水对边坡及平台的冲刷，维护边坡的稳定，防治水土流失、出现崩塌、滑坡等地质灾害。</w:t>
      </w:r>
    </w:p>
    <w:p>
      <w:pPr>
        <w:bidi w:val="0"/>
        <w:rPr>
          <w:rFonts w:hint="eastAsia"/>
          <w:color w:val="auto"/>
          <w:highlight w:val="none"/>
          <w:u w:val="single"/>
        </w:rPr>
      </w:pPr>
      <w:r>
        <w:rPr>
          <w:rFonts w:hint="eastAsia"/>
          <w:color w:val="auto"/>
          <w:highlight w:val="none"/>
          <w:u w:val="single"/>
        </w:rPr>
        <w:t>由于矿区基本位于山顶至山腰位置，为避免坡面雨水冲刷采场和避免地质灾害，设计在采场边坡底来水位置设置排水沟，排水沟采用浆砌块石</w:t>
      </w:r>
      <w:r>
        <w:rPr>
          <w:rFonts w:hint="eastAsia"/>
          <w:color w:val="auto"/>
          <w:highlight w:val="none"/>
          <w:u w:val="single"/>
          <w:lang w:eastAsia="zh-CN"/>
        </w:rPr>
        <w:t>，</w:t>
      </w:r>
      <w:r>
        <w:rPr>
          <w:rFonts w:hint="eastAsia"/>
          <w:color w:val="auto"/>
          <w:highlight w:val="none"/>
          <w:u w:val="single"/>
        </w:rPr>
        <w:t>设计的排水沟详见图5</w:t>
      </w:r>
      <w:r>
        <w:rPr>
          <w:rFonts w:hint="eastAsia"/>
          <w:color w:val="auto"/>
          <w:highlight w:val="none"/>
          <w:u w:val="single"/>
          <w:lang w:val="en-US" w:eastAsia="zh-CN"/>
        </w:rPr>
        <w:t>.1-2</w:t>
      </w:r>
      <w:r>
        <w:rPr>
          <w:rFonts w:hint="eastAsia"/>
          <w:color w:val="auto"/>
          <w:highlight w:val="none"/>
          <w:u w:val="single"/>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u w:val="single"/>
        </w:rPr>
      </w:pPr>
      <w:r>
        <w:rPr>
          <w:color w:val="auto"/>
          <w:highlight w:val="none"/>
        </w:rPr>
        <w:drawing>
          <wp:inline distT="0" distB="0" distL="114300" distR="114300">
            <wp:extent cx="5730875" cy="2366645"/>
            <wp:effectExtent l="0" t="0" r="3175" b="14605"/>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pic:cNvPicPr>
                  </pic:nvPicPr>
                  <pic:blipFill>
                    <a:blip r:embed="rId105"/>
                    <a:stretch>
                      <a:fillRect/>
                    </a:stretch>
                  </pic:blipFill>
                  <pic:spPr>
                    <a:xfrm>
                      <a:off x="0" y="0"/>
                      <a:ext cx="5730875" cy="2366645"/>
                    </a:xfrm>
                    <a:prstGeom prst="rect">
                      <a:avLst/>
                    </a:prstGeom>
                    <a:noFill/>
                    <a:ln>
                      <a:noFill/>
                    </a:ln>
                  </pic:spPr>
                </pic:pic>
              </a:graphicData>
            </a:graphic>
          </wp:inline>
        </w:drawing>
      </w:r>
    </w:p>
    <w:p>
      <w:pPr>
        <w:bidi w:val="0"/>
        <w:spacing w:line="240" w:lineRule="auto"/>
        <w:jc w:val="center"/>
        <w:rPr>
          <w:rFonts w:hint="default" w:eastAsia="宋体"/>
          <w:b/>
          <w:bCs/>
          <w:color w:val="auto"/>
          <w:sz w:val="24"/>
          <w:szCs w:val="24"/>
          <w:highlight w:val="none"/>
          <w:u w:val="single"/>
          <w:lang w:val="en-US" w:eastAsia="zh-CN"/>
        </w:rPr>
      </w:pPr>
      <w:r>
        <w:rPr>
          <w:rFonts w:hint="eastAsia"/>
          <w:b/>
          <w:bCs/>
          <w:color w:val="auto"/>
          <w:sz w:val="24"/>
          <w:szCs w:val="24"/>
          <w:highlight w:val="none"/>
          <w:u w:val="single"/>
          <w:lang w:val="en-US" w:eastAsia="zh-CN"/>
        </w:rPr>
        <w:t xml:space="preserve">图5.1-2 </w:t>
      </w:r>
      <w:r>
        <w:rPr>
          <w:rFonts w:hint="eastAsia" w:ascii="宋体" w:hAnsi="宋体" w:eastAsia="宋体"/>
          <w:b/>
          <w:bCs/>
          <w:color w:val="auto"/>
          <w:sz w:val="24"/>
          <w:szCs w:val="24"/>
          <w:highlight w:val="none"/>
          <w:u w:val="single"/>
        </w:rPr>
        <w:t>排水沟断面示意图</w:t>
      </w:r>
    </w:p>
    <w:p>
      <w:pPr>
        <w:bidi w:val="0"/>
        <w:rPr>
          <w:rFonts w:hint="eastAsia"/>
          <w:color w:val="auto"/>
          <w:highlight w:val="none"/>
          <w:u w:val="single"/>
          <w:lang w:val="en-US" w:eastAsia="zh-CN"/>
        </w:rPr>
      </w:pPr>
      <w:r>
        <w:rPr>
          <w:rFonts w:hint="eastAsia"/>
          <w:color w:val="auto"/>
          <w:highlight w:val="none"/>
          <w:u w:val="single"/>
        </w:rPr>
        <w:t>截排水沟断面总长为</w:t>
      </w:r>
      <w:r>
        <w:rPr>
          <w:rFonts w:hint="eastAsia"/>
          <w:color w:val="auto"/>
          <w:highlight w:val="none"/>
          <w:u w:val="single"/>
          <w:lang w:val="en-US" w:eastAsia="zh-CN"/>
        </w:rPr>
        <w:t>2778</w:t>
      </w:r>
      <w:r>
        <w:rPr>
          <w:rFonts w:hint="eastAsia"/>
          <w:color w:val="auto"/>
          <w:highlight w:val="none"/>
          <w:u w:val="single"/>
        </w:rPr>
        <w:t>m</w:t>
      </w:r>
      <w:r>
        <w:rPr>
          <w:rFonts w:hint="eastAsia"/>
          <w:color w:val="auto"/>
          <w:highlight w:val="none"/>
          <w:u w:val="single"/>
          <w:lang w:eastAsia="zh-CN"/>
        </w:rPr>
        <w:t>，</w:t>
      </w:r>
      <w:r>
        <w:rPr>
          <w:rFonts w:hint="eastAsia"/>
          <w:color w:val="auto"/>
          <w:highlight w:val="none"/>
          <w:u w:val="single"/>
        </w:rPr>
        <w:t>需浆砌块石2</w:t>
      </w:r>
      <w:r>
        <w:rPr>
          <w:rFonts w:hint="eastAsia"/>
          <w:color w:val="auto"/>
          <w:highlight w:val="none"/>
          <w:u w:val="single"/>
          <w:lang w:val="en-US" w:eastAsia="zh-CN"/>
        </w:rPr>
        <w:t>445</w:t>
      </w:r>
      <w:r>
        <w:rPr>
          <w:rFonts w:hint="eastAsia"/>
          <w:color w:val="auto"/>
          <w:highlight w:val="none"/>
          <w:u w:val="single"/>
        </w:rPr>
        <w:t xml:space="preserve"> m</w:t>
      </w:r>
      <w:r>
        <w:rPr>
          <w:rFonts w:hint="eastAsia"/>
          <w:color w:val="auto"/>
          <w:highlight w:val="none"/>
          <w:u w:val="single"/>
          <w:vertAlign w:val="superscript"/>
        </w:rPr>
        <w:t>3</w:t>
      </w:r>
      <w:r>
        <w:rPr>
          <w:rFonts w:hint="eastAsia"/>
          <w:color w:val="auto"/>
          <w:highlight w:val="none"/>
          <w:u w:val="single"/>
        </w:rPr>
        <w:t xml:space="preserve">。 </w:t>
      </w:r>
    </w:p>
    <w:p>
      <w:pPr>
        <w:bidi w:val="0"/>
        <w:rPr>
          <w:rFonts w:hint="eastAsia"/>
          <w:color w:val="auto"/>
          <w:highlight w:val="none"/>
          <w:u w:val="single"/>
        </w:rPr>
      </w:pPr>
      <w:r>
        <w:rPr>
          <w:rFonts w:hint="eastAsia"/>
          <w:color w:val="auto"/>
          <w:highlight w:val="none"/>
          <w:u w:val="single"/>
          <w:lang w:eastAsia="zh-CN"/>
        </w:rPr>
        <w:t>（</w:t>
      </w:r>
      <w:r>
        <w:rPr>
          <w:rFonts w:hint="eastAsia"/>
          <w:color w:val="auto"/>
          <w:highlight w:val="none"/>
          <w:u w:val="single"/>
          <w:lang w:val="en-US" w:eastAsia="zh-CN"/>
        </w:rPr>
        <w:t>3</w:t>
      </w:r>
      <w:r>
        <w:rPr>
          <w:rFonts w:hint="eastAsia"/>
          <w:color w:val="auto"/>
          <w:highlight w:val="none"/>
          <w:u w:val="single"/>
          <w:lang w:eastAsia="zh-CN"/>
        </w:rPr>
        <w:t>）</w:t>
      </w:r>
      <w:r>
        <w:rPr>
          <w:rFonts w:hint="eastAsia"/>
          <w:color w:val="auto"/>
          <w:highlight w:val="none"/>
          <w:u w:val="single"/>
        </w:rPr>
        <w:t>含水层破坏治理工程</w:t>
      </w:r>
    </w:p>
    <w:p>
      <w:pPr>
        <w:bidi w:val="0"/>
        <w:rPr>
          <w:rFonts w:hint="eastAsia"/>
          <w:color w:val="auto"/>
          <w:highlight w:val="none"/>
          <w:u w:val="single"/>
        </w:rPr>
      </w:pPr>
      <w:r>
        <w:rPr>
          <w:rFonts w:hint="eastAsia"/>
          <w:color w:val="auto"/>
          <w:highlight w:val="none"/>
          <w:u w:val="single"/>
        </w:rPr>
        <w:t xml:space="preserve">矿区开采矿体均位于当地地下水位标高以上，矿区主要受大气降水的补给影响，矿体完全裸露地表，矿山开采对含水层的影响有限，主要表现为采矿及生活用水等可能对地下含水层造成一定影响，但影响较轻。主要防治措施如下： </w:t>
      </w:r>
    </w:p>
    <w:p>
      <w:pPr>
        <w:bidi w:val="0"/>
        <w:rPr>
          <w:rFonts w:hint="eastAsia"/>
          <w:color w:val="auto"/>
          <w:highlight w:val="none"/>
          <w:u w:val="single"/>
        </w:rPr>
      </w:pPr>
      <w:r>
        <w:rPr>
          <w:rFonts w:hint="eastAsia" w:ascii="宋体" w:hAnsi="宋体" w:eastAsia="宋体" w:cs="宋体"/>
          <w:color w:val="auto"/>
          <w:highlight w:val="none"/>
          <w:u w:val="single"/>
        </w:rPr>
        <w:t>①</w:t>
      </w:r>
      <w:r>
        <w:rPr>
          <w:rFonts w:hint="eastAsia"/>
          <w:color w:val="auto"/>
          <w:highlight w:val="none"/>
          <w:u w:val="single"/>
        </w:rPr>
        <w:t>生产废水应尽量循环利用，难以利用的部分水应集中收集，净化达标排放，避免项目区及周围水环境质量受到影响。</w:t>
      </w:r>
    </w:p>
    <w:p>
      <w:pPr>
        <w:bidi w:val="0"/>
        <w:rPr>
          <w:rFonts w:hint="eastAsia"/>
          <w:color w:val="auto"/>
          <w:highlight w:val="none"/>
          <w:u w:val="single"/>
        </w:rPr>
      </w:pPr>
      <w:r>
        <w:rPr>
          <w:rFonts w:hint="eastAsia" w:ascii="宋体" w:hAnsi="宋体" w:eastAsia="宋体" w:cs="宋体"/>
          <w:color w:val="auto"/>
          <w:highlight w:val="none"/>
          <w:u w:val="single"/>
        </w:rPr>
        <w:t>②</w:t>
      </w:r>
      <w:r>
        <w:rPr>
          <w:rFonts w:hint="eastAsia"/>
          <w:color w:val="auto"/>
          <w:highlight w:val="none"/>
          <w:u w:val="single"/>
        </w:rPr>
        <w:t>项目区内的工业垃圾、生活垃圾要进行集中堆放，及时拉走处理，防止造成二次污染。</w:t>
      </w:r>
    </w:p>
    <w:p>
      <w:pPr>
        <w:bidi w:val="0"/>
        <w:rPr>
          <w:rFonts w:hint="eastAsia"/>
          <w:color w:val="auto"/>
          <w:highlight w:val="none"/>
          <w:u w:val="single"/>
        </w:rPr>
      </w:pPr>
      <w:r>
        <w:rPr>
          <w:rFonts w:hint="eastAsia"/>
          <w:color w:val="auto"/>
          <w:highlight w:val="none"/>
          <w:u w:val="single"/>
          <w:lang w:eastAsia="zh-CN"/>
        </w:rPr>
        <w:t>（</w:t>
      </w:r>
      <w:r>
        <w:rPr>
          <w:rFonts w:hint="eastAsia"/>
          <w:color w:val="auto"/>
          <w:highlight w:val="none"/>
          <w:u w:val="single"/>
          <w:lang w:val="en-US" w:eastAsia="zh-CN"/>
        </w:rPr>
        <w:t>4</w:t>
      </w:r>
      <w:r>
        <w:rPr>
          <w:rFonts w:hint="eastAsia"/>
          <w:color w:val="auto"/>
          <w:highlight w:val="none"/>
          <w:u w:val="single"/>
          <w:lang w:eastAsia="zh-CN"/>
        </w:rPr>
        <w:t>）</w:t>
      </w:r>
      <w:r>
        <w:rPr>
          <w:rFonts w:hint="eastAsia"/>
          <w:color w:val="auto"/>
          <w:highlight w:val="none"/>
          <w:u w:val="single"/>
        </w:rPr>
        <w:t>水土环境污染治理工程</w:t>
      </w:r>
    </w:p>
    <w:p>
      <w:pPr>
        <w:bidi w:val="0"/>
        <w:rPr>
          <w:rFonts w:hint="eastAsia"/>
          <w:color w:val="auto"/>
          <w:highlight w:val="none"/>
          <w:u w:val="single"/>
        </w:rPr>
      </w:pPr>
      <w:r>
        <w:rPr>
          <w:rFonts w:hint="eastAsia"/>
          <w:color w:val="auto"/>
          <w:highlight w:val="none"/>
          <w:u w:val="single"/>
        </w:rPr>
        <w:t>该矿开采矿石无毒无害，对矿区及周边水土环境不构成污染。</w:t>
      </w:r>
    </w:p>
    <w:p>
      <w:pPr>
        <w:bidi w:val="0"/>
        <w:rPr>
          <w:rFonts w:hint="eastAsia"/>
          <w:color w:val="auto"/>
          <w:highlight w:val="none"/>
          <w:u w:val="single"/>
        </w:rPr>
      </w:pPr>
      <w:r>
        <w:rPr>
          <w:rFonts w:hint="eastAsia"/>
          <w:color w:val="auto"/>
          <w:highlight w:val="none"/>
          <w:u w:val="single"/>
          <w:lang w:eastAsia="zh-CN"/>
        </w:rPr>
        <w:t>（</w:t>
      </w:r>
      <w:r>
        <w:rPr>
          <w:rFonts w:hint="eastAsia"/>
          <w:color w:val="auto"/>
          <w:highlight w:val="none"/>
          <w:u w:val="single"/>
          <w:lang w:val="en-US" w:eastAsia="zh-CN"/>
        </w:rPr>
        <w:t>5</w:t>
      </w:r>
      <w:r>
        <w:rPr>
          <w:rFonts w:hint="eastAsia"/>
          <w:color w:val="auto"/>
          <w:highlight w:val="none"/>
          <w:u w:val="single"/>
          <w:lang w:eastAsia="zh-CN"/>
        </w:rPr>
        <w:t>）</w:t>
      </w:r>
      <w:r>
        <w:rPr>
          <w:rFonts w:hint="eastAsia"/>
          <w:color w:val="auto"/>
          <w:highlight w:val="none"/>
          <w:u w:val="single"/>
        </w:rPr>
        <w:t>地形地貌景观破坏治理工程</w:t>
      </w:r>
    </w:p>
    <w:p>
      <w:pPr>
        <w:bidi w:val="0"/>
        <w:rPr>
          <w:rFonts w:hint="eastAsia"/>
          <w:color w:val="auto"/>
          <w:highlight w:val="none"/>
          <w:u w:val="single"/>
        </w:rPr>
      </w:pPr>
      <w:r>
        <w:rPr>
          <w:rFonts w:hint="eastAsia"/>
          <w:color w:val="auto"/>
          <w:highlight w:val="none"/>
          <w:u w:val="single"/>
        </w:rPr>
        <w:t>项目对地形地貌景观的破坏主要表现在露天采场、工业场地、排渣场、矿山道路等。</w:t>
      </w:r>
      <w:r>
        <w:rPr>
          <w:rFonts w:hint="eastAsia"/>
          <w:color w:val="auto"/>
          <w:highlight w:val="none"/>
          <w:u w:val="single"/>
          <w:lang w:val="en-US" w:eastAsia="zh-CN"/>
        </w:rPr>
        <w:t>拟</w:t>
      </w:r>
      <w:r>
        <w:rPr>
          <w:rFonts w:hint="eastAsia"/>
          <w:color w:val="auto"/>
          <w:highlight w:val="none"/>
          <w:u w:val="single"/>
        </w:rPr>
        <w:t>对露天采场采取边坡绿化等工程措施，配合土地复垦工程，对地形地貌景观进行有效防治。</w:t>
      </w:r>
    </w:p>
    <w:p>
      <w:pPr>
        <w:bidi w:val="0"/>
        <w:rPr>
          <w:rFonts w:hint="default"/>
          <w:color w:val="auto"/>
          <w:highlight w:val="none"/>
          <w:lang w:val="en-US" w:eastAsia="zh-CN"/>
        </w:rPr>
      </w:pPr>
      <w:r>
        <w:rPr>
          <w:rFonts w:hint="eastAsia"/>
          <w:color w:val="auto"/>
          <w:highlight w:val="none"/>
          <w:u w:val="single"/>
        </w:rPr>
        <w:t>在沿边坡下方安全平台和清扫平台外侧浆砌块石种植槽，挡墙高0.6m，厚0.3m。根据开发方案，预测矿山台阶边坡总长度约</w:t>
      </w:r>
      <w:r>
        <w:rPr>
          <w:rFonts w:hint="eastAsia"/>
          <w:color w:val="auto"/>
          <w:highlight w:val="none"/>
          <w:u w:val="single"/>
          <w:lang w:val="en-US" w:eastAsia="zh-CN"/>
        </w:rPr>
        <w:t>4540</w:t>
      </w:r>
      <w:r>
        <w:rPr>
          <w:rFonts w:hint="eastAsia"/>
          <w:color w:val="auto"/>
          <w:highlight w:val="none"/>
          <w:u w:val="single"/>
        </w:rPr>
        <w:t>m，需砌垒种植槽浆砌块石的方量为</w:t>
      </w:r>
      <w:r>
        <w:rPr>
          <w:rFonts w:hint="eastAsia"/>
          <w:color w:val="auto"/>
          <w:highlight w:val="none"/>
          <w:u w:val="single"/>
          <w:lang w:val="en-US" w:eastAsia="zh-CN"/>
        </w:rPr>
        <w:t>817</w:t>
      </w:r>
      <w:r>
        <w:rPr>
          <w:rFonts w:hint="eastAsia"/>
          <w:color w:val="auto"/>
          <w:highlight w:val="none"/>
          <w:u w:val="single"/>
        </w:rPr>
        <w:t>m</w:t>
      </w:r>
      <w:r>
        <w:rPr>
          <w:rFonts w:hint="eastAsia"/>
          <w:color w:val="auto"/>
          <w:highlight w:val="none"/>
          <w:u w:val="single"/>
          <w:vertAlign w:val="superscript"/>
          <w:lang w:val="en-US" w:eastAsia="zh-CN"/>
        </w:rPr>
        <w:t>3</w:t>
      </w:r>
      <w:r>
        <w:rPr>
          <w:rFonts w:hint="eastAsia"/>
          <w:color w:val="auto"/>
          <w:highlight w:val="none"/>
          <w:u w:val="single"/>
        </w:rPr>
        <w:t>。并在安全平台和清扫平台内侧按照4株/m(分内、外排各2株/m)的密度种植爬墙虎，所需种植爬墙虎1</w:t>
      </w:r>
      <w:r>
        <w:rPr>
          <w:rFonts w:hint="eastAsia"/>
          <w:color w:val="auto"/>
          <w:highlight w:val="none"/>
          <w:u w:val="single"/>
          <w:lang w:val="en-US" w:eastAsia="zh-CN"/>
        </w:rPr>
        <w:t>8160</w:t>
      </w:r>
      <w:r>
        <w:rPr>
          <w:rFonts w:hint="eastAsia"/>
          <w:color w:val="auto"/>
          <w:highlight w:val="none"/>
          <w:u w:val="single"/>
        </w:rPr>
        <w:t>株，每株爬山虎施肥0.25kg。采场边坡台阶按平均宽度3m，可复垦面积1.</w:t>
      </w:r>
      <w:r>
        <w:rPr>
          <w:rFonts w:hint="eastAsia"/>
          <w:color w:val="auto"/>
          <w:highlight w:val="none"/>
          <w:u w:val="single"/>
          <w:lang w:val="en-US" w:eastAsia="zh-CN"/>
        </w:rPr>
        <w:t>8160</w:t>
      </w:r>
      <w:r>
        <w:rPr>
          <w:rFonts w:hint="eastAsia"/>
          <w:color w:val="auto"/>
          <w:highlight w:val="none"/>
          <w:u w:val="single"/>
        </w:rPr>
        <w:t>hm</w:t>
      </w:r>
      <w:r>
        <w:rPr>
          <w:rFonts w:hint="eastAsia"/>
          <w:color w:val="auto"/>
          <w:highlight w:val="none"/>
          <w:u w:val="single"/>
          <w:vertAlign w:val="superscript"/>
        </w:rPr>
        <w:t>2</w:t>
      </w:r>
      <w:r>
        <w:rPr>
          <w:rFonts w:hint="eastAsia"/>
          <w:color w:val="auto"/>
          <w:highlight w:val="none"/>
          <w:u w:val="single"/>
        </w:rPr>
        <w:t>，覆土厚度0.90m，将收集的表土回填至种植槽，需回填表土为：</w:t>
      </w:r>
      <w:r>
        <w:rPr>
          <w:rFonts w:hint="eastAsia"/>
          <w:color w:val="auto"/>
          <w:highlight w:val="none"/>
          <w:u w:val="single"/>
          <w:lang w:val="en-US" w:eastAsia="zh-CN"/>
        </w:rPr>
        <w:t>16344</w:t>
      </w:r>
      <w:r>
        <w:rPr>
          <w:rFonts w:hint="eastAsia"/>
          <w:color w:val="auto"/>
          <w:highlight w:val="none"/>
          <w:u w:val="single"/>
        </w:rPr>
        <w:t>m</w:t>
      </w:r>
      <w:r>
        <w:rPr>
          <w:rFonts w:hint="eastAsia"/>
          <w:color w:val="auto"/>
          <w:highlight w:val="none"/>
          <w:u w:val="single"/>
          <w:vertAlign w:val="superscript"/>
        </w:rPr>
        <w:t>3</w:t>
      </w:r>
      <w:r>
        <w:rPr>
          <w:rFonts w:hint="eastAsia"/>
          <w:color w:val="auto"/>
          <w:highlight w:val="none"/>
          <w:u w:val="single"/>
          <w:lang w:eastAsia="zh-CN"/>
        </w:rPr>
        <w:t>，</w:t>
      </w:r>
      <w:r>
        <w:rPr>
          <w:rFonts w:hint="eastAsia"/>
          <w:color w:val="auto"/>
          <w:highlight w:val="none"/>
          <w:u w:val="single"/>
        </w:rPr>
        <w:t>采场边坡种植槽的表土回填采用人工装双胶轮车运土，将土运至安全平台和清扫平台种植槽回填。</w:t>
      </w:r>
      <w:r>
        <w:rPr>
          <w:rFonts w:hint="eastAsia" w:ascii="宋体" w:hAnsi="宋体" w:eastAsia="宋体"/>
          <w:color w:val="auto"/>
          <w:highlight w:val="none"/>
        </w:rPr>
        <w:t xml:space="preserve"> </w:t>
      </w:r>
    </w:p>
    <w:p>
      <w:pPr>
        <w:pStyle w:val="4"/>
        <w:rPr>
          <w:rFonts w:ascii="Times New Roman" w:hAnsi="Times New Roman" w:eastAsia="宋体"/>
          <w:color w:val="auto"/>
          <w:highlight w:val="none"/>
        </w:rPr>
      </w:pPr>
      <w:bookmarkStart w:id="435" w:name="_Toc10218"/>
      <w:r>
        <w:rPr>
          <w:rFonts w:ascii="Times New Roman" w:hAnsi="Times New Roman" w:eastAsia="宋体"/>
          <w:color w:val="auto"/>
          <w:highlight w:val="none"/>
        </w:rPr>
        <w:t>5.2 矿山土地复垦方案</w:t>
      </w:r>
      <w:bookmarkEnd w:id="435"/>
    </w:p>
    <w:p>
      <w:pPr>
        <w:ind w:firstLine="480"/>
        <w:rPr>
          <w:rFonts w:ascii="Times New Roman" w:hAnsi="Times New Roman" w:eastAsia="宋体"/>
          <w:color w:val="auto"/>
          <w:highlight w:val="none"/>
        </w:rPr>
      </w:pPr>
      <w:r>
        <w:rPr>
          <w:rFonts w:ascii="Times New Roman" w:hAnsi="Times New Roman" w:eastAsia="宋体"/>
          <w:color w:val="auto"/>
          <w:highlight w:val="none"/>
        </w:rPr>
        <w:t>根据《</w:t>
      </w:r>
      <w:r>
        <w:rPr>
          <w:rFonts w:ascii="Times New Roman" w:hAnsi="Times New Roman" w:eastAsia="宋体" w:cs="Times New Roman"/>
          <w:color w:val="auto"/>
          <w:szCs w:val="24"/>
          <w:highlight w:val="none"/>
        </w:rPr>
        <w:t>三江县宏源采石场硅质岩矿</w:t>
      </w:r>
      <w:r>
        <w:rPr>
          <w:rFonts w:ascii="Times New Roman" w:hAnsi="Times New Roman" w:eastAsia="宋体" w:cs="Times New Roman"/>
          <w:color w:val="auto"/>
          <w:highlight w:val="none"/>
        </w:rPr>
        <w:t>矿山地质环境保护与土地复垦方案</w:t>
      </w:r>
      <w:r>
        <w:rPr>
          <w:rFonts w:ascii="Times New Roman" w:hAnsi="Times New Roman" w:eastAsia="宋体"/>
          <w:color w:val="auto"/>
          <w:highlight w:val="none"/>
        </w:rPr>
        <w:t>》</w:t>
      </w:r>
      <w:r>
        <w:rPr>
          <w:rFonts w:hint="eastAsia" w:ascii="Times New Roman" w:hAnsi="Times New Roman" w:eastAsia="宋体"/>
          <w:color w:val="auto"/>
          <w:highlight w:val="none"/>
        </w:rPr>
        <w:t>及评审意见书</w:t>
      </w:r>
      <w:r>
        <w:rPr>
          <w:rFonts w:ascii="Times New Roman" w:hAnsi="Times New Roman" w:eastAsia="宋体"/>
          <w:color w:val="auto"/>
          <w:highlight w:val="none"/>
        </w:rPr>
        <w:t>，</w:t>
      </w:r>
      <w:r>
        <w:rPr>
          <w:rFonts w:hint="eastAsia" w:ascii="Times New Roman" w:hAnsi="Times New Roman" w:eastAsia="宋体"/>
          <w:color w:val="auto"/>
          <w:highlight w:val="none"/>
        </w:rPr>
        <w:t>项目矿山</w:t>
      </w:r>
      <w:r>
        <w:rPr>
          <w:rFonts w:ascii="Times New Roman" w:hAnsi="Times New Roman" w:eastAsia="宋体"/>
          <w:color w:val="auto"/>
          <w:highlight w:val="none"/>
        </w:rPr>
        <w:t>恢复治理措施如下。</w:t>
      </w:r>
    </w:p>
    <w:p>
      <w:pPr>
        <w:pStyle w:val="5"/>
        <w:rPr>
          <w:rFonts w:ascii="Times New Roman" w:hAnsi="Times New Roman" w:eastAsia="宋体"/>
          <w:color w:val="auto"/>
          <w:highlight w:val="none"/>
        </w:rPr>
      </w:pPr>
      <w:r>
        <w:rPr>
          <w:rFonts w:ascii="Times New Roman" w:hAnsi="Times New Roman" w:eastAsia="宋体"/>
          <w:color w:val="auto"/>
          <w:highlight w:val="none"/>
        </w:rPr>
        <w:t>5.2.1 目标任务</w:t>
      </w:r>
    </w:p>
    <w:p>
      <w:pPr>
        <w:snapToGrid w:val="0"/>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通过对受损毁的土地采用工程、植物措施进行复垦。根据土地复垦</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占一补一，占优补优</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的原则和土地复垦适宜性评价结果，土地复垦方案确定为：水田、旱地、有林地。在确定复垦土地用途时，广泛征求了土地权属人的意见。复垦方案将工业场地占压的水田拟恢复为原地类，占压的草地、果园和旱地恢复为旱地供土地权属人种植作物；采场底盘种植松树；矿山道路在开采结束后已开挖形成开采平台未保留；采场边坡坡度大于35°不符合耕地、园地、林地、草地复垦要求，通过在边坡坡面下方种植攀藤植物对边坡进行复绿（该面积</w:t>
      </w:r>
      <w:r>
        <w:rPr>
          <w:rFonts w:hint="eastAsia" w:cs="Times New Roman"/>
          <w:color w:val="auto"/>
          <w:highlight w:val="none"/>
          <w:lang w:val="en-US" w:eastAsia="zh-CN"/>
        </w:rPr>
        <w:t>3.4689</w:t>
      </w:r>
      <w:r>
        <w:rPr>
          <w:rFonts w:hint="eastAsia" w:ascii="Times New Roman" w:hAnsi="Times New Roman" w:eastAsia="宋体" w:cs="Times New Roman"/>
          <w:color w:val="auto"/>
          <w:highlight w:val="none"/>
        </w:rPr>
        <w:t>hm</w:t>
      </w:r>
      <w:r>
        <w:rPr>
          <w:rFonts w:hint="eastAsia"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rPr>
        <w:t>不计入复垦面积）。</w:t>
      </w:r>
      <w:r>
        <w:rPr>
          <w:rFonts w:hint="eastAsia" w:ascii="Times New Roman" w:hAnsi="Times New Roman" w:eastAsia="宋体" w:cs="Times New Roman"/>
          <w:color w:val="auto"/>
          <w:highlight w:val="none"/>
          <w:u w:val="single"/>
        </w:rPr>
        <w:t>矿山复垦恢复地类为水田3.2654hm</w:t>
      </w:r>
      <w:r>
        <w:rPr>
          <w:rFonts w:hint="eastAsia" w:ascii="Times New Roman" w:hAnsi="Times New Roman" w:eastAsia="宋体" w:cs="Times New Roman"/>
          <w:color w:val="auto"/>
          <w:highlight w:val="none"/>
          <w:u w:val="single"/>
          <w:vertAlign w:val="superscript"/>
        </w:rPr>
        <w:t>2</w:t>
      </w:r>
      <w:r>
        <w:rPr>
          <w:rFonts w:hint="eastAsia" w:ascii="Times New Roman" w:hAnsi="Times New Roman" w:eastAsia="宋体" w:cs="Times New Roman"/>
          <w:color w:val="auto"/>
          <w:highlight w:val="none"/>
          <w:u w:val="single"/>
        </w:rPr>
        <w:t>、旱地0.5735hm</w:t>
      </w:r>
      <w:r>
        <w:rPr>
          <w:rFonts w:hint="eastAsia" w:ascii="Times New Roman" w:hAnsi="Times New Roman" w:eastAsia="宋体" w:cs="Times New Roman"/>
          <w:color w:val="auto"/>
          <w:highlight w:val="none"/>
          <w:u w:val="single"/>
          <w:vertAlign w:val="superscript"/>
        </w:rPr>
        <w:t>2</w:t>
      </w:r>
      <w:r>
        <w:rPr>
          <w:rFonts w:hint="eastAsia" w:ascii="Times New Roman" w:hAnsi="Times New Roman" w:eastAsia="宋体" w:cs="Times New Roman"/>
          <w:color w:val="auto"/>
          <w:highlight w:val="none"/>
          <w:u w:val="single"/>
        </w:rPr>
        <w:t>、有林地</w:t>
      </w:r>
      <w:r>
        <w:rPr>
          <w:rFonts w:hint="eastAsia" w:cs="Times New Roman"/>
          <w:color w:val="auto"/>
          <w:highlight w:val="none"/>
          <w:u w:val="single"/>
          <w:lang w:val="en-US" w:eastAsia="zh-CN"/>
        </w:rPr>
        <w:t>14.1278</w:t>
      </w:r>
      <w:r>
        <w:rPr>
          <w:rFonts w:hint="eastAsia" w:ascii="Times New Roman" w:hAnsi="Times New Roman" w:eastAsia="宋体" w:cs="Times New Roman"/>
          <w:color w:val="auto"/>
          <w:highlight w:val="none"/>
          <w:u w:val="single"/>
        </w:rPr>
        <w:t>hm</w:t>
      </w:r>
      <w:r>
        <w:rPr>
          <w:rFonts w:hint="eastAsia" w:ascii="Times New Roman" w:hAnsi="Times New Roman" w:eastAsia="宋体" w:cs="Times New Roman"/>
          <w:color w:val="auto"/>
          <w:highlight w:val="none"/>
          <w:u w:val="single"/>
          <w:vertAlign w:val="superscript"/>
        </w:rPr>
        <w:t>2</w:t>
      </w:r>
      <w:r>
        <w:rPr>
          <w:rFonts w:hint="eastAsia" w:ascii="Times New Roman" w:hAnsi="Times New Roman" w:eastAsia="宋体" w:cs="Times New Roman"/>
          <w:color w:val="auto"/>
          <w:highlight w:val="none"/>
          <w:u w:val="single"/>
        </w:rPr>
        <w:t>。复垦面积总计1</w:t>
      </w:r>
      <w:r>
        <w:rPr>
          <w:rFonts w:hint="eastAsia" w:cs="Times New Roman"/>
          <w:color w:val="auto"/>
          <w:highlight w:val="none"/>
          <w:u w:val="single"/>
          <w:lang w:val="en-US" w:eastAsia="zh-CN"/>
        </w:rPr>
        <w:t>7.9667</w:t>
      </w:r>
      <w:r>
        <w:rPr>
          <w:rFonts w:hint="eastAsia" w:ascii="Times New Roman" w:hAnsi="Times New Roman" w:eastAsia="宋体" w:cs="Times New Roman"/>
          <w:color w:val="auto"/>
          <w:highlight w:val="none"/>
          <w:u w:val="single"/>
        </w:rPr>
        <w:t>hm</w:t>
      </w:r>
      <w:r>
        <w:rPr>
          <w:rFonts w:hint="eastAsia" w:ascii="Times New Roman" w:hAnsi="Times New Roman" w:eastAsia="宋体" w:cs="Times New Roman"/>
          <w:color w:val="auto"/>
          <w:highlight w:val="none"/>
          <w:u w:val="single"/>
          <w:vertAlign w:val="superscript"/>
        </w:rPr>
        <w:t>2</w:t>
      </w:r>
      <w:r>
        <w:rPr>
          <w:rFonts w:hint="eastAsia" w:ascii="Times New Roman" w:hAnsi="Times New Roman" w:eastAsia="宋体" w:cs="Times New Roman"/>
          <w:color w:val="auto"/>
          <w:highlight w:val="none"/>
          <w:u w:val="single"/>
        </w:rPr>
        <w:t>，复垦率为8</w:t>
      </w:r>
      <w:r>
        <w:rPr>
          <w:rFonts w:hint="eastAsia" w:cs="Times New Roman"/>
          <w:color w:val="auto"/>
          <w:highlight w:val="none"/>
          <w:u w:val="single"/>
          <w:lang w:val="en-US" w:eastAsia="zh-CN"/>
        </w:rPr>
        <w:t>3.82</w:t>
      </w:r>
      <w:r>
        <w:rPr>
          <w:rFonts w:hint="eastAsia" w:ascii="Times New Roman" w:hAnsi="Times New Roman" w:eastAsia="宋体" w:cs="Times New Roman"/>
          <w:color w:val="auto"/>
          <w:highlight w:val="none"/>
          <w:u w:val="single"/>
        </w:rPr>
        <w:t>%。</w:t>
      </w:r>
      <w:r>
        <w:rPr>
          <w:rFonts w:hint="eastAsia" w:ascii="Times New Roman" w:hAnsi="Times New Roman" w:eastAsia="宋体" w:cs="Times New Roman"/>
          <w:color w:val="auto"/>
          <w:highlight w:val="none"/>
        </w:rPr>
        <w:t>复垦前后的土地类别及面积变化</w:t>
      </w:r>
      <w:r>
        <w:rPr>
          <w:rFonts w:ascii="Times New Roman" w:hAnsi="Times New Roman" w:eastAsia="宋体" w:cs="Times New Roman"/>
          <w:color w:val="auto"/>
          <w:highlight w:val="none"/>
        </w:rPr>
        <w:t>详见表5.2-1。</w:t>
      </w:r>
    </w:p>
    <w:p>
      <w:pPr>
        <w:snapToGrid w:val="0"/>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表5.2-1 矿区土地复垦前后地类面积对比表</w:t>
      </w:r>
    </w:p>
    <w:tbl>
      <w:tblPr>
        <w:tblStyle w:val="48"/>
        <w:tblW w:w="9355"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410"/>
        <w:gridCol w:w="863"/>
        <w:gridCol w:w="585"/>
        <w:gridCol w:w="752"/>
        <w:gridCol w:w="699"/>
        <w:gridCol w:w="734"/>
        <w:gridCol w:w="774"/>
        <w:gridCol w:w="738"/>
        <w:gridCol w:w="753"/>
        <w:gridCol w:w="694"/>
        <w:gridCol w:w="709"/>
        <w:gridCol w:w="734"/>
        <w:gridCol w:w="910"/>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2610" w:type="dxa"/>
            <w:gridSpan w:val="4"/>
            <w:noWrap w:val="0"/>
            <w:tcMar>
              <w:top w:w="0" w:type="dxa"/>
              <w:left w:w="0" w:type="dxa"/>
              <w:bottom w:w="0" w:type="dxa"/>
              <w:right w:w="0" w:type="dxa"/>
            </w:tcMar>
            <w:vAlign w:val="center"/>
          </w:tcPr>
          <w:p>
            <w:pPr>
              <w:adjustRightInd w:val="0"/>
              <w:snapToGrid w:val="0"/>
              <w:spacing w:line="240" w:lineRule="auto"/>
              <w:ind w:firstLine="0" w:firstLineChars="0"/>
              <w:jc w:val="right"/>
              <w:rPr>
                <w:rFonts w:ascii="Times New Roman" w:hAnsi="Times New Roman" w:eastAsia="宋体" w:cs="Times New Roman"/>
                <w:b/>
                <w:bCs/>
                <w:color w:val="auto"/>
                <w:sz w:val="21"/>
                <w:szCs w:val="18"/>
                <w:highlight w:val="none"/>
              </w:rPr>
            </w:pPr>
            <w:r>
              <w:rPr>
                <w:rFonts w:ascii="Times New Roman" w:hAnsi="Times New Roman" w:eastAsia="宋体"/>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-14605</wp:posOffset>
                      </wp:positionH>
                      <wp:positionV relativeFrom="paragraph">
                        <wp:posOffset>18415</wp:posOffset>
                      </wp:positionV>
                      <wp:extent cx="1628775" cy="476250"/>
                      <wp:effectExtent l="1270" t="4445" r="8255" b="14605"/>
                      <wp:wrapNone/>
                      <wp:docPr id="7" name="直线 9"/>
                      <wp:cNvGraphicFramePr/>
                      <a:graphic xmlns:a="http://schemas.openxmlformats.org/drawingml/2006/main">
                        <a:graphicData uri="http://schemas.microsoft.com/office/word/2010/wordprocessingShape">
                          <wps:wsp>
                            <wps:cNvCnPr/>
                            <wps:spPr>
                              <a:xfrm>
                                <a:off x="0" y="0"/>
                                <a:ext cx="1628775" cy="4762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 o:spid="_x0000_s1026" o:spt="20" style="position:absolute;left:0pt;margin-left:-1.15pt;margin-top:1.45pt;height:37.5pt;width:128.25pt;z-index:251664384;mso-width-relative:page;mso-height-relative:page;" filled="f" stroked="t" coordsize="21600,21600" o:gfxdata="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z+sTXWAAAABwEAAA8AAAAAAAAAAQAgAAAA&#10;IgAAAGRycy9kb3ducmV2LnhtbFBLAQIUABQAAAAIAIdO4kC4g9At1AEAAJIDAAAOAAAAAAAAAAEA&#10;IAAAACUBAABkcnMvZTJvRG9jLnhtbFBLBQYAAAAABgAGAFkBAABrBQAAAAA=&#10;">
                      <v:fill on="f" focussize="0,0"/>
                      <v:stroke color="#000000" joinstyle="round"/>
                      <v:imagedata o:title=""/>
                      <o:lock v:ext="edit" aspectratio="f"/>
                    </v:line>
                  </w:pict>
                </mc:Fallback>
              </mc:AlternateContent>
            </w:r>
            <w:r>
              <w:rPr>
                <w:rFonts w:ascii="Times New Roman" w:hAnsi="Times New Roman" w:eastAsia="宋体" w:cs="Times New Roman"/>
                <w:b/>
                <w:bCs/>
                <w:color w:val="auto"/>
                <w:sz w:val="21"/>
                <w:szCs w:val="18"/>
                <w:highlight w:val="none"/>
              </w:rPr>
              <w:t>场地名称</w:t>
            </w:r>
          </w:p>
          <w:p>
            <w:pPr>
              <w:adjustRightInd w:val="0"/>
              <w:snapToGrid w:val="0"/>
              <w:spacing w:line="240" w:lineRule="auto"/>
              <w:ind w:firstLine="0" w:firstLineChars="0"/>
              <w:rPr>
                <w:rFonts w:ascii="Times New Roman" w:hAnsi="Times New Roman" w:eastAsia="宋体" w:cs="Times New Roman"/>
                <w:b/>
                <w:bCs/>
                <w:color w:val="auto"/>
                <w:sz w:val="21"/>
                <w:szCs w:val="18"/>
                <w:highlight w:val="none"/>
              </w:rPr>
            </w:pPr>
            <w:r>
              <w:rPr>
                <w:rFonts w:ascii="Times New Roman" w:hAnsi="Times New Roman" w:eastAsia="宋体" w:cs="Times New Roman"/>
                <w:b/>
                <w:bCs/>
                <w:color w:val="auto"/>
                <w:sz w:val="21"/>
                <w:szCs w:val="18"/>
                <w:highlight w:val="none"/>
              </w:rPr>
              <w:t>地类</w:t>
            </w:r>
          </w:p>
        </w:tc>
        <w:tc>
          <w:tcPr>
            <w:tcW w:w="1433" w:type="dxa"/>
            <w:gridSpan w:val="2"/>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szCs w:val="18"/>
                <w:highlight w:val="none"/>
              </w:rPr>
            </w:pPr>
            <w:r>
              <w:rPr>
                <w:rFonts w:ascii="Times New Roman" w:hAnsi="Times New Roman" w:eastAsia="宋体" w:cs="Times New Roman"/>
                <w:b/>
                <w:bCs/>
                <w:color w:val="auto"/>
                <w:sz w:val="21"/>
                <w:szCs w:val="18"/>
                <w:highlight w:val="none"/>
              </w:rPr>
              <w:t>露天采场</w:t>
            </w:r>
          </w:p>
        </w:tc>
        <w:tc>
          <w:tcPr>
            <w:tcW w:w="1512" w:type="dxa"/>
            <w:gridSpan w:val="2"/>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szCs w:val="18"/>
                <w:highlight w:val="none"/>
              </w:rPr>
            </w:pPr>
            <w:r>
              <w:rPr>
                <w:rFonts w:ascii="Times New Roman" w:hAnsi="Times New Roman" w:eastAsia="宋体" w:cs="Times New Roman"/>
                <w:b/>
                <w:bCs/>
                <w:color w:val="auto"/>
                <w:sz w:val="21"/>
                <w:szCs w:val="18"/>
                <w:highlight w:val="none"/>
              </w:rPr>
              <w:t>矿山道路</w:t>
            </w:r>
          </w:p>
        </w:tc>
        <w:tc>
          <w:tcPr>
            <w:tcW w:w="1447" w:type="dxa"/>
            <w:gridSpan w:val="2"/>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b/>
                <w:bCs/>
                <w:color w:val="auto"/>
                <w:sz w:val="21"/>
                <w:szCs w:val="18"/>
                <w:highlight w:val="none"/>
              </w:rPr>
            </w:pPr>
            <w:r>
              <w:rPr>
                <w:rFonts w:ascii="Times New Roman" w:hAnsi="Times New Roman" w:eastAsia="宋体" w:cs="Times New Roman"/>
                <w:b/>
                <w:bCs/>
                <w:color w:val="auto"/>
                <w:sz w:val="21"/>
                <w:szCs w:val="18"/>
                <w:highlight w:val="none"/>
              </w:rPr>
              <w:t>工业场地</w:t>
            </w:r>
            <w:r>
              <w:rPr>
                <w:rFonts w:hint="eastAsia" w:ascii="Times New Roman" w:hAnsi="Times New Roman" w:eastAsia="宋体" w:cs="Times New Roman"/>
                <w:b/>
                <w:bCs/>
                <w:color w:val="auto"/>
                <w:sz w:val="21"/>
                <w:szCs w:val="18"/>
                <w:highlight w:val="none"/>
              </w:rPr>
              <w:t>（表土场、破碎加工区、工棚等）</w:t>
            </w:r>
          </w:p>
        </w:tc>
        <w:tc>
          <w:tcPr>
            <w:tcW w:w="1443" w:type="dxa"/>
            <w:gridSpan w:val="2"/>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szCs w:val="18"/>
                <w:highlight w:val="none"/>
              </w:rPr>
            </w:pPr>
            <w:r>
              <w:rPr>
                <w:rFonts w:ascii="Times New Roman" w:hAnsi="Times New Roman" w:eastAsia="宋体" w:cs="Times New Roman"/>
                <w:b/>
                <w:bCs/>
                <w:color w:val="auto"/>
                <w:sz w:val="21"/>
                <w:szCs w:val="18"/>
                <w:highlight w:val="none"/>
              </w:rPr>
              <w:t>合计</w:t>
            </w:r>
          </w:p>
        </w:tc>
        <w:tc>
          <w:tcPr>
            <w:tcW w:w="910" w:type="dxa"/>
            <w:vMerge w:val="restart"/>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szCs w:val="18"/>
                <w:highlight w:val="none"/>
              </w:rPr>
            </w:pPr>
            <w:r>
              <w:rPr>
                <w:rFonts w:ascii="Times New Roman" w:hAnsi="Times New Roman" w:eastAsia="宋体" w:cs="Times New Roman"/>
                <w:b/>
                <w:bCs/>
                <w:color w:val="auto"/>
                <w:sz w:val="21"/>
                <w:szCs w:val="18"/>
                <w:highlight w:val="none"/>
              </w:rPr>
              <w:t>面积</w:t>
            </w:r>
          </w:p>
          <w:p>
            <w:pPr>
              <w:adjustRightInd w:val="0"/>
              <w:snapToGrid w:val="0"/>
              <w:spacing w:line="240" w:lineRule="auto"/>
              <w:ind w:firstLine="0" w:firstLineChars="0"/>
              <w:jc w:val="center"/>
              <w:rPr>
                <w:rFonts w:ascii="Times New Roman" w:hAnsi="Times New Roman" w:eastAsia="宋体" w:cs="Times New Roman"/>
                <w:b/>
                <w:bCs/>
                <w:color w:val="auto"/>
                <w:sz w:val="21"/>
                <w:szCs w:val="18"/>
                <w:highlight w:val="none"/>
              </w:rPr>
            </w:pPr>
            <w:r>
              <w:rPr>
                <w:rFonts w:ascii="Times New Roman" w:hAnsi="Times New Roman" w:eastAsia="宋体" w:cs="Times New Roman"/>
                <w:b/>
                <w:bCs/>
                <w:color w:val="auto"/>
                <w:sz w:val="21"/>
                <w:szCs w:val="18"/>
                <w:highlight w:val="none"/>
              </w:rPr>
              <w:t>增减</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1273" w:type="dxa"/>
            <w:gridSpan w:val="2"/>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szCs w:val="18"/>
                <w:highlight w:val="none"/>
              </w:rPr>
            </w:pPr>
            <w:r>
              <w:rPr>
                <w:rFonts w:ascii="Times New Roman" w:hAnsi="Times New Roman" w:eastAsia="宋体" w:cs="Times New Roman"/>
                <w:b/>
                <w:bCs/>
                <w:color w:val="auto"/>
                <w:sz w:val="21"/>
                <w:szCs w:val="18"/>
                <w:highlight w:val="none"/>
              </w:rPr>
              <w:t>一级地类</w:t>
            </w:r>
          </w:p>
        </w:tc>
        <w:tc>
          <w:tcPr>
            <w:tcW w:w="1337" w:type="dxa"/>
            <w:gridSpan w:val="2"/>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szCs w:val="18"/>
                <w:highlight w:val="none"/>
              </w:rPr>
            </w:pPr>
            <w:r>
              <w:rPr>
                <w:rFonts w:ascii="Times New Roman" w:hAnsi="Times New Roman" w:eastAsia="宋体" w:cs="Times New Roman"/>
                <w:b/>
                <w:bCs/>
                <w:color w:val="auto"/>
                <w:sz w:val="21"/>
                <w:szCs w:val="18"/>
                <w:highlight w:val="none"/>
              </w:rPr>
              <w:t>二级地类</w:t>
            </w:r>
          </w:p>
        </w:tc>
        <w:tc>
          <w:tcPr>
            <w:tcW w:w="699"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szCs w:val="18"/>
                <w:highlight w:val="none"/>
              </w:rPr>
            </w:pPr>
            <w:r>
              <w:rPr>
                <w:rFonts w:ascii="Times New Roman" w:hAnsi="Times New Roman" w:eastAsia="宋体" w:cs="Times New Roman"/>
                <w:b/>
                <w:bCs/>
                <w:color w:val="auto"/>
                <w:sz w:val="21"/>
                <w:szCs w:val="18"/>
                <w:highlight w:val="none"/>
              </w:rPr>
              <w:t>损毁</w:t>
            </w:r>
          </w:p>
        </w:tc>
        <w:tc>
          <w:tcPr>
            <w:tcW w:w="73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szCs w:val="18"/>
                <w:highlight w:val="none"/>
              </w:rPr>
            </w:pPr>
            <w:r>
              <w:rPr>
                <w:rFonts w:ascii="Times New Roman" w:hAnsi="Times New Roman" w:eastAsia="宋体" w:cs="Times New Roman"/>
                <w:b/>
                <w:bCs/>
                <w:color w:val="auto"/>
                <w:sz w:val="21"/>
                <w:szCs w:val="18"/>
                <w:highlight w:val="none"/>
              </w:rPr>
              <w:t>复垦</w:t>
            </w:r>
          </w:p>
        </w:tc>
        <w:tc>
          <w:tcPr>
            <w:tcW w:w="77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szCs w:val="18"/>
                <w:highlight w:val="none"/>
              </w:rPr>
            </w:pPr>
            <w:r>
              <w:rPr>
                <w:rFonts w:ascii="Times New Roman" w:hAnsi="Times New Roman" w:eastAsia="宋体" w:cs="Times New Roman"/>
                <w:b/>
                <w:bCs/>
                <w:color w:val="auto"/>
                <w:sz w:val="21"/>
                <w:szCs w:val="18"/>
                <w:highlight w:val="none"/>
              </w:rPr>
              <w:t>损毁</w:t>
            </w:r>
          </w:p>
        </w:tc>
        <w:tc>
          <w:tcPr>
            <w:tcW w:w="738"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szCs w:val="18"/>
                <w:highlight w:val="none"/>
              </w:rPr>
            </w:pPr>
            <w:r>
              <w:rPr>
                <w:rFonts w:ascii="Times New Roman" w:hAnsi="Times New Roman" w:eastAsia="宋体" w:cs="Times New Roman"/>
                <w:b/>
                <w:bCs/>
                <w:color w:val="auto"/>
                <w:sz w:val="21"/>
                <w:szCs w:val="18"/>
                <w:highlight w:val="none"/>
              </w:rPr>
              <w:t>复垦</w:t>
            </w:r>
          </w:p>
        </w:tc>
        <w:tc>
          <w:tcPr>
            <w:tcW w:w="753"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szCs w:val="18"/>
                <w:highlight w:val="none"/>
              </w:rPr>
            </w:pPr>
            <w:r>
              <w:rPr>
                <w:rFonts w:ascii="Times New Roman" w:hAnsi="Times New Roman" w:eastAsia="宋体" w:cs="Times New Roman"/>
                <w:b/>
                <w:bCs/>
                <w:color w:val="auto"/>
                <w:sz w:val="21"/>
                <w:szCs w:val="18"/>
                <w:highlight w:val="none"/>
              </w:rPr>
              <w:t>损毁</w:t>
            </w:r>
          </w:p>
        </w:tc>
        <w:tc>
          <w:tcPr>
            <w:tcW w:w="69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szCs w:val="18"/>
                <w:highlight w:val="none"/>
              </w:rPr>
            </w:pPr>
            <w:r>
              <w:rPr>
                <w:rFonts w:ascii="Times New Roman" w:hAnsi="Times New Roman" w:eastAsia="宋体" w:cs="Times New Roman"/>
                <w:b/>
                <w:bCs/>
                <w:color w:val="auto"/>
                <w:sz w:val="21"/>
                <w:szCs w:val="18"/>
                <w:highlight w:val="none"/>
              </w:rPr>
              <w:t>复垦</w:t>
            </w:r>
          </w:p>
        </w:tc>
        <w:tc>
          <w:tcPr>
            <w:tcW w:w="709"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szCs w:val="18"/>
                <w:highlight w:val="none"/>
              </w:rPr>
            </w:pPr>
            <w:r>
              <w:rPr>
                <w:rFonts w:ascii="Times New Roman" w:hAnsi="Times New Roman" w:eastAsia="宋体" w:cs="Times New Roman"/>
                <w:b/>
                <w:bCs/>
                <w:color w:val="auto"/>
                <w:sz w:val="21"/>
                <w:szCs w:val="18"/>
                <w:highlight w:val="none"/>
              </w:rPr>
              <w:t>损毁</w:t>
            </w:r>
          </w:p>
        </w:tc>
        <w:tc>
          <w:tcPr>
            <w:tcW w:w="73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szCs w:val="18"/>
                <w:highlight w:val="none"/>
              </w:rPr>
            </w:pPr>
            <w:r>
              <w:rPr>
                <w:rFonts w:ascii="Times New Roman" w:hAnsi="Times New Roman" w:eastAsia="宋体" w:cs="Times New Roman"/>
                <w:b/>
                <w:bCs/>
                <w:color w:val="auto"/>
                <w:sz w:val="21"/>
                <w:szCs w:val="18"/>
                <w:highlight w:val="none"/>
              </w:rPr>
              <w:t>复垦</w:t>
            </w:r>
          </w:p>
        </w:tc>
        <w:tc>
          <w:tcPr>
            <w:tcW w:w="910" w:type="dxa"/>
            <w:vMerge w:val="continue"/>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410" w:type="dxa"/>
            <w:vMerge w:val="restart"/>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0</w:t>
            </w:r>
            <w:r>
              <w:rPr>
                <w:rFonts w:hint="eastAsia" w:ascii="Times New Roman" w:hAnsi="Times New Roman" w:eastAsia="宋体" w:cs="Times New Roman"/>
                <w:color w:val="auto"/>
                <w:sz w:val="21"/>
                <w:szCs w:val="18"/>
                <w:highlight w:val="none"/>
              </w:rPr>
              <w:t>1</w:t>
            </w:r>
          </w:p>
        </w:tc>
        <w:tc>
          <w:tcPr>
            <w:tcW w:w="863" w:type="dxa"/>
            <w:vMerge w:val="restart"/>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耕地</w:t>
            </w:r>
          </w:p>
        </w:tc>
        <w:tc>
          <w:tcPr>
            <w:tcW w:w="585"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0</w:t>
            </w:r>
            <w:r>
              <w:rPr>
                <w:rFonts w:hint="eastAsia" w:ascii="Times New Roman" w:hAnsi="Times New Roman" w:eastAsia="宋体" w:cs="Times New Roman"/>
                <w:color w:val="auto"/>
                <w:sz w:val="21"/>
                <w:szCs w:val="18"/>
                <w:highlight w:val="none"/>
              </w:rPr>
              <w:t>1</w:t>
            </w:r>
            <w:r>
              <w:rPr>
                <w:rFonts w:ascii="Times New Roman" w:hAnsi="Times New Roman" w:eastAsia="宋体" w:cs="Times New Roman"/>
                <w:color w:val="auto"/>
                <w:sz w:val="21"/>
                <w:szCs w:val="18"/>
                <w:highlight w:val="none"/>
              </w:rPr>
              <w:t>1</w:t>
            </w:r>
          </w:p>
        </w:tc>
        <w:tc>
          <w:tcPr>
            <w:tcW w:w="752"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水田</w:t>
            </w:r>
          </w:p>
        </w:tc>
        <w:tc>
          <w:tcPr>
            <w:tcW w:w="699"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ascii="Times New Roman" w:hAnsi="Times New Roman" w:eastAsia="宋体" w:cs="Times New Roman"/>
                <w:color w:val="auto"/>
                <w:sz w:val="21"/>
                <w:szCs w:val="18"/>
                <w:highlight w:val="none"/>
                <w:u w:val="single"/>
              </w:rPr>
              <w:t>0</w:t>
            </w:r>
          </w:p>
        </w:tc>
        <w:tc>
          <w:tcPr>
            <w:tcW w:w="73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ascii="Times New Roman" w:hAnsi="Times New Roman" w:eastAsia="宋体" w:cs="Times New Roman"/>
                <w:color w:val="auto"/>
                <w:sz w:val="21"/>
                <w:szCs w:val="18"/>
                <w:highlight w:val="none"/>
                <w:u w:val="single"/>
              </w:rPr>
              <w:t>0</w:t>
            </w:r>
          </w:p>
        </w:tc>
        <w:tc>
          <w:tcPr>
            <w:tcW w:w="77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u w:val="single"/>
              </w:rPr>
            </w:pPr>
            <w:r>
              <w:rPr>
                <w:rFonts w:hint="eastAsia" w:ascii="Times New Roman" w:hAnsi="Times New Roman" w:eastAsia="宋体" w:cs="Times New Roman"/>
                <w:color w:val="auto"/>
                <w:sz w:val="21"/>
                <w:szCs w:val="18"/>
                <w:highlight w:val="none"/>
                <w:u w:val="single"/>
              </w:rPr>
              <w:t>0</w:t>
            </w:r>
          </w:p>
        </w:tc>
        <w:tc>
          <w:tcPr>
            <w:tcW w:w="738"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ascii="Times New Roman" w:hAnsi="Times New Roman" w:eastAsia="宋体" w:cs="Times New Roman"/>
                <w:color w:val="auto"/>
                <w:sz w:val="21"/>
                <w:szCs w:val="18"/>
                <w:highlight w:val="none"/>
                <w:u w:val="single"/>
              </w:rPr>
              <w:t>0</w:t>
            </w:r>
          </w:p>
        </w:tc>
        <w:tc>
          <w:tcPr>
            <w:tcW w:w="753"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hint="eastAsia" w:ascii="Times New Roman" w:hAnsi="Times New Roman" w:eastAsia="宋体" w:cs="Times New Roman"/>
                <w:color w:val="auto"/>
                <w:sz w:val="21"/>
                <w:szCs w:val="18"/>
                <w:highlight w:val="none"/>
                <w:u w:val="single"/>
              </w:rPr>
              <w:t>3.2654</w:t>
            </w:r>
          </w:p>
        </w:tc>
        <w:tc>
          <w:tcPr>
            <w:tcW w:w="69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hint="eastAsia" w:ascii="Times New Roman" w:hAnsi="Times New Roman" w:eastAsia="宋体" w:cs="Times New Roman"/>
                <w:color w:val="auto"/>
                <w:sz w:val="21"/>
                <w:szCs w:val="18"/>
                <w:highlight w:val="none"/>
                <w:u w:val="single"/>
              </w:rPr>
              <w:t>3.2654</w:t>
            </w:r>
          </w:p>
        </w:tc>
        <w:tc>
          <w:tcPr>
            <w:tcW w:w="709"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hint="eastAsia" w:ascii="Times New Roman" w:hAnsi="Times New Roman" w:eastAsia="宋体" w:cs="Times New Roman"/>
                <w:color w:val="auto"/>
                <w:sz w:val="21"/>
                <w:szCs w:val="18"/>
                <w:highlight w:val="none"/>
                <w:u w:val="single"/>
              </w:rPr>
              <w:t>3.2654</w:t>
            </w:r>
          </w:p>
        </w:tc>
        <w:tc>
          <w:tcPr>
            <w:tcW w:w="73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hint="eastAsia" w:ascii="Times New Roman" w:hAnsi="Times New Roman" w:eastAsia="宋体" w:cs="Times New Roman"/>
                <w:color w:val="auto"/>
                <w:sz w:val="21"/>
                <w:szCs w:val="18"/>
                <w:highlight w:val="none"/>
                <w:u w:val="single"/>
              </w:rPr>
              <w:t>3.2654</w:t>
            </w:r>
          </w:p>
        </w:tc>
        <w:tc>
          <w:tcPr>
            <w:tcW w:w="910"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u w:val="single"/>
              </w:rPr>
            </w:pPr>
            <w:r>
              <w:rPr>
                <w:rFonts w:hint="eastAsia" w:ascii="Times New Roman" w:hAnsi="Times New Roman" w:eastAsia="宋体" w:cs="Times New Roman"/>
                <w:color w:val="auto"/>
                <w:sz w:val="21"/>
                <w:szCs w:val="18"/>
                <w:highlight w:val="none"/>
                <w:u w:val="single"/>
              </w:rPr>
              <w:t>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410" w:type="dxa"/>
            <w:vMerge w:val="continue"/>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p>
        </w:tc>
        <w:tc>
          <w:tcPr>
            <w:tcW w:w="863" w:type="dxa"/>
            <w:vMerge w:val="continue"/>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p>
        </w:tc>
        <w:tc>
          <w:tcPr>
            <w:tcW w:w="585"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0</w:t>
            </w:r>
            <w:r>
              <w:rPr>
                <w:rFonts w:hint="eastAsia" w:ascii="Times New Roman" w:hAnsi="Times New Roman" w:eastAsia="宋体" w:cs="Times New Roman"/>
                <w:color w:val="auto"/>
                <w:sz w:val="21"/>
                <w:szCs w:val="18"/>
                <w:highlight w:val="none"/>
              </w:rPr>
              <w:t>13</w:t>
            </w:r>
          </w:p>
        </w:tc>
        <w:tc>
          <w:tcPr>
            <w:tcW w:w="752"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旱地</w:t>
            </w:r>
          </w:p>
        </w:tc>
        <w:tc>
          <w:tcPr>
            <w:tcW w:w="699"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u w:val="single"/>
              </w:rPr>
            </w:pPr>
            <w:r>
              <w:rPr>
                <w:rFonts w:hint="eastAsia" w:ascii="Times New Roman" w:hAnsi="Times New Roman" w:eastAsia="宋体" w:cs="Times New Roman"/>
                <w:color w:val="auto"/>
                <w:sz w:val="21"/>
                <w:szCs w:val="18"/>
                <w:highlight w:val="none"/>
                <w:u w:val="single"/>
              </w:rPr>
              <w:t>0</w:t>
            </w:r>
          </w:p>
        </w:tc>
        <w:tc>
          <w:tcPr>
            <w:tcW w:w="73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u w:val="single"/>
              </w:rPr>
            </w:pPr>
            <w:r>
              <w:rPr>
                <w:rFonts w:hint="eastAsia" w:ascii="Times New Roman" w:hAnsi="Times New Roman" w:eastAsia="宋体" w:cs="Times New Roman"/>
                <w:color w:val="auto"/>
                <w:sz w:val="21"/>
                <w:szCs w:val="18"/>
                <w:highlight w:val="none"/>
                <w:u w:val="single"/>
              </w:rPr>
              <w:t>0</w:t>
            </w:r>
          </w:p>
        </w:tc>
        <w:tc>
          <w:tcPr>
            <w:tcW w:w="77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ascii="Times New Roman" w:hAnsi="Times New Roman" w:eastAsia="宋体" w:cs="Times New Roman"/>
                <w:color w:val="auto"/>
                <w:sz w:val="21"/>
                <w:szCs w:val="18"/>
                <w:highlight w:val="none"/>
                <w:u w:val="single"/>
              </w:rPr>
              <w:t>0</w:t>
            </w:r>
          </w:p>
        </w:tc>
        <w:tc>
          <w:tcPr>
            <w:tcW w:w="738"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ascii="Times New Roman" w:hAnsi="Times New Roman" w:eastAsia="宋体" w:cs="Times New Roman"/>
                <w:color w:val="auto"/>
                <w:sz w:val="21"/>
                <w:szCs w:val="18"/>
                <w:highlight w:val="none"/>
                <w:u w:val="single"/>
              </w:rPr>
              <w:t>0</w:t>
            </w:r>
          </w:p>
        </w:tc>
        <w:tc>
          <w:tcPr>
            <w:tcW w:w="753"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ascii="Times New Roman" w:hAnsi="Times New Roman" w:eastAsia="宋体" w:cs="Times New Roman"/>
                <w:color w:val="auto"/>
                <w:sz w:val="21"/>
                <w:szCs w:val="18"/>
                <w:highlight w:val="none"/>
                <w:u w:val="single"/>
              </w:rPr>
              <w:t>0.1</w:t>
            </w:r>
            <w:r>
              <w:rPr>
                <w:rFonts w:hint="eastAsia" w:ascii="Times New Roman" w:hAnsi="Times New Roman" w:eastAsia="宋体" w:cs="Times New Roman"/>
                <w:color w:val="auto"/>
                <w:sz w:val="21"/>
                <w:szCs w:val="18"/>
                <w:highlight w:val="none"/>
                <w:u w:val="single"/>
              </w:rPr>
              <w:t>817</w:t>
            </w:r>
          </w:p>
        </w:tc>
        <w:tc>
          <w:tcPr>
            <w:tcW w:w="69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ascii="Times New Roman" w:hAnsi="Times New Roman" w:eastAsia="宋体" w:cs="Times New Roman"/>
                <w:color w:val="auto"/>
                <w:sz w:val="21"/>
                <w:szCs w:val="18"/>
                <w:highlight w:val="none"/>
                <w:u w:val="single"/>
              </w:rPr>
              <w:t>0</w:t>
            </w:r>
            <w:r>
              <w:rPr>
                <w:rFonts w:hint="eastAsia" w:ascii="Times New Roman" w:hAnsi="Times New Roman" w:eastAsia="宋体" w:cs="Times New Roman"/>
                <w:color w:val="auto"/>
                <w:sz w:val="21"/>
                <w:szCs w:val="18"/>
                <w:highlight w:val="none"/>
                <w:u w:val="single"/>
              </w:rPr>
              <w:t>.5735</w:t>
            </w:r>
          </w:p>
        </w:tc>
        <w:tc>
          <w:tcPr>
            <w:tcW w:w="709"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hint="eastAsia" w:ascii="Times New Roman" w:hAnsi="Times New Roman" w:eastAsia="宋体" w:cs="Times New Roman"/>
                <w:color w:val="auto"/>
                <w:sz w:val="21"/>
                <w:szCs w:val="18"/>
                <w:highlight w:val="none"/>
                <w:u w:val="single"/>
              </w:rPr>
              <w:t>0.1817</w:t>
            </w:r>
          </w:p>
        </w:tc>
        <w:tc>
          <w:tcPr>
            <w:tcW w:w="73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hint="eastAsia" w:ascii="Times New Roman" w:hAnsi="Times New Roman" w:eastAsia="宋体" w:cs="Times New Roman"/>
                <w:color w:val="auto"/>
                <w:sz w:val="21"/>
                <w:szCs w:val="18"/>
                <w:highlight w:val="none"/>
                <w:u w:val="single"/>
              </w:rPr>
              <w:t>0.5735</w:t>
            </w:r>
          </w:p>
        </w:tc>
        <w:tc>
          <w:tcPr>
            <w:tcW w:w="910"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hint="eastAsia" w:ascii="Times New Roman" w:hAnsi="Times New Roman" w:eastAsia="宋体" w:cs="Times New Roman"/>
                <w:color w:val="auto"/>
                <w:sz w:val="21"/>
                <w:szCs w:val="18"/>
                <w:highlight w:val="none"/>
                <w:u w:val="single"/>
              </w:rPr>
              <w:t>0.3918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410" w:type="dxa"/>
            <w:vMerge w:val="restart"/>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0</w:t>
            </w:r>
            <w:r>
              <w:rPr>
                <w:rFonts w:hint="eastAsia" w:ascii="Times New Roman" w:hAnsi="Times New Roman" w:eastAsia="宋体" w:cs="Times New Roman"/>
                <w:color w:val="auto"/>
                <w:sz w:val="21"/>
                <w:szCs w:val="18"/>
                <w:highlight w:val="none"/>
              </w:rPr>
              <w:t>3</w:t>
            </w:r>
          </w:p>
        </w:tc>
        <w:tc>
          <w:tcPr>
            <w:tcW w:w="863" w:type="dxa"/>
            <w:vMerge w:val="restart"/>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林地</w:t>
            </w:r>
          </w:p>
        </w:tc>
        <w:tc>
          <w:tcPr>
            <w:tcW w:w="585" w:type="dxa"/>
            <w:vMerge w:val="restart"/>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0</w:t>
            </w:r>
            <w:r>
              <w:rPr>
                <w:rFonts w:hint="eastAsia" w:ascii="Times New Roman" w:hAnsi="Times New Roman" w:eastAsia="宋体" w:cs="Times New Roman"/>
                <w:color w:val="auto"/>
                <w:sz w:val="21"/>
                <w:szCs w:val="18"/>
                <w:highlight w:val="none"/>
              </w:rPr>
              <w:t>32</w:t>
            </w:r>
          </w:p>
        </w:tc>
        <w:tc>
          <w:tcPr>
            <w:tcW w:w="752"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有林地</w:t>
            </w:r>
          </w:p>
        </w:tc>
        <w:tc>
          <w:tcPr>
            <w:tcW w:w="699"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11.6789</w:t>
            </w:r>
          </w:p>
        </w:tc>
        <w:tc>
          <w:tcPr>
            <w:tcW w:w="73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13.0164</w:t>
            </w:r>
          </w:p>
        </w:tc>
        <w:tc>
          <w:tcPr>
            <w:tcW w:w="77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ascii="Times New Roman" w:hAnsi="Times New Roman" w:eastAsia="宋体" w:cs="Times New Roman"/>
                <w:color w:val="auto"/>
                <w:sz w:val="21"/>
                <w:szCs w:val="18"/>
                <w:highlight w:val="none"/>
                <w:u w:val="single"/>
              </w:rPr>
              <w:t>0.</w:t>
            </w:r>
            <w:r>
              <w:rPr>
                <w:rFonts w:hint="eastAsia" w:ascii="Times New Roman" w:hAnsi="Times New Roman" w:eastAsia="宋体" w:cs="Times New Roman"/>
                <w:color w:val="auto"/>
                <w:sz w:val="21"/>
                <w:szCs w:val="18"/>
                <w:highlight w:val="none"/>
                <w:u w:val="single"/>
              </w:rPr>
              <w:t>2944</w:t>
            </w:r>
          </w:p>
        </w:tc>
        <w:tc>
          <w:tcPr>
            <w:tcW w:w="738"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u w:val="single"/>
                <w:lang w:eastAsia="zh-CN"/>
              </w:rPr>
            </w:pPr>
            <w:r>
              <w:rPr>
                <w:rFonts w:hint="eastAsia" w:cs="Times New Roman"/>
                <w:color w:val="auto"/>
                <w:sz w:val="21"/>
                <w:szCs w:val="18"/>
                <w:highlight w:val="none"/>
                <w:u w:val="single"/>
                <w:lang w:val="en-US" w:eastAsia="zh-CN"/>
              </w:rPr>
              <w:t>0</w:t>
            </w:r>
          </w:p>
        </w:tc>
        <w:tc>
          <w:tcPr>
            <w:tcW w:w="753"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ascii="Times New Roman" w:hAnsi="Times New Roman" w:eastAsia="宋体" w:cs="Times New Roman"/>
                <w:color w:val="auto"/>
                <w:sz w:val="21"/>
                <w:szCs w:val="18"/>
                <w:highlight w:val="none"/>
                <w:u w:val="single"/>
              </w:rPr>
              <w:t>0</w:t>
            </w:r>
            <w:r>
              <w:rPr>
                <w:rFonts w:hint="eastAsia" w:ascii="Times New Roman" w:hAnsi="Times New Roman" w:eastAsia="宋体" w:cs="Times New Roman"/>
                <w:color w:val="auto"/>
                <w:sz w:val="21"/>
                <w:szCs w:val="18"/>
                <w:highlight w:val="none"/>
                <w:u w:val="single"/>
              </w:rPr>
              <w:t>.</w:t>
            </w:r>
            <w:r>
              <w:rPr>
                <w:rFonts w:hint="eastAsia" w:cs="Times New Roman"/>
                <w:color w:val="auto"/>
                <w:sz w:val="21"/>
                <w:szCs w:val="18"/>
                <w:highlight w:val="none"/>
                <w:u w:val="single"/>
                <w:lang w:val="en-US" w:eastAsia="zh-CN"/>
              </w:rPr>
              <w:t>5314</w:t>
            </w:r>
          </w:p>
        </w:tc>
        <w:tc>
          <w:tcPr>
            <w:tcW w:w="69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1.1114</w:t>
            </w:r>
          </w:p>
        </w:tc>
        <w:tc>
          <w:tcPr>
            <w:tcW w:w="709"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12.5047</w:t>
            </w:r>
          </w:p>
        </w:tc>
        <w:tc>
          <w:tcPr>
            <w:tcW w:w="73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14.1278</w:t>
            </w:r>
          </w:p>
        </w:tc>
        <w:tc>
          <w:tcPr>
            <w:tcW w:w="910"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hint="eastAsia" w:ascii="Times New Roman" w:hAnsi="Times New Roman" w:eastAsia="宋体" w:cs="Times New Roman"/>
                <w:color w:val="auto"/>
                <w:sz w:val="21"/>
                <w:szCs w:val="18"/>
                <w:highlight w:val="none"/>
                <w:u w:val="single"/>
              </w:rPr>
              <w:t>1.</w:t>
            </w:r>
            <w:r>
              <w:rPr>
                <w:rFonts w:hint="eastAsia" w:cs="Times New Roman"/>
                <w:color w:val="auto"/>
                <w:sz w:val="21"/>
                <w:szCs w:val="18"/>
                <w:highlight w:val="none"/>
                <w:u w:val="single"/>
                <w:lang w:val="en-US" w:eastAsia="zh-CN"/>
              </w:rPr>
              <w:t>6231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410" w:type="dxa"/>
            <w:vMerge w:val="continue"/>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p>
        </w:tc>
        <w:tc>
          <w:tcPr>
            <w:tcW w:w="863" w:type="dxa"/>
            <w:vMerge w:val="continue"/>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p>
        </w:tc>
        <w:tc>
          <w:tcPr>
            <w:tcW w:w="585" w:type="dxa"/>
            <w:vMerge w:val="continue"/>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p>
        </w:tc>
        <w:tc>
          <w:tcPr>
            <w:tcW w:w="752"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灌木</w:t>
            </w:r>
          </w:p>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林地</w:t>
            </w:r>
          </w:p>
        </w:tc>
        <w:tc>
          <w:tcPr>
            <w:tcW w:w="699"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hint="eastAsia" w:ascii="Times New Roman" w:hAnsi="Times New Roman" w:eastAsia="宋体" w:cs="Times New Roman"/>
                <w:color w:val="auto"/>
                <w:sz w:val="21"/>
                <w:szCs w:val="18"/>
                <w:highlight w:val="none"/>
                <w:u w:val="single"/>
              </w:rPr>
              <w:t>4</w:t>
            </w:r>
            <w:r>
              <w:rPr>
                <w:rFonts w:hint="eastAsia" w:cs="Times New Roman"/>
                <w:color w:val="auto"/>
                <w:sz w:val="21"/>
                <w:szCs w:val="18"/>
                <w:highlight w:val="none"/>
                <w:u w:val="single"/>
                <w:lang w:val="en-US" w:eastAsia="zh-CN"/>
              </w:rPr>
              <w:t>.6275</w:t>
            </w:r>
          </w:p>
        </w:tc>
        <w:tc>
          <w:tcPr>
            <w:tcW w:w="73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u w:val="single"/>
              </w:rPr>
            </w:pPr>
            <w:r>
              <w:rPr>
                <w:rFonts w:hint="eastAsia" w:ascii="Times New Roman" w:hAnsi="Times New Roman" w:eastAsia="宋体" w:cs="Times New Roman"/>
                <w:color w:val="auto"/>
                <w:sz w:val="21"/>
                <w:szCs w:val="18"/>
                <w:highlight w:val="none"/>
                <w:u w:val="single"/>
              </w:rPr>
              <w:t>0</w:t>
            </w:r>
          </w:p>
        </w:tc>
        <w:tc>
          <w:tcPr>
            <w:tcW w:w="77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hint="eastAsia" w:ascii="Times New Roman" w:hAnsi="Times New Roman" w:eastAsia="宋体" w:cs="Times New Roman"/>
                <w:color w:val="auto"/>
                <w:sz w:val="21"/>
                <w:szCs w:val="18"/>
                <w:highlight w:val="none"/>
                <w:u w:val="single"/>
              </w:rPr>
              <w:t>0.0404</w:t>
            </w:r>
          </w:p>
        </w:tc>
        <w:tc>
          <w:tcPr>
            <w:tcW w:w="738"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u w:val="single"/>
              </w:rPr>
            </w:pPr>
            <w:r>
              <w:rPr>
                <w:rFonts w:hint="eastAsia" w:ascii="Times New Roman" w:hAnsi="Times New Roman" w:eastAsia="宋体" w:cs="Times New Roman"/>
                <w:color w:val="auto"/>
                <w:sz w:val="21"/>
                <w:szCs w:val="18"/>
                <w:highlight w:val="none"/>
                <w:u w:val="single"/>
              </w:rPr>
              <w:t>0</w:t>
            </w:r>
          </w:p>
        </w:tc>
        <w:tc>
          <w:tcPr>
            <w:tcW w:w="753"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u w:val="single"/>
              </w:rPr>
            </w:pPr>
            <w:r>
              <w:rPr>
                <w:rFonts w:hint="eastAsia" w:ascii="Times New Roman" w:hAnsi="Times New Roman" w:eastAsia="宋体" w:cs="Times New Roman"/>
                <w:color w:val="auto"/>
                <w:sz w:val="21"/>
                <w:szCs w:val="18"/>
                <w:highlight w:val="none"/>
                <w:u w:val="single"/>
              </w:rPr>
              <w:t>0</w:t>
            </w:r>
          </w:p>
        </w:tc>
        <w:tc>
          <w:tcPr>
            <w:tcW w:w="69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u w:val="single"/>
              </w:rPr>
            </w:pPr>
            <w:r>
              <w:rPr>
                <w:rFonts w:hint="eastAsia" w:ascii="Times New Roman" w:hAnsi="Times New Roman" w:eastAsia="宋体" w:cs="Times New Roman"/>
                <w:color w:val="auto"/>
                <w:sz w:val="21"/>
                <w:szCs w:val="18"/>
                <w:highlight w:val="none"/>
                <w:u w:val="single"/>
              </w:rPr>
              <w:t>0</w:t>
            </w:r>
          </w:p>
        </w:tc>
        <w:tc>
          <w:tcPr>
            <w:tcW w:w="709"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hint="eastAsia" w:ascii="Times New Roman" w:hAnsi="Times New Roman" w:eastAsia="宋体" w:cs="Times New Roman"/>
                <w:color w:val="auto"/>
                <w:sz w:val="21"/>
                <w:szCs w:val="18"/>
                <w:highlight w:val="none"/>
                <w:u w:val="single"/>
              </w:rPr>
              <w:t>4.66</w:t>
            </w:r>
            <w:r>
              <w:rPr>
                <w:rFonts w:hint="eastAsia" w:cs="Times New Roman"/>
                <w:color w:val="auto"/>
                <w:sz w:val="21"/>
                <w:szCs w:val="18"/>
                <w:highlight w:val="none"/>
                <w:u w:val="single"/>
                <w:lang w:val="en-US" w:eastAsia="zh-CN"/>
              </w:rPr>
              <w:t>79</w:t>
            </w:r>
          </w:p>
        </w:tc>
        <w:tc>
          <w:tcPr>
            <w:tcW w:w="73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u w:val="single"/>
              </w:rPr>
            </w:pPr>
            <w:r>
              <w:rPr>
                <w:rFonts w:hint="eastAsia" w:ascii="Times New Roman" w:hAnsi="Times New Roman" w:eastAsia="宋体" w:cs="Times New Roman"/>
                <w:color w:val="auto"/>
                <w:sz w:val="21"/>
                <w:szCs w:val="18"/>
                <w:highlight w:val="none"/>
                <w:u w:val="single"/>
              </w:rPr>
              <w:t>0</w:t>
            </w:r>
          </w:p>
        </w:tc>
        <w:tc>
          <w:tcPr>
            <w:tcW w:w="910"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hint="eastAsia" w:ascii="Times New Roman" w:hAnsi="Times New Roman" w:eastAsia="宋体" w:cs="Times New Roman"/>
                <w:color w:val="auto"/>
                <w:sz w:val="21"/>
                <w:szCs w:val="18"/>
                <w:highlight w:val="none"/>
                <w:u w:val="single"/>
              </w:rPr>
              <w:t>-4.66</w:t>
            </w:r>
            <w:r>
              <w:rPr>
                <w:rFonts w:hint="eastAsia" w:cs="Times New Roman"/>
                <w:color w:val="auto"/>
                <w:sz w:val="21"/>
                <w:szCs w:val="18"/>
                <w:highlight w:val="none"/>
                <w:u w:val="single"/>
                <w:lang w:val="en-US" w:eastAsia="zh-CN"/>
              </w:rPr>
              <w:t>79</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410"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0</w:t>
            </w:r>
            <w:r>
              <w:rPr>
                <w:rFonts w:ascii="Times New Roman" w:hAnsi="Times New Roman" w:eastAsia="宋体" w:cs="Times New Roman"/>
                <w:color w:val="auto"/>
                <w:sz w:val="21"/>
                <w:szCs w:val="18"/>
                <w:highlight w:val="none"/>
              </w:rPr>
              <w:t>2</w:t>
            </w:r>
          </w:p>
        </w:tc>
        <w:tc>
          <w:tcPr>
            <w:tcW w:w="863"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园地</w:t>
            </w:r>
          </w:p>
        </w:tc>
        <w:tc>
          <w:tcPr>
            <w:tcW w:w="585"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021</w:t>
            </w:r>
          </w:p>
        </w:tc>
        <w:tc>
          <w:tcPr>
            <w:tcW w:w="752"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果园</w:t>
            </w:r>
          </w:p>
        </w:tc>
        <w:tc>
          <w:tcPr>
            <w:tcW w:w="699"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u w:val="single"/>
              </w:rPr>
            </w:pPr>
            <w:r>
              <w:rPr>
                <w:rFonts w:hint="eastAsia" w:ascii="Times New Roman" w:hAnsi="Times New Roman" w:eastAsia="宋体" w:cs="Times New Roman"/>
                <w:color w:val="auto"/>
                <w:sz w:val="21"/>
                <w:szCs w:val="18"/>
                <w:highlight w:val="none"/>
                <w:u w:val="single"/>
              </w:rPr>
              <w:t>0</w:t>
            </w:r>
          </w:p>
        </w:tc>
        <w:tc>
          <w:tcPr>
            <w:tcW w:w="73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ascii="Times New Roman" w:hAnsi="Times New Roman" w:eastAsia="宋体" w:cs="Times New Roman"/>
                <w:color w:val="auto"/>
                <w:sz w:val="21"/>
                <w:szCs w:val="18"/>
                <w:highlight w:val="none"/>
                <w:u w:val="single"/>
              </w:rPr>
              <w:t>0</w:t>
            </w:r>
          </w:p>
        </w:tc>
        <w:tc>
          <w:tcPr>
            <w:tcW w:w="77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u w:val="single"/>
              </w:rPr>
            </w:pPr>
            <w:r>
              <w:rPr>
                <w:rFonts w:hint="eastAsia" w:ascii="Times New Roman" w:hAnsi="Times New Roman" w:eastAsia="宋体" w:cs="Times New Roman"/>
                <w:color w:val="auto"/>
                <w:sz w:val="21"/>
                <w:szCs w:val="18"/>
                <w:highlight w:val="none"/>
                <w:u w:val="single"/>
              </w:rPr>
              <w:t>0</w:t>
            </w:r>
          </w:p>
        </w:tc>
        <w:tc>
          <w:tcPr>
            <w:tcW w:w="738"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ascii="Times New Roman" w:hAnsi="Times New Roman" w:eastAsia="宋体" w:cs="Times New Roman"/>
                <w:color w:val="auto"/>
                <w:sz w:val="21"/>
                <w:szCs w:val="18"/>
                <w:highlight w:val="none"/>
                <w:u w:val="single"/>
              </w:rPr>
              <w:t>0</w:t>
            </w:r>
          </w:p>
        </w:tc>
        <w:tc>
          <w:tcPr>
            <w:tcW w:w="753"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ascii="Times New Roman" w:hAnsi="Times New Roman" w:eastAsia="宋体" w:cs="Times New Roman"/>
                <w:color w:val="auto"/>
                <w:sz w:val="21"/>
                <w:szCs w:val="18"/>
                <w:highlight w:val="none"/>
                <w:u w:val="single"/>
              </w:rPr>
              <w:t>0.1</w:t>
            </w:r>
            <w:r>
              <w:rPr>
                <w:rFonts w:hint="eastAsia" w:ascii="Times New Roman" w:hAnsi="Times New Roman" w:eastAsia="宋体" w:cs="Times New Roman"/>
                <w:color w:val="auto"/>
                <w:sz w:val="21"/>
                <w:szCs w:val="18"/>
                <w:highlight w:val="none"/>
                <w:u w:val="single"/>
              </w:rPr>
              <w:t>814</w:t>
            </w:r>
          </w:p>
        </w:tc>
        <w:tc>
          <w:tcPr>
            <w:tcW w:w="69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ascii="Times New Roman" w:hAnsi="Times New Roman" w:eastAsia="宋体" w:cs="Times New Roman"/>
                <w:color w:val="auto"/>
                <w:sz w:val="21"/>
                <w:szCs w:val="18"/>
                <w:highlight w:val="none"/>
                <w:u w:val="single"/>
              </w:rPr>
              <w:t>0</w:t>
            </w:r>
          </w:p>
        </w:tc>
        <w:tc>
          <w:tcPr>
            <w:tcW w:w="709"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hint="eastAsia" w:ascii="Times New Roman" w:hAnsi="Times New Roman" w:eastAsia="宋体" w:cs="Times New Roman"/>
                <w:color w:val="auto"/>
                <w:sz w:val="21"/>
                <w:szCs w:val="18"/>
                <w:highlight w:val="none"/>
                <w:u w:val="single"/>
              </w:rPr>
              <w:t>0.1814</w:t>
            </w:r>
          </w:p>
        </w:tc>
        <w:tc>
          <w:tcPr>
            <w:tcW w:w="73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ascii="Times New Roman" w:hAnsi="Times New Roman" w:eastAsia="宋体" w:cs="Times New Roman"/>
                <w:color w:val="auto"/>
                <w:sz w:val="21"/>
                <w:szCs w:val="18"/>
                <w:highlight w:val="none"/>
                <w:u w:val="single"/>
              </w:rPr>
              <w:t>0</w:t>
            </w:r>
          </w:p>
        </w:tc>
        <w:tc>
          <w:tcPr>
            <w:tcW w:w="910"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ascii="Times New Roman" w:hAnsi="Times New Roman" w:eastAsia="宋体" w:cs="Times New Roman"/>
                <w:color w:val="auto"/>
                <w:sz w:val="21"/>
                <w:szCs w:val="18"/>
                <w:highlight w:val="none"/>
                <w:u w:val="single"/>
              </w:rPr>
              <w:t>-</w:t>
            </w:r>
            <w:r>
              <w:rPr>
                <w:rFonts w:hint="eastAsia" w:ascii="Times New Roman" w:hAnsi="Times New Roman" w:eastAsia="宋体" w:cs="Times New Roman"/>
                <w:color w:val="auto"/>
                <w:sz w:val="21"/>
                <w:szCs w:val="18"/>
                <w:highlight w:val="none"/>
                <w:u w:val="single"/>
              </w:rPr>
              <w:t>0.1814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410"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04</w:t>
            </w:r>
          </w:p>
        </w:tc>
        <w:tc>
          <w:tcPr>
            <w:tcW w:w="863"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草</w:t>
            </w:r>
            <w:r>
              <w:rPr>
                <w:rFonts w:ascii="Times New Roman" w:hAnsi="Times New Roman" w:eastAsia="宋体" w:cs="Times New Roman"/>
                <w:color w:val="auto"/>
                <w:sz w:val="21"/>
                <w:szCs w:val="18"/>
                <w:highlight w:val="none"/>
              </w:rPr>
              <w:t>地</w:t>
            </w:r>
          </w:p>
        </w:tc>
        <w:tc>
          <w:tcPr>
            <w:tcW w:w="585"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04</w:t>
            </w:r>
            <w:r>
              <w:rPr>
                <w:rFonts w:ascii="Times New Roman" w:hAnsi="Times New Roman" w:eastAsia="宋体" w:cs="Times New Roman"/>
                <w:color w:val="auto"/>
                <w:sz w:val="21"/>
                <w:szCs w:val="18"/>
                <w:highlight w:val="none"/>
              </w:rPr>
              <w:t>3</w:t>
            </w:r>
          </w:p>
        </w:tc>
        <w:tc>
          <w:tcPr>
            <w:tcW w:w="752"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其它</w:t>
            </w:r>
          </w:p>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草地</w:t>
            </w:r>
          </w:p>
        </w:tc>
        <w:tc>
          <w:tcPr>
            <w:tcW w:w="699"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ascii="Times New Roman" w:hAnsi="Times New Roman" w:eastAsia="宋体" w:cs="Times New Roman"/>
                <w:color w:val="auto"/>
                <w:sz w:val="21"/>
                <w:szCs w:val="18"/>
                <w:highlight w:val="none"/>
                <w:u w:val="single"/>
              </w:rPr>
              <w:t>0</w:t>
            </w:r>
            <w:r>
              <w:rPr>
                <w:rFonts w:hint="eastAsia" w:cs="Times New Roman"/>
                <w:color w:val="auto"/>
                <w:sz w:val="21"/>
                <w:szCs w:val="18"/>
                <w:highlight w:val="none"/>
                <w:u w:val="single"/>
                <w:lang w:val="en-US" w:eastAsia="zh-CN"/>
              </w:rPr>
              <w:t>.3072</w:t>
            </w:r>
          </w:p>
        </w:tc>
        <w:tc>
          <w:tcPr>
            <w:tcW w:w="73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ascii="Times New Roman" w:hAnsi="Times New Roman" w:eastAsia="宋体" w:cs="Times New Roman"/>
                <w:color w:val="auto"/>
                <w:sz w:val="21"/>
                <w:szCs w:val="18"/>
                <w:highlight w:val="none"/>
                <w:u w:val="single"/>
              </w:rPr>
              <w:t>0</w:t>
            </w:r>
          </w:p>
        </w:tc>
        <w:tc>
          <w:tcPr>
            <w:tcW w:w="77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u w:val="single"/>
              </w:rPr>
            </w:pPr>
            <w:r>
              <w:rPr>
                <w:rFonts w:hint="eastAsia" w:ascii="Times New Roman" w:hAnsi="Times New Roman" w:eastAsia="宋体" w:cs="Times New Roman"/>
                <w:color w:val="auto"/>
                <w:sz w:val="21"/>
                <w:szCs w:val="18"/>
                <w:highlight w:val="none"/>
                <w:u w:val="single"/>
              </w:rPr>
              <w:t>0</w:t>
            </w:r>
          </w:p>
        </w:tc>
        <w:tc>
          <w:tcPr>
            <w:tcW w:w="738"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ascii="Times New Roman" w:hAnsi="Times New Roman" w:eastAsia="宋体" w:cs="Times New Roman"/>
                <w:color w:val="auto"/>
                <w:sz w:val="21"/>
                <w:szCs w:val="18"/>
                <w:highlight w:val="none"/>
                <w:u w:val="single"/>
              </w:rPr>
              <w:t>0</w:t>
            </w:r>
          </w:p>
        </w:tc>
        <w:tc>
          <w:tcPr>
            <w:tcW w:w="753"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ascii="Times New Roman" w:hAnsi="Times New Roman" w:eastAsia="宋体" w:cs="Times New Roman"/>
                <w:color w:val="auto"/>
                <w:sz w:val="21"/>
                <w:szCs w:val="18"/>
                <w:highlight w:val="none"/>
                <w:u w:val="single"/>
              </w:rPr>
              <w:t>0</w:t>
            </w:r>
            <w:r>
              <w:rPr>
                <w:rFonts w:hint="eastAsia" w:ascii="Times New Roman" w:hAnsi="Times New Roman" w:eastAsia="宋体" w:cs="Times New Roman"/>
                <w:color w:val="auto"/>
                <w:sz w:val="21"/>
                <w:szCs w:val="18"/>
                <w:highlight w:val="none"/>
                <w:u w:val="single"/>
              </w:rPr>
              <w:t>.2104</w:t>
            </w:r>
          </w:p>
        </w:tc>
        <w:tc>
          <w:tcPr>
            <w:tcW w:w="69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ascii="Times New Roman" w:hAnsi="Times New Roman" w:eastAsia="宋体" w:cs="Times New Roman"/>
                <w:color w:val="auto"/>
                <w:sz w:val="21"/>
                <w:szCs w:val="18"/>
                <w:highlight w:val="none"/>
                <w:u w:val="single"/>
              </w:rPr>
              <w:t>0</w:t>
            </w:r>
          </w:p>
        </w:tc>
        <w:tc>
          <w:tcPr>
            <w:tcW w:w="709"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ascii="Times New Roman" w:hAnsi="Times New Roman" w:eastAsia="宋体" w:cs="Times New Roman"/>
                <w:color w:val="auto"/>
                <w:sz w:val="21"/>
                <w:szCs w:val="18"/>
                <w:highlight w:val="none"/>
                <w:u w:val="single"/>
              </w:rPr>
              <w:t>0.</w:t>
            </w:r>
            <w:r>
              <w:rPr>
                <w:rFonts w:hint="eastAsia" w:cs="Times New Roman"/>
                <w:color w:val="auto"/>
                <w:sz w:val="21"/>
                <w:szCs w:val="18"/>
                <w:highlight w:val="none"/>
                <w:u w:val="single"/>
                <w:lang w:val="en-US" w:eastAsia="zh-CN"/>
              </w:rPr>
              <w:t>5176</w:t>
            </w:r>
          </w:p>
        </w:tc>
        <w:tc>
          <w:tcPr>
            <w:tcW w:w="73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ascii="Times New Roman" w:hAnsi="Times New Roman" w:eastAsia="宋体" w:cs="Times New Roman"/>
                <w:color w:val="auto"/>
                <w:sz w:val="21"/>
                <w:szCs w:val="18"/>
                <w:highlight w:val="none"/>
                <w:u w:val="single"/>
              </w:rPr>
              <w:t>0</w:t>
            </w:r>
          </w:p>
        </w:tc>
        <w:tc>
          <w:tcPr>
            <w:tcW w:w="910"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ascii="Times New Roman" w:hAnsi="Times New Roman" w:eastAsia="宋体" w:cs="Times New Roman"/>
                <w:color w:val="auto"/>
                <w:sz w:val="21"/>
                <w:szCs w:val="18"/>
                <w:highlight w:val="none"/>
                <w:u w:val="single"/>
              </w:rPr>
              <w:t>-0.</w:t>
            </w:r>
            <w:r>
              <w:rPr>
                <w:rFonts w:hint="eastAsia" w:cs="Times New Roman"/>
                <w:color w:val="auto"/>
                <w:sz w:val="21"/>
                <w:szCs w:val="18"/>
                <w:highlight w:val="none"/>
                <w:u w:val="single"/>
                <w:lang w:val="en-US" w:eastAsia="zh-CN"/>
              </w:rPr>
              <w:t>5176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410"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lang w:val="en-US" w:eastAsia="zh-CN"/>
              </w:rPr>
            </w:pPr>
            <w:r>
              <w:rPr>
                <w:rFonts w:hint="eastAsia" w:cs="Times New Roman"/>
                <w:color w:val="auto"/>
                <w:sz w:val="21"/>
                <w:szCs w:val="18"/>
                <w:highlight w:val="none"/>
                <w:lang w:val="en-US" w:eastAsia="zh-CN"/>
              </w:rPr>
              <w:t>12</w:t>
            </w:r>
          </w:p>
        </w:tc>
        <w:tc>
          <w:tcPr>
            <w:tcW w:w="863"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lang w:val="en-US" w:eastAsia="zh-CN"/>
              </w:rPr>
            </w:pPr>
            <w:r>
              <w:rPr>
                <w:rFonts w:hint="eastAsia" w:cs="Times New Roman"/>
                <w:color w:val="auto"/>
                <w:sz w:val="21"/>
                <w:szCs w:val="18"/>
                <w:highlight w:val="none"/>
                <w:lang w:val="en-US" w:eastAsia="zh-CN"/>
              </w:rPr>
              <w:t>其它土地</w:t>
            </w:r>
          </w:p>
        </w:tc>
        <w:tc>
          <w:tcPr>
            <w:tcW w:w="585"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lang w:val="en-US" w:eastAsia="zh-CN"/>
              </w:rPr>
            </w:pPr>
            <w:r>
              <w:rPr>
                <w:rFonts w:hint="eastAsia" w:cs="Times New Roman"/>
                <w:color w:val="auto"/>
                <w:sz w:val="21"/>
                <w:szCs w:val="18"/>
                <w:highlight w:val="none"/>
                <w:lang w:val="en-US" w:eastAsia="zh-CN"/>
              </w:rPr>
              <w:t>127</w:t>
            </w:r>
          </w:p>
        </w:tc>
        <w:tc>
          <w:tcPr>
            <w:tcW w:w="752"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lang w:val="en-US" w:eastAsia="zh-CN"/>
              </w:rPr>
            </w:pPr>
            <w:r>
              <w:rPr>
                <w:rFonts w:hint="eastAsia" w:cs="Times New Roman"/>
                <w:color w:val="auto"/>
                <w:sz w:val="21"/>
                <w:szCs w:val="18"/>
                <w:highlight w:val="none"/>
                <w:lang w:val="en-US" w:eastAsia="zh-CN"/>
              </w:rPr>
              <w:t>裸地</w:t>
            </w:r>
          </w:p>
        </w:tc>
        <w:tc>
          <w:tcPr>
            <w:tcW w:w="699"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0.1169</w:t>
            </w:r>
          </w:p>
        </w:tc>
        <w:tc>
          <w:tcPr>
            <w:tcW w:w="73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0</w:t>
            </w:r>
          </w:p>
        </w:tc>
        <w:tc>
          <w:tcPr>
            <w:tcW w:w="77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0</w:t>
            </w:r>
          </w:p>
        </w:tc>
        <w:tc>
          <w:tcPr>
            <w:tcW w:w="738"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0</w:t>
            </w:r>
          </w:p>
        </w:tc>
        <w:tc>
          <w:tcPr>
            <w:tcW w:w="753"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0</w:t>
            </w:r>
          </w:p>
        </w:tc>
        <w:tc>
          <w:tcPr>
            <w:tcW w:w="69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0</w:t>
            </w:r>
          </w:p>
        </w:tc>
        <w:tc>
          <w:tcPr>
            <w:tcW w:w="709"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0.1169</w:t>
            </w:r>
          </w:p>
        </w:tc>
        <w:tc>
          <w:tcPr>
            <w:tcW w:w="734"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0</w:t>
            </w:r>
          </w:p>
        </w:tc>
        <w:tc>
          <w:tcPr>
            <w:tcW w:w="910" w:type="dxa"/>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2610" w:type="dxa"/>
            <w:gridSpan w:val="4"/>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损毁合计</w:t>
            </w:r>
          </w:p>
        </w:tc>
        <w:tc>
          <w:tcPr>
            <w:tcW w:w="1433" w:type="dxa"/>
            <w:gridSpan w:val="2"/>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16.7305</w:t>
            </w:r>
          </w:p>
        </w:tc>
        <w:tc>
          <w:tcPr>
            <w:tcW w:w="1512" w:type="dxa"/>
            <w:gridSpan w:val="2"/>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hint="eastAsia" w:ascii="Times New Roman" w:hAnsi="Times New Roman" w:eastAsia="宋体" w:cs="Times New Roman"/>
                <w:color w:val="auto"/>
                <w:sz w:val="21"/>
                <w:szCs w:val="18"/>
                <w:highlight w:val="none"/>
                <w:u w:val="single"/>
              </w:rPr>
              <w:t>0.3348</w:t>
            </w:r>
          </w:p>
        </w:tc>
        <w:tc>
          <w:tcPr>
            <w:tcW w:w="1447" w:type="dxa"/>
            <w:gridSpan w:val="2"/>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4.3703</w:t>
            </w:r>
          </w:p>
        </w:tc>
        <w:tc>
          <w:tcPr>
            <w:tcW w:w="1443" w:type="dxa"/>
            <w:gridSpan w:val="2"/>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21.4356</w:t>
            </w:r>
          </w:p>
        </w:tc>
        <w:tc>
          <w:tcPr>
            <w:tcW w:w="910" w:type="dxa"/>
            <w:vMerge w:val="restart"/>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ascii="Times New Roman" w:hAnsi="Times New Roman" w:eastAsia="宋体" w:cs="Times New Roman"/>
                <w:color w:val="auto"/>
                <w:sz w:val="21"/>
                <w:szCs w:val="18"/>
                <w:highlight w:val="none"/>
                <w:u w:val="single"/>
              </w:rPr>
              <w:t>-</w:t>
            </w:r>
            <w:r>
              <w:rPr>
                <w:rFonts w:hint="eastAsia" w:cs="Times New Roman"/>
                <w:color w:val="auto"/>
                <w:sz w:val="21"/>
                <w:szCs w:val="18"/>
                <w:highlight w:val="none"/>
                <w:u w:val="single"/>
                <w:lang w:val="en-US" w:eastAsia="zh-CN"/>
              </w:rPr>
              <w:t>3.4689</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2610" w:type="dxa"/>
            <w:gridSpan w:val="4"/>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复垦合计</w:t>
            </w:r>
          </w:p>
        </w:tc>
        <w:tc>
          <w:tcPr>
            <w:tcW w:w="1433" w:type="dxa"/>
            <w:gridSpan w:val="2"/>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13.0164</w:t>
            </w:r>
          </w:p>
        </w:tc>
        <w:tc>
          <w:tcPr>
            <w:tcW w:w="1512" w:type="dxa"/>
            <w:gridSpan w:val="2"/>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u w:val="single"/>
                <w:lang w:eastAsia="zh-CN"/>
              </w:rPr>
            </w:pPr>
            <w:r>
              <w:rPr>
                <w:rFonts w:hint="eastAsia" w:cs="Times New Roman"/>
                <w:color w:val="auto"/>
                <w:sz w:val="21"/>
                <w:szCs w:val="18"/>
                <w:highlight w:val="none"/>
                <w:u w:val="single"/>
                <w:lang w:val="en-US" w:eastAsia="zh-CN"/>
              </w:rPr>
              <w:t>0</w:t>
            </w:r>
          </w:p>
        </w:tc>
        <w:tc>
          <w:tcPr>
            <w:tcW w:w="1447" w:type="dxa"/>
            <w:gridSpan w:val="2"/>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4.9503</w:t>
            </w:r>
          </w:p>
        </w:tc>
        <w:tc>
          <w:tcPr>
            <w:tcW w:w="1443" w:type="dxa"/>
            <w:gridSpan w:val="2"/>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ascii="Times New Roman" w:hAnsi="Times New Roman" w:eastAsia="宋体" w:cs="Times New Roman"/>
                <w:color w:val="auto"/>
                <w:sz w:val="21"/>
                <w:szCs w:val="18"/>
                <w:highlight w:val="none"/>
                <w:u w:val="single"/>
              </w:rPr>
              <w:t>1</w:t>
            </w:r>
            <w:r>
              <w:rPr>
                <w:rFonts w:hint="eastAsia" w:cs="Times New Roman"/>
                <w:color w:val="auto"/>
                <w:sz w:val="21"/>
                <w:szCs w:val="18"/>
                <w:highlight w:val="none"/>
                <w:u w:val="single"/>
                <w:lang w:val="en-US" w:eastAsia="zh-CN"/>
              </w:rPr>
              <w:t>7.9667</w:t>
            </w:r>
          </w:p>
        </w:tc>
        <w:tc>
          <w:tcPr>
            <w:tcW w:w="910" w:type="dxa"/>
            <w:vMerge w:val="continue"/>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2610" w:type="dxa"/>
            <w:gridSpan w:val="4"/>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复垦率%</w:t>
            </w:r>
          </w:p>
        </w:tc>
        <w:tc>
          <w:tcPr>
            <w:tcW w:w="5835" w:type="dxa"/>
            <w:gridSpan w:val="8"/>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hint="eastAsia" w:ascii="Times New Roman" w:hAnsi="Times New Roman" w:eastAsia="宋体" w:cs="Times New Roman"/>
                <w:color w:val="auto"/>
                <w:sz w:val="21"/>
                <w:szCs w:val="18"/>
                <w:highlight w:val="none"/>
                <w:u w:val="single"/>
              </w:rPr>
              <w:t>8</w:t>
            </w:r>
            <w:r>
              <w:rPr>
                <w:rFonts w:hint="eastAsia" w:cs="Times New Roman"/>
                <w:color w:val="auto"/>
                <w:sz w:val="21"/>
                <w:szCs w:val="18"/>
                <w:highlight w:val="none"/>
                <w:u w:val="single"/>
                <w:lang w:val="en-US" w:eastAsia="zh-CN"/>
              </w:rPr>
              <w:t>3.82</w:t>
            </w:r>
          </w:p>
        </w:tc>
        <w:tc>
          <w:tcPr>
            <w:tcW w:w="910" w:type="dxa"/>
            <w:vMerge w:val="continue"/>
            <w:noWrap w:val="0"/>
            <w:tcMar>
              <w:top w:w="0" w:type="dxa"/>
              <w:left w:w="0" w:type="dxa"/>
              <w:bottom w:w="0" w:type="dxa"/>
              <w:right w:w="0"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p>
        </w:tc>
      </w:tr>
    </w:tbl>
    <w:p>
      <w:pPr>
        <w:pStyle w:val="5"/>
        <w:rPr>
          <w:rFonts w:ascii="Times New Roman" w:hAnsi="Times New Roman" w:eastAsia="宋体"/>
          <w:color w:val="auto"/>
          <w:highlight w:val="none"/>
        </w:rPr>
      </w:pPr>
      <w:r>
        <w:rPr>
          <w:rFonts w:ascii="Times New Roman" w:hAnsi="Times New Roman" w:eastAsia="宋体"/>
          <w:color w:val="auto"/>
          <w:highlight w:val="none"/>
        </w:rPr>
        <w:t>5.2.2 土地复垦工程设计</w:t>
      </w:r>
    </w:p>
    <w:p>
      <w:pPr>
        <w:pStyle w:val="6"/>
        <w:rPr>
          <w:rFonts w:hint="eastAsia" w:ascii="Times New Roman" w:hAnsi="Times New Roman" w:eastAsia="宋体"/>
          <w:color w:val="auto"/>
          <w:highlight w:val="none"/>
        </w:rPr>
      </w:pPr>
      <w:r>
        <w:rPr>
          <w:rFonts w:hint="eastAsia" w:ascii="Times New Roman" w:hAnsi="Times New Roman" w:eastAsia="宋体"/>
          <w:color w:val="auto"/>
          <w:highlight w:val="none"/>
        </w:rPr>
        <w:t xml:space="preserve">5.2.2.1 表土剥离、堆放工程 </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u w:val="single"/>
        </w:rPr>
        <w:t>根据项目表土供求平衡分析可知，矿山复垦工程共需收集表土</w:t>
      </w:r>
      <w:r>
        <w:rPr>
          <w:rFonts w:hint="eastAsia"/>
          <w:color w:val="auto"/>
          <w:highlight w:val="none"/>
          <w:u w:val="single"/>
          <w:lang w:val="en-US" w:eastAsia="zh-CN"/>
        </w:rPr>
        <w:t>157693</w:t>
      </w:r>
      <w:r>
        <w:rPr>
          <w:rFonts w:hint="eastAsia" w:ascii="Times New Roman" w:hAnsi="Times New Roman" w:eastAsia="宋体"/>
          <w:color w:val="auto"/>
          <w:highlight w:val="none"/>
          <w:u w:val="single"/>
        </w:rPr>
        <w:t>m</w:t>
      </w:r>
      <w:r>
        <w:rPr>
          <w:rFonts w:hint="eastAsia" w:ascii="Times New Roman" w:hAnsi="Times New Roman" w:eastAsia="宋体"/>
          <w:color w:val="auto"/>
          <w:highlight w:val="none"/>
          <w:u w:val="single"/>
          <w:vertAlign w:val="superscript"/>
        </w:rPr>
        <w:t>3</w:t>
      </w:r>
      <w:r>
        <w:rPr>
          <w:rFonts w:hint="eastAsia" w:ascii="Times New Roman" w:hAnsi="Times New Roman" w:eastAsia="宋体"/>
          <w:color w:val="auto"/>
          <w:highlight w:val="none"/>
          <w:u w:val="single"/>
        </w:rPr>
        <w:t>。</w:t>
      </w:r>
      <w:r>
        <w:rPr>
          <w:rFonts w:hint="eastAsia" w:ascii="Times New Roman" w:hAnsi="Times New Roman" w:eastAsia="宋体"/>
          <w:color w:val="auto"/>
          <w:highlight w:val="none"/>
        </w:rPr>
        <w:t xml:space="preserve">为满足矿山复垦用土需求，在采矿时应将对拟采区地表土进行收集，收集前先将地表灌草等植被清除，再用人工剥离和收集，堆放于表土堆放场内。拟采区表土收集与矿区采矿是同步进行。 </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u w:val="single"/>
        </w:rPr>
        <w:t>项目拟在</w:t>
      </w:r>
      <w:r>
        <w:rPr>
          <w:rFonts w:hint="eastAsia"/>
          <w:color w:val="auto"/>
          <w:highlight w:val="none"/>
          <w:u w:val="single"/>
          <w:lang w:eastAsia="zh-CN"/>
        </w:rPr>
        <w:t>破碎场①</w:t>
      </w:r>
      <w:r>
        <w:rPr>
          <w:rFonts w:hint="eastAsia" w:ascii="Times New Roman" w:hAnsi="Times New Roman" w:eastAsia="宋体"/>
          <w:color w:val="auto"/>
          <w:highlight w:val="none"/>
          <w:u w:val="single"/>
        </w:rPr>
        <w:t>中部和</w:t>
      </w:r>
      <w:r>
        <w:rPr>
          <w:rFonts w:hint="eastAsia"/>
          <w:color w:val="auto"/>
          <w:highlight w:val="none"/>
          <w:u w:val="single"/>
          <w:lang w:eastAsia="zh-CN"/>
        </w:rPr>
        <w:t>破碎场</w:t>
      </w:r>
      <w:r>
        <w:rPr>
          <w:rFonts w:hint="eastAsia" w:ascii="宋体" w:hAnsi="宋体" w:eastAsia="宋体" w:cs="宋体"/>
          <w:color w:val="auto"/>
          <w:highlight w:val="none"/>
          <w:u w:val="single"/>
          <w:lang w:eastAsia="zh-CN"/>
        </w:rPr>
        <w:t>②</w:t>
      </w:r>
      <w:r>
        <w:rPr>
          <w:rFonts w:hint="eastAsia" w:ascii="Times New Roman" w:hAnsi="Times New Roman" w:eastAsia="宋体"/>
          <w:color w:val="auto"/>
          <w:highlight w:val="none"/>
          <w:u w:val="single"/>
        </w:rPr>
        <w:t>西部分别布置表土堆放场，周边设置干砌块石挡墙，堆放时略夯压整形，顶部应保持斜面以利排水，堆高平均为5m左右，预计占地面积</w:t>
      </w:r>
      <w:r>
        <w:rPr>
          <w:rFonts w:hint="eastAsia"/>
          <w:color w:val="auto"/>
          <w:highlight w:val="none"/>
          <w:u w:val="single"/>
          <w:lang w:val="en-US" w:eastAsia="zh-CN"/>
        </w:rPr>
        <w:t>2.7424</w:t>
      </w:r>
      <w:r>
        <w:rPr>
          <w:rFonts w:hint="eastAsia" w:ascii="Times New Roman" w:hAnsi="Times New Roman" w:eastAsia="宋体"/>
          <w:color w:val="auto"/>
          <w:highlight w:val="none"/>
          <w:u w:val="single"/>
        </w:rPr>
        <w:t>hm</w:t>
      </w:r>
      <w:r>
        <w:rPr>
          <w:rFonts w:hint="eastAsia" w:ascii="Times New Roman" w:hAnsi="Times New Roman" w:eastAsia="宋体"/>
          <w:color w:val="auto"/>
          <w:highlight w:val="none"/>
          <w:u w:val="single"/>
          <w:vertAlign w:val="superscript"/>
        </w:rPr>
        <w:t>2</w:t>
      </w:r>
      <w:r>
        <w:rPr>
          <w:rFonts w:hint="eastAsia" w:ascii="Times New Roman" w:hAnsi="Times New Roman" w:eastAsia="宋体"/>
          <w:color w:val="auto"/>
          <w:highlight w:val="none"/>
          <w:u w:val="single"/>
        </w:rPr>
        <w:t>。设计挡墙采用梯形断面，顶宽0.3m，底宽0.6m，高1.5m，背坡垂直，面坡坡比1:0.4(小于自然安息角），挡墙顶以上表土体严格按坡度（1:1.5)进行堆放，堆放边坡能够保持稳定(见图5.2-1)。设计四周干砌石墙长为</w:t>
      </w:r>
      <w:r>
        <w:rPr>
          <w:rFonts w:hint="eastAsia"/>
          <w:color w:val="auto"/>
          <w:highlight w:val="none"/>
          <w:u w:val="single"/>
          <w:lang w:val="en-US" w:eastAsia="zh-CN"/>
        </w:rPr>
        <w:t>35</w:t>
      </w:r>
      <w:r>
        <w:rPr>
          <w:rFonts w:hint="eastAsia" w:ascii="Times New Roman" w:hAnsi="Times New Roman" w:eastAsia="宋体"/>
          <w:color w:val="auto"/>
          <w:highlight w:val="none"/>
          <w:u w:val="single"/>
        </w:rPr>
        <w:t>0m，浆砌石方量</w:t>
      </w:r>
      <w:r>
        <w:rPr>
          <w:rFonts w:hint="eastAsia"/>
          <w:color w:val="auto"/>
          <w:highlight w:val="none"/>
          <w:u w:val="single"/>
          <w:lang w:val="en-US" w:eastAsia="zh-CN"/>
        </w:rPr>
        <w:t>236</w:t>
      </w:r>
      <w:r>
        <w:rPr>
          <w:rFonts w:hint="eastAsia" w:ascii="Times New Roman" w:hAnsi="Times New Roman" w:eastAsia="宋体"/>
          <w:color w:val="auto"/>
          <w:highlight w:val="none"/>
          <w:u w:val="single"/>
        </w:rPr>
        <w:t>m</w:t>
      </w:r>
      <w:r>
        <w:rPr>
          <w:rFonts w:hint="eastAsia" w:ascii="Times New Roman" w:hAnsi="Times New Roman" w:eastAsia="宋体"/>
          <w:color w:val="auto"/>
          <w:highlight w:val="none"/>
          <w:u w:val="single"/>
          <w:vertAlign w:val="superscript"/>
        </w:rPr>
        <w:t>3</w:t>
      </w:r>
      <w:r>
        <w:rPr>
          <w:rFonts w:hint="eastAsia" w:ascii="Times New Roman" w:hAnsi="Times New Roman" w:eastAsia="宋体"/>
          <w:color w:val="auto"/>
          <w:highlight w:val="none"/>
          <w:u w:val="single"/>
        </w:rPr>
        <w:t>。</w:t>
      </w:r>
      <w:r>
        <w:rPr>
          <w:rFonts w:hint="eastAsia" w:ascii="Times New Roman" w:hAnsi="Times New Roman" w:eastAsia="宋体"/>
          <w:color w:val="auto"/>
          <w:highlight w:val="none"/>
        </w:rPr>
        <w:t>为防止水土流失并保护有益的土壤微生物活跃群，在表土表面撒播草籽，每年撒播一次，撒播标准为20kg/hm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 xml:space="preserve">。 </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表土收集时应注意：为保持土壤结构、避免土壤板结，应避免雨季剥离、搬运和堆存表土；表土堆存时应防止放牧、机器和车辆的进入，防止粉尘、盐碱的覆盖；同时为保护土壤中微生物活性、土壤结构和土壤养分，确保将来复垦时所需的表土质量满足复垦需求。</w:t>
      </w:r>
    </w:p>
    <w:p>
      <w:pPr>
        <w:ind w:firstLine="0" w:firstLineChars="0"/>
        <w:jc w:val="center"/>
        <w:rPr>
          <w:rFonts w:ascii="Times New Roman" w:hAnsi="Times New Roman" w:eastAsia="宋体"/>
          <w:color w:val="auto"/>
          <w:highlight w:val="none"/>
        </w:rPr>
      </w:pPr>
      <w:r>
        <w:rPr>
          <w:rFonts w:hint="eastAsia" w:ascii="Times New Roman" w:hAnsi="Times New Roman" w:eastAsia="宋体"/>
          <w:color w:val="auto"/>
          <w:highlight w:val="none"/>
        </w:rPr>
        <w:t xml:space="preserve"> </w:t>
      </w:r>
      <w:r>
        <w:rPr>
          <w:rFonts w:ascii="Times New Roman" w:hAnsi="Times New Roman" w:eastAsia="宋体"/>
          <w:color w:val="auto"/>
          <w:highlight w:val="none"/>
        </w:rPr>
        <w:drawing>
          <wp:inline distT="0" distB="0" distL="114300" distR="114300">
            <wp:extent cx="4366260" cy="3138805"/>
            <wp:effectExtent l="0" t="0" r="15240" b="4445"/>
            <wp:docPr id="69"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06"/>
                    <pic:cNvPicPr>
                      <a:picLocks noChangeAspect="1"/>
                    </pic:cNvPicPr>
                  </pic:nvPicPr>
                  <pic:blipFill>
                    <a:blip r:embed="rId106"/>
                    <a:stretch>
                      <a:fillRect/>
                    </a:stretch>
                  </pic:blipFill>
                  <pic:spPr>
                    <a:xfrm>
                      <a:off x="0" y="0"/>
                      <a:ext cx="4366260" cy="3138805"/>
                    </a:xfrm>
                    <a:prstGeom prst="rect">
                      <a:avLst/>
                    </a:prstGeom>
                    <a:noFill/>
                    <a:ln>
                      <a:noFill/>
                    </a:ln>
                  </pic:spPr>
                </pic:pic>
              </a:graphicData>
            </a:graphic>
          </wp:inline>
        </w:drawing>
      </w:r>
    </w:p>
    <w:p>
      <w:pPr>
        <w:ind w:firstLine="482"/>
        <w:jc w:val="center"/>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图5.2-1 干砌档墙施工样图</w:t>
      </w:r>
    </w:p>
    <w:p>
      <w:pPr>
        <w:pStyle w:val="6"/>
        <w:rPr>
          <w:rFonts w:hint="eastAsia" w:ascii="Times New Roman" w:hAnsi="Times New Roman" w:eastAsia="宋体"/>
          <w:color w:val="auto"/>
          <w:highlight w:val="none"/>
        </w:rPr>
      </w:pPr>
      <w:r>
        <w:rPr>
          <w:rFonts w:hint="eastAsia" w:ascii="Times New Roman" w:hAnsi="Times New Roman" w:eastAsia="宋体"/>
          <w:color w:val="auto"/>
          <w:highlight w:val="none"/>
        </w:rPr>
        <w:t xml:space="preserve">5.2.2.2 水田复垦工程 </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水田复垦单元，对工业场地压占的水田进行恢复，复垦面积3.2654 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 xml:space="preserve">。复垦区域已有道路相连，本方案不设田间道路，灌溉用水已有水渠可直接接入，无需另外修筑灌溉水渠，该复垦单元工程量如下： </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1</w:t>
      </w:r>
      <w:r>
        <w:rPr>
          <w:rFonts w:hint="eastAsia"/>
          <w:color w:val="auto"/>
          <w:highlight w:val="none"/>
          <w:lang w:val="en-US" w:eastAsia="zh-CN"/>
        </w:rPr>
        <w:t>.</w:t>
      </w:r>
      <w:r>
        <w:rPr>
          <w:rFonts w:hint="eastAsia" w:ascii="Times New Roman" w:hAnsi="Times New Roman" w:eastAsia="宋体"/>
          <w:color w:val="auto"/>
          <w:highlight w:val="none"/>
        </w:rPr>
        <w:t xml:space="preserve">建筑物拆除 </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矿区停采后，对工业场地平台上的临时破碎场地、办公生活区等建筑物进行拆除，清理。该项工作包含整个矿区需拆除的建筑，拆除方量约300m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 xml:space="preserve">。 </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2</w:t>
      </w:r>
      <w:r>
        <w:rPr>
          <w:rFonts w:hint="eastAsia"/>
          <w:color w:val="auto"/>
          <w:highlight w:val="none"/>
          <w:lang w:val="en-US" w:eastAsia="zh-CN"/>
        </w:rPr>
        <w:t>.</w:t>
      </w:r>
      <w:r>
        <w:rPr>
          <w:rFonts w:hint="eastAsia" w:ascii="Times New Roman" w:hAnsi="Times New Roman" w:eastAsia="宋体"/>
          <w:color w:val="auto"/>
          <w:highlight w:val="none"/>
        </w:rPr>
        <w:t xml:space="preserve">场地平整 </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复垦为水田区域位于工业场地需进行废渣整理，场地平整，整理深度平均约20cm，面积3.2654 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，对整理产生的废渣推至矿区周边的废坑填埋及道路坑洼回填处理。废渣整理方量约6531m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 xml:space="preserve">。 </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3</w:t>
      </w:r>
      <w:r>
        <w:rPr>
          <w:rFonts w:hint="eastAsia"/>
          <w:color w:val="auto"/>
          <w:highlight w:val="none"/>
          <w:lang w:val="en-US" w:eastAsia="zh-CN"/>
        </w:rPr>
        <w:t>.</w:t>
      </w:r>
      <w:r>
        <w:rPr>
          <w:rFonts w:hint="eastAsia" w:ascii="Times New Roman" w:hAnsi="Times New Roman" w:eastAsia="宋体"/>
          <w:color w:val="auto"/>
          <w:highlight w:val="none"/>
        </w:rPr>
        <w:t xml:space="preserve">田埂修筑 </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复垦水田区域需进行田埂修筑完善，修筑长度约3050m，修筑规格按底宽0.5m，顶宽0.3m，高0.5m标准进行，用生土填筑，不能夹杂树根、草皮等物，施工过程中，土壤含水率以12~16%为宜，田埂修筑工程量为610m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 xml:space="preserve">。 </w:t>
      </w:r>
    </w:p>
    <w:p>
      <w:pPr>
        <w:numPr>
          <w:ilvl w:val="0"/>
          <w:numId w:val="0"/>
        </w:numPr>
        <w:ind w:leftChars="200"/>
        <w:rPr>
          <w:rFonts w:hint="eastAsia"/>
          <w:color w:val="auto"/>
          <w:highlight w:val="none"/>
          <w:u w:val="single"/>
          <w:lang w:val="en-US" w:eastAsia="zh-CN"/>
        </w:rPr>
      </w:pPr>
      <w:r>
        <w:rPr>
          <w:rFonts w:hint="eastAsia"/>
          <w:color w:val="auto"/>
          <w:highlight w:val="none"/>
          <w:u w:val="single"/>
          <w:lang w:val="en-US" w:eastAsia="zh-CN"/>
        </w:rPr>
        <w:t>4.表土回填</w:t>
      </w:r>
    </w:p>
    <w:p>
      <w:pPr>
        <w:numPr>
          <w:ilvl w:val="0"/>
          <w:numId w:val="0"/>
        </w:numPr>
        <w:ind w:leftChars="200"/>
        <w:rPr>
          <w:rFonts w:hint="default" w:eastAsia="宋体"/>
          <w:color w:val="auto"/>
          <w:highlight w:val="none"/>
          <w:u w:val="single"/>
          <w:lang w:val="en-US" w:eastAsia="zh-CN"/>
        </w:rPr>
      </w:pPr>
      <w:r>
        <w:rPr>
          <w:rFonts w:hint="eastAsia"/>
          <w:color w:val="auto"/>
          <w:highlight w:val="none"/>
          <w:u w:val="single"/>
          <w:lang w:val="en-US" w:eastAsia="zh-CN"/>
        </w:rPr>
        <w:t>回填面积</w:t>
      </w:r>
      <w:r>
        <w:rPr>
          <w:rFonts w:hint="eastAsia" w:ascii="Times New Roman" w:hAnsi="Times New Roman" w:eastAsia="宋体"/>
          <w:color w:val="auto"/>
          <w:highlight w:val="none"/>
          <w:u w:val="single"/>
        </w:rPr>
        <w:t>3.2654 hm</w:t>
      </w:r>
      <w:r>
        <w:rPr>
          <w:rFonts w:hint="eastAsia" w:ascii="Times New Roman" w:hAnsi="Times New Roman" w:eastAsia="宋体"/>
          <w:color w:val="auto"/>
          <w:highlight w:val="none"/>
          <w:u w:val="single"/>
          <w:vertAlign w:val="superscript"/>
        </w:rPr>
        <w:t>2</w:t>
      </w:r>
      <w:r>
        <w:rPr>
          <w:rFonts w:hint="eastAsia" w:ascii="Times New Roman" w:hAnsi="Times New Roman" w:eastAsia="宋体"/>
          <w:color w:val="auto"/>
          <w:highlight w:val="none"/>
          <w:u w:val="single"/>
        </w:rPr>
        <w:t>，</w:t>
      </w:r>
      <w:r>
        <w:rPr>
          <w:rFonts w:hint="eastAsia"/>
          <w:color w:val="auto"/>
          <w:highlight w:val="none"/>
          <w:u w:val="single"/>
          <w:lang w:val="en-US" w:eastAsia="zh-CN"/>
        </w:rPr>
        <w:t>回填厚度0.6m，共回填表土19592</w:t>
      </w:r>
      <w:r>
        <w:rPr>
          <w:rFonts w:hint="eastAsia" w:ascii="Times New Roman" w:hAnsi="Times New Roman" w:eastAsia="宋体"/>
          <w:color w:val="auto"/>
          <w:highlight w:val="none"/>
          <w:u w:val="single"/>
        </w:rPr>
        <w:t>m</w:t>
      </w:r>
      <w:r>
        <w:rPr>
          <w:rFonts w:hint="eastAsia"/>
          <w:color w:val="auto"/>
          <w:highlight w:val="none"/>
          <w:u w:val="single"/>
          <w:vertAlign w:val="superscript"/>
          <w:lang w:val="en-US" w:eastAsia="zh-CN"/>
        </w:rPr>
        <w:t>3</w:t>
      </w:r>
      <w:r>
        <w:rPr>
          <w:rFonts w:hint="eastAsia"/>
          <w:color w:val="auto"/>
          <w:highlight w:val="none"/>
          <w:u w:val="single"/>
          <w:lang w:val="en-US" w:eastAsia="zh-CN"/>
        </w:rPr>
        <w:t>。</w:t>
      </w:r>
    </w:p>
    <w:p>
      <w:pPr>
        <w:ind w:firstLine="480"/>
        <w:rPr>
          <w:rFonts w:hint="eastAsia" w:ascii="Times New Roman" w:hAnsi="Times New Roman" w:eastAsia="宋体"/>
          <w:color w:val="auto"/>
          <w:highlight w:val="none"/>
        </w:rPr>
      </w:pPr>
      <w:r>
        <w:rPr>
          <w:rFonts w:hint="eastAsia"/>
          <w:color w:val="auto"/>
          <w:highlight w:val="none"/>
          <w:lang w:val="en-US" w:eastAsia="zh-CN"/>
        </w:rPr>
        <w:t>5.</w:t>
      </w:r>
      <w:r>
        <w:rPr>
          <w:rFonts w:hint="eastAsia" w:ascii="Times New Roman" w:hAnsi="Times New Roman" w:eastAsia="宋体"/>
          <w:color w:val="auto"/>
          <w:highlight w:val="none"/>
        </w:rPr>
        <w:t xml:space="preserve">土地翻耕 </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使用农用机松土深度0.60m，翻耕面积3.2654 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 xml:space="preserve">。 </w:t>
      </w:r>
    </w:p>
    <w:p>
      <w:pPr>
        <w:ind w:firstLine="480"/>
        <w:rPr>
          <w:rFonts w:hint="eastAsia" w:ascii="Times New Roman" w:hAnsi="Times New Roman" w:eastAsia="宋体"/>
          <w:color w:val="auto"/>
          <w:highlight w:val="none"/>
        </w:rPr>
      </w:pPr>
      <w:r>
        <w:rPr>
          <w:rFonts w:hint="eastAsia"/>
          <w:color w:val="auto"/>
          <w:highlight w:val="none"/>
          <w:lang w:val="en-US" w:eastAsia="zh-CN"/>
        </w:rPr>
        <w:t>6.</w:t>
      </w:r>
      <w:r>
        <w:rPr>
          <w:rFonts w:hint="eastAsia" w:ascii="Times New Roman" w:hAnsi="Times New Roman" w:eastAsia="宋体"/>
          <w:color w:val="auto"/>
          <w:highlight w:val="none"/>
        </w:rPr>
        <w:t xml:space="preserve">土壤培肥 </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为提高和维持土壤有机质含量，改善土壤质量，提升农用地地力等级与农业综合生产能力。对复垦为水田单元施用有机肥，本方案选择每公顷水田施商品有机肥3.75t(复合肥，有机质含量30%以上，折合亩均施肥250kg)。土地培肥面积为复垦为水田单元面积3.2654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，每年需有机肥12.25t，连续施用3年。</w:t>
      </w:r>
    </w:p>
    <w:p>
      <w:pPr>
        <w:pStyle w:val="6"/>
        <w:rPr>
          <w:rFonts w:hint="eastAsia" w:ascii="Times New Roman" w:hAnsi="Times New Roman" w:eastAsia="宋体"/>
          <w:color w:val="auto"/>
          <w:highlight w:val="none"/>
        </w:rPr>
      </w:pPr>
      <w:r>
        <w:rPr>
          <w:rFonts w:hint="eastAsia" w:ascii="Times New Roman" w:hAnsi="Times New Roman" w:eastAsia="宋体"/>
          <w:color w:val="auto"/>
          <w:highlight w:val="none"/>
        </w:rPr>
        <w:t xml:space="preserve">5.2.2.3 旱地复垦工程 </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旱地复垦单元，对工业场地压占的果园、旱地和其他草地复垦为旱地，复垦面积0.5735 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，其工程措施如下：</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1、场地平整</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复垦为旱地区域位于东南角的工业场地需进行废渣整理，场地平整，整理深度为20cm，对整理产生的废渣推至矿区周边的废坑填埋及道路坑洼回填处理，整理方量约1147m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 xml:space="preserve">2、表土回填 </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复垦为旱地区域按0.6m厚度进行覆土，共需回填表土3441m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3、土地翻耕</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使用农用机松土深度0.50m，翻耕面积0.5735 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。土地培育熟化后由土地权属人根据自身需要进行农作物种植。</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4、土地培肥</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为提高和维持土壤有机质含量，改善土壤质量，提升农用地地力等级与农业综合生产能力。对复垦为旱地单元施用有机肥，本方案选择每公顷施商品有机肥3.75t(复合肥，有机质含量30%以上，折合亩均施肥250kg)。土地培肥面积为复垦为旱地单元面积0.5735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，每年需有机肥2.15t，连续施用3年。</w:t>
      </w:r>
    </w:p>
    <w:p>
      <w:pPr>
        <w:pStyle w:val="6"/>
        <w:rPr>
          <w:rFonts w:hint="eastAsia" w:ascii="Times New Roman" w:hAnsi="Times New Roman" w:eastAsia="宋体"/>
          <w:color w:val="auto"/>
          <w:highlight w:val="none"/>
        </w:rPr>
      </w:pPr>
      <w:r>
        <w:rPr>
          <w:rFonts w:hint="eastAsia" w:ascii="Times New Roman" w:hAnsi="Times New Roman" w:eastAsia="宋体"/>
          <w:color w:val="auto"/>
          <w:highlight w:val="none"/>
        </w:rPr>
        <w:t>5.2.2.4 有林地复垦工程</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u w:val="single"/>
        </w:rPr>
        <w:t>采场底部平台</w:t>
      </w:r>
      <w:r>
        <w:rPr>
          <w:rFonts w:hint="eastAsia"/>
          <w:color w:val="auto"/>
          <w:highlight w:val="none"/>
          <w:u w:val="single"/>
          <w:lang w:val="en-US" w:eastAsia="zh-CN"/>
        </w:rPr>
        <w:t>12.3118</w:t>
      </w:r>
      <w:r>
        <w:rPr>
          <w:rFonts w:hint="eastAsia" w:ascii="Times New Roman" w:hAnsi="Times New Roman" w:eastAsia="宋体"/>
          <w:color w:val="auto"/>
          <w:highlight w:val="none"/>
          <w:u w:val="single"/>
        </w:rPr>
        <w:t xml:space="preserve"> hm</w:t>
      </w:r>
      <w:r>
        <w:rPr>
          <w:rFonts w:hint="eastAsia" w:ascii="Times New Roman" w:hAnsi="Times New Roman" w:eastAsia="宋体"/>
          <w:color w:val="auto"/>
          <w:highlight w:val="none"/>
          <w:u w:val="single"/>
          <w:vertAlign w:val="superscript"/>
        </w:rPr>
        <w:t>2</w:t>
      </w:r>
      <w:r>
        <w:rPr>
          <w:rFonts w:hint="eastAsia" w:ascii="Times New Roman" w:hAnsi="Times New Roman" w:eastAsia="宋体"/>
          <w:color w:val="auto"/>
          <w:highlight w:val="none"/>
          <w:u w:val="single"/>
        </w:rPr>
        <w:t>及边坡安全平台1.</w:t>
      </w:r>
      <w:r>
        <w:rPr>
          <w:rFonts w:hint="eastAsia"/>
          <w:color w:val="auto"/>
          <w:highlight w:val="none"/>
          <w:u w:val="single"/>
          <w:lang w:val="en-US" w:eastAsia="zh-CN"/>
        </w:rPr>
        <w:t>8160</w:t>
      </w:r>
      <w:r>
        <w:rPr>
          <w:rFonts w:hint="eastAsia" w:ascii="Times New Roman" w:hAnsi="Times New Roman" w:eastAsia="宋体"/>
          <w:color w:val="auto"/>
          <w:highlight w:val="none"/>
          <w:u w:val="single"/>
        </w:rPr>
        <w:t xml:space="preserve"> hm</w:t>
      </w:r>
      <w:r>
        <w:rPr>
          <w:rFonts w:hint="eastAsia" w:ascii="Times New Roman" w:hAnsi="Times New Roman" w:eastAsia="宋体"/>
          <w:color w:val="auto"/>
          <w:highlight w:val="none"/>
          <w:u w:val="single"/>
          <w:vertAlign w:val="superscript"/>
        </w:rPr>
        <w:t>2</w:t>
      </w:r>
      <w:r>
        <w:rPr>
          <w:rFonts w:hint="eastAsia" w:ascii="Times New Roman" w:hAnsi="Times New Roman" w:eastAsia="宋体"/>
          <w:color w:val="auto"/>
          <w:highlight w:val="none"/>
          <w:u w:val="single"/>
        </w:rPr>
        <w:t>，共计</w:t>
      </w:r>
      <w:r>
        <w:rPr>
          <w:rFonts w:hint="eastAsia"/>
          <w:color w:val="auto"/>
          <w:highlight w:val="none"/>
          <w:u w:val="single"/>
          <w:lang w:val="en-US" w:eastAsia="zh-CN"/>
        </w:rPr>
        <w:t>14.1278</w:t>
      </w:r>
      <w:r>
        <w:rPr>
          <w:rFonts w:hint="eastAsia" w:ascii="Times New Roman" w:hAnsi="Times New Roman" w:eastAsia="宋体"/>
          <w:color w:val="auto"/>
          <w:highlight w:val="none"/>
          <w:u w:val="single"/>
        </w:rPr>
        <w:t>hm</w:t>
      </w:r>
      <w:r>
        <w:rPr>
          <w:rFonts w:hint="eastAsia" w:ascii="Times New Roman" w:hAnsi="Times New Roman" w:eastAsia="宋体"/>
          <w:color w:val="auto"/>
          <w:highlight w:val="none"/>
          <w:u w:val="single"/>
          <w:vertAlign w:val="superscript"/>
        </w:rPr>
        <w:t>2</w:t>
      </w:r>
      <w:r>
        <w:rPr>
          <w:rFonts w:hint="eastAsia" w:ascii="Times New Roman" w:hAnsi="Times New Roman" w:eastAsia="宋体"/>
          <w:color w:val="auto"/>
          <w:highlight w:val="none"/>
          <w:u w:val="single"/>
        </w:rPr>
        <w:t>复垦为有林地，其工程措施如下</w:t>
      </w:r>
      <w:r>
        <w:rPr>
          <w:rFonts w:hint="eastAsia" w:ascii="Times New Roman" w:hAnsi="Times New Roman" w:eastAsia="宋体"/>
          <w:color w:val="auto"/>
          <w:highlight w:val="none"/>
        </w:rPr>
        <w:t>：</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1、表土回填</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采场底部平台按0.9m厚度覆土，共需回填表土</w:t>
      </w:r>
      <w:r>
        <w:rPr>
          <w:rFonts w:hint="eastAsia"/>
          <w:color w:val="auto"/>
          <w:highlight w:val="none"/>
          <w:u w:val="single"/>
          <w:lang w:val="en-US" w:eastAsia="zh-CN"/>
        </w:rPr>
        <w:t>127150</w:t>
      </w:r>
      <w:r>
        <w:rPr>
          <w:rFonts w:hint="eastAsia" w:ascii="Times New Roman" w:hAnsi="Times New Roman" w:eastAsia="宋体"/>
          <w:color w:val="auto"/>
          <w:highlight w:val="none"/>
          <w:u w:val="single"/>
        </w:rPr>
        <w:t>m</w:t>
      </w:r>
      <w:r>
        <w:rPr>
          <w:rFonts w:hint="eastAsia" w:ascii="Times New Roman" w:hAnsi="Times New Roman" w:eastAsia="宋体"/>
          <w:color w:val="auto"/>
          <w:highlight w:val="none"/>
          <w:u w:val="single"/>
          <w:vertAlign w:val="superscript"/>
        </w:rPr>
        <w:t>3</w:t>
      </w:r>
      <w:r>
        <w:rPr>
          <w:rFonts w:hint="eastAsia" w:ascii="Times New Roman" w:hAnsi="Times New Roman" w:eastAsia="宋体"/>
          <w:color w:val="auto"/>
          <w:highlight w:val="none"/>
        </w:rPr>
        <w:t>。</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2、植物措施</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u w:val="single"/>
        </w:rPr>
        <w:t>覆土工作结束后，采场底部平台及边坡安全平台共计</w:t>
      </w:r>
      <w:r>
        <w:rPr>
          <w:rFonts w:hint="eastAsia"/>
          <w:color w:val="auto"/>
          <w:highlight w:val="none"/>
          <w:u w:val="single"/>
          <w:lang w:val="en-US" w:eastAsia="zh-CN"/>
        </w:rPr>
        <w:t>14.1278</w:t>
      </w:r>
      <w:r>
        <w:rPr>
          <w:rFonts w:hint="eastAsia" w:ascii="Times New Roman" w:hAnsi="Times New Roman" w:eastAsia="宋体"/>
          <w:color w:val="auto"/>
          <w:highlight w:val="none"/>
          <w:u w:val="single"/>
        </w:rPr>
        <w:t>hm</w:t>
      </w:r>
      <w:r>
        <w:rPr>
          <w:rFonts w:hint="eastAsia" w:ascii="Times New Roman" w:hAnsi="Times New Roman" w:eastAsia="宋体"/>
          <w:color w:val="auto"/>
          <w:highlight w:val="none"/>
          <w:u w:val="single"/>
          <w:vertAlign w:val="superscript"/>
        </w:rPr>
        <w:t>2</w:t>
      </w:r>
      <w:r>
        <w:rPr>
          <w:rFonts w:hint="eastAsia" w:ascii="Times New Roman" w:hAnsi="Times New Roman" w:eastAsia="宋体"/>
          <w:color w:val="auto"/>
          <w:highlight w:val="none"/>
          <w:u w:val="single"/>
        </w:rPr>
        <w:t>复垦为有林地，采用带土球的松树，种植密度按2m×3m间距共需栽植灌木</w:t>
      </w:r>
      <w:r>
        <w:rPr>
          <w:rFonts w:hint="eastAsia"/>
          <w:color w:val="auto"/>
          <w:highlight w:val="none"/>
          <w:u w:val="single"/>
          <w:lang w:val="en-US" w:eastAsia="zh-CN"/>
        </w:rPr>
        <w:t>23546</w:t>
      </w:r>
      <w:r>
        <w:rPr>
          <w:rFonts w:hint="eastAsia" w:ascii="Times New Roman" w:hAnsi="Times New Roman" w:eastAsia="宋体"/>
          <w:color w:val="auto"/>
          <w:highlight w:val="none"/>
          <w:u w:val="single"/>
        </w:rPr>
        <w:t>株。</w:t>
      </w:r>
      <w:r>
        <w:rPr>
          <w:rFonts w:hint="eastAsia" w:ascii="Times New Roman" w:hAnsi="Times New Roman" w:eastAsia="宋体"/>
          <w:color w:val="auto"/>
          <w:highlight w:val="none"/>
        </w:rPr>
        <w:t>挖坑标准按0.9m×0.9m×0.9m，坑栽树木时，选择阴雨或土壤湿润时进行。在坑中央挖一个植树坑，将苗木的营养杯外的塑料袋全部剥除，苗木放入坑内，扶正苗木，再填入细土，压实（注意不要伤害根系），再复一层细土到苗木根颈处2cm，最后植穴表面覆一层干土，以减少水分蒸发即可。如天旱无雨，需要淋足定根水。应选择苗木直径为1</w:t>
      </w:r>
      <w:r>
        <w:rPr>
          <w:rFonts w:ascii="Times New Roman" w:hAnsi="Times New Roman" w:eastAsia="宋体" w:cs="Times New Roman"/>
          <w:color w:val="auto"/>
          <w:highlight w:val="none"/>
        </w:rPr>
        <w:t>~</w:t>
      </w:r>
      <w:r>
        <w:rPr>
          <w:rFonts w:hint="eastAsia" w:ascii="Times New Roman" w:hAnsi="Times New Roman" w:eastAsia="宋体"/>
          <w:color w:val="auto"/>
          <w:highlight w:val="none"/>
        </w:rPr>
        <w:t>1.5cm的大苗松树苗等当地乡土优良树种，保证成活率，木苗要放置阴凉处，注意淋水保湿。</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 xml:space="preserve">3、林木培肥 </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为提高土壤肥力，对拟复垦为有林地单元进行施肥，基肥选用林木专用复合肥（N、P、K总含量24%，含有机质20%，B500 ppm，Zn50 ppm，Cu500 ppm），施肥标准0.5kg/株。</w:t>
      </w:r>
      <w:r>
        <w:rPr>
          <w:rFonts w:hint="eastAsia" w:ascii="Times New Roman" w:hAnsi="Times New Roman" w:eastAsia="宋体"/>
          <w:color w:val="auto"/>
          <w:highlight w:val="none"/>
          <w:u w:val="single"/>
        </w:rPr>
        <w:t>需种植松树</w:t>
      </w:r>
      <w:r>
        <w:rPr>
          <w:rFonts w:hint="eastAsia"/>
          <w:color w:val="auto"/>
          <w:highlight w:val="none"/>
          <w:u w:val="single"/>
          <w:lang w:val="en-US" w:eastAsia="zh-CN"/>
        </w:rPr>
        <w:t>23546</w:t>
      </w:r>
      <w:r>
        <w:rPr>
          <w:rFonts w:hint="eastAsia" w:ascii="Times New Roman" w:hAnsi="Times New Roman" w:eastAsia="宋体"/>
          <w:color w:val="auto"/>
          <w:highlight w:val="none"/>
          <w:u w:val="single"/>
        </w:rPr>
        <w:t>株，则需复合肥</w:t>
      </w:r>
      <w:r>
        <w:rPr>
          <w:rFonts w:hint="eastAsia"/>
          <w:color w:val="auto"/>
          <w:highlight w:val="none"/>
          <w:u w:val="single"/>
          <w:lang w:val="en-US" w:eastAsia="zh-CN"/>
        </w:rPr>
        <w:t>11.77</w:t>
      </w:r>
      <w:r>
        <w:rPr>
          <w:rFonts w:hint="eastAsia" w:ascii="Times New Roman" w:hAnsi="Times New Roman" w:eastAsia="宋体"/>
          <w:color w:val="auto"/>
          <w:highlight w:val="none"/>
          <w:u w:val="single"/>
        </w:rPr>
        <w:t>t。</w:t>
      </w:r>
    </w:p>
    <w:p>
      <w:pPr>
        <w:pStyle w:val="5"/>
        <w:rPr>
          <w:rFonts w:ascii="Times New Roman" w:hAnsi="Times New Roman" w:eastAsia="宋体"/>
          <w:color w:val="auto"/>
          <w:highlight w:val="none"/>
        </w:rPr>
      </w:pPr>
      <w:r>
        <w:rPr>
          <w:rFonts w:ascii="Times New Roman" w:hAnsi="Times New Roman" w:eastAsia="宋体"/>
          <w:color w:val="auto"/>
          <w:highlight w:val="none"/>
        </w:rPr>
        <w:t>5.2.3 矿区土地复垦工程量汇总</w:t>
      </w:r>
    </w:p>
    <w:p>
      <w:pPr>
        <w:ind w:firstLine="480"/>
        <w:rPr>
          <w:rFonts w:ascii="Times New Roman" w:hAnsi="Times New Roman" w:eastAsia="宋体"/>
          <w:color w:val="auto"/>
          <w:highlight w:val="none"/>
        </w:rPr>
      </w:pPr>
      <w:r>
        <w:rPr>
          <w:rFonts w:ascii="Times New Roman" w:hAnsi="Times New Roman" w:eastAsia="宋体"/>
          <w:color w:val="auto"/>
          <w:highlight w:val="none"/>
        </w:rPr>
        <w:t>根据《三江县宏源采石场硅质岩矿矿山地质环境保护与土地复垦方案》，矿山土地复垦工程量汇总见下表5.2-2。</w:t>
      </w:r>
    </w:p>
    <w:p>
      <w:pPr>
        <w:spacing w:line="240" w:lineRule="auto"/>
        <w:ind w:firstLine="0" w:firstLineChars="0"/>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表5.2-2 矿山土地复垦工程量汇总表</w:t>
      </w:r>
    </w:p>
    <w:tbl>
      <w:tblPr>
        <w:tblStyle w:val="48"/>
        <w:tblW w:w="9099"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771"/>
        <w:gridCol w:w="960"/>
        <w:gridCol w:w="930"/>
        <w:gridCol w:w="4684"/>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4"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szCs w:val="18"/>
                <w:highlight w:val="none"/>
              </w:rPr>
            </w:pPr>
            <w:r>
              <w:rPr>
                <w:rFonts w:ascii="Times New Roman" w:hAnsi="Times New Roman" w:eastAsia="宋体" w:cs="Times New Roman"/>
                <w:b/>
                <w:bCs/>
                <w:color w:val="auto"/>
                <w:sz w:val="21"/>
                <w:szCs w:val="18"/>
                <w:highlight w:val="none"/>
              </w:rPr>
              <w:t>序号</w:t>
            </w:r>
          </w:p>
        </w:tc>
        <w:tc>
          <w:tcPr>
            <w:tcW w:w="1771"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szCs w:val="18"/>
                <w:highlight w:val="none"/>
              </w:rPr>
            </w:pPr>
            <w:r>
              <w:rPr>
                <w:rFonts w:ascii="Times New Roman" w:hAnsi="Times New Roman" w:eastAsia="宋体" w:cs="Times New Roman"/>
                <w:b/>
                <w:bCs/>
                <w:color w:val="auto"/>
                <w:sz w:val="21"/>
                <w:szCs w:val="18"/>
                <w:highlight w:val="none"/>
              </w:rPr>
              <w:t>工程名称</w:t>
            </w:r>
          </w:p>
        </w:tc>
        <w:tc>
          <w:tcPr>
            <w:tcW w:w="960"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szCs w:val="18"/>
                <w:highlight w:val="none"/>
              </w:rPr>
            </w:pPr>
            <w:r>
              <w:rPr>
                <w:rFonts w:ascii="Times New Roman" w:hAnsi="Times New Roman" w:eastAsia="宋体" w:cs="Times New Roman"/>
                <w:b/>
                <w:bCs/>
                <w:color w:val="auto"/>
                <w:sz w:val="21"/>
                <w:szCs w:val="18"/>
                <w:highlight w:val="none"/>
              </w:rPr>
              <w:t>单位</w:t>
            </w:r>
          </w:p>
        </w:tc>
        <w:tc>
          <w:tcPr>
            <w:tcW w:w="930"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szCs w:val="18"/>
                <w:highlight w:val="none"/>
              </w:rPr>
            </w:pPr>
            <w:r>
              <w:rPr>
                <w:rFonts w:ascii="Times New Roman" w:hAnsi="Times New Roman" w:eastAsia="宋体" w:cs="Times New Roman"/>
                <w:b/>
                <w:bCs/>
                <w:color w:val="auto"/>
                <w:sz w:val="21"/>
                <w:szCs w:val="18"/>
                <w:highlight w:val="none"/>
              </w:rPr>
              <w:t>工程量</w:t>
            </w:r>
          </w:p>
        </w:tc>
        <w:tc>
          <w:tcPr>
            <w:tcW w:w="4684"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szCs w:val="18"/>
                <w:highlight w:val="none"/>
              </w:rPr>
            </w:pPr>
            <w:r>
              <w:rPr>
                <w:rFonts w:ascii="Times New Roman" w:hAnsi="Times New Roman" w:eastAsia="宋体" w:cs="Times New Roman"/>
                <w:b/>
                <w:bCs/>
                <w:color w:val="auto"/>
                <w:sz w:val="21"/>
                <w:szCs w:val="18"/>
                <w:highlight w:val="none"/>
              </w:rPr>
              <w:t>计算方法</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一</w:t>
            </w:r>
          </w:p>
        </w:tc>
        <w:tc>
          <w:tcPr>
            <w:tcW w:w="177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表土收集</w:t>
            </w:r>
            <w:r>
              <w:rPr>
                <w:rFonts w:ascii="Times New Roman" w:hAnsi="Times New Roman" w:eastAsia="宋体" w:cs="Times New Roman"/>
                <w:color w:val="auto"/>
                <w:sz w:val="21"/>
                <w:szCs w:val="18"/>
                <w:highlight w:val="none"/>
              </w:rPr>
              <w:t>工程</w:t>
            </w:r>
          </w:p>
        </w:tc>
        <w:tc>
          <w:tcPr>
            <w:tcW w:w="9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p>
        </w:tc>
        <w:tc>
          <w:tcPr>
            <w:tcW w:w="9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p>
        </w:tc>
        <w:tc>
          <w:tcPr>
            <w:tcW w:w="468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1</w:t>
            </w:r>
          </w:p>
        </w:tc>
        <w:tc>
          <w:tcPr>
            <w:tcW w:w="177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lang w:val="en-US" w:eastAsia="zh-CN"/>
              </w:rPr>
            </w:pPr>
            <w:r>
              <w:rPr>
                <w:rFonts w:hint="eastAsia" w:cs="Times New Roman"/>
                <w:color w:val="auto"/>
                <w:sz w:val="21"/>
                <w:szCs w:val="18"/>
                <w:highlight w:val="none"/>
                <w:lang w:val="en-US" w:eastAsia="zh-CN"/>
              </w:rPr>
              <w:t>表土收集</w:t>
            </w:r>
          </w:p>
        </w:tc>
        <w:tc>
          <w:tcPr>
            <w:tcW w:w="9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none"/>
              </w:rPr>
            </w:pPr>
            <w:r>
              <w:rPr>
                <w:rFonts w:hint="eastAsia" w:ascii="Times New Roman" w:hAnsi="Times New Roman" w:eastAsia="宋体" w:cs="Times New Roman"/>
                <w:color w:val="auto"/>
                <w:sz w:val="21"/>
                <w:szCs w:val="18"/>
                <w:highlight w:val="none"/>
                <w:u w:val="none"/>
              </w:rPr>
              <w:t>100</w:t>
            </w:r>
            <w:r>
              <w:rPr>
                <w:rFonts w:ascii="Times New Roman" w:hAnsi="Times New Roman" w:eastAsia="宋体" w:cs="Times New Roman"/>
                <w:color w:val="auto"/>
                <w:sz w:val="21"/>
                <w:szCs w:val="18"/>
                <w:highlight w:val="none"/>
                <w:u w:val="none"/>
              </w:rPr>
              <w:t>m</w:t>
            </w:r>
            <w:r>
              <w:rPr>
                <w:rFonts w:ascii="Times New Roman" w:hAnsi="Times New Roman" w:eastAsia="宋体" w:cs="Times New Roman"/>
                <w:color w:val="auto"/>
                <w:sz w:val="21"/>
                <w:szCs w:val="18"/>
                <w:highlight w:val="none"/>
                <w:u w:val="none"/>
                <w:vertAlign w:val="superscript"/>
              </w:rPr>
              <w:t>3</w:t>
            </w:r>
          </w:p>
        </w:tc>
        <w:tc>
          <w:tcPr>
            <w:tcW w:w="9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single"/>
              </w:rPr>
            </w:pPr>
            <w:r>
              <w:rPr>
                <w:rFonts w:hint="eastAsia" w:cs="Times New Roman"/>
                <w:color w:val="auto"/>
                <w:sz w:val="21"/>
                <w:szCs w:val="18"/>
                <w:highlight w:val="none"/>
                <w:u w:val="single"/>
                <w:lang w:val="en-US" w:eastAsia="zh-CN"/>
              </w:rPr>
              <w:t>1576.93</w:t>
            </w:r>
          </w:p>
        </w:tc>
        <w:tc>
          <w:tcPr>
            <w:tcW w:w="4684"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拟采区表土收集</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2</w:t>
            </w:r>
          </w:p>
        </w:tc>
        <w:tc>
          <w:tcPr>
            <w:tcW w:w="177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干砌石挡墙</w:t>
            </w:r>
          </w:p>
        </w:tc>
        <w:tc>
          <w:tcPr>
            <w:tcW w:w="9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u w:val="none"/>
              </w:rPr>
            </w:pPr>
            <w:r>
              <w:rPr>
                <w:rFonts w:hint="eastAsia" w:ascii="Times New Roman" w:hAnsi="Times New Roman" w:eastAsia="宋体" w:cs="Times New Roman"/>
                <w:color w:val="auto"/>
                <w:sz w:val="21"/>
                <w:szCs w:val="18"/>
                <w:highlight w:val="none"/>
                <w:u w:val="none"/>
              </w:rPr>
              <w:t>100</w:t>
            </w:r>
            <w:r>
              <w:rPr>
                <w:rFonts w:ascii="Times New Roman" w:hAnsi="Times New Roman" w:eastAsia="宋体" w:cs="Times New Roman"/>
                <w:color w:val="auto"/>
                <w:sz w:val="21"/>
                <w:szCs w:val="18"/>
                <w:highlight w:val="none"/>
                <w:u w:val="none"/>
              </w:rPr>
              <w:t>m</w:t>
            </w:r>
            <w:r>
              <w:rPr>
                <w:rFonts w:ascii="Times New Roman" w:hAnsi="Times New Roman" w:eastAsia="宋体" w:cs="Times New Roman"/>
                <w:color w:val="auto"/>
                <w:sz w:val="21"/>
                <w:szCs w:val="18"/>
                <w:highlight w:val="none"/>
                <w:u w:val="none"/>
                <w:vertAlign w:val="superscript"/>
              </w:rPr>
              <w:t>3</w:t>
            </w:r>
          </w:p>
        </w:tc>
        <w:tc>
          <w:tcPr>
            <w:tcW w:w="930"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2.36</w:t>
            </w:r>
          </w:p>
        </w:tc>
        <w:tc>
          <w:tcPr>
            <w:tcW w:w="468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ascii="Times New Roman" w:hAnsi="Times New Roman" w:eastAsia="宋体" w:cs="Times New Roman"/>
                <w:color w:val="auto"/>
                <w:sz w:val="21"/>
                <w:highlight w:val="none"/>
                <w:u w:val="single"/>
              </w:rPr>
              <w:t>干砌石墙长</w:t>
            </w:r>
            <w:r>
              <w:rPr>
                <w:rFonts w:hint="eastAsia" w:cs="Times New Roman"/>
                <w:color w:val="auto"/>
                <w:sz w:val="21"/>
                <w:highlight w:val="none"/>
                <w:u w:val="single"/>
                <w:lang w:val="en-US" w:eastAsia="zh-CN"/>
              </w:rPr>
              <w:t>35</w:t>
            </w:r>
            <w:r>
              <w:rPr>
                <w:rFonts w:hint="eastAsia" w:ascii="Times New Roman" w:hAnsi="Times New Roman" w:eastAsia="宋体" w:cs="Times New Roman"/>
                <w:color w:val="auto"/>
                <w:sz w:val="21"/>
                <w:highlight w:val="none"/>
                <w:u w:val="single"/>
              </w:rPr>
              <w:t>0m，砌石方量90m</w:t>
            </w:r>
            <w:r>
              <w:rPr>
                <w:rFonts w:hint="eastAsia" w:ascii="Times New Roman" w:hAnsi="Times New Roman" w:eastAsia="宋体" w:cs="Times New Roman"/>
                <w:color w:val="auto"/>
                <w:sz w:val="21"/>
                <w:highlight w:val="none"/>
                <w:u w:val="single"/>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lang w:val="en-US" w:eastAsia="zh-CN"/>
              </w:rPr>
            </w:pPr>
            <w:r>
              <w:rPr>
                <w:rFonts w:hint="eastAsia" w:cs="Times New Roman"/>
                <w:color w:val="auto"/>
                <w:sz w:val="21"/>
                <w:szCs w:val="18"/>
                <w:highlight w:val="none"/>
                <w:lang w:val="en-US" w:eastAsia="zh-CN"/>
              </w:rPr>
              <w:t>3</w:t>
            </w:r>
          </w:p>
        </w:tc>
        <w:tc>
          <w:tcPr>
            <w:tcW w:w="177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播散草籽</w:t>
            </w:r>
          </w:p>
        </w:tc>
        <w:tc>
          <w:tcPr>
            <w:tcW w:w="9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hm</w:t>
            </w:r>
            <w:r>
              <w:rPr>
                <w:rFonts w:ascii="Times New Roman" w:hAnsi="Times New Roman" w:eastAsia="宋体" w:cs="Times New Roman"/>
                <w:color w:val="auto"/>
                <w:sz w:val="21"/>
                <w:szCs w:val="18"/>
                <w:highlight w:val="none"/>
                <w:vertAlign w:val="superscript"/>
              </w:rPr>
              <w:t>2</w:t>
            </w:r>
          </w:p>
        </w:tc>
        <w:tc>
          <w:tcPr>
            <w:tcW w:w="930"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2.7424</w:t>
            </w:r>
          </w:p>
        </w:tc>
        <w:tc>
          <w:tcPr>
            <w:tcW w:w="468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表土收集后</w:t>
            </w:r>
            <w:r>
              <w:rPr>
                <w:rFonts w:hint="eastAsia" w:ascii="Times New Roman" w:hAnsi="Times New Roman" w:eastAsia="宋体" w:cs="Times New Roman"/>
                <w:color w:val="auto"/>
                <w:sz w:val="21"/>
                <w:szCs w:val="18"/>
                <w:highlight w:val="none"/>
              </w:rPr>
              <w:t>播散草籽</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二</w:t>
            </w:r>
          </w:p>
        </w:tc>
        <w:tc>
          <w:tcPr>
            <w:tcW w:w="177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水田复垦工程</w:t>
            </w:r>
          </w:p>
        </w:tc>
        <w:tc>
          <w:tcPr>
            <w:tcW w:w="9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p>
        </w:tc>
        <w:tc>
          <w:tcPr>
            <w:tcW w:w="93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rPr>
            </w:pPr>
          </w:p>
        </w:tc>
        <w:tc>
          <w:tcPr>
            <w:tcW w:w="468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1</w:t>
            </w:r>
          </w:p>
        </w:tc>
        <w:tc>
          <w:tcPr>
            <w:tcW w:w="177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建筑物拆除</w:t>
            </w:r>
          </w:p>
        </w:tc>
        <w:tc>
          <w:tcPr>
            <w:tcW w:w="9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100</w:t>
            </w:r>
            <w:r>
              <w:rPr>
                <w:rFonts w:ascii="Times New Roman" w:hAnsi="Times New Roman" w:eastAsia="宋体" w:cs="Times New Roman"/>
                <w:color w:val="auto"/>
                <w:sz w:val="21"/>
                <w:szCs w:val="18"/>
                <w:highlight w:val="none"/>
              </w:rPr>
              <w:t>m</w:t>
            </w:r>
            <w:r>
              <w:rPr>
                <w:rFonts w:ascii="Times New Roman" w:hAnsi="Times New Roman" w:eastAsia="宋体" w:cs="Times New Roman"/>
                <w:color w:val="auto"/>
                <w:sz w:val="21"/>
                <w:szCs w:val="18"/>
                <w:highlight w:val="none"/>
                <w:vertAlign w:val="superscript"/>
              </w:rPr>
              <w:t>3</w:t>
            </w:r>
          </w:p>
        </w:tc>
        <w:tc>
          <w:tcPr>
            <w:tcW w:w="9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3</w:t>
            </w:r>
          </w:p>
        </w:tc>
        <w:tc>
          <w:tcPr>
            <w:tcW w:w="4684" w:type="dxa"/>
            <w:noWrap w:val="0"/>
            <w:vAlign w:val="center"/>
          </w:tcPr>
          <w:p>
            <w:pPr>
              <w:adjustRightInd w:val="0"/>
              <w:snapToGrid w:val="0"/>
              <w:spacing w:line="240" w:lineRule="auto"/>
              <w:ind w:firstLine="0" w:firstLineChars="0"/>
              <w:jc w:val="left"/>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对工业场地的临时破碎场地、办公生活区等建筑物及混凝土建筑物进行拆除</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2</w:t>
            </w:r>
          </w:p>
        </w:tc>
        <w:tc>
          <w:tcPr>
            <w:tcW w:w="177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场地平整</w:t>
            </w:r>
          </w:p>
        </w:tc>
        <w:tc>
          <w:tcPr>
            <w:tcW w:w="9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100</w:t>
            </w:r>
            <w:r>
              <w:rPr>
                <w:rFonts w:ascii="Times New Roman" w:hAnsi="Times New Roman" w:eastAsia="宋体" w:cs="Times New Roman"/>
                <w:color w:val="auto"/>
                <w:sz w:val="21"/>
                <w:szCs w:val="18"/>
                <w:highlight w:val="none"/>
              </w:rPr>
              <w:t>m</w:t>
            </w:r>
            <w:r>
              <w:rPr>
                <w:rFonts w:ascii="Times New Roman" w:hAnsi="Times New Roman" w:eastAsia="宋体" w:cs="Times New Roman"/>
                <w:color w:val="auto"/>
                <w:sz w:val="21"/>
                <w:szCs w:val="18"/>
                <w:highlight w:val="none"/>
                <w:vertAlign w:val="superscript"/>
              </w:rPr>
              <w:t>3</w:t>
            </w:r>
          </w:p>
        </w:tc>
        <w:tc>
          <w:tcPr>
            <w:tcW w:w="9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65.31</w:t>
            </w:r>
          </w:p>
        </w:tc>
        <w:tc>
          <w:tcPr>
            <w:tcW w:w="4684" w:type="dxa"/>
            <w:noWrap w:val="0"/>
            <w:vAlign w:val="center"/>
          </w:tcPr>
          <w:p>
            <w:pPr>
              <w:adjustRightInd w:val="0"/>
              <w:snapToGrid w:val="0"/>
              <w:spacing w:line="240" w:lineRule="auto"/>
              <w:ind w:firstLine="0" w:firstLineChars="0"/>
              <w:jc w:val="left"/>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按所需整理面积</w:t>
            </w:r>
            <w:r>
              <w:rPr>
                <w:rFonts w:ascii="Times New Roman" w:hAnsi="Times New Roman" w:eastAsia="宋体" w:cs="Arial"/>
                <w:color w:val="auto"/>
                <w:sz w:val="21"/>
                <w:szCs w:val="18"/>
                <w:highlight w:val="none"/>
              </w:rPr>
              <w:t>×</w:t>
            </w:r>
            <w:r>
              <w:rPr>
                <w:rFonts w:hint="eastAsia" w:ascii="Times New Roman" w:hAnsi="Times New Roman" w:eastAsia="宋体" w:cs="Times New Roman"/>
                <w:color w:val="auto"/>
                <w:sz w:val="21"/>
                <w:highlight w:val="none"/>
              </w:rPr>
              <w:t>废渣整理深度（0.2m）计算</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3</w:t>
            </w:r>
          </w:p>
        </w:tc>
        <w:tc>
          <w:tcPr>
            <w:tcW w:w="177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田埂修筑</w:t>
            </w:r>
          </w:p>
        </w:tc>
        <w:tc>
          <w:tcPr>
            <w:tcW w:w="9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100</w:t>
            </w:r>
            <w:r>
              <w:rPr>
                <w:rFonts w:ascii="Times New Roman" w:hAnsi="Times New Roman" w:eastAsia="宋体" w:cs="Times New Roman"/>
                <w:color w:val="auto"/>
                <w:sz w:val="21"/>
                <w:szCs w:val="18"/>
                <w:highlight w:val="none"/>
              </w:rPr>
              <w:t>m</w:t>
            </w:r>
            <w:r>
              <w:rPr>
                <w:rFonts w:ascii="Times New Roman" w:hAnsi="Times New Roman" w:eastAsia="宋体" w:cs="Times New Roman"/>
                <w:color w:val="auto"/>
                <w:sz w:val="21"/>
                <w:szCs w:val="18"/>
                <w:highlight w:val="none"/>
                <w:vertAlign w:val="superscript"/>
              </w:rPr>
              <w:t>3</w:t>
            </w:r>
          </w:p>
        </w:tc>
        <w:tc>
          <w:tcPr>
            <w:tcW w:w="9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6.10</w:t>
            </w:r>
          </w:p>
        </w:tc>
        <w:tc>
          <w:tcPr>
            <w:tcW w:w="468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修筑长度约3050m</w:t>
            </w:r>
            <w:r>
              <w:rPr>
                <w:rFonts w:ascii="Times New Roman" w:hAnsi="Times New Roman" w:eastAsia="宋体" w:cs="Arial"/>
                <w:color w:val="auto"/>
                <w:sz w:val="21"/>
                <w:szCs w:val="18"/>
                <w:highlight w:val="none"/>
              </w:rPr>
              <w:t>×</w:t>
            </w:r>
            <w:r>
              <w:rPr>
                <w:rFonts w:hint="eastAsia" w:ascii="Times New Roman" w:hAnsi="Times New Roman" w:eastAsia="宋体" w:cs="Arial"/>
                <w:color w:val="auto"/>
                <w:sz w:val="21"/>
                <w:szCs w:val="18"/>
                <w:highlight w:val="none"/>
              </w:rPr>
              <w:t>（0.3+0.5）</w:t>
            </w:r>
            <w:r>
              <w:rPr>
                <w:rFonts w:ascii="Times New Roman" w:hAnsi="Times New Roman" w:eastAsia="宋体" w:cs="Arial"/>
                <w:color w:val="auto"/>
                <w:sz w:val="21"/>
                <w:szCs w:val="18"/>
                <w:highlight w:val="none"/>
              </w:rPr>
              <w:t>×</w:t>
            </w:r>
            <w:r>
              <w:rPr>
                <w:rFonts w:hint="eastAsia" w:ascii="Times New Roman" w:hAnsi="Times New Roman" w:eastAsia="宋体" w:cs="Arial"/>
                <w:color w:val="auto"/>
                <w:sz w:val="21"/>
                <w:szCs w:val="18"/>
                <w:highlight w:val="none"/>
              </w:rPr>
              <w:t>0.5/2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4</w:t>
            </w:r>
          </w:p>
        </w:tc>
        <w:tc>
          <w:tcPr>
            <w:tcW w:w="177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lang w:val="en-US" w:eastAsia="zh-CN"/>
              </w:rPr>
            </w:pPr>
            <w:r>
              <w:rPr>
                <w:rFonts w:hint="eastAsia" w:cs="Times New Roman"/>
                <w:color w:val="auto"/>
                <w:sz w:val="21"/>
                <w:szCs w:val="18"/>
                <w:highlight w:val="none"/>
                <w:lang w:val="en-US" w:eastAsia="zh-CN"/>
              </w:rPr>
              <w:t>表土回填</w:t>
            </w:r>
          </w:p>
        </w:tc>
        <w:tc>
          <w:tcPr>
            <w:tcW w:w="96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100</w:t>
            </w:r>
            <w:r>
              <w:rPr>
                <w:rFonts w:ascii="Times New Roman" w:hAnsi="Times New Roman" w:eastAsia="宋体" w:cs="Times New Roman"/>
                <w:color w:val="auto"/>
                <w:sz w:val="21"/>
                <w:szCs w:val="18"/>
                <w:highlight w:val="none"/>
              </w:rPr>
              <w:t>m</w:t>
            </w:r>
            <w:r>
              <w:rPr>
                <w:rFonts w:ascii="Times New Roman" w:hAnsi="Times New Roman" w:eastAsia="宋体" w:cs="Times New Roman"/>
                <w:color w:val="auto"/>
                <w:sz w:val="21"/>
                <w:szCs w:val="18"/>
                <w:highlight w:val="none"/>
                <w:vertAlign w:val="superscript"/>
              </w:rPr>
              <w:t>3</w:t>
            </w:r>
          </w:p>
        </w:tc>
        <w:tc>
          <w:tcPr>
            <w:tcW w:w="930"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lang w:val="en-US" w:eastAsia="zh-CN"/>
              </w:rPr>
            </w:pPr>
            <w:r>
              <w:rPr>
                <w:rFonts w:hint="eastAsia" w:cs="Times New Roman"/>
                <w:color w:val="auto"/>
                <w:sz w:val="21"/>
                <w:szCs w:val="18"/>
                <w:highlight w:val="none"/>
                <w:lang w:val="en-US" w:eastAsia="zh-CN"/>
              </w:rPr>
              <w:t>195.92</w:t>
            </w:r>
          </w:p>
        </w:tc>
        <w:tc>
          <w:tcPr>
            <w:tcW w:w="4684" w:type="dxa"/>
            <w:noWrap w:val="0"/>
            <w:vAlign w:val="center"/>
          </w:tcPr>
          <w:p>
            <w:pPr>
              <w:adjustRightInd w:val="0"/>
              <w:snapToGrid w:val="0"/>
              <w:spacing w:line="240" w:lineRule="auto"/>
              <w:ind w:firstLine="0" w:firstLineChars="0"/>
              <w:jc w:val="left"/>
              <w:rPr>
                <w:rFonts w:hint="eastAsia" w:ascii="Times New Roman" w:hAnsi="Times New Roman" w:eastAsia="宋体" w:cs="Times New Roman"/>
                <w:color w:val="auto"/>
                <w:sz w:val="21"/>
                <w:highlight w:val="none"/>
              </w:rPr>
            </w:pPr>
            <w:r>
              <w:rPr>
                <w:rFonts w:hint="eastAsia"/>
                <w:color w:val="auto"/>
                <w:sz w:val="21"/>
                <w:szCs w:val="18"/>
                <w:highlight w:val="none"/>
                <w:u w:val="single"/>
                <w:lang w:val="en-US" w:eastAsia="zh-CN"/>
              </w:rPr>
              <w:t>回填面积</w:t>
            </w:r>
            <w:r>
              <w:rPr>
                <w:rFonts w:hint="eastAsia" w:ascii="Times New Roman" w:hAnsi="Times New Roman" w:eastAsia="宋体"/>
                <w:color w:val="auto"/>
                <w:sz w:val="21"/>
                <w:szCs w:val="18"/>
                <w:highlight w:val="none"/>
                <w:u w:val="single"/>
              </w:rPr>
              <w:t>3.2654 hm</w:t>
            </w:r>
            <w:r>
              <w:rPr>
                <w:rFonts w:hint="eastAsia" w:ascii="Times New Roman" w:hAnsi="Times New Roman" w:eastAsia="宋体"/>
                <w:color w:val="auto"/>
                <w:sz w:val="21"/>
                <w:szCs w:val="18"/>
                <w:highlight w:val="none"/>
                <w:u w:val="single"/>
                <w:vertAlign w:val="superscript"/>
              </w:rPr>
              <w:t>2</w:t>
            </w:r>
            <w:r>
              <w:rPr>
                <w:rFonts w:hint="eastAsia" w:ascii="Times New Roman" w:hAnsi="Times New Roman" w:eastAsia="宋体"/>
                <w:color w:val="auto"/>
                <w:sz w:val="21"/>
                <w:szCs w:val="18"/>
                <w:highlight w:val="none"/>
                <w:u w:val="single"/>
              </w:rPr>
              <w:t>，</w:t>
            </w:r>
            <w:r>
              <w:rPr>
                <w:rFonts w:hint="eastAsia"/>
                <w:color w:val="auto"/>
                <w:sz w:val="21"/>
                <w:szCs w:val="18"/>
                <w:highlight w:val="none"/>
                <w:u w:val="single"/>
                <w:lang w:val="en-US" w:eastAsia="zh-CN"/>
              </w:rPr>
              <w:t>回填厚度0.6m，共回填表土19592</w:t>
            </w:r>
            <w:r>
              <w:rPr>
                <w:rFonts w:hint="eastAsia" w:ascii="Times New Roman" w:hAnsi="Times New Roman" w:eastAsia="宋体"/>
                <w:color w:val="auto"/>
                <w:sz w:val="21"/>
                <w:szCs w:val="18"/>
                <w:highlight w:val="none"/>
                <w:u w:val="single"/>
              </w:rPr>
              <w:t>m</w:t>
            </w:r>
            <w:r>
              <w:rPr>
                <w:rFonts w:hint="eastAsia"/>
                <w:color w:val="auto"/>
                <w:sz w:val="21"/>
                <w:szCs w:val="18"/>
                <w:highlight w:val="none"/>
                <w:u w:val="single"/>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5</w:t>
            </w:r>
          </w:p>
        </w:tc>
        <w:tc>
          <w:tcPr>
            <w:tcW w:w="177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土壤翻耕</w:t>
            </w:r>
          </w:p>
        </w:tc>
        <w:tc>
          <w:tcPr>
            <w:tcW w:w="96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hm</w:t>
            </w:r>
            <w:r>
              <w:rPr>
                <w:rFonts w:ascii="Times New Roman" w:hAnsi="Times New Roman" w:eastAsia="宋体" w:cs="Times New Roman"/>
                <w:color w:val="auto"/>
                <w:sz w:val="21"/>
                <w:szCs w:val="18"/>
                <w:highlight w:val="none"/>
                <w:vertAlign w:val="superscript"/>
              </w:rPr>
              <w:t>2</w:t>
            </w:r>
          </w:p>
        </w:tc>
        <w:tc>
          <w:tcPr>
            <w:tcW w:w="9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3.2654</w:t>
            </w:r>
          </w:p>
        </w:tc>
        <w:tc>
          <w:tcPr>
            <w:tcW w:w="468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复垦面积</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lang w:val="en-US" w:eastAsia="zh-CN"/>
              </w:rPr>
            </w:pPr>
            <w:r>
              <w:rPr>
                <w:rFonts w:hint="eastAsia" w:cs="Times New Roman"/>
                <w:color w:val="auto"/>
                <w:sz w:val="21"/>
                <w:szCs w:val="18"/>
                <w:highlight w:val="none"/>
                <w:lang w:val="en-US" w:eastAsia="zh-CN"/>
              </w:rPr>
              <w:t>6</w:t>
            </w:r>
          </w:p>
        </w:tc>
        <w:tc>
          <w:tcPr>
            <w:tcW w:w="177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土壤培肥</w:t>
            </w:r>
          </w:p>
        </w:tc>
        <w:tc>
          <w:tcPr>
            <w:tcW w:w="9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100kg</w:t>
            </w:r>
          </w:p>
        </w:tc>
        <w:tc>
          <w:tcPr>
            <w:tcW w:w="9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122.50</w:t>
            </w:r>
          </w:p>
        </w:tc>
        <w:tc>
          <w:tcPr>
            <w:tcW w:w="4684"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hint="eastAsia" w:ascii="Times New Roman" w:hAnsi="Times New Roman" w:eastAsia="宋体" w:cs="Times New Roman"/>
                <w:color w:val="auto"/>
                <w:sz w:val="21"/>
                <w:highlight w:val="none"/>
              </w:rPr>
              <w:t>每公顷施商品有机肥3.75t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三</w:t>
            </w:r>
          </w:p>
        </w:tc>
        <w:tc>
          <w:tcPr>
            <w:tcW w:w="177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旱地复垦工程</w:t>
            </w:r>
          </w:p>
        </w:tc>
        <w:tc>
          <w:tcPr>
            <w:tcW w:w="9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p>
        </w:tc>
        <w:tc>
          <w:tcPr>
            <w:tcW w:w="9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p>
        </w:tc>
        <w:tc>
          <w:tcPr>
            <w:tcW w:w="468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1</w:t>
            </w:r>
          </w:p>
        </w:tc>
        <w:tc>
          <w:tcPr>
            <w:tcW w:w="177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场地平整</w:t>
            </w:r>
          </w:p>
        </w:tc>
        <w:tc>
          <w:tcPr>
            <w:tcW w:w="9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100</w:t>
            </w:r>
            <w:r>
              <w:rPr>
                <w:rFonts w:ascii="Times New Roman" w:hAnsi="Times New Roman" w:eastAsia="宋体" w:cs="Times New Roman"/>
                <w:color w:val="auto"/>
                <w:sz w:val="21"/>
                <w:szCs w:val="18"/>
                <w:highlight w:val="none"/>
              </w:rPr>
              <w:t>m</w:t>
            </w:r>
            <w:r>
              <w:rPr>
                <w:rFonts w:ascii="Times New Roman" w:hAnsi="Times New Roman" w:eastAsia="宋体" w:cs="Times New Roman"/>
                <w:color w:val="auto"/>
                <w:sz w:val="21"/>
                <w:szCs w:val="18"/>
                <w:highlight w:val="none"/>
                <w:vertAlign w:val="superscript"/>
              </w:rPr>
              <w:t>3</w:t>
            </w:r>
          </w:p>
        </w:tc>
        <w:tc>
          <w:tcPr>
            <w:tcW w:w="9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11.47</w:t>
            </w:r>
          </w:p>
        </w:tc>
        <w:tc>
          <w:tcPr>
            <w:tcW w:w="468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按所需整理面积</w:t>
            </w:r>
            <w:r>
              <w:rPr>
                <w:rFonts w:ascii="Times New Roman" w:hAnsi="Times New Roman" w:eastAsia="宋体" w:cs="Arial"/>
                <w:color w:val="auto"/>
                <w:sz w:val="21"/>
                <w:szCs w:val="18"/>
                <w:highlight w:val="none"/>
              </w:rPr>
              <w:t>×</w:t>
            </w:r>
            <w:r>
              <w:rPr>
                <w:rFonts w:hint="eastAsia" w:ascii="Times New Roman" w:hAnsi="Times New Roman" w:eastAsia="宋体" w:cs="Times New Roman"/>
                <w:color w:val="auto"/>
                <w:sz w:val="21"/>
                <w:highlight w:val="none"/>
              </w:rPr>
              <w:t>废渣整理深度（0.2m）计算</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2</w:t>
            </w:r>
          </w:p>
        </w:tc>
        <w:tc>
          <w:tcPr>
            <w:tcW w:w="177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表土回填</w:t>
            </w:r>
          </w:p>
        </w:tc>
        <w:tc>
          <w:tcPr>
            <w:tcW w:w="9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100</w:t>
            </w:r>
            <w:r>
              <w:rPr>
                <w:rFonts w:ascii="Times New Roman" w:hAnsi="Times New Roman" w:eastAsia="宋体" w:cs="Times New Roman"/>
                <w:color w:val="auto"/>
                <w:sz w:val="21"/>
                <w:szCs w:val="18"/>
                <w:highlight w:val="none"/>
              </w:rPr>
              <w:t>m</w:t>
            </w:r>
            <w:r>
              <w:rPr>
                <w:rFonts w:ascii="Times New Roman" w:hAnsi="Times New Roman" w:eastAsia="宋体" w:cs="Times New Roman"/>
                <w:color w:val="auto"/>
                <w:sz w:val="21"/>
                <w:szCs w:val="18"/>
                <w:highlight w:val="none"/>
                <w:vertAlign w:val="superscript"/>
              </w:rPr>
              <w:t>3</w:t>
            </w:r>
          </w:p>
        </w:tc>
        <w:tc>
          <w:tcPr>
            <w:tcW w:w="9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34.41</w:t>
            </w:r>
          </w:p>
        </w:tc>
        <w:tc>
          <w:tcPr>
            <w:tcW w:w="468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回填表土厚度0.6m</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3</w:t>
            </w:r>
          </w:p>
        </w:tc>
        <w:tc>
          <w:tcPr>
            <w:tcW w:w="177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土地翻耕</w:t>
            </w:r>
          </w:p>
        </w:tc>
        <w:tc>
          <w:tcPr>
            <w:tcW w:w="9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hm</w:t>
            </w:r>
            <w:r>
              <w:rPr>
                <w:rFonts w:ascii="Times New Roman" w:hAnsi="Times New Roman" w:eastAsia="宋体" w:cs="Times New Roman"/>
                <w:color w:val="auto"/>
                <w:sz w:val="21"/>
                <w:szCs w:val="18"/>
                <w:highlight w:val="none"/>
                <w:vertAlign w:val="superscript"/>
              </w:rPr>
              <w:t>2</w:t>
            </w:r>
          </w:p>
        </w:tc>
        <w:tc>
          <w:tcPr>
            <w:tcW w:w="9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0.5735</w:t>
            </w:r>
          </w:p>
        </w:tc>
        <w:tc>
          <w:tcPr>
            <w:tcW w:w="468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复垦面积</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4</w:t>
            </w:r>
          </w:p>
        </w:tc>
        <w:tc>
          <w:tcPr>
            <w:tcW w:w="177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土壤培肥</w:t>
            </w:r>
          </w:p>
        </w:tc>
        <w:tc>
          <w:tcPr>
            <w:tcW w:w="9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100kg</w:t>
            </w:r>
          </w:p>
        </w:tc>
        <w:tc>
          <w:tcPr>
            <w:tcW w:w="9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21.50</w:t>
            </w:r>
          </w:p>
        </w:tc>
        <w:tc>
          <w:tcPr>
            <w:tcW w:w="468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每公顷施商品有机肥3.75t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四</w:t>
            </w:r>
          </w:p>
        </w:tc>
        <w:tc>
          <w:tcPr>
            <w:tcW w:w="177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有林地复垦工程</w:t>
            </w:r>
          </w:p>
        </w:tc>
        <w:tc>
          <w:tcPr>
            <w:tcW w:w="9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p>
        </w:tc>
        <w:tc>
          <w:tcPr>
            <w:tcW w:w="93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18"/>
                <w:highlight w:val="none"/>
              </w:rPr>
            </w:pPr>
          </w:p>
        </w:tc>
        <w:tc>
          <w:tcPr>
            <w:tcW w:w="468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1</w:t>
            </w:r>
          </w:p>
        </w:tc>
        <w:tc>
          <w:tcPr>
            <w:tcW w:w="177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表土回填</w:t>
            </w:r>
          </w:p>
        </w:tc>
        <w:tc>
          <w:tcPr>
            <w:tcW w:w="9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100</w:t>
            </w:r>
            <w:r>
              <w:rPr>
                <w:rFonts w:ascii="Times New Roman" w:hAnsi="Times New Roman" w:eastAsia="宋体" w:cs="Times New Roman"/>
                <w:color w:val="auto"/>
                <w:sz w:val="21"/>
                <w:szCs w:val="18"/>
                <w:highlight w:val="none"/>
              </w:rPr>
              <w:t>m</w:t>
            </w:r>
            <w:r>
              <w:rPr>
                <w:rFonts w:ascii="Times New Roman" w:hAnsi="Times New Roman" w:eastAsia="宋体" w:cs="Times New Roman"/>
                <w:color w:val="auto"/>
                <w:sz w:val="21"/>
                <w:szCs w:val="18"/>
                <w:highlight w:val="none"/>
                <w:vertAlign w:val="superscript"/>
              </w:rPr>
              <w:t>3</w:t>
            </w:r>
          </w:p>
        </w:tc>
        <w:tc>
          <w:tcPr>
            <w:tcW w:w="930"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1271.50</w:t>
            </w:r>
          </w:p>
        </w:tc>
        <w:tc>
          <w:tcPr>
            <w:tcW w:w="468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回填表土厚度0.9m</w:t>
            </w:r>
            <w:r>
              <w:rPr>
                <w:rFonts w:hint="eastAsia" w:cs="Times New Roman"/>
                <w:color w:val="auto"/>
                <w:sz w:val="21"/>
                <w:highlight w:val="none"/>
                <w:lang w:eastAsia="zh-CN"/>
              </w:rPr>
              <w:t>，</w:t>
            </w:r>
            <w:r>
              <w:rPr>
                <w:rFonts w:hint="eastAsia" w:cs="Times New Roman"/>
                <w:color w:val="auto"/>
                <w:sz w:val="21"/>
                <w:highlight w:val="none"/>
                <w:u w:val="single"/>
                <w:lang w:val="en-US" w:eastAsia="zh-CN"/>
              </w:rPr>
              <w:t>面积14.1278h</w:t>
            </w:r>
            <w:r>
              <w:rPr>
                <w:rFonts w:hint="eastAsia" w:ascii="Times New Roman" w:hAnsi="Times New Roman" w:eastAsia="宋体"/>
                <w:color w:val="auto"/>
                <w:sz w:val="21"/>
                <w:szCs w:val="18"/>
                <w:highlight w:val="none"/>
                <w:u w:val="single"/>
              </w:rPr>
              <w:t>m</w:t>
            </w:r>
            <w:r>
              <w:rPr>
                <w:rFonts w:hint="eastAsia"/>
                <w:color w:val="auto"/>
                <w:sz w:val="21"/>
                <w:szCs w:val="18"/>
                <w:highlight w:val="none"/>
                <w:u w:val="single"/>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2</w:t>
            </w:r>
          </w:p>
        </w:tc>
        <w:tc>
          <w:tcPr>
            <w:tcW w:w="177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栽植种树</w:t>
            </w:r>
          </w:p>
        </w:tc>
        <w:tc>
          <w:tcPr>
            <w:tcW w:w="9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100株</w:t>
            </w:r>
          </w:p>
        </w:tc>
        <w:tc>
          <w:tcPr>
            <w:tcW w:w="930"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235.46</w:t>
            </w:r>
          </w:p>
        </w:tc>
        <w:tc>
          <w:tcPr>
            <w:tcW w:w="468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密度按2m</w:t>
            </w:r>
            <w:r>
              <w:rPr>
                <w:rFonts w:ascii="Times New Roman" w:hAnsi="Times New Roman" w:eastAsia="宋体" w:cs="Arial"/>
                <w:color w:val="auto"/>
                <w:sz w:val="21"/>
                <w:szCs w:val="18"/>
                <w:highlight w:val="none"/>
              </w:rPr>
              <w:t>×</w:t>
            </w:r>
            <w:r>
              <w:rPr>
                <w:rFonts w:hint="eastAsia" w:ascii="Times New Roman" w:hAnsi="Times New Roman" w:eastAsia="宋体" w:cs="Arial"/>
                <w:color w:val="auto"/>
                <w:sz w:val="21"/>
                <w:szCs w:val="18"/>
                <w:highlight w:val="none"/>
              </w:rPr>
              <w:t>3m</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7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ascii="Times New Roman" w:hAnsi="Times New Roman" w:eastAsia="宋体" w:cs="Times New Roman"/>
                <w:color w:val="auto"/>
                <w:sz w:val="21"/>
                <w:szCs w:val="18"/>
                <w:highlight w:val="none"/>
              </w:rPr>
              <w:t>3</w:t>
            </w:r>
          </w:p>
        </w:tc>
        <w:tc>
          <w:tcPr>
            <w:tcW w:w="177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林木培肥</w:t>
            </w:r>
          </w:p>
        </w:tc>
        <w:tc>
          <w:tcPr>
            <w:tcW w:w="9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szCs w:val="18"/>
                <w:highlight w:val="none"/>
              </w:rPr>
            </w:pPr>
            <w:r>
              <w:rPr>
                <w:rFonts w:hint="eastAsia" w:ascii="Times New Roman" w:hAnsi="Times New Roman" w:eastAsia="宋体" w:cs="Times New Roman"/>
                <w:color w:val="auto"/>
                <w:sz w:val="21"/>
                <w:szCs w:val="18"/>
                <w:highlight w:val="none"/>
              </w:rPr>
              <w:t>100kg</w:t>
            </w:r>
          </w:p>
        </w:tc>
        <w:tc>
          <w:tcPr>
            <w:tcW w:w="930"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18"/>
                <w:highlight w:val="none"/>
                <w:u w:val="single"/>
                <w:lang w:val="en-US" w:eastAsia="zh-CN"/>
              </w:rPr>
            </w:pPr>
            <w:r>
              <w:rPr>
                <w:rFonts w:hint="eastAsia" w:cs="Times New Roman"/>
                <w:color w:val="auto"/>
                <w:sz w:val="21"/>
                <w:szCs w:val="18"/>
                <w:highlight w:val="none"/>
                <w:u w:val="single"/>
                <w:lang w:val="en-US" w:eastAsia="zh-CN"/>
              </w:rPr>
              <w:t>17.73</w:t>
            </w:r>
          </w:p>
        </w:tc>
        <w:tc>
          <w:tcPr>
            <w:tcW w:w="468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施肥标准0.5kg/株</w:t>
            </w:r>
          </w:p>
        </w:tc>
      </w:tr>
    </w:tbl>
    <w:p>
      <w:pPr>
        <w:pStyle w:val="125"/>
        <w:rPr>
          <w:rFonts w:ascii="Times New Roman" w:hAnsi="Times New Roman" w:eastAsia="宋体" w:cs="Times New Roman"/>
          <w:color w:val="auto"/>
          <w:highlight w:val="none"/>
        </w:rPr>
      </w:pPr>
      <w:bookmarkStart w:id="436" w:name="_Toc19674"/>
      <w:bookmarkStart w:id="437" w:name="_Toc515974446"/>
      <w:bookmarkStart w:id="438" w:name="_Toc6409"/>
      <w:r>
        <w:rPr>
          <w:rFonts w:ascii="Times New Roman" w:hAnsi="Times New Roman" w:eastAsia="宋体" w:cs="Times New Roman"/>
          <w:color w:val="auto"/>
          <w:highlight w:val="none"/>
        </w:rPr>
        <w:t>5.3 环保投资</w:t>
      </w:r>
      <w:bookmarkEnd w:id="436"/>
      <w:bookmarkEnd w:id="437"/>
      <w:bookmarkEnd w:id="438"/>
    </w:p>
    <w:p>
      <w:pPr>
        <w:pStyle w:val="47"/>
        <w:ind w:firstLine="480"/>
        <w:rPr>
          <w:rFonts w:ascii="Times New Roman" w:hAnsi="Times New Roman" w:eastAsia="宋体"/>
          <w:color w:val="auto"/>
          <w:highlight w:val="none"/>
        </w:rPr>
      </w:pPr>
      <w:r>
        <w:rPr>
          <w:rFonts w:ascii="Times New Roman" w:hAnsi="Times New Roman" w:eastAsia="宋体"/>
          <w:color w:val="auto"/>
          <w:highlight w:val="none"/>
        </w:rPr>
        <w:t>为保护环境，减少工程建设对环境的污染，在排放污染物的各个环节均考虑了环保措施。项目总投资</w:t>
      </w:r>
      <w:r>
        <w:rPr>
          <w:rFonts w:hint="eastAsia" w:ascii="Times New Roman" w:hAnsi="Times New Roman" w:eastAsia="宋体"/>
          <w:color w:val="auto"/>
          <w:highlight w:val="none"/>
        </w:rPr>
        <w:t>59</w:t>
      </w:r>
      <w:r>
        <w:rPr>
          <w:rFonts w:ascii="Times New Roman" w:hAnsi="Times New Roman" w:eastAsia="宋体"/>
          <w:color w:val="auto"/>
          <w:highlight w:val="none"/>
        </w:rPr>
        <w:t>0万元，其中环保投资共计</w:t>
      </w:r>
      <w:r>
        <w:rPr>
          <w:rFonts w:hint="eastAsia" w:ascii="Times New Roman" w:hAnsi="Times New Roman" w:eastAsia="宋体"/>
          <w:color w:val="auto"/>
          <w:highlight w:val="none"/>
        </w:rPr>
        <w:t>248</w:t>
      </w:r>
      <w:r>
        <w:rPr>
          <w:rFonts w:ascii="Times New Roman" w:hAnsi="Times New Roman" w:eastAsia="宋体"/>
          <w:color w:val="auto"/>
          <w:highlight w:val="none"/>
        </w:rPr>
        <w:t>万元，占总投资的</w:t>
      </w:r>
      <w:r>
        <w:rPr>
          <w:rFonts w:hint="eastAsia" w:ascii="Times New Roman" w:hAnsi="Times New Roman" w:eastAsia="宋体"/>
          <w:color w:val="auto"/>
          <w:highlight w:val="none"/>
        </w:rPr>
        <w:t>42.03</w:t>
      </w:r>
      <w:r>
        <w:rPr>
          <w:rFonts w:ascii="Times New Roman" w:hAnsi="Times New Roman" w:eastAsia="宋体"/>
          <w:color w:val="auto"/>
          <w:highlight w:val="none"/>
        </w:rPr>
        <w:t>%。主要环保投资情况详见下表5.3-1。</w:t>
      </w:r>
    </w:p>
    <w:p>
      <w:pPr>
        <w:spacing w:line="240" w:lineRule="auto"/>
        <w:ind w:firstLine="0" w:firstLineChars="0"/>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表5.3-1 环保投资估算一览表</w:t>
      </w:r>
    </w:p>
    <w:tbl>
      <w:tblPr>
        <w:tblStyle w:val="48"/>
        <w:tblW w:w="9093"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688"/>
        <w:gridCol w:w="693"/>
        <w:gridCol w:w="1194"/>
        <w:gridCol w:w="5310"/>
        <w:gridCol w:w="1208"/>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88"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时期</w:t>
            </w:r>
          </w:p>
        </w:tc>
        <w:tc>
          <w:tcPr>
            <w:tcW w:w="693"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项目</w:t>
            </w:r>
          </w:p>
        </w:tc>
        <w:tc>
          <w:tcPr>
            <w:tcW w:w="1194"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污染源</w:t>
            </w:r>
          </w:p>
        </w:tc>
        <w:tc>
          <w:tcPr>
            <w:tcW w:w="5310"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环保投资内容</w:t>
            </w:r>
          </w:p>
        </w:tc>
        <w:tc>
          <w:tcPr>
            <w:tcW w:w="1208"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环保投资(万元)</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88"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营</w:t>
            </w:r>
          </w:p>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运</w:t>
            </w:r>
          </w:p>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期</w:t>
            </w:r>
          </w:p>
        </w:tc>
        <w:tc>
          <w:tcPr>
            <w:tcW w:w="693"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废气</w:t>
            </w:r>
          </w:p>
        </w:tc>
        <w:tc>
          <w:tcPr>
            <w:tcW w:w="119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厨房</w:t>
            </w:r>
          </w:p>
        </w:tc>
        <w:tc>
          <w:tcPr>
            <w:tcW w:w="5310"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油烟排放增加油烟净化器处理装置</w:t>
            </w:r>
          </w:p>
        </w:tc>
        <w:tc>
          <w:tcPr>
            <w:tcW w:w="120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88"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9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开采作业</w:t>
            </w:r>
          </w:p>
        </w:tc>
        <w:tc>
          <w:tcPr>
            <w:tcW w:w="5310"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hint="eastAsia" w:ascii="Times New Roman" w:hAnsi="Times New Roman" w:eastAsia="宋体" w:cs="Times New Roman"/>
                <w:bCs/>
                <w:color w:val="auto"/>
                <w:sz w:val="21"/>
                <w:highlight w:val="none"/>
              </w:rPr>
              <w:t>开采区增加雾炮机，</w:t>
            </w:r>
            <w:r>
              <w:rPr>
                <w:rFonts w:ascii="Times New Roman" w:hAnsi="Times New Roman" w:eastAsia="宋体" w:cs="Times New Roman"/>
                <w:bCs/>
                <w:color w:val="auto"/>
                <w:sz w:val="21"/>
                <w:highlight w:val="none"/>
              </w:rPr>
              <w:t>开采时洒水抑尘</w:t>
            </w:r>
          </w:p>
        </w:tc>
        <w:tc>
          <w:tcPr>
            <w:tcW w:w="1208"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88"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9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凿岩钻孔</w:t>
            </w:r>
          </w:p>
        </w:tc>
        <w:tc>
          <w:tcPr>
            <w:tcW w:w="5310"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凿岩钻孔前洒水湿润，采用自带收尘装置潜孔钻机</w:t>
            </w:r>
          </w:p>
        </w:tc>
        <w:tc>
          <w:tcPr>
            <w:tcW w:w="1208"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88"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9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爆破</w:t>
            </w:r>
          </w:p>
        </w:tc>
        <w:tc>
          <w:tcPr>
            <w:tcW w:w="5310"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预爆破区洒水，爆破后洒水抑尘</w:t>
            </w:r>
          </w:p>
        </w:tc>
        <w:tc>
          <w:tcPr>
            <w:tcW w:w="1208"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88"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9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装卸作业</w:t>
            </w:r>
          </w:p>
        </w:tc>
        <w:tc>
          <w:tcPr>
            <w:tcW w:w="5310"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bCs/>
                <w:color w:val="auto"/>
                <w:sz w:val="21"/>
                <w:highlight w:val="none"/>
              </w:rPr>
              <w:t>装卸作业采取洒水抑尘</w:t>
            </w:r>
          </w:p>
        </w:tc>
        <w:tc>
          <w:tcPr>
            <w:tcW w:w="1208"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88"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9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w:t>
            </w:r>
            <w:r>
              <w:rPr>
                <w:rFonts w:ascii="Times New Roman" w:hAnsi="Times New Roman" w:eastAsia="宋体" w:cs="Times New Roman"/>
                <w:color w:val="auto"/>
                <w:sz w:val="21"/>
                <w:highlight w:val="none"/>
              </w:rPr>
              <w:t>破碎</w:t>
            </w:r>
          </w:p>
        </w:tc>
        <w:tc>
          <w:tcPr>
            <w:tcW w:w="5310" w:type="dxa"/>
            <w:noWrap w:val="0"/>
            <w:vAlign w:val="center"/>
          </w:tcPr>
          <w:p>
            <w:pPr>
              <w:adjustRightInd w:val="0"/>
              <w:snapToGrid w:val="0"/>
              <w:spacing w:line="240" w:lineRule="auto"/>
              <w:ind w:firstLine="0" w:firstLineChars="0"/>
              <w:jc w:val="left"/>
              <w:rPr>
                <w:rFonts w:ascii="Times New Roman" w:hAnsi="Times New Roman" w:eastAsia="宋体" w:cs="Times New Roman"/>
                <w:bCs/>
                <w:color w:val="auto"/>
                <w:sz w:val="21"/>
                <w:highlight w:val="none"/>
              </w:rPr>
            </w:pPr>
            <w:r>
              <w:rPr>
                <w:rFonts w:hint="eastAsia" w:ascii="Times New Roman" w:hAnsi="Times New Roman" w:eastAsia="宋体" w:cs="Times New Roman"/>
                <w:color w:val="auto"/>
                <w:kern w:val="0"/>
                <w:sz w:val="21"/>
                <w:highlight w:val="none"/>
              </w:rPr>
              <w:t>喷淋+封闭+负压收集</w:t>
            </w:r>
            <w:r>
              <w:rPr>
                <w:rFonts w:ascii="Times New Roman" w:hAnsi="Times New Roman" w:eastAsia="宋体" w:cs="Times New Roman"/>
                <w:color w:val="auto"/>
                <w:kern w:val="0"/>
                <w:sz w:val="21"/>
                <w:highlight w:val="none"/>
              </w:rPr>
              <w:t>+袋式除尘</w:t>
            </w:r>
            <w:r>
              <w:rPr>
                <w:rFonts w:ascii="Times New Roman" w:hAnsi="Times New Roman" w:eastAsia="宋体" w:cs="Times New Roman"/>
                <w:bCs/>
                <w:color w:val="auto"/>
                <w:sz w:val="21"/>
                <w:highlight w:val="none"/>
              </w:rPr>
              <w:t>+15m排气筒等配套设施</w:t>
            </w:r>
          </w:p>
        </w:tc>
        <w:tc>
          <w:tcPr>
            <w:tcW w:w="120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88"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9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二级破碎筛分</w:t>
            </w:r>
          </w:p>
        </w:tc>
        <w:tc>
          <w:tcPr>
            <w:tcW w:w="5310" w:type="dxa"/>
            <w:noWrap w:val="0"/>
            <w:vAlign w:val="center"/>
          </w:tcPr>
          <w:p>
            <w:pPr>
              <w:adjustRightInd w:val="0"/>
              <w:snapToGrid w:val="0"/>
              <w:spacing w:line="240" w:lineRule="auto"/>
              <w:ind w:firstLine="0" w:firstLineChars="0"/>
              <w:jc w:val="left"/>
              <w:rPr>
                <w:rFonts w:ascii="Times New Roman" w:hAnsi="Times New Roman" w:eastAsia="宋体" w:cs="Times New Roman"/>
                <w:bCs/>
                <w:color w:val="auto"/>
                <w:sz w:val="21"/>
                <w:highlight w:val="none"/>
              </w:rPr>
            </w:pPr>
            <w:r>
              <w:rPr>
                <w:rFonts w:hint="eastAsia" w:ascii="Times New Roman" w:hAnsi="Times New Roman" w:eastAsia="宋体" w:cs="Times New Roman"/>
                <w:color w:val="auto"/>
                <w:kern w:val="0"/>
                <w:sz w:val="21"/>
                <w:highlight w:val="none"/>
              </w:rPr>
              <w:t>喷淋+封闭+负压收集</w:t>
            </w:r>
            <w:r>
              <w:rPr>
                <w:rFonts w:ascii="Times New Roman" w:hAnsi="Times New Roman" w:eastAsia="宋体" w:cs="Times New Roman"/>
                <w:color w:val="auto"/>
                <w:kern w:val="0"/>
                <w:sz w:val="21"/>
                <w:highlight w:val="none"/>
              </w:rPr>
              <w:t>+袋式除尘</w:t>
            </w:r>
            <w:r>
              <w:rPr>
                <w:rFonts w:ascii="Times New Roman" w:hAnsi="Times New Roman" w:eastAsia="宋体" w:cs="Times New Roman"/>
                <w:bCs/>
                <w:color w:val="auto"/>
                <w:sz w:val="21"/>
                <w:highlight w:val="none"/>
              </w:rPr>
              <w:t>+15m排气筒等配套设施</w:t>
            </w:r>
          </w:p>
        </w:tc>
        <w:tc>
          <w:tcPr>
            <w:tcW w:w="120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88"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9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p>
        </w:tc>
        <w:tc>
          <w:tcPr>
            <w:tcW w:w="5310" w:type="dxa"/>
            <w:noWrap w:val="0"/>
            <w:vAlign w:val="center"/>
          </w:tcPr>
          <w:p>
            <w:pPr>
              <w:adjustRightInd w:val="0"/>
              <w:snapToGrid w:val="0"/>
              <w:spacing w:line="240" w:lineRule="auto"/>
              <w:ind w:firstLine="0" w:firstLineChars="0"/>
              <w:jc w:val="left"/>
              <w:rPr>
                <w:rFonts w:ascii="Times New Roman" w:hAnsi="Times New Roman" w:eastAsia="宋体" w:cs="Times New Roman"/>
                <w:bCs/>
                <w:color w:val="auto"/>
                <w:sz w:val="21"/>
                <w:highlight w:val="none"/>
              </w:rPr>
            </w:pPr>
            <w:r>
              <w:rPr>
                <w:rFonts w:hint="eastAsia" w:ascii="Times New Roman" w:hAnsi="Times New Roman" w:eastAsia="宋体" w:cs="Times New Roman"/>
                <w:color w:val="auto"/>
                <w:kern w:val="0"/>
                <w:sz w:val="21"/>
                <w:highlight w:val="none"/>
              </w:rPr>
              <w:t>喷淋+封闭+负压收集</w:t>
            </w:r>
            <w:r>
              <w:rPr>
                <w:rFonts w:ascii="Times New Roman" w:hAnsi="Times New Roman" w:eastAsia="宋体" w:cs="Times New Roman"/>
                <w:color w:val="auto"/>
                <w:kern w:val="0"/>
                <w:sz w:val="21"/>
                <w:highlight w:val="none"/>
              </w:rPr>
              <w:t>+袋式除尘</w:t>
            </w:r>
            <w:r>
              <w:rPr>
                <w:rFonts w:ascii="Times New Roman" w:hAnsi="Times New Roman" w:eastAsia="宋体" w:cs="Times New Roman"/>
                <w:bCs/>
                <w:color w:val="auto"/>
                <w:sz w:val="21"/>
                <w:highlight w:val="none"/>
              </w:rPr>
              <w:t>+15m排气筒等配套设施</w:t>
            </w:r>
          </w:p>
        </w:tc>
        <w:tc>
          <w:tcPr>
            <w:tcW w:w="120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88"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9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临时</w:t>
            </w:r>
            <w:r>
              <w:rPr>
                <w:rFonts w:hint="eastAsia" w:ascii="Times New Roman" w:hAnsi="Times New Roman" w:eastAsia="宋体" w:cs="Times New Roman"/>
                <w:color w:val="auto"/>
                <w:sz w:val="21"/>
                <w:highlight w:val="none"/>
              </w:rPr>
              <w:t>排土场</w:t>
            </w:r>
            <w:r>
              <w:rPr>
                <w:rFonts w:ascii="Times New Roman" w:hAnsi="Times New Roman" w:eastAsia="宋体" w:cs="Times New Roman"/>
                <w:color w:val="auto"/>
                <w:sz w:val="21"/>
                <w:highlight w:val="none"/>
              </w:rPr>
              <w:t>、堆料场</w:t>
            </w:r>
          </w:p>
        </w:tc>
        <w:tc>
          <w:tcPr>
            <w:tcW w:w="5310" w:type="dxa"/>
            <w:noWrap w:val="0"/>
            <w:vAlign w:val="center"/>
          </w:tcPr>
          <w:p>
            <w:pPr>
              <w:adjustRightInd w:val="0"/>
              <w:snapToGrid w:val="0"/>
              <w:spacing w:line="240" w:lineRule="auto"/>
              <w:ind w:firstLine="0" w:firstLineChars="0"/>
              <w:jc w:val="left"/>
              <w:rPr>
                <w:rFonts w:ascii="Times New Roman" w:hAnsi="Times New Roman" w:eastAsia="宋体" w:cs="Times New Roman"/>
                <w:bCs/>
                <w:color w:val="auto"/>
                <w:sz w:val="21"/>
                <w:highlight w:val="none"/>
              </w:rPr>
            </w:pPr>
            <w:r>
              <w:rPr>
                <w:rFonts w:hint="eastAsia" w:ascii="Times New Roman" w:hAnsi="Times New Roman" w:eastAsia="宋体" w:cs="Times New Roman"/>
                <w:color w:val="auto"/>
                <w:sz w:val="21"/>
                <w:highlight w:val="none"/>
              </w:rPr>
              <w:t>临时排土场</w:t>
            </w:r>
            <w:r>
              <w:rPr>
                <w:rFonts w:ascii="Times New Roman" w:hAnsi="Times New Roman" w:eastAsia="宋体" w:cs="Times New Roman"/>
                <w:color w:val="auto"/>
                <w:sz w:val="21"/>
                <w:highlight w:val="none"/>
              </w:rPr>
              <w:t>周边设置围挡</w:t>
            </w:r>
            <w:r>
              <w:rPr>
                <w:rFonts w:hint="eastAsia" w:ascii="Times New Roman" w:hAnsi="Times New Roman" w:eastAsia="宋体" w:cs="Times New Roman"/>
                <w:color w:val="auto"/>
                <w:sz w:val="21"/>
                <w:highlight w:val="none"/>
              </w:rPr>
              <w:t>和导流沟</w:t>
            </w:r>
            <w:r>
              <w:rPr>
                <w:rFonts w:ascii="Times New Roman" w:hAnsi="Times New Roman" w:eastAsia="宋体" w:cs="Times New Roman"/>
                <w:color w:val="auto"/>
                <w:sz w:val="21"/>
                <w:highlight w:val="none"/>
              </w:rPr>
              <w:t>、定时洒水降尘</w:t>
            </w:r>
            <w:r>
              <w:rPr>
                <w:rFonts w:hint="eastAsia" w:ascii="Times New Roman" w:hAnsi="Times New Roman" w:eastAsia="宋体" w:cs="Times New Roman"/>
                <w:color w:val="auto"/>
                <w:sz w:val="21"/>
                <w:highlight w:val="none"/>
              </w:rPr>
              <w:t>，堆料场地面进行硬化处理，堆料场设置防尘网并定时洒水降尘，石粉仓建设厂棚，落料增加可伸缩斜槽，破碎加工区增加雾炮机洒水作业</w:t>
            </w:r>
          </w:p>
        </w:tc>
        <w:tc>
          <w:tcPr>
            <w:tcW w:w="120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88"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9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输送、</w:t>
            </w:r>
            <w:r>
              <w:rPr>
                <w:rFonts w:ascii="Times New Roman" w:hAnsi="Times New Roman" w:eastAsia="宋体" w:cs="Times New Roman"/>
                <w:color w:val="auto"/>
                <w:sz w:val="21"/>
                <w:highlight w:val="none"/>
              </w:rPr>
              <w:t>运输</w:t>
            </w:r>
          </w:p>
        </w:tc>
        <w:tc>
          <w:tcPr>
            <w:tcW w:w="5310" w:type="dxa"/>
            <w:noWrap w:val="0"/>
            <w:vAlign w:val="center"/>
          </w:tcPr>
          <w:p>
            <w:pPr>
              <w:adjustRightInd w:val="0"/>
              <w:snapToGrid w:val="0"/>
              <w:spacing w:line="240" w:lineRule="auto"/>
              <w:ind w:firstLine="0" w:firstLineChars="0"/>
              <w:jc w:val="left"/>
              <w:rPr>
                <w:rFonts w:ascii="Times New Roman" w:hAnsi="Times New Roman" w:eastAsia="宋体" w:cs="Times New Roman"/>
                <w:bCs/>
                <w:color w:val="auto"/>
                <w:sz w:val="21"/>
                <w:highlight w:val="none"/>
              </w:rPr>
            </w:pPr>
            <w:r>
              <w:rPr>
                <w:rFonts w:hint="eastAsia" w:ascii="Times New Roman" w:hAnsi="Times New Roman" w:eastAsia="宋体" w:cs="Times New Roman"/>
                <w:color w:val="auto"/>
                <w:sz w:val="21"/>
                <w:highlight w:val="none"/>
              </w:rPr>
              <w:t>输送过程密闭处理并在输送带两端设置喷淋和帘布，</w:t>
            </w:r>
            <w:r>
              <w:rPr>
                <w:rFonts w:ascii="Times New Roman" w:hAnsi="Times New Roman" w:eastAsia="宋体" w:cs="Times New Roman"/>
                <w:color w:val="auto"/>
                <w:sz w:val="21"/>
                <w:highlight w:val="none"/>
              </w:rPr>
              <w:t>运输车辆用篷布遮盖；</w:t>
            </w:r>
            <w:r>
              <w:rPr>
                <w:rFonts w:hint="eastAsia" w:ascii="Times New Roman" w:hAnsi="Times New Roman" w:eastAsia="宋体" w:cs="Times New Roman"/>
                <w:color w:val="auto"/>
                <w:sz w:val="21"/>
                <w:highlight w:val="none"/>
              </w:rPr>
              <w:t>运输道路地面硬化处理，</w:t>
            </w:r>
            <w:r>
              <w:rPr>
                <w:rFonts w:ascii="Times New Roman" w:hAnsi="Times New Roman" w:eastAsia="宋体" w:cs="Times New Roman"/>
                <w:color w:val="auto"/>
                <w:sz w:val="21"/>
                <w:highlight w:val="none"/>
              </w:rPr>
              <w:t>新增洒水车</w:t>
            </w:r>
            <w:r>
              <w:rPr>
                <w:rFonts w:hint="eastAsia" w:ascii="Times New Roman" w:hAnsi="Times New Roman" w:eastAsia="宋体" w:cs="Times New Roman"/>
                <w:color w:val="auto"/>
                <w:sz w:val="21"/>
                <w:highlight w:val="none"/>
              </w:rPr>
              <w:t>2</w:t>
            </w:r>
            <w:r>
              <w:rPr>
                <w:rFonts w:ascii="Times New Roman" w:hAnsi="Times New Roman" w:eastAsia="宋体" w:cs="Times New Roman"/>
                <w:color w:val="auto"/>
                <w:sz w:val="21"/>
                <w:highlight w:val="none"/>
              </w:rPr>
              <w:t>台，运输道路定时洒水抑尘；车辆清洗池和</w:t>
            </w:r>
            <w:r>
              <w:rPr>
                <w:rFonts w:hint="eastAsia" w:ascii="Times New Roman" w:hAnsi="Times New Roman" w:eastAsia="宋体" w:cs="Times New Roman"/>
                <w:color w:val="auto"/>
                <w:sz w:val="21"/>
                <w:highlight w:val="none"/>
              </w:rPr>
              <w:t>隔油沉砂池</w:t>
            </w:r>
          </w:p>
        </w:tc>
        <w:tc>
          <w:tcPr>
            <w:tcW w:w="1208"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88"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93"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w:t>
            </w:r>
          </w:p>
        </w:tc>
        <w:tc>
          <w:tcPr>
            <w:tcW w:w="119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初期雨水</w:t>
            </w:r>
          </w:p>
        </w:tc>
        <w:tc>
          <w:tcPr>
            <w:tcW w:w="5310"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color w:val="auto"/>
                <w:sz w:val="21"/>
                <w:highlight w:val="none"/>
              </w:rPr>
              <w:t>设截排水沟，截排水沟末端设置2个初期雨水沉砂池</w:t>
            </w:r>
          </w:p>
        </w:tc>
        <w:tc>
          <w:tcPr>
            <w:tcW w:w="1208"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88"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9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生活污水</w:t>
            </w:r>
          </w:p>
        </w:tc>
        <w:tc>
          <w:tcPr>
            <w:tcW w:w="53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隔油池</w:t>
            </w:r>
          </w:p>
        </w:tc>
        <w:tc>
          <w:tcPr>
            <w:tcW w:w="1208"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rPr>
        <w:tc>
          <w:tcPr>
            <w:tcW w:w="688"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93"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固体废物</w:t>
            </w:r>
          </w:p>
        </w:tc>
        <w:tc>
          <w:tcPr>
            <w:tcW w:w="119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一般工业固体废物</w:t>
            </w:r>
          </w:p>
        </w:tc>
        <w:tc>
          <w:tcPr>
            <w:tcW w:w="5310"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hint="eastAsia" w:ascii="Times New Roman" w:hAnsi="Times New Roman" w:eastAsia="宋体" w:cs="Times New Roman"/>
                <w:color w:val="auto"/>
                <w:kern w:val="0"/>
                <w:sz w:val="21"/>
                <w:highlight w:val="none"/>
              </w:rPr>
              <w:t>临时排土场</w:t>
            </w:r>
            <w:r>
              <w:rPr>
                <w:rFonts w:ascii="Times New Roman" w:hAnsi="Times New Roman" w:eastAsia="宋体" w:cs="Times New Roman"/>
                <w:color w:val="auto"/>
                <w:kern w:val="0"/>
                <w:sz w:val="21"/>
                <w:highlight w:val="none"/>
              </w:rPr>
              <w:t>建设</w:t>
            </w:r>
          </w:p>
        </w:tc>
        <w:tc>
          <w:tcPr>
            <w:tcW w:w="1208"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88"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9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危险废物暂存间</w:t>
            </w:r>
          </w:p>
        </w:tc>
        <w:tc>
          <w:tcPr>
            <w:tcW w:w="5310"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ascii="Times New Roman" w:hAnsi="Times New Roman" w:eastAsia="宋体" w:cs="Times New Roman"/>
                <w:color w:val="auto"/>
                <w:kern w:val="0"/>
                <w:sz w:val="21"/>
                <w:highlight w:val="none"/>
              </w:rPr>
              <w:t>危险废物暂存间贮存，</w:t>
            </w:r>
            <w:r>
              <w:rPr>
                <w:rFonts w:ascii="Times New Roman" w:hAnsi="Times New Roman" w:eastAsia="宋体" w:cs="Times New Roman"/>
                <w:bCs/>
                <w:color w:val="auto"/>
                <w:sz w:val="21"/>
                <w:highlight w:val="none"/>
              </w:rPr>
              <w:t>危险废物暂存间防渗</w:t>
            </w:r>
          </w:p>
        </w:tc>
        <w:tc>
          <w:tcPr>
            <w:tcW w:w="1208"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88"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93"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19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生活垃圾</w:t>
            </w:r>
          </w:p>
        </w:tc>
        <w:tc>
          <w:tcPr>
            <w:tcW w:w="53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设置生活垃圾桶</w:t>
            </w:r>
          </w:p>
        </w:tc>
        <w:tc>
          <w:tcPr>
            <w:tcW w:w="120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88"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93"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环境风险</w:t>
            </w:r>
          </w:p>
        </w:tc>
        <w:tc>
          <w:tcPr>
            <w:tcW w:w="119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柴油储罐</w:t>
            </w:r>
          </w:p>
        </w:tc>
        <w:tc>
          <w:tcPr>
            <w:tcW w:w="53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柴油储罐区增加围堰，储罐区地表做防渗处理</w:t>
            </w:r>
          </w:p>
        </w:tc>
        <w:tc>
          <w:tcPr>
            <w:tcW w:w="120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88"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93"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噪声</w:t>
            </w:r>
          </w:p>
        </w:tc>
        <w:tc>
          <w:tcPr>
            <w:tcW w:w="119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矿区</w:t>
            </w:r>
          </w:p>
        </w:tc>
        <w:tc>
          <w:tcPr>
            <w:tcW w:w="53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设备维护管理，减振降噪、厂房隔声</w:t>
            </w:r>
          </w:p>
        </w:tc>
        <w:tc>
          <w:tcPr>
            <w:tcW w:w="1208"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8"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887" w:type="dxa"/>
            <w:gridSpan w:val="2"/>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生态环境治理</w:t>
            </w:r>
          </w:p>
        </w:tc>
        <w:tc>
          <w:tcPr>
            <w:tcW w:w="53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土地损毁及边坡崩塌滑坡监测、地形变形监测</w:t>
            </w:r>
          </w:p>
        </w:tc>
        <w:tc>
          <w:tcPr>
            <w:tcW w:w="1208" w:type="dxa"/>
            <w:noWrap w:val="0"/>
            <w:vAlign w:val="center"/>
          </w:tcPr>
          <w:p>
            <w:pPr>
              <w:pStyle w:val="81"/>
              <w:widowControl w:val="0"/>
              <w:adjustRightInd w:val="0"/>
              <w:snapToGrid w:val="0"/>
              <w:jc w:val="center"/>
              <w:textAlignment w:val="center"/>
              <w:rPr>
                <w:rFonts w:ascii="Times New Roman" w:hAnsi="Times New Roman" w:eastAsia="宋体"/>
                <w:color w:val="auto"/>
                <w:kern w:val="0"/>
                <w:szCs w:val="21"/>
                <w:highlight w:val="none"/>
                <w:lang w:val="en-US" w:eastAsia="zh-CN"/>
              </w:rPr>
            </w:pPr>
            <w:r>
              <w:rPr>
                <w:rFonts w:ascii="Times New Roman" w:hAnsi="Times New Roman" w:eastAsia="宋体"/>
                <w:color w:val="auto"/>
                <w:kern w:val="0"/>
                <w:szCs w:val="21"/>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rPr>
        <w:tc>
          <w:tcPr>
            <w:tcW w:w="68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闭矿期</w:t>
            </w:r>
          </w:p>
        </w:tc>
        <w:tc>
          <w:tcPr>
            <w:tcW w:w="1887" w:type="dxa"/>
            <w:gridSpan w:val="2"/>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310" w:type="dxa"/>
            <w:noWrap w:val="0"/>
            <w:vAlign w:val="center"/>
          </w:tcPr>
          <w:p>
            <w:pPr>
              <w:pStyle w:val="81"/>
              <w:widowControl w:val="0"/>
              <w:adjustRightInd w:val="0"/>
              <w:snapToGrid w:val="0"/>
              <w:jc w:val="left"/>
              <w:textAlignment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矿山闭矿后地形地貌恢复、植被恢复及巡视监测工程</w:t>
            </w:r>
            <w:r>
              <w:rPr>
                <w:rFonts w:hint="eastAsia" w:ascii="Times New Roman" w:hAnsi="Times New Roman" w:eastAsia="宋体"/>
                <w:color w:val="auto"/>
                <w:szCs w:val="21"/>
                <w:highlight w:val="none"/>
                <w:lang w:val="en-US" w:eastAsia="zh-CN"/>
              </w:rPr>
              <w:t>，</w:t>
            </w:r>
            <w:r>
              <w:rPr>
                <w:rFonts w:ascii="Times New Roman" w:hAnsi="Times New Roman" w:eastAsia="宋体"/>
                <w:color w:val="auto"/>
                <w:szCs w:val="21"/>
                <w:highlight w:val="none"/>
                <w:lang w:val="en-US" w:eastAsia="zh-CN"/>
              </w:rPr>
              <w:t>种植爬山虎、撒播草籽等进行恢复工程</w:t>
            </w:r>
          </w:p>
        </w:tc>
        <w:tc>
          <w:tcPr>
            <w:tcW w:w="1208" w:type="dxa"/>
            <w:noWrap w:val="0"/>
            <w:vAlign w:val="center"/>
          </w:tcPr>
          <w:p>
            <w:pPr>
              <w:pStyle w:val="81"/>
              <w:widowControl w:val="0"/>
              <w:adjustRightInd w:val="0"/>
              <w:snapToGrid w:val="0"/>
              <w:jc w:val="center"/>
              <w:textAlignment w:val="center"/>
              <w:rPr>
                <w:rFonts w:ascii="Times New Roman" w:hAnsi="Times New Roman" w:eastAsia="宋体"/>
                <w:color w:val="auto"/>
                <w:highlight w:val="none"/>
                <w:lang w:val="en-US" w:eastAsia="zh-CN"/>
              </w:rPr>
            </w:pPr>
            <w:r>
              <w:rPr>
                <w:rFonts w:ascii="Times New Roman" w:hAnsi="Times New Roman" w:eastAsia="宋体"/>
                <w:color w:val="auto"/>
                <w:kern w:val="0"/>
                <w:szCs w:val="21"/>
                <w:highlight w:val="none"/>
                <w:lang w:val="en-US" w:eastAsia="zh-CN"/>
              </w:rPr>
              <w:t>1</w:t>
            </w:r>
            <w:r>
              <w:rPr>
                <w:rFonts w:hint="eastAsia" w:ascii="Times New Roman" w:hAnsi="Times New Roman" w:eastAsia="宋体"/>
                <w:color w:val="auto"/>
                <w:kern w:val="0"/>
                <w:szCs w:val="21"/>
                <w:highlight w:val="none"/>
                <w:lang w:val="en-US" w:eastAsia="zh-CN"/>
              </w:rPr>
              <w:t>2</w:t>
            </w:r>
            <w:r>
              <w:rPr>
                <w:rFonts w:ascii="Times New Roman" w:hAnsi="Times New Roman" w:eastAsia="宋体"/>
                <w:color w:val="auto"/>
                <w:kern w:val="0"/>
                <w:szCs w:val="21"/>
                <w:highlight w:val="non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575" w:type="dxa"/>
            <w:gridSpan w:val="3"/>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环境影响评价费用</w:t>
            </w:r>
          </w:p>
        </w:tc>
        <w:tc>
          <w:tcPr>
            <w:tcW w:w="53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环境影响评价</w:t>
            </w:r>
          </w:p>
        </w:tc>
        <w:tc>
          <w:tcPr>
            <w:tcW w:w="120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w:t>
            </w:r>
            <w:r>
              <w:rPr>
                <w:rFonts w:ascii="Times New Roman" w:hAnsi="Times New Roman" w:eastAsia="宋体" w:cs="Times New Roman"/>
                <w:color w:val="auto"/>
                <w:sz w:val="21"/>
                <w:highlight w:val="none"/>
              </w:rPr>
              <w:t>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575" w:type="dxa"/>
            <w:gridSpan w:val="3"/>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31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竣工环保验收监测</w:t>
            </w:r>
          </w:p>
        </w:tc>
        <w:tc>
          <w:tcPr>
            <w:tcW w:w="120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885" w:type="dxa"/>
            <w:gridSpan w:val="4"/>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合计</w:t>
            </w:r>
          </w:p>
        </w:tc>
        <w:tc>
          <w:tcPr>
            <w:tcW w:w="120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248</w:t>
            </w:r>
          </w:p>
        </w:tc>
      </w:tr>
    </w:tbl>
    <w:p>
      <w:pPr>
        <w:tabs>
          <w:tab w:val="left" w:pos="4658"/>
        </w:tabs>
        <w:ind w:firstLine="480"/>
        <w:rPr>
          <w:rFonts w:ascii="Times New Roman" w:hAnsi="Times New Roman" w:eastAsia="宋体" w:cs="Times New Roman"/>
          <w:color w:val="auto"/>
          <w:highlight w:val="none"/>
        </w:rPr>
        <w:sectPr>
          <w:headerReference r:id="rId20" w:type="default"/>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2"/>
        <w:rPr>
          <w:rFonts w:ascii="Times New Roman" w:hAnsi="Times New Roman" w:eastAsia="宋体"/>
          <w:color w:val="auto"/>
          <w:highlight w:val="none"/>
        </w:rPr>
      </w:pPr>
      <w:bookmarkStart w:id="439" w:name="_Toc24325"/>
      <w:bookmarkStart w:id="440" w:name="_Toc16006"/>
      <w:bookmarkStart w:id="441" w:name="_Toc17552"/>
      <w:r>
        <w:rPr>
          <w:rFonts w:ascii="Times New Roman" w:hAnsi="Times New Roman" w:eastAsia="宋体"/>
          <w:color w:val="auto"/>
          <w:highlight w:val="none"/>
        </w:rPr>
        <w:t>6 环境经济损益分析</w:t>
      </w:r>
      <w:bookmarkEnd w:id="439"/>
      <w:bookmarkEnd w:id="440"/>
      <w:bookmarkEnd w:id="441"/>
    </w:p>
    <w:p>
      <w:pPr>
        <w:pStyle w:val="4"/>
        <w:rPr>
          <w:rFonts w:ascii="Times New Roman" w:hAnsi="Times New Roman" w:eastAsia="宋体"/>
          <w:color w:val="auto"/>
          <w:highlight w:val="none"/>
        </w:rPr>
      </w:pPr>
      <w:bookmarkStart w:id="442" w:name="_Toc30825"/>
      <w:bookmarkStart w:id="443" w:name="_Toc1493"/>
      <w:bookmarkStart w:id="444" w:name="_Toc30758"/>
      <w:bookmarkStart w:id="445" w:name="_Toc5235"/>
      <w:bookmarkStart w:id="446" w:name="_Toc6639"/>
      <w:bookmarkStart w:id="447" w:name="_Toc22394"/>
      <w:bookmarkStart w:id="448" w:name="_Toc21194"/>
      <w:bookmarkStart w:id="449" w:name="_Toc29621"/>
      <w:bookmarkStart w:id="450" w:name="_Toc24118"/>
      <w:bookmarkStart w:id="451" w:name="_Toc2251"/>
      <w:bookmarkStart w:id="452" w:name="_Toc24858"/>
      <w:bookmarkStart w:id="453" w:name="_Toc11952"/>
      <w:bookmarkStart w:id="454" w:name="_Toc11187"/>
      <w:bookmarkStart w:id="455" w:name="_Toc16757"/>
      <w:bookmarkStart w:id="456" w:name="_Toc31305"/>
      <w:bookmarkStart w:id="457" w:name="_Toc21713"/>
      <w:bookmarkStart w:id="458" w:name="_Toc17944"/>
      <w:bookmarkStart w:id="459" w:name="_Toc4345"/>
      <w:bookmarkStart w:id="460" w:name="_Toc13517"/>
      <w:bookmarkStart w:id="461" w:name="_Toc1113"/>
      <w:bookmarkStart w:id="462" w:name="_Toc4041"/>
      <w:bookmarkStart w:id="463" w:name="_Toc16377"/>
      <w:bookmarkStart w:id="464" w:name="_Toc264142483"/>
      <w:bookmarkStart w:id="465" w:name="_Toc29590"/>
      <w:bookmarkStart w:id="466" w:name="_Toc22844"/>
      <w:bookmarkStart w:id="467" w:name="_Toc29710"/>
      <w:bookmarkStart w:id="468" w:name="_Toc1027"/>
      <w:bookmarkStart w:id="469" w:name="_Toc6389"/>
      <w:bookmarkStart w:id="470" w:name="_Toc245008324"/>
      <w:r>
        <w:rPr>
          <w:rFonts w:ascii="Times New Roman" w:hAnsi="Times New Roman" w:eastAsia="宋体"/>
          <w:color w:val="auto"/>
          <w:highlight w:val="none"/>
        </w:rPr>
        <w:t>6.1 经济效益分析</w:t>
      </w:r>
      <w:bookmarkEnd w:id="442"/>
      <w:bookmarkEnd w:id="443"/>
      <w:bookmarkEnd w:id="444"/>
      <w:bookmarkEnd w:id="445"/>
      <w:bookmarkEnd w:id="446"/>
    </w:p>
    <w:p>
      <w:pPr>
        <w:ind w:firstLine="480"/>
        <w:rPr>
          <w:rFonts w:ascii="Times New Roman" w:hAnsi="Times New Roman" w:eastAsia="宋体" w:cs="Times New Roman"/>
          <w:color w:val="auto"/>
          <w:highlight w:val="none"/>
        </w:rPr>
      </w:pPr>
      <w:bookmarkStart w:id="471" w:name="_Toc20234"/>
      <w:bookmarkStart w:id="472" w:name="_Toc1687"/>
      <w:bookmarkStart w:id="473" w:name="_Toc15213"/>
      <w:bookmarkStart w:id="474" w:name="_Toc9209"/>
      <w:r>
        <w:rPr>
          <w:rFonts w:ascii="Times New Roman" w:hAnsi="Times New Roman" w:eastAsia="宋体" w:cs="Times New Roman"/>
          <w:color w:val="auto"/>
          <w:highlight w:val="none"/>
        </w:rPr>
        <w:t>本项目总投资</w:t>
      </w:r>
      <w:r>
        <w:rPr>
          <w:rFonts w:hint="eastAsia" w:ascii="Times New Roman" w:hAnsi="Times New Roman" w:eastAsia="宋体" w:cs="Times New Roman"/>
          <w:color w:val="auto"/>
          <w:highlight w:val="none"/>
        </w:rPr>
        <w:t>590</w:t>
      </w:r>
      <w:r>
        <w:rPr>
          <w:rFonts w:ascii="Times New Roman" w:hAnsi="Times New Roman" w:eastAsia="宋体" w:cs="Times New Roman"/>
          <w:color w:val="auto"/>
          <w:highlight w:val="none"/>
        </w:rPr>
        <w:t>万元，年销售收入</w:t>
      </w:r>
      <w:r>
        <w:rPr>
          <w:rFonts w:hint="eastAsia" w:ascii="Times New Roman" w:hAnsi="Times New Roman" w:eastAsia="宋体" w:cs="Times New Roman"/>
          <w:color w:val="auto"/>
          <w:highlight w:val="none"/>
        </w:rPr>
        <w:t>800</w:t>
      </w:r>
      <w:r>
        <w:rPr>
          <w:rFonts w:ascii="Times New Roman" w:hAnsi="Times New Roman" w:eastAsia="宋体" w:cs="Times New Roman"/>
          <w:color w:val="auto"/>
          <w:highlight w:val="none"/>
        </w:rPr>
        <w:t>万元，年生产成本</w:t>
      </w:r>
      <w:r>
        <w:rPr>
          <w:rFonts w:hint="eastAsia" w:ascii="Times New Roman" w:hAnsi="Times New Roman" w:eastAsia="宋体" w:cs="Times New Roman"/>
          <w:color w:val="auto"/>
          <w:highlight w:val="none"/>
        </w:rPr>
        <w:t>440</w:t>
      </w:r>
      <w:r>
        <w:rPr>
          <w:rFonts w:ascii="Times New Roman" w:hAnsi="Times New Roman" w:eastAsia="宋体" w:cs="Times New Roman"/>
          <w:color w:val="auto"/>
          <w:highlight w:val="none"/>
        </w:rPr>
        <w:t>万元，年净利润</w:t>
      </w:r>
      <w:r>
        <w:rPr>
          <w:rFonts w:hint="eastAsia" w:ascii="Times New Roman" w:hAnsi="Times New Roman" w:eastAsia="宋体" w:cs="Times New Roman"/>
          <w:color w:val="auto"/>
          <w:highlight w:val="none"/>
        </w:rPr>
        <w:t>360</w:t>
      </w:r>
      <w:r>
        <w:rPr>
          <w:rFonts w:ascii="Times New Roman" w:hAnsi="Times New Roman" w:eastAsia="宋体" w:cs="Times New Roman"/>
          <w:color w:val="auto"/>
          <w:highlight w:val="none"/>
        </w:rPr>
        <w:t>万元，具有一定的经济效益。此外对当地经济发展也有一定的促进作用，同时还可以解决数十人员的就业问题。</w:t>
      </w:r>
    </w:p>
    <w:p>
      <w:pPr>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表6.1-1  项目主要经济指标一览表</w:t>
      </w:r>
    </w:p>
    <w:tbl>
      <w:tblPr>
        <w:tblStyle w:val="48"/>
        <w:tblW w:w="909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171"/>
        <w:gridCol w:w="1182"/>
        <w:gridCol w:w="1237"/>
        <w:gridCol w:w="1894"/>
        <w:gridCol w:w="28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序号</w:t>
            </w:r>
          </w:p>
        </w:tc>
        <w:tc>
          <w:tcPr>
            <w:tcW w:w="2353" w:type="dxa"/>
            <w:gridSpan w:val="2"/>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经济指标</w:t>
            </w:r>
          </w:p>
        </w:tc>
        <w:tc>
          <w:tcPr>
            <w:tcW w:w="1237"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单位</w:t>
            </w:r>
          </w:p>
        </w:tc>
        <w:tc>
          <w:tcPr>
            <w:tcW w:w="1894"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数值</w:t>
            </w:r>
          </w:p>
        </w:tc>
        <w:tc>
          <w:tcPr>
            <w:tcW w:w="2851" w:type="dxa"/>
            <w:noWrap w:val="0"/>
            <w:vAlign w:val="center"/>
          </w:tcPr>
          <w:p>
            <w:pPr>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一</w:t>
            </w:r>
          </w:p>
        </w:tc>
        <w:tc>
          <w:tcPr>
            <w:tcW w:w="2353" w:type="dxa"/>
            <w:gridSpan w:val="2"/>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地质指标</w:t>
            </w:r>
          </w:p>
        </w:tc>
        <w:tc>
          <w:tcPr>
            <w:tcW w:w="1237"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p>
        </w:tc>
        <w:tc>
          <w:tcPr>
            <w:tcW w:w="1894"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p>
        </w:tc>
        <w:tc>
          <w:tcPr>
            <w:tcW w:w="2851"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2353" w:type="dxa"/>
            <w:gridSpan w:val="2"/>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可开采</w:t>
            </w:r>
            <w:r>
              <w:rPr>
                <w:rFonts w:ascii="Times New Roman" w:hAnsi="Times New Roman" w:eastAsia="宋体" w:cs="Times New Roman"/>
                <w:color w:val="auto"/>
                <w:sz w:val="21"/>
                <w:highlight w:val="none"/>
              </w:rPr>
              <w:t>储量（122b）</w:t>
            </w:r>
          </w:p>
        </w:tc>
        <w:tc>
          <w:tcPr>
            <w:tcW w:w="1237"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万t</w:t>
            </w:r>
          </w:p>
        </w:tc>
        <w:tc>
          <w:tcPr>
            <w:tcW w:w="1894"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2254.87</w:t>
            </w:r>
          </w:p>
        </w:tc>
        <w:tc>
          <w:tcPr>
            <w:tcW w:w="2851"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折合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2353" w:type="dxa"/>
            <w:gridSpan w:val="2"/>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可采出资源量</w:t>
            </w:r>
          </w:p>
        </w:tc>
        <w:tc>
          <w:tcPr>
            <w:tcW w:w="1237"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万t</w:t>
            </w:r>
          </w:p>
        </w:tc>
        <w:tc>
          <w:tcPr>
            <w:tcW w:w="1894"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2029.383</w:t>
            </w:r>
          </w:p>
        </w:tc>
        <w:tc>
          <w:tcPr>
            <w:tcW w:w="2851"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回采率取90%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二</w:t>
            </w:r>
          </w:p>
        </w:tc>
        <w:tc>
          <w:tcPr>
            <w:tcW w:w="2353" w:type="dxa"/>
            <w:gridSpan w:val="2"/>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采矿技术指标</w:t>
            </w:r>
          </w:p>
        </w:tc>
        <w:tc>
          <w:tcPr>
            <w:tcW w:w="1237"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p>
        </w:tc>
        <w:tc>
          <w:tcPr>
            <w:tcW w:w="1894"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p>
        </w:tc>
        <w:tc>
          <w:tcPr>
            <w:tcW w:w="2851"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2353" w:type="dxa"/>
            <w:gridSpan w:val="2"/>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采矿规模</w:t>
            </w:r>
          </w:p>
        </w:tc>
        <w:tc>
          <w:tcPr>
            <w:tcW w:w="1237"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万t</w:t>
            </w:r>
          </w:p>
        </w:tc>
        <w:tc>
          <w:tcPr>
            <w:tcW w:w="1894"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50</w:t>
            </w:r>
          </w:p>
        </w:tc>
        <w:tc>
          <w:tcPr>
            <w:tcW w:w="2851"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2353" w:type="dxa"/>
            <w:gridSpan w:val="2"/>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开采方式</w:t>
            </w:r>
          </w:p>
        </w:tc>
        <w:tc>
          <w:tcPr>
            <w:tcW w:w="1237"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p>
        </w:tc>
        <w:tc>
          <w:tcPr>
            <w:tcW w:w="1894"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p>
        </w:tc>
        <w:tc>
          <w:tcPr>
            <w:tcW w:w="2851"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露天开采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2353" w:type="dxa"/>
            <w:gridSpan w:val="2"/>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矿石回采率</w:t>
            </w:r>
          </w:p>
        </w:tc>
        <w:tc>
          <w:tcPr>
            <w:tcW w:w="1237"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894"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90</w:t>
            </w:r>
          </w:p>
        </w:tc>
        <w:tc>
          <w:tcPr>
            <w:tcW w:w="2851"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1171"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产品方案</w:t>
            </w:r>
          </w:p>
        </w:tc>
        <w:tc>
          <w:tcPr>
            <w:tcW w:w="1182"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建筑石料用硅质岩</w:t>
            </w:r>
          </w:p>
        </w:tc>
        <w:tc>
          <w:tcPr>
            <w:tcW w:w="1237"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万t</w:t>
            </w:r>
          </w:p>
        </w:tc>
        <w:tc>
          <w:tcPr>
            <w:tcW w:w="1894"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50</w:t>
            </w:r>
          </w:p>
        </w:tc>
        <w:tc>
          <w:tcPr>
            <w:tcW w:w="2851"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建筑用</w:t>
            </w:r>
            <w:r>
              <w:rPr>
                <w:rFonts w:hint="eastAsia" w:ascii="Times New Roman" w:hAnsi="Times New Roman" w:eastAsia="宋体" w:cs="Times New Roman"/>
                <w:color w:val="auto"/>
                <w:sz w:val="21"/>
                <w:highlight w:val="none"/>
              </w:rPr>
              <w:t>石粉、</w:t>
            </w:r>
            <w:r>
              <w:rPr>
                <w:rFonts w:ascii="Times New Roman" w:hAnsi="Times New Roman" w:eastAsia="宋体" w:cs="Times New Roman"/>
                <w:color w:val="auto"/>
                <w:sz w:val="21"/>
                <w:highlight w:val="none"/>
              </w:rPr>
              <w:t>碎石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三</w:t>
            </w:r>
          </w:p>
        </w:tc>
        <w:tc>
          <w:tcPr>
            <w:tcW w:w="2353" w:type="dxa"/>
            <w:gridSpan w:val="2"/>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经济指标</w:t>
            </w:r>
          </w:p>
        </w:tc>
        <w:tc>
          <w:tcPr>
            <w:tcW w:w="1237"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p>
        </w:tc>
        <w:tc>
          <w:tcPr>
            <w:tcW w:w="1894"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p>
        </w:tc>
        <w:tc>
          <w:tcPr>
            <w:tcW w:w="2851"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p>
        </w:tc>
        <w:tc>
          <w:tcPr>
            <w:tcW w:w="2353" w:type="dxa"/>
            <w:gridSpan w:val="2"/>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总投资</w:t>
            </w:r>
          </w:p>
        </w:tc>
        <w:tc>
          <w:tcPr>
            <w:tcW w:w="1237"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万元</w:t>
            </w:r>
          </w:p>
        </w:tc>
        <w:tc>
          <w:tcPr>
            <w:tcW w:w="1894"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590</w:t>
            </w:r>
          </w:p>
        </w:tc>
        <w:tc>
          <w:tcPr>
            <w:tcW w:w="2851"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w:t>
            </w:r>
          </w:p>
        </w:tc>
        <w:tc>
          <w:tcPr>
            <w:tcW w:w="2353" w:type="dxa"/>
            <w:gridSpan w:val="2"/>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年销售收入</w:t>
            </w:r>
          </w:p>
        </w:tc>
        <w:tc>
          <w:tcPr>
            <w:tcW w:w="1237"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万元</w:t>
            </w:r>
          </w:p>
        </w:tc>
        <w:tc>
          <w:tcPr>
            <w:tcW w:w="1894"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800</w:t>
            </w:r>
          </w:p>
        </w:tc>
        <w:tc>
          <w:tcPr>
            <w:tcW w:w="2851"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w:t>
            </w:r>
          </w:p>
        </w:tc>
        <w:tc>
          <w:tcPr>
            <w:tcW w:w="2353" w:type="dxa"/>
            <w:gridSpan w:val="2"/>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生产成本</w:t>
            </w:r>
          </w:p>
        </w:tc>
        <w:tc>
          <w:tcPr>
            <w:tcW w:w="1237"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万元</w:t>
            </w:r>
          </w:p>
        </w:tc>
        <w:tc>
          <w:tcPr>
            <w:tcW w:w="1894" w:type="dxa"/>
            <w:noWrap w:val="0"/>
            <w:vAlign w:val="top"/>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440</w:t>
            </w:r>
          </w:p>
        </w:tc>
        <w:tc>
          <w:tcPr>
            <w:tcW w:w="2851"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w:t>
            </w:r>
          </w:p>
        </w:tc>
        <w:tc>
          <w:tcPr>
            <w:tcW w:w="2353" w:type="dxa"/>
            <w:gridSpan w:val="2"/>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年销售税金及附加</w:t>
            </w:r>
          </w:p>
        </w:tc>
        <w:tc>
          <w:tcPr>
            <w:tcW w:w="1237"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万元</w:t>
            </w:r>
          </w:p>
        </w:tc>
        <w:tc>
          <w:tcPr>
            <w:tcW w:w="1894" w:type="dxa"/>
            <w:noWrap w:val="0"/>
            <w:vAlign w:val="top"/>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144</w:t>
            </w:r>
          </w:p>
        </w:tc>
        <w:tc>
          <w:tcPr>
            <w:tcW w:w="2851"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按销售收入的18%计算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5</w:t>
            </w:r>
          </w:p>
        </w:tc>
        <w:tc>
          <w:tcPr>
            <w:tcW w:w="2353" w:type="dxa"/>
            <w:gridSpan w:val="2"/>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年利润总额</w:t>
            </w:r>
          </w:p>
        </w:tc>
        <w:tc>
          <w:tcPr>
            <w:tcW w:w="1237"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万元</w:t>
            </w:r>
          </w:p>
        </w:tc>
        <w:tc>
          <w:tcPr>
            <w:tcW w:w="1894" w:type="dxa"/>
            <w:noWrap w:val="0"/>
            <w:vAlign w:val="top"/>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216</w:t>
            </w:r>
          </w:p>
        </w:tc>
        <w:tc>
          <w:tcPr>
            <w:tcW w:w="2851"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6</w:t>
            </w:r>
          </w:p>
        </w:tc>
        <w:tc>
          <w:tcPr>
            <w:tcW w:w="2353" w:type="dxa"/>
            <w:gridSpan w:val="2"/>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年所得税</w:t>
            </w:r>
          </w:p>
        </w:tc>
        <w:tc>
          <w:tcPr>
            <w:tcW w:w="1237"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万元</w:t>
            </w:r>
          </w:p>
        </w:tc>
        <w:tc>
          <w:tcPr>
            <w:tcW w:w="1894" w:type="dxa"/>
            <w:noWrap w:val="0"/>
            <w:vAlign w:val="top"/>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54</w:t>
            </w:r>
          </w:p>
        </w:tc>
        <w:tc>
          <w:tcPr>
            <w:tcW w:w="2851"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按利润总额的25%计算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w:t>
            </w:r>
          </w:p>
        </w:tc>
        <w:tc>
          <w:tcPr>
            <w:tcW w:w="2353" w:type="dxa"/>
            <w:gridSpan w:val="2"/>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年净利润</w:t>
            </w:r>
          </w:p>
        </w:tc>
        <w:tc>
          <w:tcPr>
            <w:tcW w:w="1237"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万元</w:t>
            </w:r>
          </w:p>
        </w:tc>
        <w:tc>
          <w:tcPr>
            <w:tcW w:w="1894" w:type="dxa"/>
            <w:noWrap w:val="0"/>
            <w:vAlign w:val="top"/>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162</w:t>
            </w:r>
          </w:p>
        </w:tc>
        <w:tc>
          <w:tcPr>
            <w:tcW w:w="2851"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8</w:t>
            </w:r>
          </w:p>
        </w:tc>
        <w:tc>
          <w:tcPr>
            <w:tcW w:w="2353" w:type="dxa"/>
            <w:gridSpan w:val="2"/>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投资利润率</w:t>
            </w:r>
          </w:p>
        </w:tc>
        <w:tc>
          <w:tcPr>
            <w:tcW w:w="1237"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894"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36.6</w:t>
            </w:r>
          </w:p>
        </w:tc>
        <w:tc>
          <w:tcPr>
            <w:tcW w:w="2851"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9</w:t>
            </w:r>
          </w:p>
        </w:tc>
        <w:tc>
          <w:tcPr>
            <w:tcW w:w="2353" w:type="dxa"/>
            <w:gridSpan w:val="2"/>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税前投资回收期</w:t>
            </w:r>
          </w:p>
        </w:tc>
        <w:tc>
          <w:tcPr>
            <w:tcW w:w="1237"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w:t>
            </w:r>
          </w:p>
        </w:tc>
        <w:tc>
          <w:tcPr>
            <w:tcW w:w="1894"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2.73</w:t>
            </w:r>
          </w:p>
        </w:tc>
        <w:tc>
          <w:tcPr>
            <w:tcW w:w="2851"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w:t>
            </w:r>
          </w:p>
        </w:tc>
        <w:tc>
          <w:tcPr>
            <w:tcW w:w="2353" w:type="dxa"/>
            <w:gridSpan w:val="2"/>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税后投资回收期</w:t>
            </w:r>
          </w:p>
        </w:tc>
        <w:tc>
          <w:tcPr>
            <w:tcW w:w="1237"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年</w:t>
            </w:r>
          </w:p>
        </w:tc>
        <w:tc>
          <w:tcPr>
            <w:tcW w:w="1894"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3.64</w:t>
            </w:r>
          </w:p>
        </w:tc>
        <w:tc>
          <w:tcPr>
            <w:tcW w:w="2851" w:type="dxa"/>
            <w:noWrap w:val="0"/>
            <w:vAlign w:val="center"/>
          </w:tcPr>
          <w:p>
            <w:pPr>
              <w:adjustRightIn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矿山服务年限</w:t>
            </w:r>
            <w:r>
              <w:rPr>
                <w:rFonts w:hint="eastAsia" w:ascii="Times New Roman" w:hAnsi="Times New Roman" w:eastAsia="宋体" w:cs="Times New Roman"/>
                <w:color w:val="auto"/>
                <w:sz w:val="21"/>
                <w:highlight w:val="none"/>
              </w:rPr>
              <w:t>29</w:t>
            </w:r>
            <w:r>
              <w:rPr>
                <w:rFonts w:ascii="Times New Roman" w:hAnsi="Times New Roman" w:eastAsia="宋体" w:cs="Times New Roman"/>
                <w:color w:val="auto"/>
                <w:sz w:val="21"/>
                <w:highlight w:val="none"/>
              </w:rPr>
              <w:t>年</w:t>
            </w:r>
          </w:p>
        </w:tc>
      </w:tr>
    </w:tbl>
    <w:p>
      <w:pPr>
        <w:pStyle w:val="4"/>
        <w:rPr>
          <w:rFonts w:ascii="Times New Roman" w:hAnsi="Times New Roman" w:eastAsia="宋体"/>
          <w:color w:val="auto"/>
          <w:highlight w:val="none"/>
        </w:rPr>
      </w:pPr>
      <w:bookmarkStart w:id="475" w:name="_Toc16581"/>
      <w:r>
        <w:rPr>
          <w:rFonts w:ascii="Times New Roman" w:hAnsi="Times New Roman" w:eastAsia="宋体"/>
          <w:color w:val="auto"/>
          <w:highlight w:val="none"/>
        </w:rPr>
        <w:t>6.2 社会效益分析</w:t>
      </w:r>
      <w:bookmarkEnd w:id="447"/>
      <w:bookmarkEnd w:id="448"/>
      <w:bookmarkEnd w:id="449"/>
      <w:bookmarkEnd w:id="450"/>
      <w:bookmarkEnd w:id="451"/>
      <w:bookmarkEnd w:id="452"/>
      <w:bookmarkEnd w:id="453"/>
      <w:bookmarkEnd w:id="454"/>
      <w:bookmarkEnd w:id="455"/>
      <w:bookmarkEnd w:id="456"/>
      <w:bookmarkEnd w:id="471"/>
      <w:bookmarkEnd w:id="472"/>
      <w:bookmarkEnd w:id="473"/>
      <w:bookmarkEnd w:id="474"/>
      <w:bookmarkEnd w:id="475"/>
    </w:p>
    <w:p>
      <w:pPr>
        <w:ind w:firstLine="480"/>
        <w:rPr>
          <w:rFonts w:ascii="Times New Roman" w:hAnsi="Times New Roman" w:eastAsia="宋体" w:cs="Times New Roman"/>
          <w:color w:val="auto"/>
          <w:highlight w:val="none"/>
        </w:rPr>
      </w:pPr>
      <w:bookmarkStart w:id="476" w:name="_Toc19620"/>
      <w:bookmarkStart w:id="477" w:name="_Toc21968"/>
      <w:bookmarkStart w:id="478" w:name="_Toc23233"/>
      <w:bookmarkStart w:id="479" w:name="_Toc3096"/>
      <w:bookmarkStart w:id="480" w:name="_Toc16439"/>
      <w:bookmarkStart w:id="481" w:name="_Toc13478"/>
      <w:bookmarkStart w:id="482" w:name="_Toc26984"/>
      <w:bookmarkStart w:id="483" w:name="_Toc27684"/>
      <w:bookmarkStart w:id="484" w:name="_Toc12962"/>
      <w:bookmarkStart w:id="485" w:name="_Toc9374"/>
      <w:r>
        <w:rPr>
          <w:rFonts w:ascii="Times New Roman" w:hAnsi="Times New Roman" w:eastAsia="宋体" w:cs="Times New Roman"/>
          <w:color w:val="auto"/>
          <w:highlight w:val="none"/>
        </w:rPr>
        <w:t>本项目建成投产后，社会效益主要表现在以下几方面：</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（1）项目建设每年会向当地政府上缴一定数额的税金，提高了地方财政收入，对推动地方经济的发展具有重要的意义。</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（2）矿区的建设运营还将带动当地其他产业的发展，如交通、建筑及第三产业，间接的拓宽了就业范围，改善了社会就业状况，促进社会稳定。</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（3）项目建成后有利于改善当地的基础设施建设，居民的生活、消费水平将得到较大提高，改善当地的经济、社会等状况。</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（4）项目建设结合市场需求，合理开发利用了当地丰富的矿产资源，使当地的资源优势变成经济优势，促进当地经济持续、稳定地发展。</w:t>
      </w:r>
    </w:p>
    <w:bookmarkEnd w:id="476"/>
    <w:bookmarkEnd w:id="477"/>
    <w:bookmarkEnd w:id="478"/>
    <w:bookmarkEnd w:id="479"/>
    <w:bookmarkEnd w:id="480"/>
    <w:bookmarkEnd w:id="481"/>
    <w:bookmarkEnd w:id="482"/>
    <w:bookmarkEnd w:id="483"/>
    <w:bookmarkEnd w:id="484"/>
    <w:bookmarkEnd w:id="485"/>
    <w:p>
      <w:pPr>
        <w:pStyle w:val="4"/>
        <w:rPr>
          <w:rFonts w:ascii="Times New Roman" w:hAnsi="Times New Roman" w:eastAsia="宋体"/>
          <w:color w:val="auto"/>
          <w:highlight w:val="none"/>
        </w:rPr>
      </w:pPr>
      <w:bookmarkStart w:id="486" w:name="_Toc2380"/>
      <w:bookmarkStart w:id="487" w:name="_Toc1611"/>
      <w:bookmarkStart w:id="488" w:name="_Toc2814"/>
      <w:bookmarkStart w:id="489" w:name="_Toc12909"/>
      <w:bookmarkStart w:id="490" w:name="_Toc8824"/>
      <w:bookmarkStart w:id="491" w:name="_Toc151"/>
      <w:bookmarkStart w:id="492" w:name="_Toc21604"/>
      <w:bookmarkStart w:id="493" w:name="_Toc4967"/>
      <w:r>
        <w:rPr>
          <w:rFonts w:ascii="Times New Roman" w:hAnsi="Times New Roman" w:eastAsia="宋体"/>
          <w:color w:val="auto"/>
          <w:highlight w:val="none"/>
        </w:rPr>
        <w:t>6.3 环境效益分析</w:t>
      </w:r>
      <w:bookmarkEnd w:id="486"/>
      <w:bookmarkEnd w:id="487"/>
      <w:bookmarkEnd w:id="488"/>
      <w:bookmarkEnd w:id="489"/>
      <w:bookmarkEnd w:id="490"/>
      <w:bookmarkEnd w:id="491"/>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项目环保投资包括环保设施投资、营运期环保设施维修费、项目环保管理人员的工资和办公经费等。</w:t>
      </w:r>
    </w:p>
    <w:p>
      <w:pPr>
        <w:pStyle w:val="5"/>
        <w:rPr>
          <w:rFonts w:ascii="Times New Roman" w:hAnsi="Times New Roman" w:eastAsia="宋体"/>
          <w:color w:val="auto"/>
          <w:highlight w:val="none"/>
        </w:rPr>
      </w:pPr>
      <w:bookmarkStart w:id="494" w:name="_Toc14876"/>
      <w:bookmarkStart w:id="495" w:name="_Toc15225"/>
      <w:r>
        <w:rPr>
          <w:rFonts w:ascii="Times New Roman" w:hAnsi="Times New Roman" w:eastAsia="宋体"/>
          <w:color w:val="auto"/>
          <w:highlight w:val="none"/>
        </w:rPr>
        <w:t>6.3.1 环境保护措施费用</w:t>
      </w:r>
      <w:bookmarkEnd w:id="492"/>
      <w:bookmarkEnd w:id="493"/>
      <w:bookmarkEnd w:id="494"/>
      <w:bookmarkEnd w:id="495"/>
    </w:p>
    <w:p>
      <w:pPr>
        <w:ind w:firstLine="480"/>
        <w:rPr>
          <w:rFonts w:ascii="Times New Roman" w:hAnsi="Times New Roman" w:eastAsia="宋体" w:cs="Times New Roman"/>
          <w:color w:val="auto"/>
          <w:highlight w:val="none"/>
        </w:rPr>
      </w:pPr>
      <w:bookmarkStart w:id="496" w:name="_Toc5821"/>
      <w:bookmarkStart w:id="497" w:name="_Toc17107"/>
      <w:r>
        <w:rPr>
          <w:rFonts w:ascii="Times New Roman" w:hAnsi="Times New Roman" w:eastAsia="宋体" w:cs="Times New Roman"/>
          <w:color w:val="auto"/>
          <w:highlight w:val="none"/>
        </w:rPr>
        <w:t>项目总投资</w:t>
      </w:r>
      <w:r>
        <w:rPr>
          <w:rFonts w:hint="eastAsia" w:ascii="Times New Roman" w:hAnsi="Times New Roman" w:eastAsia="宋体" w:cs="Times New Roman"/>
          <w:color w:val="auto"/>
          <w:highlight w:val="none"/>
        </w:rPr>
        <w:t>590</w:t>
      </w:r>
      <w:r>
        <w:rPr>
          <w:rFonts w:ascii="Times New Roman" w:hAnsi="Times New Roman" w:eastAsia="宋体" w:cs="Times New Roman"/>
          <w:color w:val="auto"/>
          <w:highlight w:val="none"/>
        </w:rPr>
        <w:t>万元，其中环保投资共计</w:t>
      </w:r>
      <w:r>
        <w:rPr>
          <w:rFonts w:hint="eastAsia" w:ascii="Times New Roman" w:hAnsi="Times New Roman" w:eastAsia="宋体" w:cs="Times New Roman"/>
          <w:color w:val="auto"/>
          <w:highlight w:val="none"/>
        </w:rPr>
        <w:t>248</w:t>
      </w:r>
      <w:r>
        <w:rPr>
          <w:rFonts w:ascii="Times New Roman" w:hAnsi="Times New Roman" w:eastAsia="宋体" w:cs="Times New Roman"/>
          <w:color w:val="auto"/>
          <w:highlight w:val="none"/>
        </w:rPr>
        <w:t>万元，占总投资的</w:t>
      </w:r>
      <w:r>
        <w:rPr>
          <w:rFonts w:hint="eastAsia" w:ascii="Times New Roman" w:hAnsi="Times New Roman" w:eastAsia="宋体" w:cs="Times New Roman"/>
          <w:color w:val="auto"/>
          <w:highlight w:val="none"/>
        </w:rPr>
        <w:t>40.03</w:t>
      </w:r>
      <w:r>
        <w:rPr>
          <w:rFonts w:ascii="Times New Roman" w:hAnsi="Times New Roman" w:eastAsia="宋体" w:cs="Times New Roman"/>
          <w:color w:val="auto"/>
          <w:highlight w:val="none"/>
        </w:rPr>
        <w:t>%。矿山</w:t>
      </w:r>
      <w:r>
        <w:rPr>
          <w:rFonts w:hint="eastAsia" w:ascii="Times New Roman" w:hAnsi="Times New Roman" w:eastAsia="宋体" w:cs="Times New Roman"/>
          <w:color w:val="auto"/>
          <w:highlight w:val="none"/>
          <w:lang w:val="en-US" w:eastAsia="zh-CN"/>
        </w:rPr>
        <w:t>整合</w:t>
      </w:r>
      <w:r>
        <w:rPr>
          <w:rFonts w:ascii="Times New Roman" w:hAnsi="Times New Roman" w:eastAsia="宋体" w:cs="Times New Roman"/>
          <w:color w:val="auto"/>
          <w:highlight w:val="none"/>
        </w:rPr>
        <w:t>后各个污染工序均须增加相应的环保措施，环保投资得到落实后，废气、废水、固体废物等污染可得到有效治理，对于矿山建设项目而言，该项目环保投资所占比例较为合理。</w:t>
      </w:r>
    </w:p>
    <w:p>
      <w:pPr>
        <w:pStyle w:val="5"/>
        <w:rPr>
          <w:rFonts w:ascii="Times New Roman" w:hAnsi="Times New Roman" w:eastAsia="宋体"/>
          <w:color w:val="auto"/>
          <w:highlight w:val="none"/>
        </w:rPr>
      </w:pPr>
      <w:bookmarkStart w:id="498" w:name="_Toc2967"/>
      <w:bookmarkStart w:id="499" w:name="_Toc7005"/>
      <w:r>
        <w:rPr>
          <w:rFonts w:ascii="Times New Roman" w:hAnsi="Times New Roman" w:eastAsia="宋体"/>
          <w:color w:val="auto"/>
          <w:highlight w:val="none"/>
        </w:rPr>
        <w:t>6.3.2 环境</w:t>
      </w:r>
      <w:bookmarkEnd w:id="496"/>
      <w:bookmarkEnd w:id="497"/>
      <w:r>
        <w:rPr>
          <w:rFonts w:ascii="Times New Roman" w:hAnsi="Times New Roman" w:eastAsia="宋体"/>
          <w:color w:val="auto"/>
          <w:highlight w:val="none"/>
        </w:rPr>
        <w:t>污染损失分析</w:t>
      </w:r>
      <w:bookmarkEnd w:id="498"/>
      <w:bookmarkEnd w:id="499"/>
    </w:p>
    <w:p>
      <w:pPr>
        <w:ind w:firstLine="480"/>
        <w:rPr>
          <w:rFonts w:ascii="Times New Roman" w:hAnsi="Times New Roman" w:eastAsia="宋体" w:cs="Times New Roman"/>
          <w:color w:val="auto"/>
          <w:highlight w:val="none"/>
        </w:rPr>
      </w:pPr>
      <w:bookmarkStart w:id="500" w:name="_Toc13169"/>
      <w:bookmarkStart w:id="501" w:name="_Toc22114"/>
      <w:bookmarkStart w:id="502" w:name="_Toc32339"/>
      <w:r>
        <w:rPr>
          <w:rFonts w:ascii="Times New Roman" w:hAnsi="Times New Roman" w:eastAsia="宋体" w:cs="Times New Roman"/>
          <w:color w:val="auto"/>
          <w:highlight w:val="none"/>
        </w:rPr>
        <w:t>环境污染损失分析以经济形式反映出来，根据“三废”排放对环境造成的一切损失，环境污染损失分析主要包括三个方面，可用下式表示：</w:t>
      </w:r>
    </w:p>
    <w:p>
      <w:pPr>
        <w:ind w:firstLine="48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WS=A+B+C</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式中：</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A—资源和能源流失代价；</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B—污染物对周围环境中生产和生活资料所造成的损失；</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C—各种污染物对人体健康造成的损失。</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（1）资源和能源流失代价（A）</w:t>
      </w:r>
    </w:p>
    <w:p>
      <w:pPr>
        <w:ind w:firstLine="480"/>
        <w:jc w:val="center"/>
        <w:rPr>
          <w:rFonts w:ascii="Times New Roman" w:hAnsi="Times New Roman" w:eastAsia="宋体" w:cs="Times New Roman"/>
          <w:color w:val="auto"/>
          <w:highlight w:val="none"/>
        </w:rPr>
      </w:pPr>
      <w:r>
        <w:rPr>
          <w:rFonts w:ascii="Times New Roman" w:hAnsi="Times New Roman" w:eastAsia="宋体" w:cs="Times New Roman"/>
          <w:color w:val="auto"/>
          <w:position w:val="-28"/>
          <w:highlight w:val="none"/>
        </w:rPr>
        <w:object>
          <v:shape id="_x0000_i1038" o:spt="75" type="#_x0000_t75" style="height:33.55pt;width:58.1pt;" o:ole="t" filled="f" o:preferrelative="t" stroked="f" coordsize="21600,21600">
            <v:path/>
            <v:fill on="f" focussize="0,0"/>
            <v:stroke on="f"/>
            <v:imagedata r:id="rId108" o:title=""/>
            <o:lock v:ext="edit" aspectratio="t"/>
            <w10:wrap type="none"/>
            <w10:anchorlock/>
          </v:shape>
          <o:OLEObject Type="Embed" ProgID="Equation.KSEE3" ShapeID="_x0000_i1038" DrawAspect="Content" ObjectID="_1468075741" r:id="rId107">
            <o:LockedField>false</o:LockedField>
          </o:OLEObject>
        </w:objec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式中：</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Q</w:t>
      </w:r>
      <w:r>
        <w:rPr>
          <w:rFonts w:ascii="Times New Roman" w:hAnsi="Times New Roman" w:eastAsia="宋体" w:cs="Times New Roman"/>
          <w:color w:val="auto"/>
          <w:highlight w:val="none"/>
          <w:vertAlign w:val="subscript"/>
        </w:rPr>
        <w:t>i</w:t>
      </w:r>
      <w:r>
        <w:rPr>
          <w:rFonts w:ascii="Times New Roman" w:hAnsi="Times New Roman" w:eastAsia="宋体" w:cs="Times New Roman"/>
          <w:color w:val="auto"/>
          <w:highlight w:val="none"/>
        </w:rPr>
        <w:t>—能源、资源流失年累计总量；</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P</w:t>
      </w:r>
      <w:r>
        <w:rPr>
          <w:rFonts w:ascii="Times New Roman" w:hAnsi="Times New Roman" w:eastAsia="宋体" w:cs="Times New Roman"/>
          <w:color w:val="auto"/>
          <w:highlight w:val="none"/>
          <w:vertAlign w:val="subscript"/>
        </w:rPr>
        <w:t>i</w:t>
      </w:r>
      <w:r>
        <w:rPr>
          <w:rFonts w:ascii="Times New Roman" w:hAnsi="Times New Roman" w:eastAsia="宋体" w:cs="Times New Roman"/>
          <w:color w:val="auto"/>
          <w:highlight w:val="none"/>
        </w:rPr>
        <w:t>—流失物按产品计算的不变价格；</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i—品种数。</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结合本项目特点，该工程投产后能源流失（考虑综合回收利用后）价值主要为电和柴油，详见下表6.3-1。</w:t>
      </w:r>
    </w:p>
    <w:p>
      <w:pPr>
        <w:spacing w:line="240" w:lineRule="auto"/>
        <w:ind w:firstLine="0" w:firstLineChars="0"/>
        <w:jc w:val="center"/>
        <w:rPr>
          <w:rFonts w:ascii="Times New Roman" w:hAnsi="Times New Roman" w:eastAsia="宋体" w:cs="Times New Roman"/>
          <w:b/>
          <w:bCs/>
          <w:color w:val="auto"/>
          <w:highlight w:val="none"/>
        </w:rPr>
      </w:pPr>
    </w:p>
    <w:p>
      <w:pPr>
        <w:spacing w:line="240" w:lineRule="auto"/>
        <w:ind w:firstLine="0" w:firstLineChars="0"/>
        <w:jc w:val="center"/>
        <w:rPr>
          <w:rFonts w:ascii="Times New Roman" w:hAnsi="Times New Roman" w:eastAsia="宋体" w:cs="Times New Roman"/>
          <w:b/>
          <w:bCs/>
          <w:color w:val="auto"/>
          <w:highlight w:val="none"/>
        </w:rPr>
      </w:pPr>
    </w:p>
    <w:p>
      <w:pPr>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 6.3-1  本项目能源流失情况表</w:t>
      </w:r>
    </w:p>
    <w:tbl>
      <w:tblPr>
        <w:tblStyle w:val="48"/>
        <w:tblW w:w="9093"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2273"/>
        <w:gridCol w:w="2272"/>
        <w:gridCol w:w="2275"/>
        <w:gridCol w:w="2273"/>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trPr>
        <w:tc>
          <w:tcPr>
            <w:tcW w:w="2273" w:type="dxa"/>
            <w:noWrap w:val="0"/>
            <w:vAlign w:val="center"/>
          </w:tcPr>
          <w:p>
            <w:pPr>
              <w:pStyle w:val="29"/>
              <w:pBdr>
                <w:bottom w:val="none" w:color="auto" w:sz="0" w:space="0"/>
              </w:pBdr>
              <w:spacing w:line="240" w:lineRule="auto"/>
              <w:ind w:firstLine="0" w:firstLineChars="0"/>
              <w:rPr>
                <w:rFonts w:ascii="Times New Roman" w:hAnsi="Times New Roman" w:eastAsia="宋体"/>
                <w:b/>
                <w:bCs/>
                <w:color w:val="auto"/>
                <w:sz w:val="21"/>
                <w:szCs w:val="24"/>
                <w:highlight w:val="none"/>
                <w:lang w:val="en-US" w:eastAsia="zh-CN"/>
              </w:rPr>
            </w:pPr>
            <w:r>
              <w:rPr>
                <w:rFonts w:ascii="Times New Roman" w:hAnsi="Times New Roman" w:eastAsia="宋体"/>
                <w:b/>
                <w:bCs/>
                <w:color w:val="auto"/>
                <w:sz w:val="21"/>
                <w:szCs w:val="24"/>
                <w:highlight w:val="none"/>
                <w:lang w:val="en-US" w:eastAsia="zh-CN"/>
              </w:rPr>
              <w:t>名称</w:t>
            </w:r>
          </w:p>
        </w:tc>
        <w:tc>
          <w:tcPr>
            <w:tcW w:w="2272" w:type="dxa"/>
            <w:noWrap w:val="0"/>
            <w:vAlign w:val="center"/>
          </w:tcPr>
          <w:p>
            <w:pPr>
              <w:pStyle w:val="29"/>
              <w:pBdr>
                <w:bottom w:val="none" w:color="auto" w:sz="0" w:space="0"/>
              </w:pBdr>
              <w:spacing w:line="240" w:lineRule="auto"/>
              <w:ind w:firstLine="0" w:firstLineChars="0"/>
              <w:rPr>
                <w:rFonts w:ascii="Times New Roman" w:hAnsi="Times New Roman" w:eastAsia="宋体"/>
                <w:b/>
                <w:bCs/>
                <w:color w:val="auto"/>
                <w:sz w:val="21"/>
                <w:szCs w:val="24"/>
                <w:highlight w:val="none"/>
                <w:lang w:val="en-US" w:eastAsia="zh-CN"/>
              </w:rPr>
            </w:pPr>
            <w:r>
              <w:rPr>
                <w:rFonts w:ascii="Times New Roman" w:hAnsi="Times New Roman" w:eastAsia="宋体"/>
                <w:b/>
                <w:bCs/>
                <w:color w:val="auto"/>
                <w:sz w:val="21"/>
                <w:szCs w:val="24"/>
                <w:highlight w:val="none"/>
                <w:lang w:val="en-US" w:eastAsia="zh-CN"/>
              </w:rPr>
              <w:t>年用量</w:t>
            </w:r>
          </w:p>
        </w:tc>
        <w:tc>
          <w:tcPr>
            <w:tcW w:w="2275" w:type="dxa"/>
            <w:noWrap w:val="0"/>
            <w:vAlign w:val="center"/>
          </w:tcPr>
          <w:p>
            <w:pPr>
              <w:pStyle w:val="29"/>
              <w:pBdr>
                <w:bottom w:val="none" w:color="auto" w:sz="0" w:space="0"/>
              </w:pBdr>
              <w:spacing w:line="240" w:lineRule="auto"/>
              <w:ind w:firstLine="0" w:firstLineChars="0"/>
              <w:rPr>
                <w:rFonts w:ascii="Times New Roman" w:hAnsi="Times New Roman" w:eastAsia="宋体"/>
                <w:b/>
                <w:bCs/>
                <w:color w:val="auto"/>
                <w:sz w:val="21"/>
                <w:szCs w:val="24"/>
                <w:highlight w:val="none"/>
                <w:lang w:val="en-US" w:eastAsia="zh-CN"/>
              </w:rPr>
            </w:pPr>
            <w:r>
              <w:rPr>
                <w:rFonts w:ascii="Times New Roman" w:hAnsi="Times New Roman" w:eastAsia="宋体"/>
                <w:b/>
                <w:bCs/>
                <w:color w:val="auto"/>
                <w:sz w:val="21"/>
                <w:szCs w:val="24"/>
                <w:highlight w:val="none"/>
                <w:lang w:val="en-US" w:eastAsia="zh-CN"/>
              </w:rPr>
              <w:t>价格</w:t>
            </w:r>
          </w:p>
        </w:tc>
        <w:tc>
          <w:tcPr>
            <w:tcW w:w="2273" w:type="dxa"/>
            <w:noWrap w:val="0"/>
            <w:vAlign w:val="center"/>
          </w:tcPr>
          <w:p>
            <w:pPr>
              <w:pStyle w:val="29"/>
              <w:pBdr>
                <w:bottom w:val="none" w:color="auto" w:sz="0" w:space="0"/>
              </w:pBdr>
              <w:spacing w:line="240" w:lineRule="auto"/>
              <w:ind w:firstLine="0" w:firstLineChars="0"/>
              <w:rPr>
                <w:rFonts w:ascii="Times New Roman" w:hAnsi="Times New Roman" w:eastAsia="宋体"/>
                <w:color w:val="auto"/>
                <w:highlight w:val="none"/>
                <w:lang w:val="en-US" w:eastAsia="zh-CN"/>
              </w:rPr>
            </w:pPr>
            <w:r>
              <w:rPr>
                <w:rFonts w:ascii="Times New Roman" w:hAnsi="Times New Roman" w:eastAsia="宋体"/>
                <w:b/>
                <w:bCs/>
                <w:color w:val="auto"/>
                <w:sz w:val="21"/>
                <w:szCs w:val="24"/>
                <w:highlight w:val="none"/>
                <w:lang w:val="en-US" w:eastAsia="zh-CN"/>
              </w:rPr>
              <w:t>流失价值（万元）</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trPr>
        <w:tc>
          <w:tcPr>
            <w:tcW w:w="2273"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电</w:t>
            </w:r>
          </w:p>
        </w:tc>
        <w:tc>
          <w:tcPr>
            <w:tcW w:w="2272" w:type="dxa"/>
            <w:noWrap w:val="0"/>
            <w:vAlign w:val="center"/>
          </w:tcPr>
          <w:p>
            <w:pPr>
              <w:pStyle w:val="29"/>
              <w:pBdr>
                <w:bottom w:val="none" w:color="auto" w:sz="0" w:space="0"/>
              </w:pBdr>
              <w:spacing w:line="240" w:lineRule="auto"/>
              <w:ind w:firstLine="0" w:firstLineChars="0"/>
              <w:rPr>
                <w:rFonts w:ascii="Times New Roman" w:hAnsi="Times New Roman" w:eastAsia="宋体"/>
                <w:color w:val="auto"/>
                <w:sz w:val="21"/>
                <w:szCs w:val="24"/>
                <w:highlight w:val="none"/>
                <w:lang w:val="en-US" w:eastAsia="zh-CN"/>
              </w:rPr>
            </w:pPr>
            <w:r>
              <w:rPr>
                <w:rFonts w:hint="eastAsia" w:ascii="Times New Roman" w:hAnsi="Times New Roman" w:eastAsia="宋体"/>
                <w:color w:val="auto"/>
                <w:sz w:val="21"/>
                <w:szCs w:val="24"/>
                <w:highlight w:val="none"/>
                <w:lang w:val="en-US" w:eastAsia="zh-CN"/>
              </w:rPr>
              <w:t>120</w:t>
            </w:r>
            <w:r>
              <w:rPr>
                <w:rFonts w:ascii="Times New Roman" w:hAnsi="Times New Roman" w:eastAsia="宋体"/>
                <w:color w:val="auto"/>
                <w:sz w:val="21"/>
                <w:szCs w:val="24"/>
                <w:highlight w:val="none"/>
                <w:lang w:val="en-US" w:eastAsia="zh-CN"/>
              </w:rPr>
              <w:t>万 kW·h</w:t>
            </w:r>
          </w:p>
        </w:tc>
        <w:tc>
          <w:tcPr>
            <w:tcW w:w="2275" w:type="dxa"/>
            <w:noWrap w:val="0"/>
            <w:vAlign w:val="center"/>
          </w:tcPr>
          <w:p>
            <w:pPr>
              <w:pStyle w:val="29"/>
              <w:pBdr>
                <w:bottom w:val="none" w:color="auto" w:sz="0" w:space="0"/>
              </w:pBdr>
              <w:spacing w:line="240" w:lineRule="auto"/>
              <w:ind w:firstLine="0" w:firstLineChars="0"/>
              <w:rPr>
                <w:rFonts w:ascii="Times New Roman" w:hAnsi="Times New Roman" w:eastAsia="宋体"/>
                <w:color w:val="auto"/>
                <w:sz w:val="21"/>
                <w:szCs w:val="24"/>
                <w:highlight w:val="none"/>
                <w:lang w:val="en-US" w:eastAsia="zh-CN"/>
              </w:rPr>
            </w:pPr>
            <w:r>
              <w:rPr>
                <w:rFonts w:ascii="Times New Roman" w:hAnsi="Times New Roman" w:eastAsia="宋体"/>
                <w:color w:val="auto"/>
                <w:sz w:val="21"/>
                <w:szCs w:val="24"/>
                <w:highlight w:val="none"/>
                <w:lang w:val="en-US" w:eastAsia="zh-CN"/>
              </w:rPr>
              <w:t>0.6元/kw·h</w:t>
            </w:r>
          </w:p>
        </w:tc>
        <w:tc>
          <w:tcPr>
            <w:tcW w:w="2273" w:type="dxa"/>
            <w:noWrap w:val="0"/>
            <w:vAlign w:val="center"/>
          </w:tcPr>
          <w:p>
            <w:pPr>
              <w:pStyle w:val="29"/>
              <w:pBdr>
                <w:bottom w:val="none" w:color="auto" w:sz="0" w:space="0"/>
              </w:pBdr>
              <w:spacing w:line="240" w:lineRule="auto"/>
              <w:ind w:firstLine="0" w:firstLineChars="0"/>
              <w:rPr>
                <w:rFonts w:ascii="Times New Roman" w:hAnsi="Times New Roman" w:eastAsia="宋体"/>
                <w:color w:val="auto"/>
                <w:highlight w:val="none"/>
                <w:lang w:val="en-US" w:eastAsia="zh-CN"/>
              </w:rPr>
            </w:pPr>
            <w:r>
              <w:rPr>
                <w:rFonts w:hint="eastAsia" w:ascii="Times New Roman" w:hAnsi="Times New Roman" w:eastAsia="宋体"/>
                <w:color w:val="auto"/>
                <w:sz w:val="21"/>
                <w:szCs w:val="24"/>
                <w:highlight w:val="none"/>
                <w:lang w:val="en-US" w:eastAsia="zh-CN"/>
              </w:rPr>
              <w:t>72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trPr>
        <w:tc>
          <w:tcPr>
            <w:tcW w:w="2273" w:type="dxa"/>
            <w:noWrap w:val="0"/>
            <w:vAlign w:val="center"/>
          </w:tcPr>
          <w:p>
            <w:pPr>
              <w:snapToGrid w:val="0"/>
              <w:spacing w:line="240" w:lineRule="auto"/>
              <w:ind w:firstLine="0" w:firstLineChars="0"/>
              <w:jc w:val="center"/>
              <w:rPr>
                <w:rFonts w:ascii="Times New Roman" w:hAnsi="Times New Roman" w:eastAsia="宋体" w:cs="Times New Roman"/>
                <w:color w:val="auto"/>
                <w:position w:val="-2"/>
                <w:sz w:val="21"/>
                <w:highlight w:val="none"/>
              </w:rPr>
            </w:pPr>
            <w:r>
              <w:rPr>
                <w:rFonts w:ascii="Times New Roman" w:hAnsi="Times New Roman" w:eastAsia="宋体" w:cs="Times New Roman"/>
                <w:color w:val="auto"/>
                <w:position w:val="-2"/>
                <w:sz w:val="21"/>
                <w:highlight w:val="none"/>
              </w:rPr>
              <w:t>柴油</w:t>
            </w:r>
          </w:p>
        </w:tc>
        <w:tc>
          <w:tcPr>
            <w:tcW w:w="2272" w:type="dxa"/>
            <w:noWrap w:val="0"/>
            <w:vAlign w:val="center"/>
          </w:tcPr>
          <w:p>
            <w:pPr>
              <w:pStyle w:val="29"/>
              <w:pBdr>
                <w:bottom w:val="none" w:color="auto" w:sz="0" w:space="0"/>
              </w:pBdr>
              <w:spacing w:line="240" w:lineRule="auto"/>
              <w:ind w:firstLine="0" w:firstLineChars="0"/>
              <w:rPr>
                <w:rFonts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6</w:t>
            </w:r>
            <w:r>
              <w:rPr>
                <w:rFonts w:ascii="Times New Roman" w:hAnsi="Times New Roman" w:eastAsia="宋体"/>
                <w:color w:val="auto"/>
                <w:sz w:val="21"/>
                <w:highlight w:val="none"/>
                <w:lang w:val="en-US" w:eastAsia="zh-CN"/>
              </w:rPr>
              <w:t>0t</w:t>
            </w:r>
          </w:p>
        </w:tc>
        <w:tc>
          <w:tcPr>
            <w:tcW w:w="2275" w:type="dxa"/>
            <w:noWrap w:val="0"/>
            <w:vAlign w:val="center"/>
          </w:tcPr>
          <w:p>
            <w:pPr>
              <w:pStyle w:val="29"/>
              <w:pBdr>
                <w:bottom w:val="none" w:color="auto" w:sz="0" w:space="0"/>
              </w:pBdr>
              <w:spacing w:line="240" w:lineRule="auto"/>
              <w:ind w:firstLine="0" w:firstLineChars="0"/>
              <w:rPr>
                <w:rFonts w:ascii="Times New Roman" w:hAnsi="Times New Roman" w:eastAsia="宋体"/>
                <w:color w:val="auto"/>
                <w:highlight w:val="none"/>
                <w:lang w:val="en-US" w:eastAsia="zh-CN"/>
              </w:rPr>
            </w:pPr>
            <w:r>
              <w:rPr>
                <w:rFonts w:ascii="Times New Roman" w:hAnsi="Times New Roman" w:eastAsia="宋体"/>
                <w:color w:val="auto"/>
                <w:sz w:val="21"/>
                <w:szCs w:val="21"/>
                <w:highlight w:val="none"/>
                <w:lang w:val="en-US" w:eastAsia="zh-CN"/>
              </w:rPr>
              <w:t>7000元/t</w:t>
            </w:r>
          </w:p>
        </w:tc>
        <w:tc>
          <w:tcPr>
            <w:tcW w:w="2273" w:type="dxa"/>
            <w:noWrap w:val="0"/>
            <w:vAlign w:val="center"/>
          </w:tcPr>
          <w:p>
            <w:pPr>
              <w:pStyle w:val="29"/>
              <w:pBdr>
                <w:bottom w:val="none" w:color="auto" w:sz="0" w:space="0"/>
              </w:pBdr>
              <w:spacing w:line="240" w:lineRule="auto"/>
              <w:ind w:firstLine="0" w:firstLineChars="0"/>
              <w:rPr>
                <w:rFonts w:ascii="Times New Roman" w:hAnsi="Times New Roman" w:eastAsia="宋体"/>
                <w:color w:val="auto"/>
                <w:sz w:val="21"/>
                <w:szCs w:val="21"/>
                <w:highlight w:val="none"/>
                <w:lang w:val="en-US" w:eastAsia="zh-CN"/>
              </w:rPr>
            </w:pPr>
            <w:r>
              <w:rPr>
                <w:rFonts w:ascii="Times New Roman" w:hAnsi="Times New Roman" w:eastAsia="宋体"/>
                <w:color w:val="auto"/>
                <w:sz w:val="21"/>
                <w:szCs w:val="21"/>
                <w:highlight w:val="none"/>
                <w:lang w:val="en-US" w:eastAsia="zh-CN"/>
              </w:rPr>
              <w:t>42</w:t>
            </w:r>
          </w:p>
        </w:tc>
      </w:tr>
    </w:tbl>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（2）污染物对周围环境中生产和生活资料的损失费用（B）</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污染物对周围环境中生产和生活资料的损失费用以罚款的形式表现，为防治污染，本项目在建设的同时也采取了合理有效的环保措施，使项目投产后的“三废”排放达到国家标准，故不考虑此费用，即B=0。</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（3）各种污染物对人体健康造成的损失（C）</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该项目采取了一定的环保措施，对环境的污染较小，同时也注意了职工的劳动安全、工业卫生，故此处不考虑环境污染对职工和周围人群健康的影响，即 C=0。</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综上所述，该项目的年环境污染损失（WS）为</w:t>
      </w:r>
      <w:r>
        <w:rPr>
          <w:rFonts w:hint="eastAsia" w:ascii="Times New Roman" w:hAnsi="Times New Roman" w:eastAsia="宋体" w:cs="Times New Roman"/>
          <w:color w:val="auto"/>
          <w:highlight w:val="none"/>
        </w:rPr>
        <w:t>114</w:t>
      </w:r>
      <w:r>
        <w:rPr>
          <w:rFonts w:ascii="Times New Roman" w:hAnsi="Times New Roman" w:eastAsia="宋体" w:cs="Times New Roman"/>
          <w:color w:val="auto"/>
          <w:highlight w:val="none"/>
        </w:rPr>
        <w:t>万元。</w:t>
      </w:r>
    </w:p>
    <w:p>
      <w:pPr>
        <w:pStyle w:val="5"/>
        <w:rPr>
          <w:rFonts w:ascii="Times New Roman" w:hAnsi="Times New Roman" w:eastAsia="宋体"/>
          <w:color w:val="auto"/>
          <w:highlight w:val="none"/>
        </w:rPr>
      </w:pPr>
      <w:bookmarkStart w:id="503" w:name="_Toc9515"/>
      <w:bookmarkStart w:id="504" w:name="_Toc26281"/>
      <w:r>
        <w:rPr>
          <w:rFonts w:ascii="Times New Roman" w:hAnsi="Times New Roman" w:eastAsia="宋体"/>
          <w:color w:val="auto"/>
          <w:highlight w:val="none"/>
        </w:rPr>
        <w:t xml:space="preserve">6.3.3 </w:t>
      </w:r>
      <w:bookmarkEnd w:id="500"/>
      <w:bookmarkEnd w:id="501"/>
      <w:bookmarkEnd w:id="502"/>
      <w:r>
        <w:rPr>
          <w:rFonts w:ascii="Times New Roman" w:hAnsi="Times New Roman" w:eastAsia="宋体"/>
          <w:color w:val="auto"/>
          <w:highlight w:val="none"/>
        </w:rPr>
        <w:t>环保设施运行成本费用估算</w:t>
      </w:r>
      <w:bookmarkEnd w:id="503"/>
      <w:bookmarkEnd w:id="504"/>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（1）环保设施折旧费</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本项目直接环保投资为</w:t>
      </w:r>
      <w:r>
        <w:rPr>
          <w:rFonts w:hint="eastAsia" w:ascii="Times New Roman" w:hAnsi="Times New Roman" w:eastAsia="宋体" w:cs="Times New Roman"/>
          <w:color w:val="auto"/>
          <w:highlight w:val="none"/>
        </w:rPr>
        <w:t>248</w:t>
      </w:r>
      <w:r>
        <w:rPr>
          <w:rFonts w:ascii="Times New Roman" w:hAnsi="Times New Roman" w:eastAsia="宋体" w:cs="Times New Roman"/>
          <w:color w:val="auto"/>
          <w:highlight w:val="none"/>
        </w:rPr>
        <w:t>万元，设备折旧费按投资的5%计，则环保设施折旧费为1</w:t>
      </w:r>
      <w:r>
        <w:rPr>
          <w:rFonts w:hint="eastAsia" w:ascii="Times New Roman" w:hAnsi="Times New Roman" w:eastAsia="宋体" w:cs="Times New Roman"/>
          <w:color w:val="auto"/>
          <w:highlight w:val="none"/>
        </w:rPr>
        <w:t>2.4</w:t>
      </w:r>
      <w:r>
        <w:rPr>
          <w:rFonts w:ascii="Times New Roman" w:hAnsi="Times New Roman" w:eastAsia="宋体" w:cs="Times New Roman"/>
          <w:color w:val="auto"/>
          <w:highlight w:val="none"/>
        </w:rPr>
        <w:t>万元/年。</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（2）环保设施运行费</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环保设施运行费按环保投资的10%计，本项目环保设施运行费为</w:t>
      </w:r>
      <w:r>
        <w:rPr>
          <w:rFonts w:hint="eastAsia" w:ascii="Times New Roman" w:hAnsi="Times New Roman" w:eastAsia="宋体" w:cs="Times New Roman"/>
          <w:color w:val="auto"/>
          <w:highlight w:val="none"/>
        </w:rPr>
        <w:t>24.8</w:t>
      </w:r>
      <w:r>
        <w:rPr>
          <w:rFonts w:ascii="Times New Roman" w:hAnsi="Times New Roman" w:eastAsia="宋体" w:cs="Times New Roman"/>
          <w:color w:val="auto"/>
          <w:highlight w:val="none"/>
        </w:rPr>
        <w:t>万元/年。</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（3）环保设施维修费</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环保设施维修费取环保投资的2%，则每年维修约</w:t>
      </w:r>
      <w:r>
        <w:rPr>
          <w:rFonts w:hint="eastAsia" w:ascii="Times New Roman" w:hAnsi="Times New Roman" w:eastAsia="宋体" w:cs="Times New Roman"/>
          <w:color w:val="auto"/>
          <w:highlight w:val="none"/>
        </w:rPr>
        <w:t>4.96</w:t>
      </w:r>
      <w:r>
        <w:rPr>
          <w:rFonts w:ascii="Times New Roman" w:hAnsi="Times New Roman" w:eastAsia="宋体" w:cs="Times New Roman"/>
          <w:color w:val="auto"/>
          <w:highlight w:val="none"/>
        </w:rPr>
        <w:t>万元。</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（4）环保工人工资</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预计工程环保人员约2人，按生产人员工资及附加费为4万元/人·年，则工资费用为8万元。</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综上所述，该项目的环保设施年运行总费用为</w:t>
      </w:r>
      <w:r>
        <w:rPr>
          <w:rFonts w:hint="eastAsia" w:ascii="Times New Roman" w:hAnsi="Times New Roman" w:eastAsia="宋体" w:cs="Times New Roman"/>
          <w:color w:val="auto"/>
          <w:highlight w:val="none"/>
        </w:rPr>
        <w:t>50.16</w:t>
      </w:r>
      <w:r>
        <w:rPr>
          <w:rFonts w:ascii="Times New Roman" w:hAnsi="Times New Roman" w:eastAsia="宋体" w:cs="Times New Roman"/>
          <w:color w:val="auto"/>
          <w:highlight w:val="none"/>
        </w:rPr>
        <w:t>万元。</w:t>
      </w:r>
    </w:p>
    <w:p>
      <w:pPr>
        <w:pStyle w:val="5"/>
        <w:rPr>
          <w:rFonts w:ascii="Times New Roman" w:hAnsi="Times New Roman" w:eastAsia="宋体"/>
          <w:color w:val="auto"/>
          <w:highlight w:val="none"/>
        </w:rPr>
      </w:pPr>
      <w:bookmarkStart w:id="505" w:name="_Toc26564"/>
      <w:bookmarkStart w:id="506" w:name="_Toc32550"/>
      <w:bookmarkStart w:id="507" w:name="_Toc20568"/>
      <w:bookmarkStart w:id="508" w:name="_Toc2977"/>
      <w:bookmarkStart w:id="509" w:name="_Toc21504"/>
      <w:r>
        <w:rPr>
          <w:rFonts w:ascii="Times New Roman" w:hAnsi="Times New Roman" w:eastAsia="宋体"/>
          <w:color w:val="auto"/>
          <w:highlight w:val="none"/>
        </w:rPr>
        <w:t xml:space="preserve">6.3.4 </w:t>
      </w:r>
      <w:bookmarkEnd w:id="505"/>
      <w:bookmarkEnd w:id="506"/>
      <w:bookmarkEnd w:id="507"/>
      <w:r>
        <w:rPr>
          <w:rFonts w:ascii="Times New Roman" w:hAnsi="Times New Roman" w:eastAsia="宋体"/>
          <w:color w:val="auto"/>
          <w:highlight w:val="none"/>
        </w:rPr>
        <w:t>环境投资效益分析</w:t>
      </w:r>
      <w:bookmarkEnd w:id="508"/>
      <w:bookmarkEnd w:id="509"/>
    </w:p>
    <w:p>
      <w:pPr>
        <w:ind w:firstLine="480"/>
        <w:rPr>
          <w:rFonts w:ascii="Times New Roman" w:hAnsi="Times New Roman" w:eastAsia="宋体" w:cs="Times New Roman"/>
          <w:color w:val="auto"/>
          <w:highlight w:val="none"/>
        </w:rPr>
      </w:pPr>
      <w:bookmarkStart w:id="510" w:name="_Toc28895"/>
      <w:bookmarkStart w:id="511" w:name="_Toc9206"/>
      <w:r>
        <w:rPr>
          <w:rFonts w:ascii="Times New Roman" w:hAnsi="Times New Roman" w:eastAsia="宋体" w:cs="Times New Roman"/>
          <w:color w:val="auto"/>
          <w:highlight w:val="none"/>
        </w:rPr>
        <w:t>定量评价不同污染物投放不同环境所造成的环境经济损失是比较困难的，本次评价根据《中华人民共和国环境保护税法》、《广西壮族自治区人民代表大会常务委员会关于大气污染物和水污染物环境保护税适用税额的决定》的环保税收费标准和项目环保投资折旧法，计算项目采取环保措施所获得的经济效益。</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项目共有</w:t>
      </w:r>
      <w:r>
        <w:rPr>
          <w:rFonts w:hint="eastAsia" w:ascii="Times New Roman" w:hAnsi="Times New Roman" w:eastAsia="宋体" w:cs="Times New Roman"/>
          <w:color w:val="auto"/>
          <w:highlight w:val="none"/>
        </w:rPr>
        <w:t>6</w:t>
      </w:r>
      <w:r>
        <w:rPr>
          <w:rFonts w:ascii="Times New Roman" w:hAnsi="Times New Roman" w:eastAsia="宋体" w:cs="Times New Roman"/>
          <w:color w:val="auto"/>
          <w:highlight w:val="none"/>
        </w:rPr>
        <w:t>个废气排放口，向大气直接排放的污染物属于应税污染物，主要为颗粒物（一般性颗粒物），其各废气排放口排放的应税污染物情况具体见表6.3-2。</w:t>
      </w:r>
    </w:p>
    <w:p>
      <w:pPr>
        <w:spacing w:line="240" w:lineRule="auto"/>
        <w:ind w:firstLine="0" w:firstLineChars="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表6.3-2 项目各废气排放口排放的应税污染物情况表</w:t>
      </w:r>
    </w:p>
    <w:tbl>
      <w:tblPr>
        <w:tblStyle w:val="48"/>
        <w:tblW w:w="8900" w:type="dxa"/>
        <w:jc w:val="center"/>
        <w:tblInd w:w="0" w:type="dxa"/>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Layout w:type="fixed"/>
        <w:tblCellMar>
          <w:top w:w="0" w:type="dxa"/>
          <w:left w:w="57" w:type="dxa"/>
          <w:bottom w:w="0" w:type="dxa"/>
          <w:right w:w="57" w:type="dxa"/>
        </w:tblCellMar>
      </w:tblPr>
      <w:tblGrid>
        <w:gridCol w:w="426"/>
        <w:gridCol w:w="1189"/>
        <w:gridCol w:w="799"/>
        <w:gridCol w:w="937"/>
        <w:gridCol w:w="975"/>
        <w:gridCol w:w="956"/>
        <w:gridCol w:w="968"/>
        <w:gridCol w:w="937"/>
        <w:gridCol w:w="640"/>
        <w:gridCol w:w="1073"/>
      </w:tblGrid>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Layout w:type="fixed"/>
        </w:tblPrEx>
        <w:trPr>
          <w:trHeight w:val="855" w:hRule="atLeast"/>
          <w:tblHeader/>
          <w:jc w:val="center"/>
        </w:trPr>
        <w:tc>
          <w:tcPr>
            <w:tcW w:w="1615" w:type="dxa"/>
            <w:gridSpan w:val="2"/>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废气</w:t>
            </w:r>
          </w:p>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排放口</w:t>
            </w:r>
          </w:p>
        </w:tc>
        <w:tc>
          <w:tcPr>
            <w:tcW w:w="799"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应税污染物</w:t>
            </w:r>
          </w:p>
        </w:tc>
        <w:tc>
          <w:tcPr>
            <w:tcW w:w="937"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产生量（kg/a）</w:t>
            </w:r>
          </w:p>
        </w:tc>
        <w:tc>
          <w:tcPr>
            <w:tcW w:w="975"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排放量(kg/a)</w:t>
            </w:r>
          </w:p>
        </w:tc>
        <w:tc>
          <w:tcPr>
            <w:tcW w:w="956"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削减量（kg/a）</w:t>
            </w:r>
          </w:p>
        </w:tc>
        <w:tc>
          <w:tcPr>
            <w:tcW w:w="968"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污染物当量值（kg）</w:t>
            </w:r>
          </w:p>
        </w:tc>
        <w:tc>
          <w:tcPr>
            <w:tcW w:w="937"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污染物当量数</w:t>
            </w:r>
          </w:p>
        </w:tc>
        <w:tc>
          <w:tcPr>
            <w:tcW w:w="640"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收费标准元/当量</w:t>
            </w:r>
          </w:p>
        </w:tc>
        <w:tc>
          <w:tcPr>
            <w:tcW w:w="1073" w:type="dxa"/>
            <w:noWrap w:val="0"/>
            <w:vAlign w:val="center"/>
          </w:tcPr>
          <w:p>
            <w:pPr>
              <w:pStyle w:val="86"/>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环境效益（元/年）</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Layout w:type="fixed"/>
          <w:tblCellMar>
            <w:top w:w="0" w:type="dxa"/>
            <w:left w:w="57" w:type="dxa"/>
            <w:bottom w:w="0" w:type="dxa"/>
            <w:right w:w="57" w:type="dxa"/>
          </w:tblCellMar>
        </w:tblPrEx>
        <w:trPr>
          <w:jc w:val="center"/>
        </w:trPr>
        <w:tc>
          <w:tcPr>
            <w:tcW w:w="426" w:type="dxa"/>
            <w:vMerge w:val="restart"/>
            <w:noWrap w:val="0"/>
            <w:vAlign w:val="center"/>
          </w:tcPr>
          <w:p>
            <w:pPr>
              <w:pStyle w:val="86"/>
              <w:rPr>
                <w:rFonts w:hint="eastAsia" w:ascii="Times New Roman" w:hAnsi="Times New Roman" w:eastAsia="宋体" w:cs="Times New Roman"/>
                <w:b w:val="0"/>
                <w:bCs/>
                <w:color w:val="auto"/>
                <w:highlight w:val="none"/>
                <w:lang w:eastAsia="zh-CN"/>
              </w:rPr>
            </w:pPr>
            <w:r>
              <w:rPr>
                <w:rFonts w:hint="eastAsia" w:cs="Times New Roman"/>
                <w:b w:val="0"/>
                <w:bCs/>
                <w:color w:val="auto"/>
                <w:highlight w:val="none"/>
                <w:u w:val="single"/>
                <w:lang w:eastAsia="zh-CN"/>
              </w:rPr>
              <w:t>破碎场①</w:t>
            </w:r>
          </w:p>
        </w:tc>
        <w:tc>
          <w:tcPr>
            <w:tcW w:w="1189" w:type="dxa"/>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①</w:t>
            </w:r>
          </w:p>
        </w:tc>
        <w:tc>
          <w:tcPr>
            <w:tcW w:w="799" w:type="dxa"/>
            <w:noWrap w:val="0"/>
            <w:vAlign w:val="center"/>
          </w:tcPr>
          <w:p>
            <w:pPr>
              <w:pStyle w:val="86"/>
              <w:rPr>
                <w:rFonts w:ascii="Times New Roman" w:hAnsi="Times New Roman" w:eastAsia="宋体" w:cs="Times New Roman"/>
                <w:b w:val="0"/>
                <w:color w:val="auto"/>
                <w:kern w:val="0"/>
                <w:highlight w:val="none"/>
              </w:rPr>
            </w:pPr>
            <w:r>
              <w:rPr>
                <w:rFonts w:ascii="Times New Roman" w:hAnsi="Times New Roman" w:eastAsia="宋体" w:cs="Times New Roman"/>
                <w:b w:val="0"/>
                <w:color w:val="auto"/>
                <w:kern w:val="0"/>
                <w:highlight w:val="none"/>
              </w:rPr>
              <w:t>颗粒物</w:t>
            </w:r>
          </w:p>
        </w:tc>
        <w:tc>
          <w:tcPr>
            <w:tcW w:w="937" w:type="dxa"/>
            <w:noWrap w:val="0"/>
            <w:vAlign w:val="center"/>
          </w:tcPr>
          <w:p>
            <w:pPr>
              <w:pStyle w:val="86"/>
              <w:rPr>
                <w:rFonts w:ascii="Times New Roman" w:hAnsi="Times New Roman" w:eastAsia="宋体" w:cs="Times New Roman"/>
                <w:b w:val="0"/>
                <w:color w:val="auto"/>
                <w:kern w:val="0"/>
                <w:highlight w:val="none"/>
              </w:rPr>
            </w:pPr>
            <w:r>
              <w:rPr>
                <w:rFonts w:hint="eastAsia" w:ascii="Times New Roman" w:hAnsi="Times New Roman" w:eastAsia="宋体" w:cs="Times New Roman"/>
                <w:b w:val="0"/>
                <w:color w:val="auto"/>
                <w:kern w:val="0"/>
                <w:highlight w:val="none"/>
              </w:rPr>
              <w:t>1875</w:t>
            </w:r>
          </w:p>
        </w:tc>
        <w:tc>
          <w:tcPr>
            <w:tcW w:w="975" w:type="dxa"/>
            <w:noWrap w:val="0"/>
            <w:vAlign w:val="center"/>
          </w:tcPr>
          <w:p>
            <w:pPr>
              <w:pStyle w:val="86"/>
              <w:rPr>
                <w:rFonts w:ascii="Times New Roman" w:hAnsi="Times New Roman" w:eastAsia="宋体" w:cs="Times New Roman"/>
                <w:b w:val="0"/>
                <w:color w:val="auto"/>
                <w:kern w:val="0"/>
                <w:highlight w:val="none"/>
              </w:rPr>
            </w:pPr>
            <w:r>
              <w:rPr>
                <w:rFonts w:hint="eastAsia" w:ascii="Times New Roman" w:hAnsi="Times New Roman" w:eastAsia="宋体" w:cs="Times New Roman"/>
                <w:b w:val="0"/>
                <w:color w:val="auto"/>
                <w:kern w:val="0"/>
                <w:highlight w:val="none"/>
              </w:rPr>
              <w:t>188</w:t>
            </w:r>
          </w:p>
        </w:tc>
        <w:tc>
          <w:tcPr>
            <w:tcW w:w="956" w:type="dxa"/>
            <w:noWrap w:val="0"/>
            <w:vAlign w:val="center"/>
          </w:tcPr>
          <w:p>
            <w:pPr>
              <w:pStyle w:val="86"/>
              <w:rPr>
                <w:rFonts w:ascii="Times New Roman" w:hAnsi="Times New Roman" w:eastAsia="宋体" w:cs="Times New Roman"/>
                <w:b w:val="0"/>
                <w:color w:val="auto"/>
                <w:kern w:val="0"/>
                <w:highlight w:val="none"/>
              </w:rPr>
            </w:pPr>
            <w:r>
              <w:rPr>
                <w:rFonts w:hint="eastAsia" w:ascii="Times New Roman" w:hAnsi="Times New Roman" w:eastAsia="宋体" w:cs="Times New Roman"/>
                <w:b w:val="0"/>
                <w:color w:val="auto"/>
                <w:kern w:val="0"/>
                <w:highlight w:val="none"/>
              </w:rPr>
              <w:t>1687</w:t>
            </w:r>
          </w:p>
        </w:tc>
        <w:tc>
          <w:tcPr>
            <w:tcW w:w="968" w:type="dxa"/>
            <w:noWrap w:val="0"/>
            <w:vAlign w:val="center"/>
          </w:tcPr>
          <w:p>
            <w:pPr>
              <w:pStyle w:val="86"/>
              <w:rPr>
                <w:rFonts w:ascii="Times New Roman" w:hAnsi="Times New Roman" w:eastAsia="宋体" w:cs="Times New Roman"/>
                <w:b w:val="0"/>
                <w:color w:val="auto"/>
                <w:kern w:val="0"/>
                <w:highlight w:val="none"/>
              </w:rPr>
            </w:pPr>
            <w:r>
              <w:rPr>
                <w:rFonts w:ascii="Times New Roman" w:hAnsi="Times New Roman" w:eastAsia="宋体" w:cs="Times New Roman"/>
                <w:b w:val="0"/>
                <w:color w:val="auto"/>
                <w:kern w:val="0"/>
                <w:highlight w:val="none"/>
              </w:rPr>
              <w:t>4</w:t>
            </w:r>
          </w:p>
        </w:tc>
        <w:tc>
          <w:tcPr>
            <w:tcW w:w="937" w:type="dxa"/>
            <w:noWrap w:val="0"/>
            <w:vAlign w:val="center"/>
          </w:tcPr>
          <w:p>
            <w:pPr>
              <w:widowControl/>
              <w:ind w:firstLine="0" w:firstLineChars="0"/>
              <w:jc w:val="center"/>
              <w:textAlignment w:val="center"/>
              <w:rPr>
                <w:rFonts w:hint="eastAsia" w:ascii="Times New Roman" w:hAnsi="Times New Roman" w:eastAsia="宋体" w:cs="Times New Roman"/>
                <w:color w:val="auto"/>
                <w:kern w:val="0"/>
                <w:sz w:val="21"/>
                <w:szCs w:val="20"/>
                <w:highlight w:val="none"/>
              </w:rPr>
            </w:pPr>
            <w:r>
              <w:rPr>
                <w:rFonts w:hint="eastAsia" w:ascii="Times New Roman" w:hAnsi="Times New Roman" w:eastAsia="宋体" w:cs="Times New Roman"/>
                <w:color w:val="auto"/>
                <w:kern w:val="0"/>
                <w:sz w:val="21"/>
                <w:szCs w:val="20"/>
                <w:highlight w:val="none"/>
              </w:rPr>
              <w:t>421.75</w:t>
            </w:r>
          </w:p>
        </w:tc>
        <w:tc>
          <w:tcPr>
            <w:tcW w:w="640" w:type="dxa"/>
            <w:vMerge w:val="restart"/>
            <w:noWrap w:val="0"/>
            <w:vAlign w:val="center"/>
          </w:tcPr>
          <w:p>
            <w:pPr>
              <w:pStyle w:val="86"/>
              <w:rPr>
                <w:rFonts w:ascii="Times New Roman" w:hAnsi="Times New Roman" w:eastAsia="宋体" w:cs="Times New Roman"/>
                <w:b w:val="0"/>
                <w:color w:val="auto"/>
                <w:kern w:val="0"/>
                <w:highlight w:val="none"/>
              </w:rPr>
            </w:pPr>
            <w:r>
              <w:rPr>
                <w:rFonts w:ascii="Times New Roman" w:hAnsi="Times New Roman" w:eastAsia="宋体" w:cs="Times New Roman"/>
                <w:b w:val="0"/>
                <w:color w:val="auto"/>
                <w:kern w:val="0"/>
                <w:highlight w:val="none"/>
              </w:rPr>
              <w:t>1.8</w:t>
            </w:r>
          </w:p>
        </w:tc>
        <w:tc>
          <w:tcPr>
            <w:tcW w:w="1073" w:type="dxa"/>
            <w:noWrap w:val="0"/>
            <w:vAlign w:val="center"/>
          </w:tcPr>
          <w:p>
            <w:pPr>
              <w:widowControl/>
              <w:ind w:firstLine="0" w:firstLineChars="0"/>
              <w:jc w:val="center"/>
              <w:textAlignment w:val="center"/>
              <w:rPr>
                <w:rFonts w:ascii="Times New Roman" w:hAnsi="Times New Roman" w:eastAsia="宋体" w:cs="Times New Roman"/>
                <w:color w:val="auto"/>
                <w:kern w:val="0"/>
                <w:sz w:val="21"/>
                <w:szCs w:val="20"/>
                <w:highlight w:val="none"/>
              </w:rPr>
            </w:pPr>
            <w:r>
              <w:rPr>
                <w:rFonts w:hint="eastAsia" w:ascii="Times New Roman" w:hAnsi="Times New Roman" w:eastAsia="宋体" w:cs="Times New Roman"/>
                <w:color w:val="auto"/>
                <w:kern w:val="0"/>
                <w:sz w:val="21"/>
                <w:szCs w:val="20"/>
                <w:highlight w:val="none"/>
              </w:rPr>
              <w:t>759.15</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Layout w:type="fixed"/>
          <w:tblCellMar>
            <w:top w:w="0" w:type="dxa"/>
            <w:left w:w="57" w:type="dxa"/>
            <w:bottom w:w="0" w:type="dxa"/>
            <w:right w:w="57" w:type="dxa"/>
          </w:tblCellMar>
        </w:tblPrEx>
        <w:trPr>
          <w:jc w:val="center"/>
        </w:trPr>
        <w:tc>
          <w:tcPr>
            <w:tcW w:w="426" w:type="dxa"/>
            <w:vMerge w:val="continue"/>
            <w:noWrap w:val="0"/>
            <w:vAlign w:val="center"/>
          </w:tcPr>
          <w:p>
            <w:pPr>
              <w:pStyle w:val="86"/>
              <w:rPr>
                <w:rFonts w:ascii="Times New Roman" w:hAnsi="Times New Roman" w:eastAsia="宋体" w:cs="Times New Roman"/>
                <w:b w:val="0"/>
                <w:bCs/>
                <w:color w:val="auto"/>
                <w:highlight w:val="none"/>
              </w:rPr>
            </w:pPr>
          </w:p>
        </w:tc>
        <w:tc>
          <w:tcPr>
            <w:tcW w:w="1189"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b/>
                <w:color w:val="auto"/>
                <w:highlight w:val="none"/>
              </w:rPr>
            </w:pPr>
            <w:r>
              <w:rPr>
                <w:rFonts w:hint="eastAsia" w:ascii="Times New Roman" w:hAnsi="Times New Roman" w:eastAsia="宋体" w:cs="Times New Roman"/>
                <w:color w:val="auto"/>
                <w:sz w:val="21"/>
                <w:highlight w:val="none"/>
              </w:rPr>
              <w:t>二级破碎</w:t>
            </w:r>
            <w:r>
              <w:rPr>
                <w:rFonts w:hint="eastAsia" w:ascii="Times New Roman" w:hAnsi="Times New Roman" w:eastAsia="宋体"/>
                <w:color w:val="auto"/>
                <w:sz w:val="21"/>
                <w:highlight w:val="none"/>
              </w:rPr>
              <w:t>①</w:t>
            </w:r>
          </w:p>
        </w:tc>
        <w:tc>
          <w:tcPr>
            <w:tcW w:w="799" w:type="dxa"/>
            <w:noWrap w:val="0"/>
            <w:vAlign w:val="center"/>
          </w:tcPr>
          <w:p>
            <w:pPr>
              <w:pStyle w:val="86"/>
              <w:rPr>
                <w:rFonts w:ascii="Times New Roman" w:hAnsi="Times New Roman" w:eastAsia="宋体" w:cs="Times New Roman"/>
                <w:b w:val="0"/>
                <w:color w:val="auto"/>
                <w:kern w:val="0"/>
                <w:highlight w:val="none"/>
              </w:rPr>
            </w:pPr>
            <w:r>
              <w:rPr>
                <w:rFonts w:ascii="Times New Roman" w:hAnsi="Times New Roman" w:eastAsia="宋体" w:cs="Times New Roman"/>
                <w:b w:val="0"/>
                <w:color w:val="auto"/>
                <w:kern w:val="0"/>
                <w:highlight w:val="none"/>
              </w:rPr>
              <w:t>颗粒物</w:t>
            </w:r>
          </w:p>
        </w:tc>
        <w:tc>
          <w:tcPr>
            <w:tcW w:w="937" w:type="dxa"/>
            <w:noWrap w:val="0"/>
            <w:vAlign w:val="center"/>
          </w:tcPr>
          <w:p>
            <w:pPr>
              <w:pStyle w:val="86"/>
              <w:rPr>
                <w:rFonts w:ascii="Times New Roman" w:hAnsi="Times New Roman" w:eastAsia="宋体" w:cs="Times New Roman"/>
                <w:b w:val="0"/>
                <w:color w:val="auto"/>
                <w:kern w:val="0"/>
                <w:highlight w:val="none"/>
              </w:rPr>
            </w:pPr>
            <w:r>
              <w:rPr>
                <w:rFonts w:hint="eastAsia" w:ascii="Times New Roman" w:hAnsi="Times New Roman" w:eastAsia="宋体" w:cs="Times New Roman"/>
                <w:b w:val="0"/>
                <w:color w:val="auto"/>
                <w:kern w:val="0"/>
                <w:highlight w:val="none"/>
              </w:rPr>
              <w:t>3750</w:t>
            </w:r>
          </w:p>
        </w:tc>
        <w:tc>
          <w:tcPr>
            <w:tcW w:w="975" w:type="dxa"/>
            <w:noWrap w:val="0"/>
            <w:vAlign w:val="center"/>
          </w:tcPr>
          <w:p>
            <w:pPr>
              <w:pStyle w:val="86"/>
              <w:rPr>
                <w:rFonts w:ascii="Times New Roman" w:hAnsi="Times New Roman" w:eastAsia="宋体" w:cs="Times New Roman"/>
                <w:b w:val="0"/>
                <w:color w:val="auto"/>
                <w:kern w:val="0"/>
                <w:highlight w:val="none"/>
              </w:rPr>
            </w:pPr>
            <w:r>
              <w:rPr>
                <w:rFonts w:hint="eastAsia" w:ascii="Times New Roman" w:hAnsi="Times New Roman" w:eastAsia="宋体" w:cs="Times New Roman"/>
                <w:b w:val="0"/>
                <w:color w:val="auto"/>
                <w:kern w:val="0"/>
                <w:highlight w:val="none"/>
              </w:rPr>
              <w:t>375</w:t>
            </w:r>
          </w:p>
        </w:tc>
        <w:tc>
          <w:tcPr>
            <w:tcW w:w="956" w:type="dxa"/>
            <w:noWrap w:val="0"/>
            <w:vAlign w:val="center"/>
          </w:tcPr>
          <w:p>
            <w:pPr>
              <w:pStyle w:val="86"/>
              <w:rPr>
                <w:rFonts w:ascii="Times New Roman" w:hAnsi="Times New Roman" w:eastAsia="宋体" w:cs="Times New Roman"/>
                <w:b w:val="0"/>
                <w:color w:val="auto"/>
                <w:kern w:val="0"/>
                <w:highlight w:val="none"/>
              </w:rPr>
            </w:pPr>
            <w:r>
              <w:rPr>
                <w:rFonts w:hint="eastAsia" w:ascii="Times New Roman" w:hAnsi="Times New Roman" w:eastAsia="宋体" w:cs="Times New Roman"/>
                <w:b w:val="0"/>
                <w:color w:val="auto"/>
                <w:kern w:val="0"/>
                <w:highlight w:val="none"/>
              </w:rPr>
              <w:t>3375</w:t>
            </w:r>
          </w:p>
        </w:tc>
        <w:tc>
          <w:tcPr>
            <w:tcW w:w="968" w:type="dxa"/>
            <w:noWrap w:val="0"/>
            <w:vAlign w:val="center"/>
          </w:tcPr>
          <w:p>
            <w:pPr>
              <w:pStyle w:val="86"/>
              <w:rPr>
                <w:rFonts w:ascii="Times New Roman" w:hAnsi="Times New Roman" w:eastAsia="宋体" w:cs="Times New Roman"/>
                <w:b w:val="0"/>
                <w:color w:val="auto"/>
                <w:kern w:val="0"/>
                <w:highlight w:val="none"/>
              </w:rPr>
            </w:pPr>
            <w:r>
              <w:rPr>
                <w:rFonts w:ascii="Times New Roman" w:hAnsi="Times New Roman" w:eastAsia="宋体" w:cs="Times New Roman"/>
                <w:b w:val="0"/>
                <w:color w:val="auto"/>
                <w:kern w:val="0"/>
                <w:highlight w:val="none"/>
              </w:rPr>
              <w:t>4</w:t>
            </w:r>
          </w:p>
        </w:tc>
        <w:tc>
          <w:tcPr>
            <w:tcW w:w="937" w:type="dxa"/>
            <w:noWrap w:val="0"/>
            <w:vAlign w:val="center"/>
          </w:tcPr>
          <w:p>
            <w:pPr>
              <w:widowControl/>
              <w:ind w:firstLine="0" w:firstLineChars="0"/>
              <w:jc w:val="center"/>
              <w:textAlignment w:val="center"/>
              <w:rPr>
                <w:rFonts w:hint="eastAsia" w:ascii="Times New Roman" w:hAnsi="Times New Roman" w:eastAsia="宋体" w:cs="Times New Roman"/>
                <w:color w:val="auto"/>
                <w:kern w:val="0"/>
                <w:sz w:val="21"/>
                <w:szCs w:val="20"/>
                <w:highlight w:val="none"/>
              </w:rPr>
            </w:pPr>
            <w:r>
              <w:rPr>
                <w:rFonts w:hint="eastAsia" w:ascii="Times New Roman" w:hAnsi="Times New Roman" w:eastAsia="宋体" w:cs="Times New Roman"/>
                <w:color w:val="auto"/>
                <w:kern w:val="0"/>
                <w:sz w:val="21"/>
                <w:szCs w:val="20"/>
                <w:highlight w:val="none"/>
              </w:rPr>
              <w:t>843.75</w:t>
            </w:r>
          </w:p>
        </w:tc>
        <w:tc>
          <w:tcPr>
            <w:tcW w:w="640" w:type="dxa"/>
            <w:vMerge w:val="continue"/>
            <w:noWrap w:val="0"/>
            <w:vAlign w:val="center"/>
          </w:tcPr>
          <w:p>
            <w:pPr>
              <w:pStyle w:val="86"/>
              <w:rPr>
                <w:rFonts w:ascii="Times New Roman" w:hAnsi="Times New Roman" w:eastAsia="宋体" w:cs="Times New Roman"/>
                <w:b w:val="0"/>
                <w:color w:val="auto"/>
                <w:kern w:val="0"/>
                <w:highlight w:val="none"/>
              </w:rPr>
            </w:pPr>
          </w:p>
        </w:tc>
        <w:tc>
          <w:tcPr>
            <w:tcW w:w="1073" w:type="dxa"/>
            <w:noWrap w:val="0"/>
            <w:vAlign w:val="center"/>
          </w:tcPr>
          <w:p>
            <w:pPr>
              <w:widowControl/>
              <w:ind w:firstLine="0" w:firstLineChars="0"/>
              <w:jc w:val="center"/>
              <w:textAlignment w:val="center"/>
              <w:rPr>
                <w:rFonts w:ascii="Times New Roman" w:hAnsi="Times New Roman" w:eastAsia="宋体" w:cs="Times New Roman"/>
                <w:color w:val="auto"/>
                <w:kern w:val="0"/>
                <w:sz w:val="21"/>
                <w:szCs w:val="20"/>
                <w:highlight w:val="none"/>
              </w:rPr>
            </w:pPr>
            <w:r>
              <w:rPr>
                <w:rFonts w:hint="eastAsia" w:ascii="Times New Roman" w:hAnsi="Times New Roman" w:eastAsia="宋体" w:cs="Times New Roman"/>
                <w:color w:val="auto"/>
                <w:kern w:val="0"/>
                <w:sz w:val="21"/>
                <w:szCs w:val="20"/>
                <w:highlight w:val="none"/>
              </w:rPr>
              <w:t>1518.75</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Layout w:type="fixed"/>
          <w:tblCellMar>
            <w:top w:w="0" w:type="dxa"/>
            <w:left w:w="57" w:type="dxa"/>
            <w:bottom w:w="0" w:type="dxa"/>
            <w:right w:w="57" w:type="dxa"/>
          </w:tblCellMar>
        </w:tblPrEx>
        <w:trPr>
          <w:jc w:val="center"/>
        </w:trPr>
        <w:tc>
          <w:tcPr>
            <w:tcW w:w="426" w:type="dxa"/>
            <w:vMerge w:val="continue"/>
            <w:noWrap w:val="0"/>
            <w:vAlign w:val="center"/>
          </w:tcPr>
          <w:p>
            <w:pPr>
              <w:pStyle w:val="86"/>
              <w:rPr>
                <w:rFonts w:ascii="Times New Roman" w:hAnsi="Times New Roman" w:eastAsia="宋体" w:cs="Times New Roman"/>
                <w:b w:val="0"/>
                <w:bCs/>
                <w:color w:val="auto"/>
                <w:highlight w:val="none"/>
              </w:rPr>
            </w:pPr>
          </w:p>
        </w:tc>
        <w:tc>
          <w:tcPr>
            <w:tcW w:w="1189" w:type="dxa"/>
            <w:noWrap w:val="0"/>
            <w:vAlign w:val="center"/>
          </w:tcPr>
          <w:p>
            <w:pPr>
              <w:widowControl/>
              <w:adjustRightInd w:val="0"/>
              <w:snapToGrid w:val="0"/>
              <w:spacing w:line="240" w:lineRule="auto"/>
              <w:ind w:firstLine="0" w:firstLineChars="0"/>
              <w:rPr>
                <w:rFonts w:ascii="Times New Roman" w:hAnsi="Times New Roman" w:eastAsia="宋体" w:cs="Times New Roman"/>
                <w:b/>
                <w:color w:val="auto"/>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①</w:t>
            </w:r>
          </w:p>
        </w:tc>
        <w:tc>
          <w:tcPr>
            <w:tcW w:w="799" w:type="dxa"/>
            <w:noWrap w:val="0"/>
            <w:vAlign w:val="center"/>
          </w:tcPr>
          <w:p>
            <w:pPr>
              <w:pStyle w:val="86"/>
              <w:rPr>
                <w:rFonts w:ascii="Times New Roman" w:hAnsi="Times New Roman" w:eastAsia="宋体" w:cs="Times New Roman"/>
                <w:b w:val="0"/>
                <w:color w:val="auto"/>
                <w:kern w:val="0"/>
                <w:highlight w:val="none"/>
              </w:rPr>
            </w:pPr>
            <w:r>
              <w:rPr>
                <w:rFonts w:ascii="Times New Roman" w:hAnsi="Times New Roman" w:eastAsia="宋体" w:cs="Times New Roman"/>
                <w:b w:val="0"/>
                <w:color w:val="auto"/>
                <w:kern w:val="0"/>
                <w:highlight w:val="none"/>
              </w:rPr>
              <w:t>颗粒物</w:t>
            </w:r>
          </w:p>
        </w:tc>
        <w:tc>
          <w:tcPr>
            <w:tcW w:w="937" w:type="dxa"/>
            <w:noWrap w:val="0"/>
            <w:vAlign w:val="center"/>
          </w:tcPr>
          <w:p>
            <w:pPr>
              <w:pStyle w:val="86"/>
              <w:rPr>
                <w:rFonts w:ascii="Times New Roman" w:hAnsi="Times New Roman" w:eastAsia="宋体" w:cs="Times New Roman"/>
                <w:b w:val="0"/>
                <w:color w:val="auto"/>
                <w:kern w:val="0"/>
                <w:highlight w:val="none"/>
              </w:rPr>
            </w:pPr>
            <w:r>
              <w:rPr>
                <w:rFonts w:hint="eastAsia" w:ascii="Times New Roman" w:hAnsi="Times New Roman" w:eastAsia="宋体" w:cs="Times New Roman"/>
                <w:b w:val="0"/>
                <w:color w:val="auto"/>
                <w:kern w:val="0"/>
                <w:highlight w:val="none"/>
              </w:rPr>
              <w:t>7500</w:t>
            </w:r>
          </w:p>
        </w:tc>
        <w:tc>
          <w:tcPr>
            <w:tcW w:w="975" w:type="dxa"/>
            <w:noWrap w:val="0"/>
            <w:vAlign w:val="center"/>
          </w:tcPr>
          <w:p>
            <w:pPr>
              <w:pStyle w:val="86"/>
              <w:rPr>
                <w:rFonts w:ascii="Times New Roman" w:hAnsi="Times New Roman" w:eastAsia="宋体" w:cs="Times New Roman"/>
                <w:b w:val="0"/>
                <w:color w:val="auto"/>
                <w:kern w:val="0"/>
                <w:highlight w:val="none"/>
              </w:rPr>
            </w:pPr>
            <w:r>
              <w:rPr>
                <w:rFonts w:hint="eastAsia" w:ascii="Times New Roman" w:hAnsi="Times New Roman" w:eastAsia="宋体" w:cs="Times New Roman"/>
                <w:b w:val="0"/>
                <w:color w:val="auto"/>
                <w:kern w:val="0"/>
                <w:highlight w:val="none"/>
              </w:rPr>
              <w:t>750</w:t>
            </w:r>
          </w:p>
        </w:tc>
        <w:tc>
          <w:tcPr>
            <w:tcW w:w="956" w:type="dxa"/>
            <w:noWrap w:val="0"/>
            <w:vAlign w:val="center"/>
          </w:tcPr>
          <w:p>
            <w:pPr>
              <w:pStyle w:val="86"/>
              <w:rPr>
                <w:rFonts w:ascii="Times New Roman" w:hAnsi="Times New Roman" w:eastAsia="宋体" w:cs="Times New Roman"/>
                <w:b w:val="0"/>
                <w:color w:val="auto"/>
                <w:kern w:val="0"/>
                <w:highlight w:val="none"/>
              </w:rPr>
            </w:pPr>
            <w:r>
              <w:rPr>
                <w:rFonts w:hint="eastAsia" w:ascii="Times New Roman" w:hAnsi="Times New Roman" w:eastAsia="宋体" w:cs="Times New Roman"/>
                <w:b w:val="0"/>
                <w:color w:val="auto"/>
                <w:kern w:val="0"/>
                <w:highlight w:val="none"/>
              </w:rPr>
              <w:t>6750</w:t>
            </w:r>
          </w:p>
        </w:tc>
        <w:tc>
          <w:tcPr>
            <w:tcW w:w="968" w:type="dxa"/>
            <w:noWrap w:val="0"/>
            <w:vAlign w:val="center"/>
          </w:tcPr>
          <w:p>
            <w:pPr>
              <w:pStyle w:val="86"/>
              <w:rPr>
                <w:rFonts w:ascii="Times New Roman" w:hAnsi="Times New Roman" w:eastAsia="宋体" w:cs="Times New Roman"/>
                <w:b w:val="0"/>
                <w:color w:val="auto"/>
                <w:kern w:val="0"/>
                <w:highlight w:val="none"/>
              </w:rPr>
            </w:pPr>
            <w:r>
              <w:rPr>
                <w:rFonts w:ascii="Times New Roman" w:hAnsi="Times New Roman" w:eastAsia="宋体" w:cs="Times New Roman"/>
                <w:b w:val="0"/>
                <w:color w:val="auto"/>
                <w:kern w:val="0"/>
                <w:highlight w:val="none"/>
              </w:rPr>
              <w:t>4</w:t>
            </w:r>
          </w:p>
        </w:tc>
        <w:tc>
          <w:tcPr>
            <w:tcW w:w="937" w:type="dxa"/>
            <w:noWrap w:val="0"/>
            <w:vAlign w:val="center"/>
          </w:tcPr>
          <w:p>
            <w:pPr>
              <w:widowControl/>
              <w:ind w:firstLine="0" w:firstLineChars="0"/>
              <w:jc w:val="center"/>
              <w:textAlignment w:val="center"/>
              <w:rPr>
                <w:rFonts w:hint="eastAsia" w:ascii="Times New Roman" w:hAnsi="Times New Roman" w:eastAsia="宋体" w:cs="Times New Roman"/>
                <w:color w:val="auto"/>
                <w:kern w:val="0"/>
                <w:sz w:val="21"/>
                <w:szCs w:val="20"/>
                <w:highlight w:val="none"/>
              </w:rPr>
            </w:pPr>
            <w:r>
              <w:rPr>
                <w:rFonts w:hint="eastAsia" w:ascii="Times New Roman" w:hAnsi="Times New Roman" w:eastAsia="宋体" w:cs="Times New Roman"/>
                <w:color w:val="auto"/>
                <w:kern w:val="0"/>
                <w:sz w:val="21"/>
                <w:szCs w:val="20"/>
                <w:highlight w:val="none"/>
              </w:rPr>
              <w:t>1687.5</w:t>
            </w:r>
          </w:p>
        </w:tc>
        <w:tc>
          <w:tcPr>
            <w:tcW w:w="640" w:type="dxa"/>
            <w:vMerge w:val="continue"/>
            <w:noWrap w:val="0"/>
            <w:vAlign w:val="center"/>
          </w:tcPr>
          <w:p>
            <w:pPr>
              <w:pStyle w:val="86"/>
              <w:rPr>
                <w:rFonts w:ascii="Times New Roman" w:hAnsi="Times New Roman" w:eastAsia="宋体" w:cs="Times New Roman"/>
                <w:b w:val="0"/>
                <w:color w:val="auto"/>
                <w:kern w:val="0"/>
                <w:highlight w:val="none"/>
              </w:rPr>
            </w:pPr>
          </w:p>
        </w:tc>
        <w:tc>
          <w:tcPr>
            <w:tcW w:w="1073" w:type="dxa"/>
            <w:noWrap w:val="0"/>
            <w:vAlign w:val="center"/>
          </w:tcPr>
          <w:p>
            <w:pPr>
              <w:widowControl/>
              <w:ind w:firstLine="0" w:firstLineChars="0"/>
              <w:jc w:val="center"/>
              <w:textAlignment w:val="center"/>
              <w:rPr>
                <w:rFonts w:hint="eastAsia" w:ascii="Times New Roman" w:hAnsi="Times New Roman" w:eastAsia="宋体" w:cs="Times New Roman"/>
                <w:color w:val="auto"/>
                <w:kern w:val="0"/>
                <w:sz w:val="21"/>
                <w:szCs w:val="20"/>
                <w:highlight w:val="none"/>
              </w:rPr>
            </w:pPr>
            <w:r>
              <w:rPr>
                <w:rFonts w:hint="eastAsia" w:ascii="Times New Roman" w:hAnsi="Times New Roman" w:eastAsia="宋体" w:cs="Times New Roman"/>
                <w:color w:val="auto"/>
                <w:kern w:val="0"/>
                <w:sz w:val="21"/>
                <w:szCs w:val="20"/>
                <w:highlight w:val="none"/>
              </w:rPr>
              <w:t>3037.5</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Layout w:type="fixed"/>
          <w:tblCellMar>
            <w:top w:w="0" w:type="dxa"/>
            <w:left w:w="57" w:type="dxa"/>
            <w:bottom w:w="0" w:type="dxa"/>
            <w:right w:w="57" w:type="dxa"/>
          </w:tblCellMar>
        </w:tblPrEx>
        <w:trPr>
          <w:jc w:val="center"/>
        </w:trPr>
        <w:tc>
          <w:tcPr>
            <w:tcW w:w="426" w:type="dxa"/>
            <w:vMerge w:val="restart"/>
            <w:noWrap w:val="0"/>
            <w:vAlign w:val="center"/>
          </w:tcPr>
          <w:p>
            <w:pPr>
              <w:pStyle w:val="86"/>
              <w:rPr>
                <w:rFonts w:hint="eastAsia" w:ascii="Times New Roman" w:hAnsi="Times New Roman" w:eastAsia="宋体" w:cs="Times New Roman"/>
                <w:b w:val="0"/>
                <w:bCs/>
                <w:color w:val="auto"/>
                <w:highlight w:val="none"/>
                <w:lang w:eastAsia="zh-CN"/>
              </w:rPr>
            </w:pPr>
            <w:r>
              <w:rPr>
                <w:rFonts w:hint="eastAsia" w:cs="Times New Roman"/>
                <w:b w:val="0"/>
                <w:bCs/>
                <w:color w:val="auto"/>
                <w:highlight w:val="none"/>
                <w:u w:val="single"/>
                <w:lang w:eastAsia="zh-CN"/>
              </w:rPr>
              <w:t>破碎场②</w:t>
            </w:r>
          </w:p>
        </w:tc>
        <w:tc>
          <w:tcPr>
            <w:tcW w:w="1189"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②</w:t>
            </w:r>
          </w:p>
        </w:tc>
        <w:tc>
          <w:tcPr>
            <w:tcW w:w="799" w:type="dxa"/>
            <w:noWrap w:val="0"/>
            <w:vAlign w:val="center"/>
          </w:tcPr>
          <w:p>
            <w:pPr>
              <w:pStyle w:val="86"/>
              <w:rPr>
                <w:rFonts w:ascii="Times New Roman" w:hAnsi="Times New Roman" w:eastAsia="宋体" w:cs="Times New Roman"/>
                <w:b w:val="0"/>
                <w:color w:val="auto"/>
                <w:kern w:val="0"/>
                <w:highlight w:val="none"/>
              </w:rPr>
            </w:pPr>
            <w:r>
              <w:rPr>
                <w:rFonts w:ascii="Times New Roman" w:hAnsi="Times New Roman" w:eastAsia="宋体" w:cs="Times New Roman"/>
                <w:b w:val="0"/>
                <w:color w:val="auto"/>
                <w:kern w:val="0"/>
                <w:highlight w:val="none"/>
              </w:rPr>
              <w:t>颗粒物</w:t>
            </w:r>
          </w:p>
        </w:tc>
        <w:tc>
          <w:tcPr>
            <w:tcW w:w="937" w:type="dxa"/>
            <w:noWrap w:val="0"/>
            <w:vAlign w:val="center"/>
          </w:tcPr>
          <w:p>
            <w:pPr>
              <w:pStyle w:val="86"/>
              <w:rPr>
                <w:rFonts w:ascii="Times New Roman" w:hAnsi="Times New Roman" w:eastAsia="宋体" w:cs="Times New Roman"/>
                <w:b w:val="0"/>
                <w:color w:val="auto"/>
                <w:kern w:val="0"/>
                <w:highlight w:val="none"/>
              </w:rPr>
            </w:pPr>
            <w:r>
              <w:rPr>
                <w:rFonts w:hint="eastAsia" w:ascii="Times New Roman" w:hAnsi="Times New Roman" w:eastAsia="宋体" w:cs="Times New Roman"/>
                <w:b w:val="0"/>
                <w:color w:val="auto"/>
                <w:kern w:val="0"/>
                <w:highlight w:val="none"/>
              </w:rPr>
              <w:t>1875</w:t>
            </w:r>
          </w:p>
        </w:tc>
        <w:tc>
          <w:tcPr>
            <w:tcW w:w="975" w:type="dxa"/>
            <w:noWrap w:val="0"/>
            <w:vAlign w:val="center"/>
          </w:tcPr>
          <w:p>
            <w:pPr>
              <w:pStyle w:val="86"/>
              <w:rPr>
                <w:rFonts w:ascii="Times New Roman" w:hAnsi="Times New Roman" w:eastAsia="宋体" w:cs="Times New Roman"/>
                <w:b w:val="0"/>
                <w:color w:val="auto"/>
                <w:kern w:val="0"/>
                <w:highlight w:val="none"/>
              </w:rPr>
            </w:pPr>
            <w:r>
              <w:rPr>
                <w:rFonts w:hint="eastAsia" w:ascii="Times New Roman" w:hAnsi="Times New Roman" w:eastAsia="宋体" w:cs="Times New Roman"/>
                <w:b w:val="0"/>
                <w:color w:val="auto"/>
                <w:kern w:val="0"/>
                <w:highlight w:val="none"/>
              </w:rPr>
              <w:t>188</w:t>
            </w:r>
          </w:p>
        </w:tc>
        <w:tc>
          <w:tcPr>
            <w:tcW w:w="956" w:type="dxa"/>
            <w:noWrap w:val="0"/>
            <w:vAlign w:val="center"/>
          </w:tcPr>
          <w:p>
            <w:pPr>
              <w:pStyle w:val="86"/>
              <w:rPr>
                <w:rFonts w:hint="eastAsia" w:ascii="Times New Roman" w:hAnsi="Times New Roman" w:eastAsia="宋体" w:cs="Times New Roman"/>
                <w:b w:val="0"/>
                <w:color w:val="auto"/>
                <w:kern w:val="0"/>
                <w:highlight w:val="none"/>
              </w:rPr>
            </w:pPr>
            <w:r>
              <w:rPr>
                <w:rFonts w:hint="eastAsia" w:ascii="Times New Roman" w:hAnsi="Times New Roman" w:eastAsia="宋体" w:cs="Times New Roman"/>
                <w:b w:val="0"/>
                <w:color w:val="auto"/>
                <w:kern w:val="0"/>
                <w:highlight w:val="none"/>
              </w:rPr>
              <w:t>1687</w:t>
            </w:r>
          </w:p>
        </w:tc>
        <w:tc>
          <w:tcPr>
            <w:tcW w:w="968" w:type="dxa"/>
            <w:noWrap w:val="0"/>
            <w:vAlign w:val="center"/>
          </w:tcPr>
          <w:p>
            <w:pPr>
              <w:pStyle w:val="86"/>
              <w:rPr>
                <w:rFonts w:ascii="Times New Roman" w:hAnsi="Times New Roman" w:eastAsia="宋体" w:cs="Times New Roman"/>
                <w:b w:val="0"/>
                <w:color w:val="auto"/>
                <w:kern w:val="0"/>
                <w:highlight w:val="none"/>
              </w:rPr>
            </w:pPr>
            <w:r>
              <w:rPr>
                <w:rFonts w:ascii="Times New Roman" w:hAnsi="Times New Roman" w:eastAsia="宋体" w:cs="Times New Roman"/>
                <w:b w:val="0"/>
                <w:color w:val="auto"/>
                <w:kern w:val="0"/>
                <w:highlight w:val="none"/>
              </w:rPr>
              <w:t>4</w:t>
            </w:r>
          </w:p>
        </w:tc>
        <w:tc>
          <w:tcPr>
            <w:tcW w:w="937" w:type="dxa"/>
            <w:noWrap w:val="0"/>
            <w:vAlign w:val="center"/>
          </w:tcPr>
          <w:p>
            <w:pPr>
              <w:widowControl/>
              <w:ind w:firstLine="0" w:firstLineChars="0"/>
              <w:jc w:val="center"/>
              <w:textAlignment w:val="center"/>
              <w:rPr>
                <w:rFonts w:hint="eastAsia" w:ascii="Times New Roman" w:hAnsi="Times New Roman" w:eastAsia="宋体" w:cs="Times New Roman"/>
                <w:color w:val="auto"/>
                <w:kern w:val="0"/>
                <w:sz w:val="21"/>
                <w:szCs w:val="20"/>
                <w:highlight w:val="none"/>
              </w:rPr>
            </w:pPr>
            <w:r>
              <w:rPr>
                <w:rFonts w:hint="eastAsia" w:ascii="Times New Roman" w:hAnsi="Times New Roman" w:eastAsia="宋体" w:cs="Times New Roman"/>
                <w:color w:val="auto"/>
                <w:kern w:val="0"/>
                <w:sz w:val="21"/>
                <w:szCs w:val="20"/>
                <w:highlight w:val="none"/>
              </w:rPr>
              <w:t>421.75</w:t>
            </w:r>
          </w:p>
        </w:tc>
        <w:tc>
          <w:tcPr>
            <w:tcW w:w="640" w:type="dxa"/>
            <w:vMerge w:val="continue"/>
            <w:noWrap w:val="0"/>
            <w:vAlign w:val="center"/>
          </w:tcPr>
          <w:p>
            <w:pPr>
              <w:pStyle w:val="86"/>
              <w:rPr>
                <w:rFonts w:ascii="Times New Roman" w:hAnsi="Times New Roman" w:eastAsia="宋体" w:cs="Times New Roman"/>
                <w:b w:val="0"/>
                <w:color w:val="auto"/>
                <w:kern w:val="0"/>
                <w:highlight w:val="none"/>
              </w:rPr>
            </w:pPr>
          </w:p>
        </w:tc>
        <w:tc>
          <w:tcPr>
            <w:tcW w:w="1073" w:type="dxa"/>
            <w:noWrap w:val="0"/>
            <w:vAlign w:val="center"/>
          </w:tcPr>
          <w:p>
            <w:pPr>
              <w:widowControl/>
              <w:ind w:firstLine="0" w:firstLineChars="0"/>
              <w:jc w:val="center"/>
              <w:textAlignment w:val="center"/>
              <w:rPr>
                <w:rFonts w:hint="eastAsia" w:ascii="Times New Roman" w:hAnsi="Times New Roman" w:eastAsia="宋体" w:cs="Times New Roman"/>
                <w:color w:val="auto"/>
                <w:kern w:val="0"/>
                <w:sz w:val="21"/>
                <w:szCs w:val="20"/>
                <w:highlight w:val="none"/>
              </w:rPr>
            </w:pPr>
            <w:r>
              <w:rPr>
                <w:rFonts w:hint="eastAsia" w:ascii="Times New Roman" w:hAnsi="Times New Roman" w:eastAsia="宋体" w:cs="Times New Roman"/>
                <w:color w:val="auto"/>
                <w:kern w:val="0"/>
                <w:sz w:val="21"/>
                <w:szCs w:val="20"/>
                <w:highlight w:val="none"/>
              </w:rPr>
              <w:t>759.15</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Layout w:type="fixed"/>
          <w:tblCellMar>
            <w:top w:w="0" w:type="dxa"/>
            <w:left w:w="57" w:type="dxa"/>
            <w:bottom w:w="0" w:type="dxa"/>
            <w:right w:w="57" w:type="dxa"/>
          </w:tblCellMar>
        </w:tblPrEx>
        <w:trPr>
          <w:jc w:val="center"/>
        </w:trPr>
        <w:tc>
          <w:tcPr>
            <w:tcW w:w="426" w:type="dxa"/>
            <w:vMerge w:val="continue"/>
            <w:noWrap w:val="0"/>
            <w:vAlign w:val="center"/>
          </w:tcPr>
          <w:p>
            <w:pPr>
              <w:pStyle w:val="86"/>
              <w:rPr>
                <w:rFonts w:ascii="Times New Roman" w:hAnsi="Times New Roman" w:eastAsia="宋体" w:cs="Times New Roman"/>
                <w:b w:val="0"/>
                <w:color w:val="auto"/>
                <w:highlight w:val="none"/>
              </w:rPr>
            </w:pPr>
          </w:p>
        </w:tc>
        <w:tc>
          <w:tcPr>
            <w:tcW w:w="1189" w:type="dxa"/>
            <w:noWrap w:val="0"/>
            <w:vAlign w:val="center"/>
          </w:tcPr>
          <w:p>
            <w:pPr>
              <w:widowControl/>
              <w:adjustRightInd w:val="0"/>
              <w:snapToGrid w:val="0"/>
              <w:spacing w:line="240" w:lineRule="auto"/>
              <w:ind w:firstLine="0" w:firstLineChars="0"/>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二级破碎筛分</w:t>
            </w:r>
            <w:r>
              <w:rPr>
                <w:rFonts w:hint="eastAsia" w:ascii="Times New Roman" w:hAnsi="Times New Roman" w:eastAsia="宋体"/>
                <w:color w:val="auto"/>
                <w:sz w:val="21"/>
                <w:highlight w:val="none"/>
              </w:rPr>
              <w:t>②</w:t>
            </w:r>
          </w:p>
        </w:tc>
        <w:tc>
          <w:tcPr>
            <w:tcW w:w="799" w:type="dxa"/>
            <w:noWrap w:val="0"/>
            <w:vAlign w:val="center"/>
          </w:tcPr>
          <w:p>
            <w:pPr>
              <w:pStyle w:val="86"/>
              <w:rPr>
                <w:rFonts w:ascii="Times New Roman" w:hAnsi="Times New Roman" w:eastAsia="宋体" w:cs="Times New Roman"/>
                <w:b w:val="0"/>
                <w:color w:val="auto"/>
                <w:kern w:val="0"/>
                <w:highlight w:val="none"/>
              </w:rPr>
            </w:pPr>
            <w:r>
              <w:rPr>
                <w:rFonts w:ascii="Times New Roman" w:hAnsi="Times New Roman" w:eastAsia="宋体" w:cs="Times New Roman"/>
                <w:b w:val="0"/>
                <w:color w:val="auto"/>
                <w:kern w:val="0"/>
                <w:highlight w:val="none"/>
              </w:rPr>
              <w:t>颗粒物</w:t>
            </w:r>
          </w:p>
        </w:tc>
        <w:tc>
          <w:tcPr>
            <w:tcW w:w="937" w:type="dxa"/>
            <w:noWrap w:val="0"/>
            <w:vAlign w:val="center"/>
          </w:tcPr>
          <w:p>
            <w:pPr>
              <w:pStyle w:val="86"/>
              <w:rPr>
                <w:rFonts w:ascii="Times New Roman" w:hAnsi="Times New Roman" w:eastAsia="宋体" w:cs="Times New Roman"/>
                <w:b w:val="0"/>
                <w:color w:val="auto"/>
                <w:kern w:val="0"/>
                <w:highlight w:val="none"/>
              </w:rPr>
            </w:pPr>
            <w:r>
              <w:rPr>
                <w:rFonts w:hint="eastAsia" w:ascii="Times New Roman" w:hAnsi="Times New Roman" w:eastAsia="宋体" w:cs="Times New Roman"/>
                <w:b w:val="0"/>
                <w:color w:val="auto"/>
                <w:kern w:val="0"/>
                <w:highlight w:val="none"/>
              </w:rPr>
              <w:t>3750</w:t>
            </w:r>
          </w:p>
        </w:tc>
        <w:tc>
          <w:tcPr>
            <w:tcW w:w="975" w:type="dxa"/>
            <w:noWrap w:val="0"/>
            <w:vAlign w:val="center"/>
          </w:tcPr>
          <w:p>
            <w:pPr>
              <w:pStyle w:val="86"/>
              <w:rPr>
                <w:rFonts w:ascii="Times New Roman" w:hAnsi="Times New Roman" w:eastAsia="宋体" w:cs="Times New Roman"/>
                <w:b w:val="0"/>
                <w:color w:val="auto"/>
                <w:kern w:val="0"/>
                <w:highlight w:val="none"/>
              </w:rPr>
            </w:pPr>
            <w:r>
              <w:rPr>
                <w:rFonts w:hint="eastAsia" w:ascii="Times New Roman" w:hAnsi="Times New Roman" w:eastAsia="宋体" w:cs="Times New Roman"/>
                <w:b w:val="0"/>
                <w:color w:val="auto"/>
                <w:kern w:val="0"/>
                <w:highlight w:val="none"/>
              </w:rPr>
              <w:t>375</w:t>
            </w:r>
          </w:p>
        </w:tc>
        <w:tc>
          <w:tcPr>
            <w:tcW w:w="956" w:type="dxa"/>
            <w:noWrap w:val="0"/>
            <w:vAlign w:val="center"/>
          </w:tcPr>
          <w:p>
            <w:pPr>
              <w:pStyle w:val="86"/>
              <w:rPr>
                <w:rFonts w:hint="eastAsia" w:ascii="Times New Roman" w:hAnsi="Times New Roman" w:eastAsia="宋体" w:cs="Times New Roman"/>
                <w:b w:val="0"/>
                <w:color w:val="auto"/>
                <w:kern w:val="0"/>
                <w:highlight w:val="none"/>
              </w:rPr>
            </w:pPr>
            <w:r>
              <w:rPr>
                <w:rFonts w:hint="eastAsia" w:ascii="Times New Roman" w:hAnsi="Times New Roman" w:eastAsia="宋体" w:cs="Times New Roman"/>
                <w:b w:val="0"/>
                <w:color w:val="auto"/>
                <w:kern w:val="0"/>
                <w:highlight w:val="none"/>
              </w:rPr>
              <w:t>3375</w:t>
            </w:r>
          </w:p>
        </w:tc>
        <w:tc>
          <w:tcPr>
            <w:tcW w:w="968" w:type="dxa"/>
            <w:noWrap w:val="0"/>
            <w:vAlign w:val="center"/>
          </w:tcPr>
          <w:p>
            <w:pPr>
              <w:pStyle w:val="86"/>
              <w:rPr>
                <w:rFonts w:ascii="Times New Roman" w:hAnsi="Times New Roman" w:eastAsia="宋体" w:cs="Times New Roman"/>
                <w:b w:val="0"/>
                <w:color w:val="auto"/>
                <w:kern w:val="0"/>
                <w:highlight w:val="none"/>
              </w:rPr>
            </w:pPr>
            <w:r>
              <w:rPr>
                <w:rFonts w:ascii="Times New Roman" w:hAnsi="Times New Roman" w:eastAsia="宋体" w:cs="Times New Roman"/>
                <w:b w:val="0"/>
                <w:color w:val="auto"/>
                <w:kern w:val="0"/>
                <w:highlight w:val="none"/>
              </w:rPr>
              <w:t>4</w:t>
            </w:r>
          </w:p>
        </w:tc>
        <w:tc>
          <w:tcPr>
            <w:tcW w:w="937" w:type="dxa"/>
            <w:noWrap w:val="0"/>
            <w:vAlign w:val="center"/>
          </w:tcPr>
          <w:p>
            <w:pPr>
              <w:widowControl/>
              <w:ind w:firstLine="0" w:firstLineChars="0"/>
              <w:jc w:val="center"/>
              <w:textAlignment w:val="center"/>
              <w:rPr>
                <w:rFonts w:hint="eastAsia" w:ascii="Times New Roman" w:hAnsi="Times New Roman" w:eastAsia="宋体" w:cs="Times New Roman"/>
                <w:color w:val="auto"/>
                <w:kern w:val="0"/>
                <w:sz w:val="21"/>
                <w:szCs w:val="20"/>
                <w:highlight w:val="none"/>
              </w:rPr>
            </w:pPr>
            <w:r>
              <w:rPr>
                <w:rFonts w:hint="eastAsia" w:ascii="Times New Roman" w:hAnsi="Times New Roman" w:eastAsia="宋体" w:cs="Times New Roman"/>
                <w:color w:val="auto"/>
                <w:kern w:val="0"/>
                <w:sz w:val="21"/>
                <w:szCs w:val="20"/>
                <w:highlight w:val="none"/>
              </w:rPr>
              <w:t>843.75</w:t>
            </w:r>
          </w:p>
        </w:tc>
        <w:tc>
          <w:tcPr>
            <w:tcW w:w="640" w:type="dxa"/>
            <w:vMerge w:val="continue"/>
            <w:noWrap w:val="0"/>
            <w:vAlign w:val="center"/>
          </w:tcPr>
          <w:p>
            <w:pPr>
              <w:pStyle w:val="86"/>
              <w:rPr>
                <w:rFonts w:ascii="Times New Roman" w:hAnsi="Times New Roman" w:eastAsia="宋体" w:cs="Times New Roman"/>
                <w:b w:val="0"/>
                <w:color w:val="auto"/>
                <w:kern w:val="0"/>
                <w:highlight w:val="none"/>
              </w:rPr>
            </w:pPr>
          </w:p>
        </w:tc>
        <w:tc>
          <w:tcPr>
            <w:tcW w:w="1073" w:type="dxa"/>
            <w:noWrap w:val="0"/>
            <w:vAlign w:val="center"/>
          </w:tcPr>
          <w:p>
            <w:pPr>
              <w:widowControl/>
              <w:ind w:firstLine="0" w:firstLineChars="0"/>
              <w:jc w:val="center"/>
              <w:textAlignment w:val="center"/>
              <w:rPr>
                <w:rFonts w:hint="eastAsia" w:ascii="Times New Roman" w:hAnsi="Times New Roman" w:eastAsia="宋体" w:cs="Times New Roman"/>
                <w:color w:val="auto"/>
                <w:kern w:val="0"/>
                <w:sz w:val="21"/>
                <w:szCs w:val="20"/>
                <w:highlight w:val="none"/>
              </w:rPr>
            </w:pPr>
            <w:r>
              <w:rPr>
                <w:rFonts w:hint="eastAsia" w:ascii="Times New Roman" w:hAnsi="Times New Roman" w:eastAsia="宋体" w:cs="Times New Roman"/>
                <w:color w:val="auto"/>
                <w:kern w:val="0"/>
                <w:sz w:val="21"/>
                <w:szCs w:val="20"/>
                <w:highlight w:val="none"/>
              </w:rPr>
              <w:t>1518.75</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Layout w:type="fixed"/>
          <w:tblCellMar>
            <w:top w:w="0" w:type="dxa"/>
            <w:left w:w="57" w:type="dxa"/>
            <w:bottom w:w="0" w:type="dxa"/>
            <w:right w:w="57" w:type="dxa"/>
          </w:tblCellMar>
        </w:tblPrEx>
        <w:trPr>
          <w:jc w:val="center"/>
        </w:trPr>
        <w:tc>
          <w:tcPr>
            <w:tcW w:w="426" w:type="dxa"/>
            <w:vMerge w:val="continue"/>
            <w:noWrap w:val="0"/>
            <w:vAlign w:val="center"/>
          </w:tcPr>
          <w:p>
            <w:pPr>
              <w:pStyle w:val="86"/>
              <w:rPr>
                <w:rFonts w:ascii="Times New Roman" w:hAnsi="Times New Roman" w:eastAsia="宋体" w:cs="Times New Roman"/>
                <w:b w:val="0"/>
                <w:color w:val="auto"/>
                <w:highlight w:val="none"/>
              </w:rPr>
            </w:pPr>
          </w:p>
        </w:tc>
        <w:tc>
          <w:tcPr>
            <w:tcW w:w="1189" w:type="dxa"/>
            <w:noWrap w:val="0"/>
            <w:vAlign w:val="center"/>
          </w:tcPr>
          <w:p>
            <w:pPr>
              <w:widowControl/>
              <w:adjustRightInd w:val="0"/>
              <w:snapToGrid w:val="0"/>
              <w:spacing w:line="240" w:lineRule="auto"/>
              <w:ind w:firstLine="0" w:firstLineChars="0"/>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②</w:t>
            </w:r>
          </w:p>
        </w:tc>
        <w:tc>
          <w:tcPr>
            <w:tcW w:w="799" w:type="dxa"/>
            <w:noWrap w:val="0"/>
            <w:vAlign w:val="center"/>
          </w:tcPr>
          <w:p>
            <w:pPr>
              <w:pStyle w:val="86"/>
              <w:rPr>
                <w:rFonts w:ascii="Times New Roman" w:hAnsi="Times New Roman" w:eastAsia="宋体" w:cs="Times New Roman"/>
                <w:b w:val="0"/>
                <w:color w:val="auto"/>
                <w:kern w:val="0"/>
                <w:highlight w:val="none"/>
              </w:rPr>
            </w:pPr>
            <w:r>
              <w:rPr>
                <w:rFonts w:ascii="Times New Roman" w:hAnsi="Times New Roman" w:eastAsia="宋体" w:cs="Times New Roman"/>
                <w:b w:val="0"/>
                <w:color w:val="auto"/>
                <w:kern w:val="0"/>
                <w:highlight w:val="none"/>
              </w:rPr>
              <w:t>颗粒物</w:t>
            </w:r>
          </w:p>
        </w:tc>
        <w:tc>
          <w:tcPr>
            <w:tcW w:w="937" w:type="dxa"/>
            <w:noWrap w:val="0"/>
            <w:vAlign w:val="center"/>
          </w:tcPr>
          <w:p>
            <w:pPr>
              <w:pStyle w:val="86"/>
              <w:rPr>
                <w:rFonts w:ascii="Times New Roman" w:hAnsi="Times New Roman" w:eastAsia="宋体" w:cs="Times New Roman"/>
                <w:b w:val="0"/>
                <w:color w:val="auto"/>
                <w:kern w:val="0"/>
                <w:highlight w:val="none"/>
              </w:rPr>
            </w:pPr>
            <w:r>
              <w:rPr>
                <w:rFonts w:hint="eastAsia" w:ascii="Times New Roman" w:hAnsi="Times New Roman" w:eastAsia="宋体" w:cs="Times New Roman"/>
                <w:b w:val="0"/>
                <w:color w:val="auto"/>
                <w:kern w:val="0"/>
                <w:highlight w:val="none"/>
              </w:rPr>
              <w:t>750</w:t>
            </w:r>
          </w:p>
        </w:tc>
        <w:tc>
          <w:tcPr>
            <w:tcW w:w="975" w:type="dxa"/>
            <w:noWrap w:val="0"/>
            <w:vAlign w:val="center"/>
          </w:tcPr>
          <w:p>
            <w:pPr>
              <w:pStyle w:val="86"/>
              <w:rPr>
                <w:rFonts w:ascii="Times New Roman" w:hAnsi="Times New Roman" w:eastAsia="宋体" w:cs="Times New Roman"/>
                <w:b w:val="0"/>
                <w:color w:val="auto"/>
                <w:kern w:val="0"/>
                <w:highlight w:val="none"/>
              </w:rPr>
            </w:pPr>
            <w:r>
              <w:rPr>
                <w:rFonts w:hint="eastAsia" w:ascii="Times New Roman" w:hAnsi="Times New Roman" w:eastAsia="宋体" w:cs="Times New Roman"/>
                <w:b w:val="0"/>
                <w:color w:val="auto"/>
                <w:kern w:val="0"/>
                <w:highlight w:val="none"/>
              </w:rPr>
              <w:t>75</w:t>
            </w:r>
          </w:p>
        </w:tc>
        <w:tc>
          <w:tcPr>
            <w:tcW w:w="956" w:type="dxa"/>
            <w:noWrap w:val="0"/>
            <w:vAlign w:val="center"/>
          </w:tcPr>
          <w:p>
            <w:pPr>
              <w:pStyle w:val="86"/>
              <w:rPr>
                <w:rFonts w:hint="eastAsia" w:ascii="Times New Roman" w:hAnsi="Times New Roman" w:eastAsia="宋体" w:cs="Times New Roman"/>
                <w:b w:val="0"/>
                <w:color w:val="auto"/>
                <w:kern w:val="0"/>
                <w:highlight w:val="none"/>
              </w:rPr>
            </w:pPr>
            <w:r>
              <w:rPr>
                <w:rFonts w:hint="eastAsia" w:ascii="Times New Roman" w:hAnsi="Times New Roman" w:eastAsia="宋体" w:cs="Times New Roman"/>
                <w:b w:val="0"/>
                <w:color w:val="auto"/>
                <w:kern w:val="0"/>
                <w:highlight w:val="none"/>
              </w:rPr>
              <w:t>675</w:t>
            </w:r>
          </w:p>
        </w:tc>
        <w:tc>
          <w:tcPr>
            <w:tcW w:w="968" w:type="dxa"/>
            <w:noWrap w:val="0"/>
            <w:vAlign w:val="center"/>
          </w:tcPr>
          <w:p>
            <w:pPr>
              <w:pStyle w:val="86"/>
              <w:rPr>
                <w:rFonts w:ascii="Times New Roman" w:hAnsi="Times New Roman" w:eastAsia="宋体" w:cs="Times New Roman"/>
                <w:b w:val="0"/>
                <w:color w:val="auto"/>
                <w:kern w:val="0"/>
                <w:highlight w:val="none"/>
              </w:rPr>
            </w:pPr>
            <w:r>
              <w:rPr>
                <w:rFonts w:ascii="Times New Roman" w:hAnsi="Times New Roman" w:eastAsia="宋体" w:cs="Times New Roman"/>
                <w:b w:val="0"/>
                <w:color w:val="auto"/>
                <w:kern w:val="0"/>
                <w:highlight w:val="none"/>
              </w:rPr>
              <w:t>4</w:t>
            </w:r>
          </w:p>
        </w:tc>
        <w:tc>
          <w:tcPr>
            <w:tcW w:w="937" w:type="dxa"/>
            <w:noWrap w:val="0"/>
            <w:vAlign w:val="center"/>
          </w:tcPr>
          <w:p>
            <w:pPr>
              <w:widowControl/>
              <w:ind w:firstLine="0" w:firstLineChars="0"/>
              <w:jc w:val="center"/>
              <w:textAlignment w:val="center"/>
              <w:rPr>
                <w:rFonts w:hint="eastAsia" w:ascii="Times New Roman" w:hAnsi="Times New Roman" w:eastAsia="宋体" w:cs="Times New Roman"/>
                <w:color w:val="auto"/>
                <w:kern w:val="0"/>
                <w:sz w:val="21"/>
                <w:szCs w:val="20"/>
                <w:highlight w:val="none"/>
              </w:rPr>
            </w:pPr>
            <w:r>
              <w:rPr>
                <w:rFonts w:hint="eastAsia" w:ascii="Times New Roman" w:hAnsi="Times New Roman" w:eastAsia="宋体" w:cs="Times New Roman"/>
                <w:color w:val="auto"/>
                <w:kern w:val="0"/>
                <w:sz w:val="21"/>
                <w:szCs w:val="20"/>
                <w:highlight w:val="none"/>
              </w:rPr>
              <w:t>168.75</w:t>
            </w:r>
          </w:p>
        </w:tc>
        <w:tc>
          <w:tcPr>
            <w:tcW w:w="640" w:type="dxa"/>
            <w:vMerge w:val="continue"/>
            <w:noWrap w:val="0"/>
            <w:vAlign w:val="center"/>
          </w:tcPr>
          <w:p>
            <w:pPr>
              <w:pStyle w:val="86"/>
              <w:rPr>
                <w:rFonts w:ascii="Times New Roman" w:hAnsi="Times New Roman" w:eastAsia="宋体" w:cs="Times New Roman"/>
                <w:b w:val="0"/>
                <w:color w:val="auto"/>
                <w:kern w:val="0"/>
                <w:highlight w:val="none"/>
              </w:rPr>
            </w:pPr>
          </w:p>
        </w:tc>
        <w:tc>
          <w:tcPr>
            <w:tcW w:w="1073" w:type="dxa"/>
            <w:noWrap w:val="0"/>
            <w:vAlign w:val="center"/>
          </w:tcPr>
          <w:p>
            <w:pPr>
              <w:widowControl/>
              <w:ind w:firstLine="0" w:firstLineChars="0"/>
              <w:jc w:val="center"/>
              <w:textAlignment w:val="center"/>
              <w:rPr>
                <w:rFonts w:hint="eastAsia" w:ascii="Times New Roman" w:hAnsi="Times New Roman" w:eastAsia="宋体" w:cs="Times New Roman"/>
                <w:color w:val="auto"/>
                <w:kern w:val="0"/>
                <w:sz w:val="21"/>
                <w:szCs w:val="20"/>
                <w:highlight w:val="none"/>
              </w:rPr>
            </w:pPr>
            <w:r>
              <w:rPr>
                <w:rFonts w:hint="eastAsia" w:ascii="Times New Roman" w:hAnsi="Times New Roman" w:eastAsia="宋体" w:cs="Times New Roman"/>
                <w:color w:val="auto"/>
                <w:kern w:val="0"/>
                <w:sz w:val="21"/>
                <w:szCs w:val="20"/>
                <w:highlight w:val="none"/>
              </w:rPr>
              <w:t>303.75</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Layout w:type="fixed"/>
          <w:tblCellMar>
            <w:top w:w="0" w:type="dxa"/>
            <w:left w:w="57" w:type="dxa"/>
            <w:bottom w:w="0" w:type="dxa"/>
            <w:right w:w="57" w:type="dxa"/>
          </w:tblCellMar>
        </w:tblPrEx>
        <w:trPr>
          <w:jc w:val="center"/>
        </w:trPr>
        <w:tc>
          <w:tcPr>
            <w:tcW w:w="7827" w:type="dxa"/>
            <w:gridSpan w:val="9"/>
            <w:noWrap w:val="0"/>
            <w:vAlign w:val="center"/>
          </w:tcPr>
          <w:p>
            <w:pPr>
              <w:pStyle w:val="86"/>
              <w:rPr>
                <w:rFonts w:ascii="Times New Roman" w:hAnsi="Times New Roman" w:eastAsia="宋体" w:cs="Times New Roman"/>
                <w:b w:val="0"/>
                <w:color w:val="auto"/>
                <w:highlight w:val="none"/>
              </w:rPr>
            </w:pPr>
            <w:r>
              <w:rPr>
                <w:rFonts w:ascii="Times New Roman" w:hAnsi="Times New Roman" w:eastAsia="宋体" w:cs="Times New Roman"/>
                <w:b w:val="0"/>
                <w:color w:val="auto"/>
                <w:highlight w:val="none"/>
              </w:rPr>
              <w:t>合计</w:t>
            </w:r>
          </w:p>
        </w:tc>
        <w:tc>
          <w:tcPr>
            <w:tcW w:w="1073" w:type="dxa"/>
            <w:noWrap w:val="0"/>
            <w:vAlign w:val="center"/>
          </w:tcPr>
          <w:p>
            <w:pPr>
              <w:widowControl/>
              <w:spacing w:line="240" w:lineRule="auto"/>
              <w:ind w:firstLine="0" w:firstLineChars="0"/>
              <w:jc w:val="center"/>
              <w:textAlignment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7897.05</w:t>
            </w:r>
          </w:p>
        </w:tc>
      </w:tr>
    </w:tbl>
    <w:p>
      <w:pPr>
        <w:pStyle w:val="18"/>
        <w:ind w:left="0" w:firstLine="480"/>
        <w:jc w:val="both"/>
        <w:rPr>
          <w:rFonts w:ascii="Times New Roman" w:hAnsi="Times New Roman" w:eastAsia="宋体"/>
          <w:color w:val="auto"/>
          <w:highlight w:val="none"/>
          <w:lang w:eastAsia="zh-CN"/>
        </w:rPr>
      </w:pPr>
      <w:r>
        <w:rPr>
          <w:rFonts w:ascii="Times New Roman" w:hAnsi="Times New Roman" w:eastAsia="宋体"/>
          <w:color w:val="auto"/>
          <w:highlight w:val="none"/>
          <w:lang w:eastAsia="zh-CN"/>
        </w:rPr>
        <w:t>项目不直接向环境排放水污染物、固体废物，排放的噪声符合《工业企业厂界环境噪声排放标准》（GB</w:t>
      </w:r>
      <w:r>
        <w:rPr>
          <w:rFonts w:hint="eastAsia" w:ascii="Times New Roman" w:hAnsi="Times New Roman" w:eastAsia="宋体"/>
          <w:color w:val="auto"/>
          <w:highlight w:val="none"/>
          <w:lang w:val="en-US" w:eastAsia="zh-CN"/>
        </w:rPr>
        <w:t xml:space="preserve"> </w:t>
      </w:r>
      <w:r>
        <w:rPr>
          <w:rFonts w:ascii="Times New Roman" w:hAnsi="Times New Roman" w:eastAsia="宋体"/>
          <w:color w:val="auto"/>
          <w:highlight w:val="none"/>
          <w:lang w:eastAsia="zh-CN"/>
        </w:rPr>
        <w:t>12348-2008）2类标准要求，不需缴纳相应环境保护税。</w:t>
      </w:r>
    </w:p>
    <w:p>
      <w:pPr>
        <w:pStyle w:val="18"/>
        <w:ind w:left="0" w:firstLine="480"/>
        <w:jc w:val="both"/>
        <w:rPr>
          <w:rFonts w:ascii="Times New Roman" w:hAnsi="Times New Roman" w:eastAsia="宋体"/>
          <w:color w:val="auto"/>
          <w:highlight w:val="none"/>
          <w:lang w:eastAsia="zh-CN"/>
        </w:rPr>
      </w:pPr>
      <w:r>
        <w:rPr>
          <w:rFonts w:ascii="Times New Roman" w:hAnsi="Times New Roman" w:eastAsia="宋体"/>
          <w:color w:val="auto"/>
          <w:highlight w:val="none"/>
          <w:lang w:eastAsia="zh-CN"/>
        </w:rPr>
        <w:t>由表6.3-2可知，项目采取污染防治措施后，环境经济净收益为废气污染物削减产生的效益，约为每年</w:t>
      </w:r>
      <w:r>
        <w:rPr>
          <w:rFonts w:hint="eastAsia" w:ascii="Times New Roman" w:hAnsi="Times New Roman" w:eastAsia="宋体"/>
          <w:bCs/>
          <w:color w:val="auto"/>
          <w:highlight w:val="none"/>
          <w:lang w:eastAsia="zh-CN"/>
        </w:rPr>
        <w:t>7897.05</w:t>
      </w:r>
      <w:r>
        <w:rPr>
          <w:rFonts w:ascii="Times New Roman" w:hAnsi="Times New Roman" w:eastAsia="宋体"/>
          <w:color w:val="auto"/>
          <w:highlight w:val="none"/>
          <w:lang w:eastAsia="zh-CN"/>
        </w:rPr>
        <w:t>元，表明通过污染治理，项目不但减少了污染物的排放量，同时减少了环保税费支出，而且使周围环境得到保护，获得较好的环境经济效益。</w:t>
      </w:r>
    </w:p>
    <w:p>
      <w:pPr>
        <w:pStyle w:val="5"/>
        <w:rPr>
          <w:rFonts w:ascii="Times New Roman" w:hAnsi="Times New Roman" w:eastAsia="宋体"/>
          <w:color w:val="auto"/>
          <w:highlight w:val="none"/>
        </w:rPr>
      </w:pPr>
      <w:bookmarkStart w:id="512" w:name="_Toc31926"/>
      <w:bookmarkStart w:id="513" w:name="_Toc12425"/>
      <w:r>
        <w:rPr>
          <w:rFonts w:ascii="Times New Roman" w:hAnsi="Times New Roman" w:eastAsia="宋体"/>
          <w:color w:val="auto"/>
          <w:highlight w:val="none"/>
        </w:rPr>
        <w:t>6.3.</w:t>
      </w:r>
      <w:r>
        <w:rPr>
          <w:rFonts w:hint="eastAsia" w:ascii="Times New Roman" w:hAnsi="Times New Roman" w:eastAsia="宋体"/>
          <w:color w:val="auto"/>
          <w:highlight w:val="none"/>
        </w:rPr>
        <w:t>5</w:t>
      </w:r>
      <w:r>
        <w:rPr>
          <w:rFonts w:ascii="Times New Roman" w:hAnsi="Times New Roman" w:eastAsia="宋体"/>
          <w:color w:val="auto"/>
          <w:highlight w:val="none"/>
        </w:rPr>
        <w:t xml:space="preserve"> 环境影响经济损益分析</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采用比值法综合分析工程环保投资损益效果，公式如下：</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环境经济损益比=年经济效益总值/年环保措施运行费用。</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由上文分析可知，本项目年净利润</w:t>
      </w:r>
      <w:r>
        <w:rPr>
          <w:rFonts w:hint="eastAsia" w:ascii="Times New Roman" w:hAnsi="Times New Roman" w:eastAsia="宋体" w:cs="Times New Roman"/>
          <w:color w:val="auto"/>
          <w:highlight w:val="none"/>
        </w:rPr>
        <w:t>360</w:t>
      </w:r>
      <w:r>
        <w:rPr>
          <w:rFonts w:ascii="Times New Roman" w:hAnsi="Times New Roman" w:eastAsia="宋体" w:cs="Times New Roman"/>
          <w:color w:val="auto"/>
          <w:highlight w:val="none"/>
        </w:rPr>
        <w:t>万元</w:t>
      </w:r>
      <w:r>
        <w:rPr>
          <w:rFonts w:hint="eastAsia" w:ascii="Times New Roman" w:hAnsi="Times New Roman" w:eastAsia="宋体" w:cs="Times New Roman"/>
          <w:color w:val="auto"/>
          <w:highlight w:val="none"/>
        </w:rPr>
        <w:t>，年</w:t>
      </w:r>
      <w:r>
        <w:rPr>
          <w:rFonts w:ascii="Times New Roman" w:hAnsi="Times New Roman" w:eastAsia="宋体" w:cs="Times New Roman"/>
          <w:color w:val="auto"/>
          <w:highlight w:val="none"/>
        </w:rPr>
        <w:t>环境投资效益</w:t>
      </w:r>
      <w:r>
        <w:rPr>
          <w:rFonts w:hint="eastAsia" w:ascii="Times New Roman" w:hAnsi="Times New Roman" w:eastAsia="宋体" w:cs="Times New Roman"/>
          <w:color w:val="auto"/>
          <w:highlight w:val="none"/>
        </w:rPr>
        <w:t>约0.79万元，</w:t>
      </w:r>
      <w:r>
        <w:rPr>
          <w:rFonts w:ascii="Times New Roman" w:hAnsi="Times New Roman" w:eastAsia="宋体" w:cs="Times New Roman"/>
          <w:color w:val="auto"/>
          <w:highlight w:val="none"/>
        </w:rPr>
        <w:t>年环境经济效益总值为</w:t>
      </w:r>
      <w:r>
        <w:rPr>
          <w:rFonts w:hint="eastAsia" w:ascii="Times New Roman" w:hAnsi="Times New Roman" w:eastAsia="宋体" w:cs="Times New Roman"/>
          <w:color w:val="auto"/>
          <w:highlight w:val="none"/>
        </w:rPr>
        <w:t>360.79</w:t>
      </w:r>
      <w:r>
        <w:rPr>
          <w:rFonts w:ascii="Times New Roman" w:hAnsi="Times New Roman" w:eastAsia="宋体" w:cs="Times New Roman"/>
          <w:color w:val="auto"/>
          <w:highlight w:val="none"/>
        </w:rPr>
        <w:t>万元/年，年环保措施运行费用为</w:t>
      </w:r>
      <w:r>
        <w:rPr>
          <w:rFonts w:hint="eastAsia" w:ascii="Times New Roman" w:hAnsi="Times New Roman" w:eastAsia="宋体" w:cs="Times New Roman"/>
          <w:color w:val="auto"/>
          <w:highlight w:val="none"/>
        </w:rPr>
        <w:t>50.16</w:t>
      </w:r>
      <w:r>
        <w:rPr>
          <w:rFonts w:ascii="Times New Roman" w:hAnsi="Times New Roman" w:eastAsia="宋体" w:cs="Times New Roman"/>
          <w:color w:val="auto"/>
          <w:highlight w:val="none"/>
        </w:rPr>
        <w:t>万元/年，由此计算出环境经济损益比为</w:t>
      </w:r>
      <w:r>
        <w:rPr>
          <w:rFonts w:hint="eastAsia" w:ascii="Times New Roman" w:hAnsi="Times New Roman" w:eastAsia="宋体" w:cs="Times New Roman"/>
          <w:color w:val="auto"/>
          <w:highlight w:val="none"/>
        </w:rPr>
        <w:t>7.19</w:t>
      </w:r>
      <w:r>
        <w:rPr>
          <w:rFonts w:ascii="Times New Roman" w:hAnsi="Times New Roman" w:eastAsia="宋体" w:cs="Times New Roman"/>
          <w:color w:val="auto"/>
          <w:highlight w:val="none"/>
        </w:rPr>
        <w:t>，表明项目建设取得的环境效益为正效益。</w:t>
      </w:r>
    </w:p>
    <w:p>
      <w:pPr>
        <w:pStyle w:val="4"/>
        <w:rPr>
          <w:rFonts w:ascii="Times New Roman" w:hAnsi="Times New Roman" w:eastAsia="宋体"/>
          <w:color w:val="auto"/>
          <w:highlight w:val="none"/>
        </w:rPr>
      </w:pPr>
      <w:bookmarkStart w:id="514" w:name="_Toc29267"/>
      <w:bookmarkStart w:id="515" w:name="_Toc23690"/>
      <w:r>
        <w:rPr>
          <w:rFonts w:ascii="Times New Roman" w:hAnsi="Times New Roman" w:eastAsia="宋体"/>
          <w:color w:val="auto"/>
          <w:highlight w:val="none"/>
        </w:rPr>
        <w:t>6.4 小结</w:t>
      </w:r>
      <w:bookmarkEnd w:id="510"/>
      <w:bookmarkEnd w:id="511"/>
      <w:bookmarkEnd w:id="512"/>
      <w:bookmarkEnd w:id="513"/>
      <w:bookmarkEnd w:id="514"/>
      <w:bookmarkEnd w:id="515"/>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本项目总投资</w:t>
      </w:r>
      <w:r>
        <w:rPr>
          <w:rFonts w:hint="eastAsia" w:ascii="Times New Roman" w:hAnsi="Times New Roman" w:eastAsia="宋体" w:cs="Times New Roman"/>
          <w:color w:val="auto"/>
          <w:highlight w:val="none"/>
        </w:rPr>
        <w:t>590</w:t>
      </w:r>
      <w:r>
        <w:rPr>
          <w:rFonts w:ascii="Times New Roman" w:hAnsi="Times New Roman" w:eastAsia="宋体" w:cs="Times New Roman"/>
          <w:color w:val="auto"/>
          <w:highlight w:val="none"/>
        </w:rPr>
        <w:t>万元，其中环保投资共计</w:t>
      </w:r>
      <w:r>
        <w:rPr>
          <w:rFonts w:hint="eastAsia" w:ascii="Times New Roman" w:hAnsi="Times New Roman" w:eastAsia="宋体" w:cs="Times New Roman"/>
          <w:color w:val="auto"/>
          <w:highlight w:val="none"/>
        </w:rPr>
        <w:t>248</w:t>
      </w:r>
      <w:r>
        <w:rPr>
          <w:rFonts w:ascii="Times New Roman" w:hAnsi="Times New Roman" w:eastAsia="宋体" w:cs="Times New Roman"/>
          <w:color w:val="auto"/>
          <w:highlight w:val="none"/>
        </w:rPr>
        <w:t>万元，占总投资的</w:t>
      </w:r>
      <w:r>
        <w:rPr>
          <w:rFonts w:hint="eastAsia" w:ascii="Times New Roman" w:hAnsi="Times New Roman" w:eastAsia="宋体" w:cs="Times New Roman"/>
          <w:color w:val="auto"/>
          <w:highlight w:val="none"/>
        </w:rPr>
        <w:t>40.03</w:t>
      </w:r>
      <w:r>
        <w:rPr>
          <w:rFonts w:ascii="Times New Roman" w:hAnsi="Times New Roman" w:eastAsia="宋体" w:cs="Times New Roman"/>
          <w:color w:val="auto"/>
          <w:highlight w:val="none"/>
        </w:rPr>
        <w:t>%。经上述分析可知，为了保护环境，达到环境目标的要求，项目采取了相应的环保措施，由于本项目环境保护资金的投入，即减少了排污，保护了环境和周围人群健康，企业付出的环境经济代价是企业能够接受的。综上所述，本项目在经济效益、社会效益和环境效益方面基本统一，从环境损益的角度看，本建设项目可行。</w:t>
      </w:r>
    </w:p>
    <w:bookmarkEnd w:id="457"/>
    <w:bookmarkEnd w:id="458"/>
    <w:bookmarkEnd w:id="459"/>
    <w:bookmarkEnd w:id="460"/>
    <w:bookmarkEnd w:id="461"/>
    <w:bookmarkEnd w:id="462"/>
    <w:bookmarkEnd w:id="463"/>
    <w:p>
      <w:pPr>
        <w:pStyle w:val="3"/>
        <w:rPr>
          <w:rFonts w:ascii="Times New Roman" w:hAnsi="Times New Roman" w:eastAsia="宋体"/>
          <w:color w:val="auto"/>
          <w:highlight w:val="none"/>
        </w:rPr>
        <w:sectPr>
          <w:headerReference r:id="rId21" w:type="default"/>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AndChars" w:linePitch="312" w:charSpace="0"/>
        </w:sectPr>
      </w:pPr>
      <w:bookmarkStart w:id="516" w:name="_Toc17644"/>
      <w:bookmarkStart w:id="517" w:name="_Toc6949"/>
      <w:bookmarkStart w:id="518" w:name="_Toc13618"/>
      <w:bookmarkStart w:id="519" w:name="_Toc30718"/>
      <w:bookmarkStart w:id="520" w:name="_Toc5089"/>
      <w:bookmarkStart w:id="521" w:name="_Toc14071"/>
      <w:bookmarkStart w:id="522" w:name="_Toc8354"/>
    </w:p>
    <w:p>
      <w:pPr>
        <w:pStyle w:val="2"/>
        <w:rPr>
          <w:rFonts w:ascii="Times New Roman" w:hAnsi="Times New Roman" w:eastAsia="宋体"/>
          <w:color w:val="auto"/>
          <w:highlight w:val="none"/>
        </w:rPr>
      </w:pPr>
      <w:bookmarkStart w:id="523" w:name="_Toc9157"/>
      <w:r>
        <w:rPr>
          <w:rFonts w:ascii="Times New Roman" w:hAnsi="Times New Roman" w:eastAsia="宋体"/>
          <w:color w:val="auto"/>
          <w:highlight w:val="none"/>
        </w:rPr>
        <w:t>7 环境管理与监测计划</w:t>
      </w:r>
      <w:bookmarkEnd w:id="516"/>
      <w:bookmarkEnd w:id="517"/>
      <w:bookmarkEnd w:id="518"/>
      <w:bookmarkEnd w:id="519"/>
      <w:bookmarkEnd w:id="520"/>
      <w:bookmarkEnd w:id="521"/>
      <w:bookmarkEnd w:id="522"/>
      <w:bookmarkEnd w:id="523"/>
    </w:p>
    <w:bookmarkEnd w:id="464"/>
    <w:bookmarkEnd w:id="465"/>
    <w:bookmarkEnd w:id="466"/>
    <w:bookmarkEnd w:id="467"/>
    <w:bookmarkEnd w:id="468"/>
    <w:bookmarkEnd w:id="469"/>
    <w:bookmarkEnd w:id="470"/>
    <w:p>
      <w:pPr>
        <w:pStyle w:val="4"/>
        <w:rPr>
          <w:rFonts w:ascii="Times New Roman" w:hAnsi="Times New Roman" w:eastAsia="宋体"/>
          <w:color w:val="auto"/>
          <w:highlight w:val="none"/>
        </w:rPr>
      </w:pPr>
      <w:bookmarkStart w:id="524" w:name="_Toc27851"/>
      <w:r>
        <w:rPr>
          <w:rFonts w:ascii="Times New Roman" w:hAnsi="Times New Roman" w:eastAsia="宋体"/>
          <w:color w:val="auto"/>
          <w:highlight w:val="none"/>
        </w:rPr>
        <w:t>7.1 环境管理制度</w:t>
      </w:r>
      <w:bookmarkEnd w:id="524"/>
    </w:p>
    <w:p>
      <w:pPr>
        <w:pStyle w:val="4"/>
        <w:rPr>
          <w:rFonts w:ascii="Times New Roman" w:hAnsi="Times New Roman" w:eastAsia="宋体"/>
          <w:color w:val="auto"/>
          <w:highlight w:val="none"/>
        </w:rPr>
      </w:pPr>
      <w:bookmarkStart w:id="525" w:name="_Toc26022"/>
      <w:bookmarkStart w:id="526" w:name="_Toc32405"/>
      <w:r>
        <w:rPr>
          <w:rFonts w:ascii="Times New Roman" w:hAnsi="Times New Roman" w:eastAsia="宋体"/>
          <w:color w:val="auto"/>
          <w:highlight w:val="none"/>
        </w:rPr>
        <w:t>7.1 环境管理制度</w:t>
      </w:r>
      <w:bookmarkEnd w:id="525"/>
      <w:bookmarkEnd w:id="526"/>
    </w:p>
    <w:p>
      <w:pPr>
        <w:pStyle w:val="5"/>
        <w:rPr>
          <w:rFonts w:ascii="Times New Roman" w:hAnsi="Times New Roman" w:eastAsia="宋体"/>
          <w:color w:val="auto"/>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"_Toc331598853" </w:instrText>
      </w:r>
      <w:r>
        <w:rPr>
          <w:rFonts w:ascii="Times New Roman" w:hAnsi="Times New Roman" w:eastAsia="宋体"/>
          <w:color w:val="auto"/>
          <w:highlight w:val="none"/>
        </w:rPr>
        <w:fldChar w:fldCharType="separate"/>
      </w:r>
      <w:r>
        <w:rPr>
          <w:rStyle w:val="59"/>
          <w:rFonts w:ascii="Times New Roman" w:hAnsi="Times New Roman" w:eastAsia="宋体"/>
          <w:color w:val="auto"/>
          <w:highlight w:val="none"/>
        </w:rPr>
        <w:t>7.1.1 环境管理</w:t>
      </w:r>
      <w:r>
        <w:rPr>
          <w:rFonts w:ascii="Times New Roman" w:hAnsi="Times New Roman" w:eastAsia="宋体"/>
          <w:color w:val="auto"/>
          <w:highlight w:val="none"/>
        </w:rPr>
        <w:fldChar w:fldCharType="end"/>
      </w:r>
      <w:r>
        <w:rPr>
          <w:rFonts w:ascii="Times New Roman" w:hAnsi="Times New Roman" w:eastAsia="宋体"/>
          <w:color w:val="auto"/>
          <w:highlight w:val="none"/>
        </w:rPr>
        <w:t>机构及职责</w:t>
      </w:r>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项目设置有环保专职人员，负责环境监督管理及各项环保设施的运行管理工作。环境保护管理机构人员的主要职责如下：</w:t>
      </w:r>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1、负责整个企业的环境保护管理工作。即贯彻执行国家和地方的环保政策、法规，对内宣传国家的环保法规和政策，并对有关操作人员进行技术培训和考核，以提高职工的环保意识和专业素质。</w:t>
      </w:r>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2、建立和健全企业各种环境管理规章制度、环境管理台账制度，领导和协调环境监测计划的落实，确保监测工作正常运行。</w:t>
      </w:r>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3、制定各项环境保护设施和措施的建设、运行及维护费用保障计划。</w:t>
      </w:r>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4、与政府环保部门密切配合，接受各级政府环境保护管理部门的检查和指导，协同当地环境保护管理部门解答和处理公众提出的意见和问题。</w:t>
      </w:r>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5、监督全企业的环保设施运行情况，严格做到污染物达标排放；组织环保设施改造、环保科研等计划的编制和实施工作。</w:t>
      </w:r>
    </w:p>
    <w:p>
      <w:pPr>
        <w:snapToGrid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6、负责组织突发性环境事故的应急处理及善后事宜，及时报告上级环保管理部门。</w:t>
      </w:r>
    </w:p>
    <w:p>
      <w:pPr>
        <w:pStyle w:val="5"/>
        <w:rPr>
          <w:rFonts w:ascii="Times New Roman" w:hAnsi="Times New Roman" w:eastAsia="宋体"/>
          <w:color w:val="auto"/>
          <w:highlight w:val="none"/>
        </w:rPr>
      </w:pPr>
      <w:r>
        <w:rPr>
          <w:rFonts w:ascii="Times New Roman" w:hAnsi="Times New Roman" w:eastAsia="宋体"/>
          <w:color w:val="auto"/>
          <w:highlight w:val="none"/>
        </w:rPr>
        <w:t>7.1.2 环境管理计划</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项目营运期环境管理计划详见表7.1-1。</w:t>
      </w:r>
    </w:p>
    <w:p>
      <w:pPr>
        <w:pStyle w:val="13"/>
        <w:rPr>
          <w:rFonts w:ascii="Times New Roman" w:hAnsi="Times New Roman" w:eastAsia="宋体"/>
          <w:color w:val="auto"/>
          <w:highlight w:val="none"/>
        </w:rPr>
      </w:pPr>
      <w:r>
        <w:rPr>
          <w:rFonts w:ascii="Times New Roman" w:hAnsi="Times New Roman" w:eastAsia="宋体"/>
          <w:color w:val="auto"/>
          <w:highlight w:val="none"/>
        </w:rPr>
        <w:t>表7.1-1  项目营运期环境管理计划</w:t>
      </w:r>
    </w:p>
    <w:tbl>
      <w:tblPr>
        <w:tblStyle w:val="48"/>
        <w:tblW w:w="9093"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0" w:type="dxa"/>
          <w:bottom w:w="0" w:type="dxa"/>
          <w:right w:w="0" w:type="dxa"/>
        </w:tblCellMar>
      </w:tblPr>
      <w:tblGrid>
        <w:gridCol w:w="1207"/>
        <w:gridCol w:w="5555"/>
        <w:gridCol w:w="1263"/>
        <w:gridCol w:w="1068"/>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1207" w:type="dxa"/>
            <w:tcBorders>
              <w:bottom w:val="single" w:color="auto" w:sz="6" w:space="0"/>
              <w:right w:val="single" w:color="auto" w:sz="6" w:space="0"/>
            </w:tcBorders>
            <w:noWrap w:val="0"/>
            <w:tcMar>
              <w:top w:w="0" w:type="dxa"/>
              <w:left w:w="85" w:type="dxa"/>
              <w:bottom w:w="0" w:type="dxa"/>
              <w:right w:w="85" w:type="dxa"/>
            </w:tcMar>
            <w:vAlign w:val="center"/>
          </w:tcPr>
          <w:p>
            <w:pPr>
              <w:pStyle w:val="81"/>
              <w:snapToGrid w:val="0"/>
              <w:jc w:val="center"/>
              <w:rPr>
                <w:rFonts w:ascii="Times New Roman" w:hAnsi="Times New Roman" w:eastAsia="宋体"/>
                <w:b/>
                <w:bCs/>
                <w:color w:val="auto"/>
                <w:highlight w:val="none"/>
                <w:lang w:val="en-US" w:eastAsia="zh-CN"/>
              </w:rPr>
            </w:pPr>
            <w:r>
              <w:rPr>
                <w:rFonts w:ascii="Times New Roman" w:hAnsi="Times New Roman" w:eastAsia="宋体"/>
                <w:b/>
                <w:bCs/>
                <w:color w:val="auto"/>
                <w:highlight w:val="none"/>
                <w:lang w:val="en-US" w:eastAsia="zh-CN"/>
              </w:rPr>
              <w:t>项目</w:t>
            </w:r>
          </w:p>
        </w:tc>
        <w:tc>
          <w:tcPr>
            <w:tcW w:w="5555" w:type="dxa"/>
            <w:tcBorders>
              <w:left w:val="single" w:color="auto" w:sz="6" w:space="0"/>
              <w:bottom w:val="single" w:color="auto" w:sz="6" w:space="0"/>
              <w:right w:val="single" w:color="auto" w:sz="6" w:space="0"/>
            </w:tcBorders>
            <w:noWrap w:val="0"/>
            <w:tcMar>
              <w:top w:w="0" w:type="dxa"/>
              <w:left w:w="85" w:type="dxa"/>
              <w:bottom w:w="0" w:type="dxa"/>
              <w:right w:w="85" w:type="dxa"/>
            </w:tcMar>
            <w:vAlign w:val="center"/>
          </w:tcPr>
          <w:p>
            <w:pPr>
              <w:pStyle w:val="81"/>
              <w:snapToGrid w:val="0"/>
              <w:jc w:val="center"/>
              <w:rPr>
                <w:rFonts w:ascii="Times New Roman" w:hAnsi="Times New Roman" w:eastAsia="宋体"/>
                <w:b/>
                <w:bCs/>
                <w:color w:val="auto"/>
                <w:highlight w:val="none"/>
                <w:lang w:val="en-US" w:eastAsia="zh-CN"/>
              </w:rPr>
            </w:pPr>
            <w:r>
              <w:rPr>
                <w:rFonts w:ascii="Times New Roman" w:hAnsi="Times New Roman" w:eastAsia="宋体"/>
                <w:b/>
                <w:bCs/>
                <w:color w:val="auto"/>
                <w:highlight w:val="none"/>
                <w:lang w:val="en-US" w:eastAsia="zh-CN"/>
              </w:rPr>
              <w:t>环境管理要求</w:t>
            </w:r>
          </w:p>
        </w:tc>
        <w:tc>
          <w:tcPr>
            <w:tcW w:w="1263" w:type="dxa"/>
            <w:tcBorders>
              <w:left w:val="single" w:color="auto" w:sz="6" w:space="0"/>
              <w:bottom w:val="single" w:color="auto" w:sz="6" w:space="0"/>
              <w:right w:val="single" w:color="auto" w:sz="6" w:space="0"/>
            </w:tcBorders>
            <w:noWrap w:val="0"/>
            <w:tcMar>
              <w:top w:w="0" w:type="dxa"/>
              <w:left w:w="85" w:type="dxa"/>
              <w:bottom w:w="0" w:type="dxa"/>
              <w:right w:w="85" w:type="dxa"/>
            </w:tcMar>
            <w:vAlign w:val="center"/>
          </w:tcPr>
          <w:p>
            <w:pPr>
              <w:pStyle w:val="81"/>
              <w:snapToGrid w:val="0"/>
              <w:jc w:val="center"/>
              <w:rPr>
                <w:rFonts w:ascii="Times New Roman" w:hAnsi="Times New Roman" w:eastAsia="宋体"/>
                <w:b/>
                <w:bCs/>
                <w:color w:val="auto"/>
                <w:highlight w:val="none"/>
                <w:lang w:val="en-US" w:eastAsia="zh-CN"/>
              </w:rPr>
            </w:pPr>
            <w:r>
              <w:rPr>
                <w:rFonts w:ascii="Times New Roman" w:hAnsi="Times New Roman" w:eastAsia="宋体"/>
                <w:b/>
                <w:bCs/>
                <w:color w:val="auto"/>
                <w:highlight w:val="none"/>
                <w:lang w:val="en-US" w:eastAsia="zh-CN"/>
              </w:rPr>
              <w:t>执行机构</w:t>
            </w:r>
          </w:p>
        </w:tc>
        <w:tc>
          <w:tcPr>
            <w:tcW w:w="1068" w:type="dxa"/>
            <w:tcBorders>
              <w:left w:val="single" w:color="auto" w:sz="6" w:space="0"/>
              <w:bottom w:val="single" w:color="auto" w:sz="6" w:space="0"/>
            </w:tcBorders>
            <w:noWrap w:val="0"/>
            <w:tcMar>
              <w:top w:w="0" w:type="dxa"/>
              <w:left w:w="85" w:type="dxa"/>
              <w:bottom w:w="0" w:type="dxa"/>
              <w:right w:w="85" w:type="dxa"/>
            </w:tcMar>
            <w:vAlign w:val="center"/>
          </w:tcPr>
          <w:p>
            <w:pPr>
              <w:pStyle w:val="81"/>
              <w:snapToGrid w:val="0"/>
              <w:rPr>
                <w:rFonts w:ascii="Times New Roman" w:hAnsi="Times New Roman" w:eastAsia="宋体"/>
                <w:b/>
                <w:bCs/>
                <w:color w:val="auto"/>
                <w:highlight w:val="none"/>
                <w:lang w:val="en-US" w:eastAsia="zh-CN"/>
              </w:rPr>
            </w:pPr>
            <w:r>
              <w:rPr>
                <w:rFonts w:ascii="Times New Roman" w:hAnsi="Times New Roman" w:eastAsia="宋体"/>
                <w:b/>
                <w:bCs/>
                <w:color w:val="auto"/>
                <w:highlight w:val="none"/>
                <w:lang w:val="en-US" w:eastAsia="zh-CN"/>
              </w:rPr>
              <w:t>监督机构</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1207" w:type="dxa"/>
            <w:tcBorders>
              <w:top w:val="single" w:color="auto" w:sz="6" w:space="0"/>
              <w:bottom w:val="single" w:color="auto" w:sz="6" w:space="0"/>
              <w:right w:val="single" w:color="auto" w:sz="6" w:space="0"/>
            </w:tcBorders>
            <w:noWrap w:val="0"/>
            <w:tcMar>
              <w:top w:w="0" w:type="dxa"/>
              <w:left w:w="85" w:type="dxa"/>
              <w:bottom w:w="0" w:type="dxa"/>
              <w:right w:w="85" w:type="dxa"/>
            </w:tcMar>
            <w:vAlign w:val="center"/>
          </w:tcPr>
          <w:p>
            <w:pPr>
              <w:pStyle w:val="81"/>
              <w:snapToGrid w:val="0"/>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废水</w:t>
            </w:r>
          </w:p>
        </w:tc>
        <w:tc>
          <w:tcPr>
            <w:tcW w:w="5555" w:type="dxa"/>
            <w:tcBorders>
              <w:top w:val="single" w:color="auto" w:sz="6" w:space="0"/>
              <w:left w:val="single" w:color="auto" w:sz="6" w:space="0"/>
              <w:bottom w:val="single" w:color="auto" w:sz="6" w:space="0"/>
              <w:right w:val="single" w:color="auto" w:sz="6" w:space="0"/>
            </w:tcBorders>
            <w:noWrap w:val="0"/>
            <w:tcMar>
              <w:top w:w="0" w:type="dxa"/>
              <w:left w:w="85" w:type="dxa"/>
              <w:bottom w:w="0" w:type="dxa"/>
              <w:right w:w="85" w:type="dxa"/>
            </w:tcMar>
            <w:vAlign w:val="center"/>
          </w:tcPr>
          <w:p>
            <w:pPr>
              <w:pStyle w:val="81"/>
              <w:snapToGrid w:val="0"/>
              <w:jc w:val="left"/>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加强公司污水处理站的管理，确保污水处理装置稳定运行，确保企业生产废水正常排放。</w:t>
            </w:r>
          </w:p>
        </w:tc>
        <w:tc>
          <w:tcPr>
            <w:tcW w:w="1263" w:type="dxa"/>
            <w:vMerge w:val="restart"/>
            <w:tcBorders>
              <w:top w:val="single" w:color="auto" w:sz="6" w:space="0"/>
              <w:left w:val="single" w:color="auto" w:sz="6" w:space="0"/>
              <w:bottom w:val="single" w:color="auto" w:sz="6" w:space="0"/>
              <w:right w:val="single" w:color="auto" w:sz="6" w:space="0"/>
            </w:tcBorders>
            <w:noWrap w:val="0"/>
            <w:tcMar>
              <w:top w:w="0" w:type="dxa"/>
              <w:left w:w="85" w:type="dxa"/>
              <w:bottom w:w="0" w:type="dxa"/>
              <w:right w:w="85" w:type="dxa"/>
            </w:tcMar>
            <w:vAlign w:val="center"/>
          </w:tcPr>
          <w:p>
            <w:pPr>
              <w:pStyle w:val="81"/>
              <w:snapToGrid w:val="0"/>
              <w:jc w:val="left"/>
              <w:rPr>
                <w:rFonts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三江县鑫贝矿业有限公司</w:t>
            </w:r>
          </w:p>
        </w:tc>
        <w:tc>
          <w:tcPr>
            <w:tcW w:w="1068" w:type="dxa"/>
            <w:vMerge w:val="restart"/>
            <w:tcBorders>
              <w:top w:val="single" w:color="auto" w:sz="6" w:space="0"/>
              <w:left w:val="single" w:color="auto" w:sz="6" w:space="0"/>
              <w:bottom w:val="single" w:color="auto" w:sz="6" w:space="0"/>
            </w:tcBorders>
            <w:noWrap w:val="0"/>
            <w:tcMar>
              <w:top w:w="0" w:type="dxa"/>
              <w:left w:w="85" w:type="dxa"/>
              <w:bottom w:w="0" w:type="dxa"/>
              <w:right w:w="85" w:type="dxa"/>
            </w:tcMar>
            <w:vAlign w:val="center"/>
          </w:tcPr>
          <w:p>
            <w:pPr>
              <w:pStyle w:val="81"/>
              <w:snapToGrid w:val="0"/>
              <w:jc w:val="left"/>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三江侗族自治县生态环境局</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1207" w:type="dxa"/>
            <w:tcBorders>
              <w:top w:val="single" w:color="auto" w:sz="6" w:space="0"/>
              <w:bottom w:val="single" w:color="auto" w:sz="6" w:space="0"/>
              <w:right w:val="single" w:color="auto" w:sz="6" w:space="0"/>
            </w:tcBorders>
            <w:noWrap w:val="0"/>
            <w:tcMar>
              <w:top w:w="0" w:type="dxa"/>
              <w:left w:w="85" w:type="dxa"/>
              <w:bottom w:w="0" w:type="dxa"/>
              <w:right w:w="85" w:type="dxa"/>
            </w:tcMar>
            <w:vAlign w:val="center"/>
          </w:tcPr>
          <w:p>
            <w:pPr>
              <w:pStyle w:val="81"/>
              <w:snapToGrid w:val="0"/>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废气</w:t>
            </w:r>
          </w:p>
        </w:tc>
        <w:tc>
          <w:tcPr>
            <w:tcW w:w="5555" w:type="dxa"/>
            <w:tcBorders>
              <w:top w:val="single" w:color="auto" w:sz="6" w:space="0"/>
              <w:left w:val="single" w:color="auto" w:sz="6" w:space="0"/>
              <w:bottom w:val="single" w:color="auto" w:sz="6" w:space="0"/>
              <w:right w:val="single" w:color="auto" w:sz="6" w:space="0"/>
            </w:tcBorders>
            <w:noWrap w:val="0"/>
            <w:tcMar>
              <w:top w:w="0" w:type="dxa"/>
              <w:left w:w="85" w:type="dxa"/>
              <w:bottom w:w="0" w:type="dxa"/>
              <w:right w:w="85" w:type="dxa"/>
            </w:tcMar>
            <w:vAlign w:val="center"/>
          </w:tcPr>
          <w:p>
            <w:pPr>
              <w:pStyle w:val="81"/>
              <w:snapToGrid w:val="0"/>
              <w:jc w:val="left"/>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制定设备维护管理责任制，维修人员定期检修废气治理设施，确保正常运行，保证废气达标排放。</w:t>
            </w:r>
          </w:p>
        </w:tc>
        <w:tc>
          <w:tcPr>
            <w:tcW w:w="1263" w:type="dxa"/>
            <w:vMerge w:val="continue"/>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left"/>
              <w:rPr>
                <w:rFonts w:ascii="Times New Roman" w:hAnsi="Times New Roman" w:eastAsia="宋体" w:cs="Times New Roman"/>
                <w:color w:val="auto"/>
                <w:spacing w:val="-12"/>
                <w:sz w:val="21"/>
                <w:highlight w:val="none"/>
              </w:rPr>
            </w:pPr>
          </w:p>
        </w:tc>
        <w:tc>
          <w:tcPr>
            <w:tcW w:w="1068" w:type="dxa"/>
            <w:vMerge w:val="continue"/>
            <w:tcBorders>
              <w:top w:val="single" w:color="auto" w:sz="6" w:space="0"/>
              <w:left w:val="single" w:color="auto" w:sz="6" w:space="0"/>
              <w:bottom w:val="single" w:color="auto" w:sz="6" w:space="0"/>
            </w:tcBorders>
            <w:noWrap w:val="0"/>
            <w:vAlign w:val="center"/>
          </w:tcPr>
          <w:p>
            <w:pPr>
              <w:snapToGrid w:val="0"/>
              <w:spacing w:line="240" w:lineRule="auto"/>
              <w:ind w:firstLine="0" w:firstLineChars="0"/>
              <w:jc w:val="left"/>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1207" w:type="dxa"/>
            <w:tcBorders>
              <w:top w:val="single" w:color="auto" w:sz="6" w:space="0"/>
              <w:bottom w:val="single" w:color="auto" w:sz="6" w:space="0"/>
              <w:right w:val="single" w:color="auto" w:sz="6" w:space="0"/>
            </w:tcBorders>
            <w:noWrap w:val="0"/>
            <w:tcMar>
              <w:top w:w="0" w:type="dxa"/>
              <w:left w:w="85" w:type="dxa"/>
              <w:bottom w:w="0" w:type="dxa"/>
              <w:right w:w="85" w:type="dxa"/>
            </w:tcMar>
            <w:vAlign w:val="center"/>
          </w:tcPr>
          <w:p>
            <w:pPr>
              <w:pStyle w:val="81"/>
              <w:snapToGrid w:val="0"/>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噪声</w:t>
            </w:r>
          </w:p>
        </w:tc>
        <w:tc>
          <w:tcPr>
            <w:tcW w:w="5555" w:type="dxa"/>
            <w:tcBorders>
              <w:top w:val="single" w:color="auto" w:sz="6" w:space="0"/>
              <w:left w:val="single" w:color="auto" w:sz="6" w:space="0"/>
              <w:bottom w:val="single" w:color="auto" w:sz="6" w:space="0"/>
              <w:right w:val="single" w:color="auto" w:sz="6" w:space="0"/>
            </w:tcBorders>
            <w:noWrap w:val="0"/>
            <w:tcMar>
              <w:top w:w="0" w:type="dxa"/>
              <w:left w:w="85" w:type="dxa"/>
              <w:bottom w:w="0" w:type="dxa"/>
              <w:right w:w="85" w:type="dxa"/>
            </w:tcMar>
            <w:vAlign w:val="center"/>
          </w:tcPr>
          <w:p>
            <w:pPr>
              <w:pStyle w:val="81"/>
              <w:snapToGrid w:val="0"/>
              <w:jc w:val="left"/>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 xml:space="preserve">选用低噪声设备，做好减震、隔声措施，确保厂界噪声达标， </w:t>
            </w:r>
          </w:p>
        </w:tc>
        <w:tc>
          <w:tcPr>
            <w:tcW w:w="1263" w:type="dxa"/>
            <w:vMerge w:val="continue"/>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left"/>
              <w:rPr>
                <w:rFonts w:ascii="Times New Roman" w:hAnsi="Times New Roman" w:eastAsia="宋体" w:cs="Times New Roman"/>
                <w:color w:val="auto"/>
                <w:spacing w:val="-12"/>
                <w:sz w:val="21"/>
                <w:highlight w:val="none"/>
              </w:rPr>
            </w:pPr>
          </w:p>
        </w:tc>
        <w:tc>
          <w:tcPr>
            <w:tcW w:w="1068" w:type="dxa"/>
            <w:vMerge w:val="continue"/>
            <w:tcBorders>
              <w:top w:val="single" w:color="auto" w:sz="6" w:space="0"/>
              <w:left w:val="single" w:color="auto" w:sz="6" w:space="0"/>
              <w:bottom w:val="single" w:color="auto" w:sz="6" w:space="0"/>
            </w:tcBorders>
            <w:noWrap w:val="0"/>
            <w:vAlign w:val="center"/>
          </w:tcPr>
          <w:p>
            <w:pPr>
              <w:snapToGrid w:val="0"/>
              <w:spacing w:line="240" w:lineRule="auto"/>
              <w:ind w:firstLine="0" w:firstLineChars="0"/>
              <w:jc w:val="left"/>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1207" w:type="dxa"/>
            <w:tcBorders>
              <w:top w:val="single" w:color="auto" w:sz="6" w:space="0"/>
              <w:bottom w:val="single" w:color="auto" w:sz="6" w:space="0"/>
              <w:right w:val="single" w:color="auto" w:sz="6" w:space="0"/>
            </w:tcBorders>
            <w:noWrap w:val="0"/>
            <w:tcMar>
              <w:top w:w="0" w:type="dxa"/>
              <w:left w:w="85" w:type="dxa"/>
              <w:bottom w:w="0" w:type="dxa"/>
              <w:right w:w="85" w:type="dxa"/>
            </w:tcMar>
            <w:vAlign w:val="center"/>
          </w:tcPr>
          <w:p>
            <w:pPr>
              <w:pStyle w:val="81"/>
              <w:snapToGrid w:val="0"/>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固体废物</w:t>
            </w:r>
          </w:p>
        </w:tc>
        <w:tc>
          <w:tcPr>
            <w:tcW w:w="5555" w:type="dxa"/>
            <w:tcBorders>
              <w:top w:val="single" w:color="auto" w:sz="6" w:space="0"/>
              <w:left w:val="single" w:color="auto" w:sz="6" w:space="0"/>
              <w:bottom w:val="single" w:color="auto" w:sz="6" w:space="0"/>
              <w:right w:val="single" w:color="auto" w:sz="6" w:space="0"/>
            </w:tcBorders>
            <w:noWrap w:val="0"/>
            <w:tcMar>
              <w:top w:w="0" w:type="dxa"/>
              <w:left w:w="85" w:type="dxa"/>
              <w:bottom w:w="0" w:type="dxa"/>
              <w:right w:w="85" w:type="dxa"/>
            </w:tcMar>
            <w:vAlign w:val="center"/>
          </w:tcPr>
          <w:p>
            <w:pPr>
              <w:pStyle w:val="81"/>
              <w:snapToGrid w:val="0"/>
              <w:jc w:val="left"/>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集中管理，堆存场地按有关工程规范建设，做好防渗、定期清理等。</w:t>
            </w:r>
          </w:p>
        </w:tc>
        <w:tc>
          <w:tcPr>
            <w:tcW w:w="1263" w:type="dxa"/>
            <w:vMerge w:val="continue"/>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left"/>
              <w:rPr>
                <w:rFonts w:ascii="Times New Roman" w:hAnsi="Times New Roman" w:eastAsia="宋体" w:cs="Times New Roman"/>
                <w:color w:val="auto"/>
                <w:spacing w:val="-12"/>
                <w:sz w:val="21"/>
                <w:highlight w:val="none"/>
              </w:rPr>
            </w:pPr>
          </w:p>
        </w:tc>
        <w:tc>
          <w:tcPr>
            <w:tcW w:w="1068" w:type="dxa"/>
            <w:vMerge w:val="continue"/>
            <w:tcBorders>
              <w:top w:val="single" w:color="auto" w:sz="6" w:space="0"/>
              <w:left w:val="single" w:color="auto" w:sz="6" w:space="0"/>
              <w:bottom w:val="single" w:color="auto" w:sz="6" w:space="0"/>
            </w:tcBorders>
            <w:noWrap w:val="0"/>
            <w:vAlign w:val="center"/>
          </w:tcPr>
          <w:p>
            <w:pPr>
              <w:snapToGrid w:val="0"/>
              <w:spacing w:line="240" w:lineRule="auto"/>
              <w:ind w:firstLine="0" w:firstLineChars="0"/>
              <w:jc w:val="left"/>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1207" w:type="dxa"/>
            <w:tcBorders>
              <w:top w:val="single" w:color="auto" w:sz="6" w:space="0"/>
              <w:bottom w:val="single" w:color="auto" w:sz="6" w:space="0"/>
              <w:right w:val="single" w:color="auto" w:sz="6" w:space="0"/>
            </w:tcBorders>
            <w:noWrap w:val="0"/>
            <w:tcMar>
              <w:top w:w="0" w:type="dxa"/>
              <w:left w:w="85" w:type="dxa"/>
              <w:bottom w:w="0" w:type="dxa"/>
              <w:right w:w="85" w:type="dxa"/>
            </w:tcMar>
            <w:vAlign w:val="center"/>
          </w:tcPr>
          <w:p>
            <w:pPr>
              <w:pStyle w:val="81"/>
              <w:snapToGrid w:val="0"/>
              <w:jc w:val="left"/>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环境风险管理</w:t>
            </w:r>
          </w:p>
        </w:tc>
        <w:tc>
          <w:tcPr>
            <w:tcW w:w="5555" w:type="dxa"/>
            <w:tcBorders>
              <w:top w:val="single" w:color="auto" w:sz="6" w:space="0"/>
              <w:left w:val="single" w:color="auto" w:sz="6" w:space="0"/>
              <w:bottom w:val="single" w:color="auto" w:sz="6" w:space="0"/>
              <w:right w:val="single" w:color="auto" w:sz="6" w:space="0"/>
            </w:tcBorders>
            <w:noWrap w:val="0"/>
            <w:tcMar>
              <w:top w:w="0" w:type="dxa"/>
              <w:left w:w="85" w:type="dxa"/>
              <w:bottom w:w="0" w:type="dxa"/>
              <w:right w:w="85" w:type="dxa"/>
            </w:tcMar>
            <w:vAlign w:val="center"/>
          </w:tcPr>
          <w:p>
            <w:pPr>
              <w:pStyle w:val="81"/>
              <w:snapToGrid w:val="0"/>
              <w:jc w:val="left"/>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制定环境风险事故应急预案，并落实相关措施</w:t>
            </w:r>
          </w:p>
        </w:tc>
        <w:tc>
          <w:tcPr>
            <w:tcW w:w="1263" w:type="dxa"/>
            <w:vMerge w:val="continue"/>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firstLine="0" w:firstLineChars="0"/>
              <w:jc w:val="left"/>
              <w:rPr>
                <w:rFonts w:ascii="Times New Roman" w:hAnsi="Times New Roman" w:eastAsia="宋体" w:cs="Times New Roman"/>
                <w:color w:val="auto"/>
                <w:spacing w:val="-12"/>
                <w:sz w:val="21"/>
                <w:highlight w:val="none"/>
              </w:rPr>
            </w:pPr>
          </w:p>
        </w:tc>
        <w:tc>
          <w:tcPr>
            <w:tcW w:w="1068" w:type="dxa"/>
            <w:vMerge w:val="continue"/>
            <w:tcBorders>
              <w:top w:val="single" w:color="auto" w:sz="6" w:space="0"/>
              <w:left w:val="single" w:color="auto" w:sz="6" w:space="0"/>
              <w:bottom w:val="single" w:color="auto" w:sz="6" w:space="0"/>
            </w:tcBorders>
            <w:noWrap w:val="0"/>
            <w:vAlign w:val="center"/>
          </w:tcPr>
          <w:p>
            <w:pPr>
              <w:snapToGrid w:val="0"/>
              <w:spacing w:line="240" w:lineRule="auto"/>
              <w:ind w:firstLine="0" w:firstLineChars="0"/>
              <w:jc w:val="left"/>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1207" w:type="dxa"/>
            <w:tcBorders>
              <w:top w:val="single" w:color="auto" w:sz="6" w:space="0"/>
              <w:right w:val="single" w:color="auto" w:sz="6" w:space="0"/>
            </w:tcBorders>
            <w:noWrap w:val="0"/>
            <w:tcMar>
              <w:top w:w="0" w:type="dxa"/>
              <w:left w:w="85" w:type="dxa"/>
              <w:bottom w:w="0" w:type="dxa"/>
              <w:right w:w="85" w:type="dxa"/>
            </w:tcMar>
            <w:vAlign w:val="center"/>
          </w:tcPr>
          <w:p>
            <w:pPr>
              <w:pStyle w:val="81"/>
              <w:snapToGrid w:val="0"/>
              <w:jc w:val="center"/>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环境监测</w:t>
            </w:r>
          </w:p>
        </w:tc>
        <w:tc>
          <w:tcPr>
            <w:tcW w:w="5555" w:type="dxa"/>
            <w:tcBorders>
              <w:top w:val="single" w:color="auto" w:sz="6" w:space="0"/>
              <w:left w:val="single" w:color="auto" w:sz="6" w:space="0"/>
              <w:right w:val="single" w:color="auto" w:sz="6" w:space="0"/>
            </w:tcBorders>
            <w:noWrap w:val="0"/>
            <w:tcMar>
              <w:top w:w="0" w:type="dxa"/>
              <w:left w:w="85" w:type="dxa"/>
              <w:bottom w:w="0" w:type="dxa"/>
              <w:right w:w="85" w:type="dxa"/>
            </w:tcMar>
            <w:vAlign w:val="center"/>
          </w:tcPr>
          <w:p>
            <w:pPr>
              <w:pStyle w:val="81"/>
              <w:snapToGrid w:val="0"/>
              <w:jc w:val="left"/>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按照环境监测技术规范和国家环保局颁布的监测标准、方法执行。</w:t>
            </w:r>
          </w:p>
        </w:tc>
        <w:tc>
          <w:tcPr>
            <w:tcW w:w="1263" w:type="dxa"/>
            <w:tcBorders>
              <w:top w:val="single" w:color="auto" w:sz="6" w:space="0"/>
              <w:left w:val="single" w:color="auto" w:sz="6" w:space="0"/>
              <w:right w:val="single" w:color="auto" w:sz="6" w:space="0"/>
            </w:tcBorders>
            <w:noWrap w:val="0"/>
            <w:tcMar>
              <w:top w:w="0" w:type="dxa"/>
              <w:left w:w="85" w:type="dxa"/>
              <w:bottom w:w="0" w:type="dxa"/>
              <w:right w:w="85" w:type="dxa"/>
            </w:tcMar>
            <w:vAlign w:val="center"/>
          </w:tcPr>
          <w:p>
            <w:pPr>
              <w:pStyle w:val="81"/>
              <w:snapToGrid w:val="0"/>
              <w:jc w:val="left"/>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有资质的监测单位</w:t>
            </w:r>
          </w:p>
        </w:tc>
        <w:tc>
          <w:tcPr>
            <w:tcW w:w="1068" w:type="dxa"/>
            <w:vMerge w:val="continue"/>
            <w:tcBorders>
              <w:top w:val="single" w:color="auto" w:sz="6" w:space="0"/>
              <w:left w:val="single" w:color="auto" w:sz="6" w:space="0"/>
            </w:tcBorders>
            <w:noWrap w:val="0"/>
            <w:vAlign w:val="center"/>
          </w:tcPr>
          <w:p>
            <w:pPr>
              <w:snapToGrid w:val="0"/>
              <w:spacing w:line="240" w:lineRule="auto"/>
              <w:ind w:firstLine="0" w:firstLineChars="0"/>
              <w:jc w:val="left"/>
              <w:rPr>
                <w:rFonts w:ascii="Times New Roman" w:hAnsi="Times New Roman" w:eastAsia="宋体" w:cs="Times New Roman"/>
                <w:color w:val="auto"/>
                <w:sz w:val="21"/>
                <w:highlight w:val="none"/>
              </w:rPr>
            </w:pPr>
          </w:p>
        </w:tc>
      </w:tr>
    </w:tbl>
    <w:p>
      <w:pPr>
        <w:pStyle w:val="4"/>
        <w:rPr>
          <w:rFonts w:ascii="Times New Roman" w:hAnsi="Times New Roman" w:eastAsia="宋体"/>
          <w:color w:val="auto"/>
          <w:kern w:val="2"/>
          <w:highlight w:val="none"/>
        </w:rPr>
      </w:pPr>
      <w:bookmarkStart w:id="527" w:name="_Toc515531722"/>
      <w:bookmarkEnd w:id="527"/>
      <w:bookmarkStart w:id="528" w:name="_Toc532378876"/>
      <w:bookmarkStart w:id="529" w:name="_Toc160"/>
      <w:bookmarkStart w:id="530" w:name="_Toc1940"/>
      <w:r>
        <w:rPr>
          <w:rFonts w:ascii="Times New Roman" w:hAnsi="Times New Roman" w:eastAsia="宋体"/>
          <w:color w:val="auto"/>
          <w:highlight w:val="none"/>
        </w:rPr>
        <w:t xml:space="preserve">7.2 </w:t>
      </w:r>
      <w:bookmarkEnd w:id="528"/>
      <w:r>
        <w:rPr>
          <w:rFonts w:ascii="Times New Roman" w:hAnsi="Times New Roman" w:eastAsia="宋体"/>
          <w:color w:val="auto"/>
          <w:highlight w:val="none"/>
        </w:rPr>
        <w:t>污染物排放清单及管理要求</w:t>
      </w:r>
      <w:bookmarkEnd w:id="529"/>
      <w:bookmarkEnd w:id="530"/>
    </w:p>
    <w:p>
      <w:pPr>
        <w:overflowPunct w:val="0"/>
        <w:ind w:firstLine="480"/>
        <w:rPr>
          <w:rFonts w:ascii="Times New Roman" w:hAnsi="Times New Roman" w:eastAsia="宋体" w:cs="Times New Roman"/>
          <w:b/>
          <w:bCs/>
          <w:color w:val="auto"/>
          <w:highlight w:val="none"/>
        </w:rPr>
        <w:sectPr>
          <w:headerReference r:id="rId22" w:type="default"/>
          <w:pgSz w:w="11906" w:h="16838"/>
          <w:pgMar w:top="1417" w:right="1417" w:bottom="1417" w:left="1417" w:header="720" w:footer="720" w:gutter="0"/>
          <w:pgBorders>
            <w:top w:val="none" w:sz="0" w:space="0"/>
            <w:left w:val="none" w:sz="0" w:space="0"/>
            <w:bottom w:val="none" w:sz="0" w:space="0"/>
            <w:right w:val="none" w:sz="0" w:space="0"/>
          </w:pgBorders>
          <w:cols w:space="720" w:num="1"/>
          <w:docGrid w:type="lines" w:linePitch="326" w:charSpace="0"/>
        </w:sectPr>
      </w:pPr>
      <w:r>
        <w:rPr>
          <w:rFonts w:ascii="Times New Roman" w:hAnsi="Times New Roman" w:eastAsia="宋体" w:cs="Times New Roman"/>
          <w:color w:val="auto"/>
          <w:highlight w:val="none"/>
        </w:rPr>
        <w:t>在本项目环评文件审批前，建设单位应向社会公开环评文件全文公示稿，项目运营过程中，应定期向社会公开项目污染物的排放情况，同时在废气排气筒处设置便于采样、监测的采样口或采样平台，并设置醒目的环保标志牌。项目实施后污染物排放清单及管理要求见表7.2-1。</w:t>
      </w:r>
    </w:p>
    <w:p>
      <w:pPr>
        <w:pStyle w:val="13"/>
        <w:rPr>
          <w:rFonts w:ascii="Times New Roman" w:hAnsi="Times New Roman" w:eastAsia="宋体"/>
          <w:color w:val="auto"/>
          <w:highlight w:val="none"/>
        </w:rPr>
      </w:pPr>
      <w:r>
        <w:rPr>
          <w:rFonts w:ascii="Times New Roman" w:hAnsi="Times New Roman" w:eastAsia="宋体"/>
          <w:color w:val="auto"/>
          <w:highlight w:val="none"/>
        </w:rPr>
        <w:t>表7.2-1  项目污染物排放清单及环保措施一览表</w:t>
      </w:r>
    </w:p>
    <w:tbl>
      <w:tblPr>
        <w:tblStyle w:val="48"/>
        <w:tblW w:w="14173" w:type="dxa"/>
        <w:jc w:val="center"/>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54"/>
        <w:gridCol w:w="653"/>
        <w:gridCol w:w="913"/>
        <w:gridCol w:w="996"/>
        <w:gridCol w:w="1138"/>
        <w:gridCol w:w="1281"/>
        <w:gridCol w:w="2989"/>
        <w:gridCol w:w="1854"/>
        <w:gridCol w:w="349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tcBorders>
              <w:tl2br w:val="nil"/>
              <w:tr2bl w:val="nil"/>
            </w:tcBorders>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类别</w:t>
            </w:r>
          </w:p>
        </w:tc>
        <w:tc>
          <w:tcPr>
            <w:tcW w:w="1566" w:type="dxa"/>
            <w:gridSpan w:val="2"/>
            <w:tcBorders>
              <w:tl2br w:val="nil"/>
              <w:tr2bl w:val="nil"/>
            </w:tcBorders>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污染源</w:t>
            </w:r>
          </w:p>
        </w:tc>
        <w:tc>
          <w:tcPr>
            <w:tcW w:w="996" w:type="dxa"/>
            <w:tcBorders>
              <w:tl2br w:val="nil"/>
              <w:tr2bl w:val="nil"/>
            </w:tcBorders>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污染物</w:t>
            </w:r>
          </w:p>
        </w:tc>
        <w:tc>
          <w:tcPr>
            <w:tcW w:w="1138" w:type="dxa"/>
            <w:tcBorders>
              <w:tl2br w:val="nil"/>
              <w:tr2bl w:val="nil"/>
            </w:tcBorders>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排放浓度</w:t>
            </w:r>
          </w:p>
        </w:tc>
        <w:tc>
          <w:tcPr>
            <w:tcW w:w="1281" w:type="dxa"/>
            <w:tcBorders>
              <w:tl2br w:val="nil"/>
              <w:tr2bl w:val="nil"/>
            </w:tcBorders>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排放量</w:t>
            </w:r>
          </w:p>
        </w:tc>
        <w:tc>
          <w:tcPr>
            <w:tcW w:w="2989" w:type="dxa"/>
            <w:tcBorders>
              <w:tl2br w:val="nil"/>
              <w:tr2bl w:val="nil"/>
            </w:tcBorders>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环保设施</w:t>
            </w:r>
          </w:p>
        </w:tc>
        <w:tc>
          <w:tcPr>
            <w:tcW w:w="1854" w:type="dxa"/>
            <w:tcBorders>
              <w:tl2br w:val="nil"/>
              <w:tr2bl w:val="nil"/>
            </w:tcBorders>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排污口管理</w:t>
            </w:r>
          </w:p>
        </w:tc>
        <w:tc>
          <w:tcPr>
            <w:tcW w:w="3495" w:type="dxa"/>
            <w:tcBorders>
              <w:tl2br w:val="nil"/>
              <w:tr2bl w:val="nil"/>
            </w:tcBorders>
            <w:noWrap w:val="0"/>
            <w:vAlign w:val="center"/>
          </w:tcPr>
          <w:p>
            <w:pPr>
              <w:pStyle w:val="81"/>
              <w:jc w:val="center"/>
              <w:rPr>
                <w:rFonts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lang w:val="en-US" w:eastAsia="zh-CN"/>
              </w:rPr>
              <w:t>排放标准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restart"/>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废气</w:t>
            </w:r>
          </w:p>
        </w:tc>
        <w:tc>
          <w:tcPr>
            <w:tcW w:w="653" w:type="dxa"/>
            <w:vMerge w:val="restart"/>
            <w:tcBorders>
              <w:tl2br w:val="nil"/>
              <w:tr2bl w:val="nil"/>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highlight w:val="none"/>
                <w:u w:val="single"/>
                <w:lang w:val="en-US" w:eastAsia="zh-CN"/>
              </w:rPr>
            </w:pPr>
            <w:r>
              <w:rPr>
                <w:rFonts w:hint="eastAsia" w:cs="Times New Roman"/>
                <w:color w:val="auto"/>
                <w:sz w:val="21"/>
                <w:highlight w:val="none"/>
                <w:u w:val="single"/>
                <w:lang w:val="en-US" w:eastAsia="zh-CN"/>
              </w:rPr>
              <w:t>破碎场</w:t>
            </w:r>
            <w:r>
              <w:rPr>
                <w:rFonts w:hint="eastAsia" w:ascii="Times New Roman" w:hAnsi="Times New Roman" w:eastAsia="宋体"/>
                <w:color w:val="auto"/>
                <w:sz w:val="21"/>
                <w:highlight w:val="none"/>
                <w:u w:val="single"/>
              </w:rPr>
              <w:t>①</w:t>
            </w:r>
          </w:p>
        </w:tc>
        <w:tc>
          <w:tcPr>
            <w:tcW w:w="913" w:type="dxa"/>
            <w:vMerge w:val="restart"/>
            <w:tcBorders>
              <w:tl2br w:val="nil"/>
              <w:tr2bl w:val="nil"/>
            </w:tcBorders>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w:t>
            </w:r>
          </w:p>
          <w:p>
            <w:pPr>
              <w:widowControl/>
              <w:adjustRightInd w:val="0"/>
              <w:snapToGrid w:val="0"/>
              <w:spacing w:line="240" w:lineRule="auto"/>
              <w:ind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破碎</w:t>
            </w:r>
            <w:r>
              <w:rPr>
                <w:rFonts w:hint="eastAsia" w:ascii="Times New Roman" w:hAnsi="Times New Roman" w:eastAsia="宋体"/>
                <w:color w:val="auto"/>
                <w:sz w:val="21"/>
                <w:highlight w:val="none"/>
              </w:rPr>
              <w:t>①</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废气量</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10000m</w:t>
            </w:r>
            <w:r>
              <w:rPr>
                <w:rFonts w:ascii="Times New Roman" w:hAnsi="Times New Roman" w:eastAsia="宋体" w:cs="Times New Roman"/>
                <w:color w:val="auto"/>
                <w:sz w:val="21"/>
                <w:highlight w:val="none"/>
                <w:vertAlign w:val="superscript"/>
              </w:rPr>
              <w:t>3</w:t>
            </w:r>
            <w:r>
              <w:rPr>
                <w:rFonts w:ascii="Times New Roman" w:hAnsi="Times New Roman" w:eastAsia="宋体" w:cs="Times New Roman"/>
                <w:color w:val="auto"/>
                <w:sz w:val="21"/>
                <w:highlight w:val="none"/>
              </w:rPr>
              <w:t>/h</w:t>
            </w:r>
          </w:p>
        </w:tc>
        <w:tc>
          <w:tcPr>
            <w:tcW w:w="2989" w:type="dxa"/>
            <w:vMerge w:val="restart"/>
            <w:tcBorders>
              <w:tl2br w:val="nil"/>
              <w:tr2bl w:val="nil"/>
            </w:tcBorders>
            <w:noWrap w:val="0"/>
            <w:vAlign w:val="center"/>
          </w:tcPr>
          <w:p>
            <w:pPr>
              <w:spacing w:line="240" w:lineRule="auto"/>
              <w:ind w:firstLine="0" w:firstLineChars="0"/>
              <w:rPr>
                <w:rFonts w:ascii="Times New Roman" w:hAnsi="Times New Roman" w:eastAsia="宋体" w:cs="Times New Roman"/>
                <w:color w:val="auto"/>
                <w:sz w:val="21"/>
                <w:highlight w:val="none"/>
              </w:rPr>
            </w:pPr>
            <w:r>
              <w:rPr>
                <w:rFonts w:hint="eastAsia" w:ascii="Times New Roman" w:hAnsi="Times New Roman" w:eastAsia="宋体"/>
                <w:color w:val="auto"/>
                <w:kern w:val="0"/>
                <w:highlight w:val="none"/>
                <w:lang w:val="en-US" w:eastAsia="zh-CN"/>
              </w:rPr>
              <w:t>喷淋+</w:t>
            </w:r>
            <w:r>
              <w:rPr>
                <w:rFonts w:hint="eastAsia" w:ascii="Times New Roman" w:hAnsi="Times New Roman" w:eastAsia="宋体" w:cs="Times New Roman"/>
                <w:color w:val="auto"/>
                <w:kern w:val="0"/>
                <w:sz w:val="21"/>
                <w:highlight w:val="none"/>
              </w:rPr>
              <w:t>封闭+负压收集</w:t>
            </w:r>
            <w:r>
              <w:rPr>
                <w:rFonts w:ascii="Times New Roman" w:hAnsi="Times New Roman" w:eastAsia="宋体" w:cs="Times New Roman"/>
                <w:color w:val="auto"/>
                <w:kern w:val="0"/>
                <w:sz w:val="21"/>
                <w:highlight w:val="none"/>
              </w:rPr>
              <w:t>+袋式除尘</w:t>
            </w:r>
            <w:r>
              <w:rPr>
                <w:rFonts w:ascii="Times New Roman" w:hAnsi="Times New Roman" w:eastAsia="宋体" w:cs="Times New Roman"/>
                <w:color w:val="auto"/>
                <w:sz w:val="21"/>
                <w:highlight w:val="none"/>
              </w:rPr>
              <w:t>+15m高排气筒</w:t>
            </w:r>
          </w:p>
        </w:tc>
        <w:tc>
          <w:tcPr>
            <w:tcW w:w="1854" w:type="dxa"/>
            <w:vMerge w:val="restart"/>
            <w:tcBorders>
              <w:tl2br w:val="nil"/>
              <w:tr2bl w:val="nil"/>
            </w:tcBorders>
            <w:noWrap w:val="0"/>
            <w:vAlign w:val="center"/>
          </w:tcPr>
          <w:p>
            <w:pPr>
              <w:pStyle w:val="81"/>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设置便于采样、监测的采样口或采样平台，并设置醒目的环保标志牌</w:t>
            </w:r>
          </w:p>
        </w:tc>
        <w:tc>
          <w:tcPr>
            <w:tcW w:w="3495" w:type="dxa"/>
            <w:vMerge w:val="restart"/>
            <w:tcBorders>
              <w:tl2br w:val="nil"/>
              <w:tr2bl w:val="nil"/>
            </w:tcBorders>
            <w:noWrap w:val="0"/>
            <w:vAlign w:val="center"/>
          </w:tcPr>
          <w:p>
            <w:pPr>
              <w:pStyle w:val="81"/>
              <w:jc w:val="left"/>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满足《大气污染物综合排放标准》（GB</w:t>
            </w:r>
            <w:r>
              <w:rPr>
                <w:rFonts w:hint="eastAsia" w:ascii="Times New Roman" w:hAnsi="Times New Roman" w:eastAsia="宋体"/>
                <w:color w:val="auto"/>
                <w:szCs w:val="21"/>
                <w:highlight w:val="none"/>
                <w:lang w:val="en-US" w:eastAsia="zh-CN"/>
              </w:rPr>
              <w:t xml:space="preserve"> </w:t>
            </w:r>
            <w:r>
              <w:rPr>
                <w:rFonts w:ascii="Times New Roman" w:hAnsi="Times New Roman" w:eastAsia="宋体"/>
                <w:color w:val="auto"/>
                <w:szCs w:val="21"/>
                <w:highlight w:val="none"/>
                <w:lang w:val="en-US" w:eastAsia="zh-CN"/>
              </w:rPr>
              <w:t>16297-1996）二级标准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653"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u w:val="single"/>
                <w:lang w:val="en-US" w:eastAsia="zh-CN"/>
              </w:rPr>
            </w:pPr>
          </w:p>
        </w:tc>
        <w:tc>
          <w:tcPr>
            <w:tcW w:w="913"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7.03</w:t>
            </w:r>
            <w:r>
              <w:rPr>
                <w:rFonts w:ascii="Times New Roman" w:hAnsi="Times New Roman" w:eastAsia="宋体"/>
                <w:color w:val="auto"/>
                <w:szCs w:val="21"/>
                <w:highlight w:val="none"/>
                <w:lang w:val="en-US" w:eastAsia="zh-CN"/>
              </w:rPr>
              <w:t>mg/m</w:t>
            </w:r>
            <w:r>
              <w:rPr>
                <w:rFonts w:ascii="Times New Roman" w:hAnsi="Times New Roman" w:eastAsia="宋体"/>
                <w:color w:val="auto"/>
                <w:szCs w:val="21"/>
                <w:highlight w:val="none"/>
                <w:vertAlign w:val="superscript"/>
                <w:lang w:val="en-US" w:eastAsia="zh-CN"/>
              </w:rPr>
              <w:t>3</w:t>
            </w:r>
          </w:p>
        </w:tc>
        <w:tc>
          <w:tcPr>
            <w:tcW w:w="1281"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0.188</w:t>
            </w:r>
            <w:r>
              <w:rPr>
                <w:rFonts w:ascii="Times New Roman" w:hAnsi="Times New Roman" w:eastAsia="宋体"/>
                <w:color w:val="auto"/>
                <w:szCs w:val="21"/>
                <w:highlight w:val="none"/>
                <w:lang w:val="en-US" w:eastAsia="zh-CN"/>
              </w:rPr>
              <w:t>t/a</w:t>
            </w:r>
          </w:p>
        </w:tc>
        <w:tc>
          <w:tcPr>
            <w:tcW w:w="2989" w:type="dxa"/>
            <w:vMerge w:val="continue"/>
            <w:tcBorders>
              <w:tl2br w:val="nil"/>
              <w:tr2bl w:val="nil"/>
            </w:tcBorders>
            <w:noWrap w:val="0"/>
            <w:vAlign w:val="center"/>
          </w:tcPr>
          <w:p>
            <w:pPr>
              <w:pStyle w:val="81"/>
              <w:rPr>
                <w:rFonts w:ascii="Times New Roman" w:hAnsi="Times New Roman" w:eastAsia="宋体"/>
                <w:color w:val="auto"/>
                <w:szCs w:val="21"/>
                <w:highlight w:val="none"/>
                <w:lang w:val="en-US" w:eastAsia="zh-CN"/>
              </w:rPr>
            </w:pPr>
          </w:p>
        </w:tc>
        <w:tc>
          <w:tcPr>
            <w:tcW w:w="1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653" w:type="dxa"/>
            <w:vMerge w:val="continue"/>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highlight w:val="none"/>
                <w:u w:val="single"/>
              </w:rPr>
            </w:pPr>
          </w:p>
        </w:tc>
        <w:tc>
          <w:tcPr>
            <w:tcW w:w="913" w:type="dxa"/>
            <w:vMerge w:val="restart"/>
            <w:tcBorders>
              <w:tl2br w:val="nil"/>
              <w:tr2bl w:val="nil"/>
            </w:tcBorders>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w:t>
            </w:r>
          </w:p>
          <w:p>
            <w:pPr>
              <w:widowControl/>
              <w:adjustRightInd w:val="0"/>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破碎</w:t>
            </w:r>
            <w:r>
              <w:rPr>
                <w:rFonts w:hint="eastAsia" w:ascii="Times New Roman" w:hAnsi="Times New Roman" w:eastAsia="宋体"/>
                <w:color w:val="auto"/>
                <w:sz w:val="21"/>
                <w:highlight w:val="none"/>
              </w:rPr>
              <w:t>①</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废气量</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10000m</w:t>
            </w:r>
            <w:r>
              <w:rPr>
                <w:rFonts w:ascii="Times New Roman" w:hAnsi="Times New Roman" w:eastAsia="宋体"/>
                <w:color w:val="auto"/>
                <w:szCs w:val="21"/>
                <w:highlight w:val="none"/>
                <w:vertAlign w:val="superscript"/>
                <w:lang w:val="en-US" w:eastAsia="zh-CN"/>
              </w:rPr>
              <w:t>3</w:t>
            </w:r>
            <w:r>
              <w:rPr>
                <w:rFonts w:ascii="Times New Roman" w:hAnsi="Times New Roman" w:eastAsia="宋体"/>
                <w:color w:val="auto"/>
                <w:szCs w:val="21"/>
                <w:highlight w:val="none"/>
                <w:lang w:val="en-US" w:eastAsia="zh-CN"/>
              </w:rPr>
              <w:t>/h</w:t>
            </w:r>
          </w:p>
        </w:tc>
        <w:tc>
          <w:tcPr>
            <w:tcW w:w="2989" w:type="dxa"/>
            <w:vMerge w:val="restart"/>
            <w:tcBorders>
              <w:tl2br w:val="nil"/>
              <w:tr2bl w:val="nil"/>
            </w:tcBorders>
            <w:noWrap w:val="0"/>
            <w:vAlign w:val="center"/>
          </w:tcPr>
          <w:p>
            <w:pPr>
              <w:spacing w:line="240" w:lineRule="auto"/>
              <w:ind w:firstLine="0" w:firstLineChars="0"/>
              <w:rPr>
                <w:rFonts w:ascii="Times New Roman" w:hAnsi="Times New Roman" w:eastAsia="宋体" w:cs="Times New Roman"/>
                <w:color w:val="auto"/>
                <w:sz w:val="21"/>
                <w:highlight w:val="none"/>
              </w:rPr>
            </w:pPr>
            <w:r>
              <w:rPr>
                <w:rFonts w:hint="eastAsia" w:ascii="Times New Roman" w:hAnsi="Times New Roman" w:eastAsia="宋体"/>
                <w:color w:val="auto"/>
                <w:kern w:val="0"/>
                <w:highlight w:val="none"/>
                <w:lang w:val="en-US" w:eastAsia="zh-CN"/>
              </w:rPr>
              <w:t>喷淋+</w:t>
            </w:r>
            <w:r>
              <w:rPr>
                <w:rFonts w:hint="eastAsia" w:ascii="Times New Roman" w:hAnsi="Times New Roman" w:eastAsia="宋体" w:cs="Times New Roman"/>
                <w:color w:val="auto"/>
                <w:kern w:val="0"/>
                <w:sz w:val="21"/>
                <w:highlight w:val="none"/>
              </w:rPr>
              <w:t>封闭+负压收集</w:t>
            </w:r>
            <w:r>
              <w:rPr>
                <w:rFonts w:ascii="Times New Roman" w:hAnsi="Times New Roman" w:eastAsia="宋体" w:cs="Times New Roman"/>
                <w:color w:val="auto"/>
                <w:kern w:val="0"/>
                <w:sz w:val="21"/>
                <w:highlight w:val="none"/>
              </w:rPr>
              <w:t>+袋式除尘</w:t>
            </w:r>
            <w:r>
              <w:rPr>
                <w:rFonts w:ascii="Times New Roman" w:hAnsi="Times New Roman" w:eastAsia="宋体" w:cs="Times New Roman"/>
                <w:color w:val="auto"/>
                <w:sz w:val="21"/>
                <w:highlight w:val="none"/>
              </w:rPr>
              <w:t>+15m高排气筒</w:t>
            </w:r>
          </w:p>
        </w:tc>
        <w:tc>
          <w:tcPr>
            <w:tcW w:w="1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653"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u w:val="single"/>
                <w:lang w:val="en-US" w:eastAsia="zh-CN"/>
              </w:rPr>
            </w:pPr>
          </w:p>
        </w:tc>
        <w:tc>
          <w:tcPr>
            <w:tcW w:w="913"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14.06</w:t>
            </w:r>
            <w:r>
              <w:rPr>
                <w:rFonts w:ascii="Times New Roman" w:hAnsi="Times New Roman" w:eastAsia="宋体"/>
                <w:color w:val="auto"/>
                <w:szCs w:val="21"/>
                <w:highlight w:val="none"/>
                <w:lang w:val="en-US" w:eastAsia="zh-CN"/>
              </w:rPr>
              <w:t>mg/m</w:t>
            </w:r>
            <w:r>
              <w:rPr>
                <w:rFonts w:ascii="Times New Roman" w:hAnsi="Times New Roman" w:eastAsia="宋体"/>
                <w:color w:val="auto"/>
                <w:szCs w:val="21"/>
                <w:highlight w:val="none"/>
                <w:vertAlign w:val="superscript"/>
                <w:lang w:val="en-US" w:eastAsia="zh-CN"/>
              </w:rPr>
              <w:t>3</w:t>
            </w:r>
          </w:p>
        </w:tc>
        <w:tc>
          <w:tcPr>
            <w:tcW w:w="1281"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0.375</w:t>
            </w:r>
            <w:r>
              <w:rPr>
                <w:rFonts w:ascii="Times New Roman" w:hAnsi="Times New Roman" w:eastAsia="宋体"/>
                <w:color w:val="auto"/>
                <w:szCs w:val="21"/>
                <w:highlight w:val="none"/>
                <w:lang w:val="en-US" w:eastAsia="zh-CN"/>
              </w:rPr>
              <w:t>t/a</w:t>
            </w:r>
          </w:p>
        </w:tc>
        <w:tc>
          <w:tcPr>
            <w:tcW w:w="2989" w:type="dxa"/>
            <w:vMerge w:val="continue"/>
            <w:tcBorders>
              <w:tl2br w:val="nil"/>
              <w:tr2bl w:val="nil"/>
            </w:tcBorders>
            <w:noWrap w:val="0"/>
            <w:vAlign w:val="center"/>
          </w:tcPr>
          <w:p>
            <w:pPr>
              <w:pStyle w:val="81"/>
              <w:rPr>
                <w:rFonts w:ascii="Times New Roman" w:hAnsi="Times New Roman" w:eastAsia="宋体"/>
                <w:color w:val="auto"/>
                <w:szCs w:val="21"/>
                <w:highlight w:val="none"/>
                <w:lang w:val="en-US" w:eastAsia="zh-CN"/>
              </w:rPr>
            </w:pPr>
          </w:p>
        </w:tc>
        <w:tc>
          <w:tcPr>
            <w:tcW w:w="1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653" w:type="dxa"/>
            <w:vMerge w:val="continue"/>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highlight w:val="none"/>
                <w:u w:val="single"/>
              </w:rPr>
            </w:pPr>
          </w:p>
        </w:tc>
        <w:tc>
          <w:tcPr>
            <w:tcW w:w="913" w:type="dxa"/>
            <w:vMerge w:val="restart"/>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①</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废气量</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10000m</w:t>
            </w:r>
            <w:r>
              <w:rPr>
                <w:rFonts w:ascii="Times New Roman" w:hAnsi="Times New Roman" w:eastAsia="宋体"/>
                <w:color w:val="auto"/>
                <w:szCs w:val="21"/>
                <w:highlight w:val="none"/>
                <w:vertAlign w:val="superscript"/>
                <w:lang w:val="en-US" w:eastAsia="zh-CN"/>
              </w:rPr>
              <w:t>3</w:t>
            </w:r>
            <w:r>
              <w:rPr>
                <w:rFonts w:ascii="Times New Roman" w:hAnsi="Times New Roman" w:eastAsia="宋体"/>
                <w:color w:val="auto"/>
                <w:szCs w:val="21"/>
                <w:highlight w:val="none"/>
                <w:lang w:val="en-US" w:eastAsia="zh-CN"/>
              </w:rPr>
              <w:t>/h</w:t>
            </w:r>
          </w:p>
        </w:tc>
        <w:tc>
          <w:tcPr>
            <w:tcW w:w="2989" w:type="dxa"/>
            <w:vMerge w:val="restart"/>
            <w:tcBorders>
              <w:tl2br w:val="nil"/>
              <w:tr2bl w:val="nil"/>
            </w:tcBorders>
            <w:noWrap w:val="0"/>
            <w:vAlign w:val="center"/>
          </w:tcPr>
          <w:p>
            <w:pPr>
              <w:spacing w:line="240" w:lineRule="auto"/>
              <w:ind w:firstLine="0" w:firstLineChars="0"/>
              <w:rPr>
                <w:rFonts w:ascii="Times New Roman" w:hAnsi="Times New Roman" w:eastAsia="宋体" w:cs="Times New Roman"/>
                <w:color w:val="auto"/>
                <w:sz w:val="21"/>
                <w:highlight w:val="none"/>
              </w:rPr>
            </w:pPr>
            <w:r>
              <w:rPr>
                <w:rFonts w:hint="eastAsia" w:ascii="Times New Roman" w:hAnsi="Times New Roman" w:eastAsia="宋体"/>
                <w:color w:val="auto"/>
                <w:kern w:val="0"/>
                <w:highlight w:val="none"/>
                <w:lang w:val="en-US" w:eastAsia="zh-CN"/>
              </w:rPr>
              <w:t>喷淋+</w:t>
            </w:r>
            <w:r>
              <w:rPr>
                <w:rFonts w:hint="eastAsia" w:ascii="Times New Roman" w:hAnsi="Times New Roman" w:eastAsia="宋体" w:cs="Times New Roman"/>
                <w:color w:val="auto"/>
                <w:kern w:val="0"/>
                <w:sz w:val="21"/>
                <w:highlight w:val="none"/>
              </w:rPr>
              <w:t>封闭+负压收集</w:t>
            </w:r>
            <w:r>
              <w:rPr>
                <w:rFonts w:ascii="Times New Roman" w:hAnsi="Times New Roman" w:eastAsia="宋体" w:cs="Times New Roman"/>
                <w:color w:val="auto"/>
                <w:kern w:val="0"/>
                <w:sz w:val="21"/>
                <w:highlight w:val="none"/>
              </w:rPr>
              <w:t>+袋式除尘</w:t>
            </w:r>
            <w:r>
              <w:rPr>
                <w:rFonts w:ascii="Times New Roman" w:hAnsi="Times New Roman" w:eastAsia="宋体" w:cs="Times New Roman"/>
                <w:color w:val="auto"/>
                <w:sz w:val="21"/>
                <w:highlight w:val="none"/>
              </w:rPr>
              <w:t>+15m高排气筒</w:t>
            </w:r>
          </w:p>
        </w:tc>
        <w:tc>
          <w:tcPr>
            <w:tcW w:w="1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653"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u w:val="single"/>
                <w:lang w:val="en-US" w:eastAsia="zh-CN"/>
              </w:rPr>
            </w:pPr>
          </w:p>
        </w:tc>
        <w:tc>
          <w:tcPr>
            <w:tcW w:w="913"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28.13</w:t>
            </w:r>
            <w:r>
              <w:rPr>
                <w:rFonts w:ascii="Times New Roman" w:hAnsi="Times New Roman" w:eastAsia="宋体"/>
                <w:color w:val="auto"/>
                <w:szCs w:val="21"/>
                <w:highlight w:val="none"/>
                <w:lang w:val="en-US" w:eastAsia="zh-CN"/>
              </w:rPr>
              <w:t>mg/m</w:t>
            </w:r>
            <w:r>
              <w:rPr>
                <w:rFonts w:ascii="Times New Roman" w:hAnsi="Times New Roman" w:eastAsia="宋体"/>
                <w:color w:val="auto"/>
                <w:szCs w:val="21"/>
                <w:highlight w:val="none"/>
                <w:vertAlign w:val="superscript"/>
                <w:lang w:val="en-US" w:eastAsia="zh-CN"/>
              </w:rPr>
              <w:t>3</w:t>
            </w:r>
          </w:p>
        </w:tc>
        <w:tc>
          <w:tcPr>
            <w:tcW w:w="1281"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0.75</w:t>
            </w:r>
            <w:r>
              <w:rPr>
                <w:rFonts w:ascii="Times New Roman" w:hAnsi="Times New Roman" w:eastAsia="宋体"/>
                <w:color w:val="auto"/>
                <w:szCs w:val="21"/>
                <w:highlight w:val="none"/>
                <w:lang w:val="en-US" w:eastAsia="zh-CN"/>
              </w:rPr>
              <w:t>t/a</w:t>
            </w:r>
          </w:p>
        </w:tc>
        <w:tc>
          <w:tcPr>
            <w:tcW w:w="2989"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64"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653" w:type="dxa"/>
            <w:vMerge w:val="restart"/>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highlight w:val="none"/>
                <w:u w:val="single"/>
              </w:rPr>
            </w:pPr>
            <w:r>
              <w:rPr>
                <w:rFonts w:hint="eastAsia" w:cs="Times New Roman"/>
                <w:color w:val="auto"/>
                <w:sz w:val="21"/>
                <w:highlight w:val="none"/>
                <w:u w:val="single"/>
                <w:lang w:val="en-US" w:eastAsia="zh-CN"/>
              </w:rPr>
              <w:t>破碎场</w:t>
            </w:r>
            <w:r>
              <w:rPr>
                <w:rFonts w:hint="eastAsia" w:ascii="Times New Roman" w:hAnsi="Times New Roman" w:eastAsia="宋体"/>
                <w:color w:val="auto"/>
                <w:sz w:val="21"/>
                <w:highlight w:val="none"/>
                <w:u w:val="single"/>
              </w:rPr>
              <w:t>②</w:t>
            </w:r>
          </w:p>
        </w:tc>
        <w:tc>
          <w:tcPr>
            <w:tcW w:w="913" w:type="dxa"/>
            <w:vMerge w:val="restart"/>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②</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废气量</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10000m</w:t>
            </w:r>
            <w:r>
              <w:rPr>
                <w:rFonts w:ascii="Times New Roman" w:hAnsi="Times New Roman" w:eastAsia="宋体"/>
                <w:color w:val="auto"/>
                <w:szCs w:val="21"/>
                <w:highlight w:val="none"/>
                <w:vertAlign w:val="superscript"/>
                <w:lang w:val="en-US" w:eastAsia="zh-CN"/>
              </w:rPr>
              <w:t>3</w:t>
            </w:r>
            <w:r>
              <w:rPr>
                <w:rFonts w:ascii="Times New Roman" w:hAnsi="Times New Roman" w:eastAsia="宋体"/>
                <w:color w:val="auto"/>
                <w:szCs w:val="21"/>
                <w:highlight w:val="none"/>
                <w:lang w:val="en-US" w:eastAsia="zh-CN"/>
              </w:rPr>
              <w:t>/h</w:t>
            </w:r>
          </w:p>
        </w:tc>
        <w:tc>
          <w:tcPr>
            <w:tcW w:w="2989" w:type="dxa"/>
            <w:vMerge w:val="restart"/>
            <w:tcBorders>
              <w:tl2br w:val="nil"/>
              <w:tr2bl w:val="nil"/>
            </w:tcBorders>
            <w:noWrap w:val="0"/>
            <w:vAlign w:val="center"/>
          </w:tcPr>
          <w:p>
            <w:pPr>
              <w:pStyle w:val="81"/>
              <w:rPr>
                <w:rFonts w:ascii="Times New Roman" w:hAnsi="Times New Roman" w:eastAsia="宋体"/>
                <w:color w:val="auto"/>
                <w:szCs w:val="21"/>
                <w:highlight w:val="none"/>
                <w:lang w:val="en-US" w:eastAsia="zh-CN"/>
              </w:rPr>
            </w:pPr>
            <w:r>
              <w:rPr>
                <w:rFonts w:hint="eastAsia" w:ascii="Times New Roman" w:hAnsi="Times New Roman" w:eastAsia="宋体"/>
                <w:color w:val="auto"/>
                <w:kern w:val="0"/>
                <w:highlight w:val="none"/>
                <w:lang w:val="en-US" w:eastAsia="zh-CN"/>
              </w:rPr>
              <w:t>喷淋+封闭+负压收集</w:t>
            </w:r>
            <w:r>
              <w:rPr>
                <w:rFonts w:ascii="Times New Roman" w:hAnsi="Times New Roman" w:eastAsia="宋体"/>
                <w:color w:val="auto"/>
                <w:kern w:val="0"/>
                <w:highlight w:val="none"/>
                <w:lang w:val="en-US" w:eastAsia="zh-CN"/>
              </w:rPr>
              <w:t>+袋式除尘</w:t>
            </w:r>
            <w:r>
              <w:rPr>
                <w:rFonts w:ascii="Times New Roman" w:hAnsi="Times New Roman" w:eastAsia="宋体"/>
                <w:color w:val="auto"/>
                <w:highlight w:val="none"/>
                <w:lang w:val="en-US" w:eastAsia="zh-CN"/>
              </w:rPr>
              <w:t>+15m高排气筒</w:t>
            </w: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spacing w:line="240" w:lineRule="auto"/>
              <w:ind w:firstLine="0" w:firstLineChars="0"/>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64" w:hRule="atLeast"/>
          <w:jc w:val="center"/>
        </w:trPr>
        <w:tc>
          <w:tcPr>
            <w:tcW w:w="854" w:type="dxa"/>
            <w:vMerge w:val="continue"/>
            <w:tcBorders>
              <w:tl2br w:val="nil"/>
              <w:tr2bl w:val="nil"/>
            </w:tcBorders>
            <w:noWrap w:val="0"/>
            <w:vAlign w:val="center"/>
          </w:tcPr>
          <w:p>
            <w:pPr>
              <w:spacing w:line="240" w:lineRule="auto"/>
              <w:ind w:firstLine="0" w:firstLineChars="0"/>
              <w:rPr>
                <w:rFonts w:ascii="Times New Roman" w:hAnsi="Times New Roman" w:eastAsia="宋体"/>
                <w:color w:val="auto"/>
                <w:highlight w:val="none"/>
              </w:rPr>
            </w:pPr>
          </w:p>
        </w:tc>
        <w:tc>
          <w:tcPr>
            <w:tcW w:w="653" w:type="dxa"/>
            <w:vMerge w:val="continue"/>
            <w:tcBorders>
              <w:tl2br w:val="nil"/>
              <w:tr2bl w:val="nil"/>
            </w:tcBorders>
            <w:noWrap w:val="0"/>
            <w:vAlign w:val="center"/>
          </w:tcPr>
          <w:p>
            <w:pPr>
              <w:spacing w:line="240" w:lineRule="auto"/>
              <w:ind w:firstLine="0" w:firstLineChars="0"/>
              <w:rPr>
                <w:rFonts w:ascii="Times New Roman" w:hAnsi="Times New Roman" w:eastAsia="宋体"/>
                <w:color w:val="auto"/>
                <w:highlight w:val="none"/>
              </w:rPr>
            </w:pPr>
          </w:p>
        </w:tc>
        <w:tc>
          <w:tcPr>
            <w:tcW w:w="913" w:type="dxa"/>
            <w:vMerge w:val="continue"/>
            <w:tcBorders>
              <w:tl2br w:val="nil"/>
              <w:tr2bl w:val="nil"/>
            </w:tcBorders>
            <w:noWrap w:val="0"/>
            <w:vAlign w:val="center"/>
          </w:tcPr>
          <w:p>
            <w:pPr>
              <w:spacing w:line="240" w:lineRule="auto"/>
              <w:ind w:firstLine="0" w:firstLineChars="0"/>
              <w:rPr>
                <w:rFonts w:ascii="Times New Roman" w:hAnsi="Times New Roman" w:eastAsia="宋体"/>
                <w:color w:val="auto"/>
                <w:highlight w:val="none"/>
              </w:rPr>
            </w:pP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7.03</w:t>
            </w:r>
            <w:r>
              <w:rPr>
                <w:rFonts w:ascii="Times New Roman" w:hAnsi="Times New Roman" w:eastAsia="宋体"/>
                <w:color w:val="auto"/>
                <w:szCs w:val="21"/>
                <w:highlight w:val="none"/>
                <w:lang w:val="en-US" w:eastAsia="zh-CN"/>
              </w:rPr>
              <w:t>mg/m</w:t>
            </w:r>
            <w:r>
              <w:rPr>
                <w:rFonts w:ascii="Times New Roman" w:hAnsi="Times New Roman" w:eastAsia="宋体"/>
                <w:color w:val="auto"/>
                <w:szCs w:val="21"/>
                <w:highlight w:val="none"/>
                <w:vertAlign w:val="superscript"/>
                <w:lang w:val="en-US" w:eastAsia="zh-CN"/>
              </w:rPr>
              <w:t>3</w:t>
            </w:r>
          </w:p>
        </w:tc>
        <w:tc>
          <w:tcPr>
            <w:tcW w:w="1281"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0.188t/a</w:t>
            </w:r>
          </w:p>
        </w:tc>
        <w:tc>
          <w:tcPr>
            <w:tcW w:w="2989" w:type="dxa"/>
            <w:vMerge w:val="continue"/>
            <w:tcBorders>
              <w:tl2br w:val="nil"/>
              <w:tr2bl w:val="nil"/>
            </w:tcBorders>
            <w:noWrap w:val="0"/>
            <w:vAlign w:val="center"/>
          </w:tcPr>
          <w:p>
            <w:pPr>
              <w:spacing w:line="240" w:lineRule="auto"/>
              <w:ind w:firstLine="0" w:firstLineChars="0"/>
              <w:rPr>
                <w:rFonts w:ascii="Times New Roman" w:hAnsi="Times New Roman" w:eastAsia="宋体" w:cs="Times New Roman"/>
                <w:color w:val="auto"/>
                <w:highlight w:val="none"/>
              </w:rPr>
            </w:pPr>
          </w:p>
        </w:tc>
        <w:tc>
          <w:tcPr>
            <w:tcW w:w="1854" w:type="dxa"/>
            <w:vMerge w:val="continue"/>
            <w:tcBorders>
              <w:tl2br w:val="nil"/>
              <w:tr2bl w:val="nil"/>
            </w:tcBorders>
            <w:noWrap w:val="0"/>
            <w:vAlign w:val="center"/>
          </w:tcPr>
          <w:p>
            <w:pPr>
              <w:spacing w:line="240" w:lineRule="auto"/>
              <w:ind w:firstLine="0" w:firstLineChars="0"/>
              <w:rPr>
                <w:rFonts w:ascii="Times New Roman" w:hAnsi="Times New Roman" w:eastAsia="宋体" w:cs="Times New Roman"/>
                <w:color w:val="auto"/>
                <w:highlight w:val="none"/>
              </w:rPr>
            </w:pPr>
          </w:p>
        </w:tc>
        <w:tc>
          <w:tcPr>
            <w:tcW w:w="3495" w:type="dxa"/>
            <w:vMerge w:val="continue"/>
            <w:tcBorders>
              <w:tl2br w:val="nil"/>
              <w:tr2bl w:val="nil"/>
            </w:tcBorders>
            <w:noWrap w:val="0"/>
            <w:vAlign w:val="center"/>
          </w:tcPr>
          <w:p>
            <w:pPr>
              <w:spacing w:line="240" w:lineRule="auto"/>
              <w:ind w:firstLine="0" w:firstLineChars="0"/>
              <w:rPr>
                <w:rFonts w:ascii="Times New Roman" w:hAnsi="Times New Roman" w:eastAsia="宋体" w:cs="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64"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653" w:type="dxa"/>
            <w:vMerge w:val="continue"/>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highlight w:val="none"/>
              </w:rPr>
            </w:pPr>
          </w:p>
        </w:tc>
        <w:tc>
          <w:tcPr>
            <w:tcW w:w="913" w:type="dxa"/>
            <w:vMerge w:val="restart"/>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二级破碎筛分</w:t>
            </w:r>
            <w:r>
              <w:rPr>
                <w:rFonts w:hint="eastAsia" w:ascii="Times New Roman" w:hAnsi="Times New Roman" w:eastAsia="宋体"/>
                <w:color w:val="auto"/>
                <w:sz w:val="21"/>
                <w:highlight w:val="none"/>
              </w:rPr>
              <w:t>②</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废气量</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10000m</w:t>
            </w:r>
            <w:r>
              <w:rPr>
                <w:rFonts w:ascii="Times New Roman" w:hAnsi="Times New Roman" w:eastAsia="宋体"/>
                <w:color w:val="auto"/>
                <w:szCs w:val="21"/>
                <w:highlight w:val="none"/>
                <w:vertAlign w:val="superscript"/>
                <w:lang w:val="en-US" w:eastAsia="zh-CN"/>
              </w:rPr>
              <w:t>3</w:t>
            </w:r>
            <w:r>
              <w:rPr>
                <w:rFonts w:ascii="Times New Roman" w:hAnsi="Times New Roman" w:eastAsia="宋体"/>
                <w:color w:val="auto"/>
                <w:szCs w:val="21"/>
                <w:highlight w:val="none"/>
                <w:lang w:val="en-US" w:eastAsia="zh-CN"/>
              </w:rPr>
              <w:t>/h</w:t>
            </w:r>
          </w:p>
        </w:tc>
        <w:tc>
          <w:tcPr>
            <w:tcW w:w="2989" w:type="dxa"/>
            <w:vMerge w:val="restart"/>
            <w:tcBorders>
              <w:tl2br w:val="nil"/>
              <w:tr2bl w:val="nil"/>
            </w:tcBorders>
            <w:noWrap w:val="0"/>
            <w:vAlign w:val="center"/>
          </w:tcPr>
          <w:p>
            <w:pPr>
              <w:pStyle w:val="81"/>
              <w:rPr>
                <w:rFonts w:ascii="Times New Roman" w:hAnsi="Times New Roman" w:eastAsia="宋体"/>
                <w:color w:val="auto"/>
                <w:szCs w:val="21"/>
                <w:highlight w:val="none"/>
                <w:lang w:val="en-US" w:eastAsia="zh-CN"/>
              </w:rPr>
            </w:pPr>
            <w:r>
              <w:rPr>
                <w:rFonts w:hint="eastAsia" w:ascii="Times New Roman" w:hAnsi="Times New Roman" w:eastAsia="宋体"/>
                <w:color w:val="auto"/>
                <w:kern w:val="0"/>
                <w:highlight w:val="none"/>
                <w:lang w:val="en-US" w:eastAsia="zh-CN"/>
              </w:rPr>
              <w:t>喷淋+封闭+负压收集</w:t>
            </w:r>
            <w:r>
              <w:rPr>
                <w:rFonts w:ascii="Times New Roman" w:hAnsi="Times New Roman" w:eastAsia="宋体"/>
                <w:color w:val="auto"/>
                <w:kern w:val="0"/>
                <w:highlight w:val="none"/>
                <w:lang w:val="en-US" w:eastAsia="zh-CN"/>
              </w:rPr>
              <w:t>+袋式除尘</w:t>
            </w:r>
            <w:r>
              <w:rPr>
                <w:rFonts w:hint="eastAsia" w:ascii="Times New Roman" w:hAnsi="Times New Roman" w:eastAsia="宋体"/>
                <w:color w:val="auto"/>
                <w:kern w:val="0"/>
                <w:highlight w:val="none"/>
                <w:lang w:val="en-US" w:eastAsia="zh-CN"/>
              </w:rPr>
              <w:t>+</w:t>
            </w:r>
            <w:r>
              <w:rPr>
                <w:rFonts w:ascii="Times New Roman" w:hAnsi="Times New Roman" w:eastAsia="宋体"/>
                <w:color w:val="auto"/>
                <w:highlight w:val="none"/>
                <w:lang w:val="en-US" w:eastAsia="zh-CN"/>
              </w:rPr>
              <w:t>15m高排气筒</w:t>
            </w: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spacing w:line="240" w:lineRule="auto"/>
              <w:ind w:firstLine="0" w:firstLineChars="0"/>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64" w:hRule="atLeast"/>
          <w:jc w:val="center"/>
        </w:trPr>
        <w:tc>
          <w:tcPr>
            <w:tcW w:w="854" w:type="dxa"/>
            <w:vMerge w:val="continue"/>
            <w:tcBorders>
              <w:tl2br w:val="nil"/>
              <w:tr2bl w:val="nil"/>
            </w:tcBorders>
            <w:noWrap w:val="0"/>
            <w:vAlign w:val="center"/>
          </w:tcPr>
          <w:p>
            <w:pPr>
              <w:spacing w:line="240" w:lineRule="auto"/>
              <w:ind w:firstLine="0" w:firstLineChars="0"/>
              <w:rPr>
                <w:rFonts w:ascii="Times New Roman" w:hAnsi="Times New Roman" w:eastAsia="宋体"/>
                <w:color w:val="auto"/>
                <w:highlight w:val="none"/>
              </w:rPr>
            </w:pPr>
          </w:p>
        </w:tc>
        <w:tc>
          <w:tcPr>
            <w:tcW w:w="653" w:type="dxa"/>
            <w:vMerge w:val="continue"/>
            <w:tcBorders>
              <w:tl2br w:val="nil"/>
              <w:tr2bl w:val="nil"/>
            </w:tcBorders>
            <w:noWrap w:val="0"/>
            <w:vAlign w:val="center"/>
          </w:tcPr>
          <w:p>
            <w:pPr>
              <w:spacing w:line="240" w:lineRule="auto"/>
              <w:ind w:firstLine="0" w:firstLineChars="0"/>
              <w:rPr>
                <w:rFonts w:ascii="Times New Roman" w:hAnsi="Times New Roman" w:eastAsia="宋体"/>
                <w:color w:val="auto"/>
                <w:highlight w:val="none"/>
              </w:rPr>
            </w:pPr>
          </w:p>
        </w:tc>
        <w:tc>
          <w:tcPr>
            <w:tcW w:w="913" w:type="dxa"/>
            <w:vMerge w:val="continue"/>
            <w:tcBorders>
              <w:tl2br w:val="nil"/>
              <w:tr2bl w:val="nil"/>
            </w:tcBorders>
            <w:noWrap w:val="0"/>
            <w:vAlign w:val="center"/>
          </w:tcPr>
          <w:p>
            <w:pPr>
              <w:spacing w:line="240" w:lineRule="auto"/>
              <w:ind w:firstLine="0" w:firstLineChars="0"/>
              <w:rPr>
                <w:rFonts w:ascii="Times New Roman" w:hAnsi="Times New Roman" w:eastAsia="宋体"/>
                <w:color w:val="auto"/>
                <w:highlight w:val="none"/>
              </w:rPr>
            </w:pP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14.06</w:t>
            </w:r>
            <w:r>
              <w:rPr>
                <w:rFonts w:ascii="Times New Roman" w:hAnsi="Times New Roman" w:eastAsia="宋体"/>
                <w:color w:val="auto"/>
                <w:szCs w:val="21"/>
                <w:highlight w:val="none"/>
                <w:lang w:val="en-US" w:eastAsia="zh-CN"/>
              </w:rPr>
              <w:t>mg/m</w:t>
            </w:r>
            <w:r>
              <w:rPr>
                <w:rFonts w:ascii="Times New Roman" w:hAnsi="Times New Roman" w:eastAsia="宋体"/>
                <w:color w:val="auto"/>
                <w:szCs w:val="21"/>
                <w:highlight w:val="none"/>
                <w:vertAlign w:val="superscript"/>
                <w:lang w:val="en-US" w:eastAsia="zh-CN"/>
              </w:rPr>
              <w:t>3</w:t>
            </w:r>
          </w:p>
        </w:tc>
        <w:tc>
          <w:tcPr>
            <w:tcW w:w="1281"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0.375t/a</w:t>
            </w:r>
          </w:p>
        </w:tc>
        <w:tc>
          <w:tcPr>
            <w:tcW w:w="2989" w:type="dxa"/>
            <w:vMerge w:val="continue"/>
            <w:tcBorders>
              <w:tl2br w:val="nil"/>
              <w:tr2bl w:val="nil"/>
            </w:tcBorders>
            <w:noWrap w:val="0"/>
            <w:vAlign w:val="center"/>
          </w:tcPr>
          <w:p>
            <w:pPr>
              <w:spacing w:line="240" w:lineRule="auto"/>
              <w:ind w:firstLine="0" w:firstLineChars="0"/>
              <w:rPr>
                <w:rFonts w:ascii="Times New Roman" w:hAnsi="Times New Roman" w:eastAsia="宋体" w:cs="Times New Roman"/>
                <w:color w:val="auto"/>
                <w:highlight w:val="none"/>
              </w:rPr>
            </w:pPr>
          </w:p>
        </w:tc>
        <w:tc>
          <w:tcPr>
            <w:tcW w:w="1854" w:type="dxa"/>
            <w:vMerge w:val="continue"/>
            <w:tcBorders>
              <w:tl2br w:val="nil"/>
              <w:tr2bl w:val="nil"/>
            </w:tcBorders>
            <w:noWrap w:val="0"/>
            <w:vAlign w:val="center"/>
          </w:tcPr>
          <w:p>
            <w:pPr>
              <w:spacing w:line="240" w:lineRule="auto"/>
              <w:ind w:firstLine="0" w:firstLineChars="0"/>
              <w:rPr>
                <w:rFonts w:ascii="Times New Roman" w:hAnsi="Times New Roman" w:eastAsia="宋体" w:cs="Times New Roman"/>
                <w:color w:val="auto"/>
                <w:highlight w:val="none"/>
              </w:rPr>
            </w:pPr>
          </w:p>
        </w:tc>
        <w:tc>
          <w:tcPr>
            <w:tcW w:w="3495" w:type="dxa"/>
            <w:vMerge w:val="continue"/>
            <w:tcBorders>
              <w:tl2br w:val="nil"/>
              <w:tr2bl w:val="nil"/>
            </w:tcBorders>
            <w:noWrap w:val="0"/>
            <w:vAlign w:val="center"/>
          </w:tcPr>
          <w:p>
            <w:pPr>
              <w:spacing w:line="240" w:lineRule="auto"/>
              <w:ind w:firstLine="0" w:firstLineChars="0"/>
              <w:rPr>
                <w:rFonts w:ascii="Times New Roman" w:hAnsi="Times New Roman" w:eastAsia="宋体" w:cs="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64"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653" w:type="dxa"/>
            <w:vMerge w:val="continue"/>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highlight w:val="none"/>
              </w:rPr>
            </w:pPr>
          </w:p>
        </w:tc>
        <w:tc>
          <w:tcPr>
            <w:tcW w:w="913" w:type="dxa"/>
            <w:vMerge w:val="restart"/>
            <w:tcBorders>
              <w:tl2br w:val="nil"/>
              <w:tr2bl w:val="nil"/>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②</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废气量</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10000m</w:t>
            </w:r>
            <w:r>
              <w:rPr>
                <w:rFonts w:ascii="Times New Roman" w:hAnsi="Times New Roman" w:eastAsia="宋体"/>
                <w:color w:val="auto"/>
                <w:szCs w:val="21"/>
                <w:highlight w:val="none"/>
                <w:vertAlign w:val="superscript"/>
                <w:lang w:val="en-US" w:eastAsia="zh-CN"/>
              </w:rPr>
              <w:t>3</w:t>
            </w:r>
            <w:r>
              <w:rPr>
                <w:rFonts w:ascii="Times New Roman" w:hAnsi="Times New Roman" w:eastAsia="宋体"/>
                <w:color w:val="auto"/>
                <w:szCs w:val="21"/>
                <w:highlight w:val="none"/>
                <w:lang w:val="en-US" w:eastAsia="zh-CN"/>
              </w:rPr>
              <w:t>/h</w:t>
            </w:r>
          </w:p>
        </w:tc>
        <w:tc>
          <w:tcPr>
            <w:tcW w:w="2989" w:type="dxa"/>
            <w:vMerge w:val="restart"/>
            <w:tcBorders>
              <w:tl2br w:val="nil"/>
              <w:tr2bl w:val="nil"/>
            </w:tcBorders>
            <w:noWrap w:val="0"/>
            <w:vAlign w:val="center"/>
          </w:tcPr>
          <w:p>
            <w:pPr>
              <w:pStyle w:val="81"/>
              <w:rPr>
                <w:rFonts w:ascii="Times New Roman" w:hAnsi="Times New Roman" w:eastAsia="宋体"/>
                <w:color w:val="auto"/>
                <w:szCs w:val="21"/>
                <w:highlight w:val="none"/>
                <w:lang w:val="en-US" w:eastAsia="zh-CN"/>
              </w:rPr>
            </w:pPr>
            <w:r>
              <w:rPr>
                <w:rFonts w:hint="eastAsia" w:ascii="Times New Roman" w:hAnsi="Times New Roman" w:eastAsia="宋体"/>
                <w:color w:val="auto"/>
                <w:kern w:val="0"/>
                <w:highlight w:val="none"/>
                <w:lang w:val="en-US" w:eastAsia="zh-CN"/>
              </w:rPr>
              <w:t>喷淋+封闭+负压收集</w:t>
            </w:r>
            <w:r>
              <w:rPr>
                <w:rFonts w:ascii="Times New Roman" w:hAnsi="Times New Roman" w:eastAsia="宋体"/>
                <w:color w:val="auto"/>
                <w:kern w:val="0"/>
                <w:highlight w:val="none"/>
                <w:lang w:val="en-US" w:eastAsia="zh-CN"/>
              </w:rPr>
              <w:t>+袋式除尘</w:t>
            </w:r>
            <w:r>
              <w:rPr>
                <w:rFonts w:hint="eastAsia" w:ascii="Times New Roman" w:hAnsi="Times New Roman" w:eastAsia="宋体"/>
                <w:color w:val="auto"/>
                <w:kern w:val="0"/>
                <w:highlight w:val="none"/>
                <w:lang w:val="en-US" w:eastAsia="zh-CN"/>
              </w:rPr>
              <w:t>+</w:t>
            </w:r>
            <w:r>
              <w:rPr>
                <w:rFonts w:ascii="Times New Roman" w:hAnsi="Times New Roman" w:eastAsia="宋体"/>
                <w:color w:val="auto"/>
                <w:highlight w:val="none"/>
                <w:lang w:val="en-US" w:eastAsia="zh-CN"/>
              </w:rPr>
              <w:t>15m高排气筒</w:t>
            </w: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spacing w:line="240" w:lineRule="auto"/>
              <w:ind w:firstLine="0" w:firstLineChars="0"/>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64" w:hRule="atLeast"/>
          <w:jc w:val="center"/>
        </w:trPr>
        <w:tc>
          <w:tcPr>
            <w:tcW w:w="854" w:type="dxa"/>
            <w:vMerge w:val="continue"/>
            <w:tcBorders>
              <w:tl2br w:val="nil"/>
              <w:tr2bl w:val="nil"/>
            </w:tcBorders>
            <w:noWrap w:val="0"/>
            <w:vAlign w:val="center"/>
          </w:tcPr>
          <w:p>
            <w:pPr>
              <w:spacing w:line="240" w:lineRule="auto"/>
              <w:ind w:firstLine="0" w:firstLineChars="0"/>
              <w:rPr>
                <w:rFonts w:ascii="Times New Roman" w:hAnsi="Times New Roman" w:eastAsia="宋体"/>
                <w:color w:val="auto"/>
                <w:highlight w:val="none"/>
              </w:rPr>
            </w:pPr>
          </w:p>
        </w:tc>
        <w:tc>
          <w:tcPr>
            <w:tcW w:w="653" w:type="dxa"/>
            <w:vMerge w:val="continue"/>
            <w:tcBorders>
              <w:tl2br w:val="nil"/>
              <w:tr2bl w:val="nil"/>
            </w:tcBorders>
            <w:noWrap w:val="0"/>
            <w:vAlign w:val="center"/>
          </w:tcPr>
          <w:p>
            <w:pPr>
              <w:spacing w:line="240" w:lineRule="auto"/>
              <w:ind w:firstLine="0" w:firstLineChars="0"/>
              <w:rPr>
                <w:rFonts w:ascii="Times New Roman" w:hAnsi="Times New Roman" w:eastAsia="宋体"/>
                <w:color w:val="auto"/>
                <w:highlight w:val="none"/>
              </w:rPr>
            </w:pPr>
          </w:p>
        </w:tc>
        <w:tc>
          <w:tcPr>
            <w:tcW w:w="913" w:type="dxa"/>
            <w:vMerge w:val="continue"/>
            <w:tcBorders>
              <w:tl2br w:val="nil"/>
              <w:tr2bl w:val="nil"/>
            </w:tcBorders>
            <w:noWrap w:val="0"/>
            <w:vAlign w:val="center"/>
          </w:tcPr>
          <w:p>
            <w:pPr>
              <w:spacing w:line="240" w:lineRule="auto"/>
              <w:ind w:firstLine="0" w:firstLineChars="0"/>
              <w:rPr>
                <w:rFonts w:ascii="Times New Roman" w:hAnsi="Times New Roman" w:eastAsia="宋体"/>
                <w:color w:val="auto"/>
                <w:highlight w:val="none"/>
              </w:rPr>
            </w:pP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2.81</w:t>
            </w:r>
            <w:r>
              <w:rPr>
                <w:rFonts w:ascii="Times New Roman" w:hAnsi="Times New Roman" w:eastAsia="宋体"/>
                <w:color w:val="auto"/>
                <w:szCs w:val="21"/>
                <w:highlight w:val="none"/>
                <w:lang w:val="en-US" w:eastAsia="zh-CN"/>
              </w:rPr>
              <w:t>mg/m</w:t>
            </w:r>
            <w:r>
              <w:rPr>
                <w:rFonts w:ascii="Times New Roman" w:hAnsi="Times New Roman" w:eastAsia="宋体"/>
                <w:color w:val="auto"/>
                <w:szCs w:val="21"/>
                <w:highlight w:val="none"/>
                <w:vertAlign w:val="superscript"/>
                <w:lang w:val="en-US" w:eastAsia="zh-CN"/>
              </w:rPr>
              <w:t>3</w:t>
            </w:r>
          </w:p>
        </w:tc>
        <w:tc>
          <w:tcPr>
            <w:tcW w:w="1281"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0.075t/a</w:t>
            </w:r>
          </w:p>
        </w:tc>
        <w:tc>
          <w:tcPr>
            <w:tcW w:w="2989" w:type="dxa"/>
            <w:vMerge w:val="continue"/>
            <w:tcBorders>
              <w:tl2br w:val="nil"/>
              <w:tr2bl w:val="nil"/>
            </w:tcBorders>
            <w:noWrap w:val="0"/>
            <w:vAlign w:val="center"/>
          </w:tcPr>
          <w:p>
            <w:pPr>
              <w:spacing w:line="240" w:lineRule="auto"/>
              <w:ind w:firstLine="0" w:firstLineChars="0"/>
              <w:rPr>
                <w:rFonts w:ascii="Times New Roman" w:hAnsi="Times New Roman" w:eastAsia="宋体" w:cs="Times New Roman"/>
                <w:color w:val="auto"/>
                <w:highlight w:val="none"/>
              </w:rPr>
            </w:pPr>
          </w:p>
        </w:tc>
        <w:tc>
          <w:tcPr>
            <w:tcW w:w="1854" w:type="dxa"/>
            <w:vMerge w:val="continue"/>
            <w:tcBorders>
              <w:tl2br w:val="nil"/>
              <w:tr2bl w:val="nil"/>
            </w:tcBorders>
            <w:noWrap w:val="0"/>
            <w:vAlign w:val="center"/>
          </w:tcPr>
          <w:p>
            <w:pPr>
              <w:spacing w:line="240" w:lineRule="auto"/>
              <w:ind w:firstLine="0" w:firstLineChars="0"/>
              <w:rPr>
                <w:rFonts w:ascii="Times New Roman" w:hAnsi="Times New Roman" w:eastAsia="宋体" w:cs="Times New Roman"/>
                <w:color w:val="auto"/>
                <w:highlight w:val="none"/>
              </w:rPr>
            </w:pPr>
          </w:p>
        </w:tc>
        <w:tc>
          <w:tcPr>
            <w:tcW w:w="3495" w:type="dxa"/>
            <w:vMerge w:val="continue"/>
            <w:tcBorders>
              <w:tl2br w:val="nil"/>
              <w:tr2bl w:val="nil"/>
            </w:tcBorders>
            <w:noWrap w:val="0"/>
            <w:vAlign w:val="center"/>
          </w:tcPr>
          <w:p>
            <w:pPr>
              <w:spacing w:line="240" w:lineRule="auto"/>
              <w:ind w:firstLine="0" w:firstLineChars="0"/>
              <w:rPr>
                <w:rFonts w:ascii="Times New Roman" w:hAnsi="Times New Roman" w:eastAsia="宋体" w:cs="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表土剥离</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少量</w:t>
            </w:r>
          </w:p>
        </w:tc>
        <w:tc>
          <w:tcPr>
            <w:tcW w:w="2989"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854"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3495" w:type="dxa"/>
            <w:vMerge w:val="restart"/>
            <w:tcBorders>
              <w:tl2br w:val="nil"/>
              <w:tr2bl w:val="nil"/>
            </w:tcBorders>
            <w:noWrap w:val="0"/>
            <w:vAlign w:val="center"/>
          </w:tcPr>
          <w:p>
            <w:pPr>
              <w:spacing w:line="240" w:lineRule="auto"/>
              <w:ind w:firstLine="0" w:firstLineChars="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《大气污染物综合排放标准》（GB</w:t>
            </w:r>
            <w:r>
              <w:rPr>
                <w:rFonts w:hint="eastAsia" w:ascii="Times New Roman" w:hAnsi="Times New Roman" w:eastAsia="宋体" w:cs="Times New Roman"/>
                <w:color w:val="auto"/>
                <w:sz w:val="21"/>
                <w:highlight w:val="none"/>
                <w:lang w:val="en-US" w:eastAsia="zh-CN"/>
              </w:rPr>
              <w:t xml:space="preserve"> </w:t>
            </w:r>
            <w:r>
              <w:rPr>
                <w:rFonts w:ascii="Times New Roman" w:hAnsi="Times New Roman" w:eastAsia="宋体" w:cs="Times New Roman"/>
                <w:color w:val="auto"/>
                <w:sz w:val="21"/>
                <w:highlight w:val="none"/>
              </w:rPr>
              <w:t>16297-1996）表2无组织排放监控浓度限值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凿岩钻孔</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0.2</w:t>
            </w:r>
            <w:r>
              <w:rPr>
                <w:rFonts w:ascii="Times New Roman" w:hAnsi="Times New Roman" w:eastAsia="宋体"/>
                <w:color w:val="auto"/>
                <w:szCs w:val="21"/>
                <w:highlight w:val="none"/>
                <w:lang w:val="en-US" w:eastAsia="zh-CN"/>
              </w:rPr>
              <w:t>t/a</w:t>
            </w:r>
          </w:p>
        </w:tc>
        <w:tc>
          <w:tcPr>
            <w:tcW w:w="2989" w:type="dxa"/>
            <w:tcBorders>
              <w:tl2br w:val="nil"/>
              <w:tr2bl w:val="nil"/>
            </w:tcBorders>
            <w:noWrap w:val="0"/>
            <w:vAlign w:val="center"/>
          </w:tcPr>
          <w:p>
            <w:pPr>
              <w:spacing w:line="240" w:lineRule="auto"/>
              <w:ind w:firstLine="0" w:firstLineChars="0"/>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凿岩钻孔前洒水湿润，采用自带收尘装置潜孔钻机</w:t>
            </w:r>
          </w:p>
        </w:tc>
        <w:tc>
          <w:tcPr>
            <w:tcW w:w="1854"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vMerge w:val="restart"/>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爆破</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CO</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5.117</w:t>
            </w:r>
            <w:r>
              <w:rPr>
                <w:rFonts w:ascii="Times New Roman" w:hAnsi="Times New Roman" w:eastAsia="宋体"/>
                <w:color w:val="auto"/>
                <w:szCs w:val="21"/>
                <w:highlight w:val="none"/>
                <w:lang w:val="en-US" w:eastAsia="zh-CN"/>
              </w:rPr>
              <w:t>t/a</w:t>
            </w:r>
          </w:p>
        </w:tc>
        <w:tc>
          <w:tcPr>
            <w:tcW w:w="2989" w:type="dxa"/>
            <w:vMerge w:val="restart"/>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爆破后通过</w:t>
            </w:r>
            <w:r>
              <w:rPr>
                <w:rFonts w:hint="eastAsia" w:ascii="Times New Roman" w:hAnsi="Times New Roman" w:eastAsia="宋体"/>
                <w:color w:val="auto"/>
                <w:szCs w:val="21"/>
                <w:highlight w:val="none"/>
                <w:lang w:val="en-US" w:eastAsia="zh-CN"/>
              </w:rPr>
              <w:t>雾炮机</w:t>
            </w:r>
            <w:r>
              <w:rPr>
                <w:rFonts w:ascii="Times New Roman" w:hAnsi="Times New Roman" w:eastAsia="宋体"/>
                <w:color w:val="auto"/>
                <w:szCs w:val="21"/>
                <w:highlight w:val="none"/>
                <w:lang w:val="en-US" w:eastAsia="zh-CN"/>
              </w:rPr>
              <w:t>洒水降尘</w:t>
            </w:r>
          </w:p>
        </w:tc>
        <w:tc>
          <w:tcPr>
            <w:tcW w:w="1854" w:type="dxa"/>
            <w:vMerge w:val="restar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NO</w:t>
            </w:r>
            <w:r>
              <w:rPr>
                <w:rFonts w:ascii="Times New Roman" w:hAnsi="Times New Roman" w:eastAsia="宋体"/>
                <w:color w:val="auto"/>
                <w:szCs w:val="21"/>
                <w:highlight w:val="none"/>
                <w:vertAlign w:val="subscript"/>
                <w:lang w:val="en-US" w:eastAsia="zh-CN"/>
              </w:rPr>
              <w:t>x</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1.355</w:t>
            </w:r>
            <w:r>
              <w:rPr>
                <w:rFonts w:ascii="Times New Roman" w:hAnsi="Times New Roman" w:eastAsia="宋体"/>
                <w:color w:val="auto"/>
                <w:szCs w:val="21"/>
                <w:highlight w:val="none"/>
                <w:lang w:val="en-US" w:eastAsia="zh-CN"/>
              </w:rPr>
              <w:t>t/a</w:t>
            </w:r>
          </w:p>
        </w:tc>
        <w:tc>
          <w:tcPr>
            <w:tcW w:w="2989"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12</w:t>
            </w:r>
            <w:r>
              <w:rPr>
                <w:rFonts w:ascii="Times New Roman" w:hAnsi="Times New Roman" w:eastAsia="宋体"/>
                <w:color w:val="auto"/>
                <w:szCs w:val="21"/>
                <w:highlight w:val="none"/>
                <w:lang w:val="en-US" w:eastAsia="zh-CN"/>
              </w:rPr>
              <w:t>t/a</w:t>
            </w:r>
          </w:p>
        </w:tc>
        <w:tc>
          <w:tcPr>
            <w:tcW w:w="2989"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采装</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1.5</w:t>
            </w:r>
            <w:r>
              <w:rPr>
                <w:rFonts w:ascii="Times New Roman" w:hAnsi="Times New Roman" w:eastAsia="宋体"/>
                <w:color w:val="auto"/>
                <w:szCs w:val="21"/>
                <w:highlight w:val="none"/>
                <w:lang w:val="en-US" w:eastAsia="zh-CN"/>
              </w:rPr>
              <w:t>t/a</w:t>
            </w:r>
          </w:p>
        </w:tc>
        <w:tc>
          <w:tcPr>
            <w:tcW w:w="2989"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洒水降尘</w:t>
            </w:r>
          </w:p>
        </w:tc>
        <w:tc>
          <w:tcPr>
            <w:tcW w:w="1854"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堆料场①</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bottom"/>
          </w:tcPr>
          <w:p>
            <w:pPr>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0.1</w:t>
            </w:r>
            <w:r>
              <w:rPr>
                <w:rFonts w:ascii="Times New Roman" w:hAnsi="Times New Roman" w:eastAsia="宋体" w:cs="Times New Roman"/>
                <w:color w:val="auto"/>
                <w:highlight w:val="none"/>
              </w:rPr>
              <w:t>t/a</w:t>
            </w:r>
          </w:p>
        </w:tc>
        <w:tc>
          <w:tcPr>
            <w:tcW w:w="2989" w:type="dxa"/>
            <w:vMerge w:val="restart"/>
            <w:tcBorders>
              <w:tl2br w:val="nil"/>
              <w:tr2bl w:val="nil"/>
            </w:tcBorders>
            <w:noWrap w:val="0"/>
            <w:vAlign w:val="center"/>
          </w:tcPr>
          <w:p>
            <w:pPr>
              <w:pStyle w:val="81"/>
              <w:jc w:val="left"/>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临时排土场</w:t>
            </w:r>
            <w:r>
              <w:rPr>
                <w:rFonts w:ascii="Times New Roman" w:hAnsi="Times New Roman" w:eastAsia="宋体"/>
                <w:color w:val="auto"/>
                <w:szCs w:val="21"/>
                <w:highlight w:val="none"/>
                <w:lang w:val="en-US" w:eastAsia="zh-CN"/>
              </w:rPr>
              <w:t>周边设置围挡、</w:t>
            </w:r>
            <w:r>
              <w:rPr>
                <w:rFonts w:hint="eastAsia" w:ascii="Times New Roman" w:hAnsi="Times New Roman" w:eastAsia="宋体"/>
                <w:color w:val="auto"/>
                <w:szCs w:val="21"/>
                <w:highlight w:val="none"/>
                <w:lang w:val="en-US" w:eastAsia="zh-CN"/>
              </w:rPr>
              <w:t>堆料场地面进行硬化、</w:t>
            </w:r>
            <w:r>
              <w:rPr>
                <w:rFonts w:ascii="Times New Roman" w:hAnsi="Times New Roman" w:eastAsia="宋体"/>
                <w:color w:val="auto"/>
                <w:szCs w:val="21"/>
                <w:highlight w:val="none"/>
                <w:lang w:val="en-US" w:eastAsia="zh-CN"/>
              </w:rPr>
              <w:t>定时洒水降尘</w:t>
            </w:r>
            <w:r>
              <w:rPr>
                <w:rFonts w:hint="eastAsia" w:ascii="Times New Roman" w:hAnsi="Times New Roman" w:eastAsia="宋体"/>
                <w:color w:val="auto"/>
                <w:szCs w:val="21"/>
                <w:highlight w:val="none"/>
                <w:lang w:val="en-US" w:eastAsia="zh-CN"/>
              </w:rPr>
              <w:t>、石粉堆料场设置厂棚</w:t>
            </w:r>
          </w:p>
        </w:tc>
        <w:tc>
          <w:tcPr>
            <w:tcW w:w="1854" w:type="dxa"/>
            <w:vMerge w:val="restar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堆料场②</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0.075</w:t>
            </w:r>
            <w:r>
              <w:rPr>
                <w:rFonts w:ascii="Times New Roman" w:hAnsi="Times New Roman" w:eastAsia="宋体" w:cs="Times New Roman"/>
                <w:color w:val="auto"/>
                <w:sz w:val="21"/>
                <w:highlight w:val="none"/>
              </w:rPr>
              <w:t>t/a</w:t>
            </w:r>
          </w:p>
        </w:tc>
        <w:tc>
          <w:tcPr>
            <w:tcW w:w="2989"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s="Times New Roman"/>
                <w:color w:val="auto"/>
                <w:sz w:val="21"/>
                <w:highlight w:val="none"/>
              </w:rPr>
              <w:t>③</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0.075</w:t>
            </w:r>
            <w:r>
              <w:rPr>
                <w:rFonts w:ascii="Times New Roman" w:hAnsi="Times New Roman" w:eastAsia="宋体" w:cs="Times New Roman"/>
                <w:color w:val="auto"/>
                <w:sz w:val="21"/>
                <w:highlight w:val="none"/>
              </w:rPr>
              <w:t>t/a</w:t>
            </w:r>
          </w:p>
        </w:tc>
        <w:tc>
          <w:tcPr>
            <w:tcW w:w="2989"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④</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0.05</w:t>
            </w:r>
            <w:r>
              <w:rPr>
                <w:rFonts w:ascii="Times New Roman" w:hAnsi="Times New Roman" w:eastAsia="宋体" w:cs="Times New Roman"/>
                <w:color w:val="auto"/>
                <w:sz w:val="21"/>
                <w:highlight w:val="none"/>
              </w:rPr>
              <w:t>t/a</w:t>
            </w:r>
          </w:p>
        </w:tc>
        <w:tc>
          <w:tcPr>
            <w:tcW w:w="2989"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⑤</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w:t>
            </w:r>
            <w:r>
              <w:rPr>
                <w:rFonts w:ascii="Times New Roman" w:hAnsi="Times New Roman" w:eastAsia="宋体" w:cs="Times New Roman"/>
                <w:color w:val="auto"/>
                <w:sz w:val="21"/>
                <w:highlight w:val="none"/>
              </w:rPr>
              <w:t>t/a</w:t>
            </w:r>
          </w:p>
        </w:tc>
        <w:tc>
          <w:tcPr>
            <w:tcW w:w="2989"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⑥</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0.075</w:t>
            </w:r>
            <w:r>
              <w:rPr>
                <w:rFonts w:ascii="Times New Roman" w:hAnsi="Times New Roman" w:eastAsia="宋体" w:cs="Times New Roman"/>
                <w:color w:val="auto"/>
                <w:sz w:val="21"/>
                <w:highlight w:val="none"/>
              </w:rPr>
              <w:t>t/a</w:t>
            </w:r>
          </w:p>
        </w:tc>
        <w:tc>
          <w:tcPr>
            <w:tcW w:w="2989"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⑦</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0.075</w:t>
            </w:r>
            <w:r>
              <w:rPr>
                <w:rFonts w:ascii="Times New Roman" w:hAnsi="Times New Roman" w:eastAsia="宋体" w:cs="Times New Roman"/>
                <w:color w:val="auto"/>
                <w:sz w:val="21"/>
                <w:highlight w:val="none"/>
              </w:rPr>
              <w:t>t/a</w:t>
            </w:r>
          </w:p>
        </w:tc>
        <w:tc>
          <w:tcPr>
            <w:tcW w:w="2989"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⑧</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0.05</w:t>
            </w:r>
            <w:r>
              <w:rPr>
                <w:rFonts w:ascii="Times New Roman" w:hAnsi="Times New Roman" w:eastAsia="宋体" w:cs="Times New Roman"/>
                <w:color w:val="auto"/>
                <w:sz w:val="21"/>
                <w:highlight w:val="none"/>
              </w:rPr>
              <w:t>t/a</w:t>
            </w:r>
          </w:p>
        </w:tc>
        <w:tc>
          <w:tcPr>
            <w:tcW w:w="2989"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临时排土场</w:t>
            </w:r>
            <w:r>
              <w:rPr>
                <w:rFonts w:hint="eastAsia" w:ascii="Times New Roman" w:hAnsi="Times New Roman" w:eastAsia="宋体"/>
                <w:color w:val="auto"/>
                <w:sz w:val="21"/>
                <w:highlight w:val="none"/>
              </w:rPr>
              <w:t>①</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bottom"/>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w:t>
            </w:r>
            <w:r>
              <w:rPr>
                <w:rFonts w:ascii="Times New Roman" w:hAnsi="Times New Roman" w:eastAsia="宋体" w:cs="Times New Roman"/>
                <w:color w:val="auto"/>
                <w:sz w:val="21"/>
                <w:highlight w:val="none"/>
              </w:rPr>
              <w:t>t/a</w:t>
            </w:r>
          </w:p>
        </w:tc>
        <w:tc>
          <w:tcPr>
            <w:tcW w:w="2989"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临时排土场</w:t>
            </w:r>
            <w:r>
              <w:rPr>
                <w:rFonts w:hint="eastAsia" w:ascii="Times New Roman" w:hAnsi="Times New Roman" w:eastAsia="宋体"/>
                <w:color w:val="auto"/>
                <w:sz w:val="21"/>
                <w:highlight w:val="none"/>
              </w:rPr>
              <w:t>②</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281" w:type="dxa"/>
            <w:tcBorders>
              <w:tl2br w:val="nil"/>
              <w:tr2bl w:val="nil"/>
            </w:tcBorders>
            <w:noWrap w:val="0"/>
            <w:vAlign w:val="bottom"/>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w:t>
            </w:r>
            <w:r>
              <w:rPr>
                <w:rFonts w:ascii="Times New Roman" w:hAnsi="Times New Roman" w:eastAsia="宋体" w:cs="Times New Roman"/>
                <w:color w:val="auto"/>
                <w:sz w:val="21"/>
                <w:highlight w:val="none"/>
              </w:rPr>
              <w:t>t/a</w:t>
            </w:r>
          </w:p>
        </w:tc>
        <w:tc>
          <w:tcPr>
            <w:tcW w:w="2989"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落料</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0.088t/a</w:t>
            </w:r>
          </w:p>
        </w:tc>
        <w:tc>
          <w:tcPr>
            <w:tcW w:w="2989"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4"/>
                <w:highlight w:val="none"/>
                <w:lang w:val="en-US" w:eastAsia="zh-CN"/>
              </w:rPr>
              <w:t>使用可伸缩斜槽</w:t>
            </w:r>
          </w:p>
        </w:tc>
        <w:tc>
          <w:tcPr>
            <w:tcW w:w="1854"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装卸</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0.084</w:t>
            </w:r>
            <w:r>
              <w:rPr>
                <w:rFonts w:ascii="Times New Roman" w:hAnsi="Times New Roman" w:eastAsia="宋体"/>
                <w:color w:val="auto"/>
                <w:szCs w:val="21"/>
                <w:highlight w:val="none"/>
                <w:lang w:val="en-US" w:eastAsia="zh-CN"/>
              </w:rPr>
              <w:t>t/a</w:t>
            </w:r>
          </w:p>
        </w:tc>
        <w:tc>
          <w:tcPr>
            <w:tcW w:w="2989" w:type="dxa"/>
            <w:tcBorders>
              <w:tl2br w:val="nil"/>
              <w:tr2bl w:val="nil"/>
            </w:tcBorders>
            <w:noWrap w:val="0"/>
            <w:vAlign w:val="center"/>
          </w:tcPr>
          <w:p>
            <w:pPr>
              <w:spacing w:line="240" w:lineRule="auto"/>
              <w:ind w:firstLine="42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洒水降尘</w:t>
            </w:r>
          </w:p>
        </w:tc>
        <w:tc>
          <w:tcPr>
            <w:tcW w:w="1854"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道路扬尘</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0.746 t/a</w:t>
            </w:r>
          </w:p>
        </w:tc>
        <w:tc>
          <w:tcPr>
            <w:tcW w:w="2989" w:type="dxa"/>
            <w:tcBorders>
              <w:tl2br w:val="nil"/>
              <w:tr2bl w:val="nil"/>
            </w:tcBorders>
            <w:noWrap w:val="0"/>
            <w:vAlign w:val="center"/>
          </w:tcPr>
          <w:p>
            <w:pPr>
              <w:pStyle w:val="81"/>
              <w:jc w:val="left"/>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运输道路定期洒水，运输车辆加盖篷布</w:t>
            </w:r>
          </w:p>
        </w:tc>
        <w:tc>
          <w:tcPr>
            <w:tcW w:w="1854"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vMerge w:val="restar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汽车尾气</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CO</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0.</w:t>
            </w:r>
            <w:r>
              <w:rPr>
                <w:rFonts w:hint="eastAsia" w:ascii="Times New Roman" w:hAnsi="Times New Roman" w:eastAsia="宋体"/>
                <w:color w:val="auto"/>
                <w:szCs w:val="21"/>
                <w:highlight w:val="none"/>
                <w:lang w:val="en-US" w:eastAsia="zh-CN"/>
              </w:rPr>
              <w:t>643</w:t>
            </w:r>
            <w:r>
              <w:rPr>
                <w:rFonts w:ascii="Times New Roman" w:hAnsi="Times New Roman" w:eastAsia="宋体"/>
                <w:color w:val="auto"/>
                <w:szCs w:val="21"/>
                <w:highlight w:val="none"/>
                <w:lang w:val="en-US" w:eastAsia="zh-CN"/>
              </w:rPr>
              <w:t xml:space="preserve"> t/a</w:t>
            </w:r>
          </w:p>
        </w:tc>
        <w:tc>
          <w:tcPr>
            <w:tcW w:w="2989" w:type="dxa"/>
            <w:vMerge w:val="restar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大气扩散</w:t>
            </w:r>
          </w:p>
        </w:tc>
        <w:tc>
          <w:tcPr>
            <w:tcW w:w="1854"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HC</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0.</w:t>
            </w:r>
            <w:r>
              <w:rPr>
                <w:rFonts w:hint="eastAsia" w:ascii="Times New Roman" w:hAnsi="Times New Roman" w:eastAsia="宋体"/>
                <w:color w:val="auto"/>
                <w:szCs w:val="21"/>
                <w:highlight w:val="none"/>
                <w:lang w:val="en-US" w:eastAsia="zh-CN"/>
              </w:rPr>
              <w:t>203</w:t>
            </w:r>
            <w:r>
              <w:rPr>
                <w:rFonts w:ascii="Times New Roman" w:hAnsi="Times New Roman" w:eastAsia="宋体"/>
                <w:color w:val="auto"/>
                <w:szCs w:val="21"/>
                <w:highlight w:val="none"/>
                <w:lang w:val="en-US" w:eastAsia="zh-CN"/>
              </w:rPr>
              <w:t xml:space="preserve"> t/a</w:t>
            </w:r>
          </w:p>
        </w:tc>
        <w:tc>
          <w:tcPr>
            <w:tcW w:w="2989"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854"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NO</w:t>
            </w:r>
            <w:r>
              <w:rPr>
                <w:rFonts w:ascii="Times New Roman" w:hAnsi="Times New Roman" w:eastAsia="宋体"/>
                <w:color w:val="auto"/>
                <w:szCs w:val="21"/>
                <w:highlight w:val="none"/>
                <w:vertAlign w:val="subscript"/>
                <w:lang w:val="en-US" w:eastAsia="zh-CN"/>
              </w:rPr>
              <w:t>x</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1.</w:t>
            </w:r>
            <w:r>
              <w:rPr>
                <w:rFonts w:hint="eastAsia" w:ascii="Times New Roman" w:hAnsi="Times New Roman" w:eastAsia="宋体"/>
                <w:color w:val="auto"/>
                <w:szCs w:val="21"/>
                <w:highlight w:val="none"/>
                <w:lang w:val="en-US" w:eastAsia="zh-CN"/>
              </w:rPr>
              <w:t>967</w:t>
            </w:r>
            <w:r>
              <w:rPr>
                <w:rFonts w:ascii="Times New Roman" w:hAnsi="Times New Roman" w:eastAsia="宋体"/>
                <w:color w:val="auto"/>
                <w:szCs w:val="21"/>
                <w:highlight w:val="none"/>
                <w:lang w:val="en-US" w:eastAsia="zh-CN"/>
              </w:rPr>
              <w:t xml:space="preserve"> t/a</w:t>
            </w:r>
          </w:p>
        </w:tc>
        <w:tc>
          <w:tcPr>
            <w:tcW w:w="2989"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854"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vMerge w:val="restart"/>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厨房</w:t>
            </w:r>
          </w:p>
        </w:tc>
        <w:tc>
          <w:tcPr>
            <w:tcW w:w="996"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油烟</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1.02</w:t>
            </w:r>
            <w:r>
              <w:rPr>
                <w:rFonts w:ascii="Times New Roman" w:hAnsi="Times New Roman" w:eastAsia="宋体"/>
                <w:color w:val="auto"/>
                <w:szCs w:val="21"/>
                <w:highlight w:val="none"/>
                <w:lang w:val="en-US" w:eastAsia="zh-CN"/>
              </w:rPr>
              <w:t>mg/m</w:t>
            </w:r>
            <w:r>
              <w:rPr>
                <w:rFonts w:ascii="Times New Roman" w:hAnsi="Times New Roman" w:eastAsia="宋体"/>
                <w:color w:val="auto"/>
                <w:szCs w:val="21"/>
                <w:highlight w:val="none"/>
                <w:vertAlign w:val="superscript"/>
                <w:lang w:val="en-US" w:eastAsia="zh-CN"/>
              </w:rPr>
              <w:t>3</w:t>
            </w:r>
          </w:p>
        </w:tc>
        <w:tc>
          <w:tcPr>
            <w:tcW w:w="12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0.00</w:t>
            </w:r>
            <w:r>
              <w:rPr>
                <w:rFonts w:hint="eastAsia" w:ascii="Times New Roman" w:hAnsi="Times New Roman" w:eastAsia="宋体" w:cs="Times New Roman"/>
                <w:bCs/>
                <w:color w:val="auto"/>
                <w:sz w:val="21"/>
                <w:highlight w:val="none"/>
              </w:rPr>
              <w:t>243</w:t>
            </w:r>
            <w:r>
              <w:rPr>
                <w:rFonts w:ascii="Times New Roman" w:hAnsi="Times New Roman" w:eastAsia="宋体" w:cs="Times New Roman"/>
                <w:color w:val="auto"/>
                <w:sz w:val="21"/>
                <w:highlight w:val="none"/>
              </w:rPr>
              <w:t>t/a</w:t>
            </w:r>
          </w:p>
        </w:tc>
        <w:tc>
          <w:tcPr>
            <w:tcW w:w="2989" w:type="dxa"/>
            <w:vMerge w:val="restart"/>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油烟净化器</w:t>
            </w:r>
          </w:p>
        </w:tc>
        <w:tc>
          <w:tcPr>
            <w:tcW w:w="1854"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3495" w:type="dxa"/>
            <w:vMerge w:val="restart"/>
            <w:tcBorders>
              <w:tl2br w:val="nil"/>
              <w:tr2bl w:val="nil"/>
            </w:tcBorders>
            <w:noWrap w:val="0"/>
            <w:vAlign w:val="center"/>
          </w:tcPr>
          <w:p>
            <w:pPr>
              <w:pStyle w:val="81"/>
              <w:jc w:val="left"/>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满足《饮食业油烟排放标准》（GB</w:t>
            </w:r>
            <w:r>
              <w:rPr>
                <w:rFonts w:hint="eastAsia" w:ascii="Times New Roman" w:hAnsi="Times New Roman" w:eastAsia="宋体"/>
                <w:color w:val="auto"/>
                <w:szCs w:val="21"/>
                <w:highlight w:val="none"/>
                <w:lang w:val="en-US" w:eastAsia="zh-CN"/>
              </w:rPr>
              <w:t xml:space="preserve"> </w:t>
            </w:r>
            <w:r>
              <w:rPr>
                <w:rFonts w:ascii="Times New Roman" w:hAnsi="Times New Roman" w:eastAsia="宋体"/>
                <w:color w:val="auto"/>
                <w:szCs w:val="21"/>
                <w:highlight w:val="none"/>
                <w:lang w:val="en-US" w:eastAsia="zh-CN"/>
              </w:rPr>
              <w:t>18483-2001）排放限值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996"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0.00</w:t>
            </w:r>
            <w:r>
              <w:rPr>
                <w:rFonts w:hint="eastAsia" w:ascii="Times New Roman" w:hAnsi="Times New Roman" w:eastAsia="宋体" w:cs="Times New Roman"/>
                <w:bCs/>
                <w:color w:val="auto"/>
                <w:sz w:val="21"/>
                <w:highlight w:val="none"/>
              </w:rPr>
              <w:t>0378</w:t>
            </w:r>
            <w:r>
              <w:rPr>
                <w:rFonts w:ascii="Times New Roman" w:hAnsi="Times New Roman" w:eastAsia="宋体" w:cs="Times New Roman"/>
                <w:color w:val="auto"/>
                <w:sz w:val="21"/>
                <w:highlight w:val="none"/>
              </w:rPr>
              <w:t>t/a</w:t>
            </w:r>
          </w:p>
        </w:tc>
        <w:tc>
          <w:tcPr>
            <w:tcW w:w="2989"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854"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996"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SO</w:t>
            </w:r>
            <w:r>
              <w:rPr>
                <w:rFonts w:ascii="Times New Roman" w:hAnsi="Times New Roman" w:eastAsia="宋体" w:cs="Times New Roman"/>
                <w:color w:val="auto"/>
                <w:sz w:val="21"/>
                <w:highlight w:val="none"/>
                <w:vertAlign w:val="subscript"/>
              </w:rPr>
              <w:t>2</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0.000</w:t>
            </w:r>
            <w:r>
              <w:rPr>
                <w:rFonts w:hint="eastAsia" w:ascii="Times New Roman" w:hAnsi="Times New Roman" w:eastAsia="宋体" w:cs="Times New Roman"/>
                <w:color w:val="auto"/>
                <w:sz w:val="21"/>
                <w:highlight w:val="none"/>
              </w:rPr>
              <w:t>486</w:t>
            </w:r>
            <w:r>
              <w:rPr>
                <w:rFonts w:ascii="Times New Roman" w:hAnsi="Times New Roman" w:eastAsia="宋体" w:cs="Times New Roman"/>
                <w:color w:val="auto"/>
                <w:sz w:val="21"/>
                <w:highlight w:val="none"/>
              </w:rPr>
              <w:t>t/a</w:t>
            </w:r>
          </w:p>
        </w:tc>
        <w:tc>
          <w:tcPr>
            <w:tcW w:w="2989"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854"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61"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996"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0.00</w:t>
            </w:r>
            <w:r>
              <w:rPr>
                <w:rFonts w:hint="eastAsia" w:ascii="Times New Roman" w:hAnsi="Times New Roman" w:eastAsia="宋体" w:cs="Times New Roman"/>
                <w:color w:val="auto"/>
                <w:sz w:val="21"/>
                <w:highlight w:val="none"/>
              </w:rPr>
              <w:t>4752</w:t>
            </w:r>
            <w:r>
              <w:rPr>
                <w:rFonts w:ascii="Times New Roman" w:hAnsi="Times New Roman" w:eastAsia="宋体" w:cs="Times New Roman"/>
                <w:color w:val="auto"/>
                <w:sz w:val="21"/>
                <w:highlight w:val="none"/>
              </w:rPr>
              <w:t>t/a</w:t>
            </w:r>
          </w:p>
        </w:tc>
        <w:tc>
          <w:tcPr>
            <w:tcW w:w="2989"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854"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restart"/>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废水</w:t>
            </w:r>
          </w:p>
        </w:tc>
        <w:tc>
          <w:tcPr>
            <w:tcW w:w="1566" w:type="dxa"/>
            <w:gridSpan w:val="2"/>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初期雨水</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highlight w:val="none"/>
                <w:lang w:val="en-US" w:eastAsia="zh-CN"/>
              </w:rPr>
              <w:t>废水量</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hint="eastAsia"/>
                <w:color w:val="auto"/>
                <w:szCs w:val="21"/>
                <w:highlight w:val="none"/>
                <w:u w:val="single"/>
                <w:lang w:val="en-US" w:eastAsia="zh-CN"/>
              </w:rPr>
              <w:t>401</w:t>
            </w:r>
            <w:r>
              <w:rPr>
                <w:rFonts w:ascii="Times New Roman" w:hAnsi="Times New Roman" w:eastAsia="宋体"/>
                <w:color w:val="auto"/>
                <w:szCs w:val="21"/>
                <w:highlight w:val="none"/>
                <w:u w:val="single"/>
                <w:lang w:val="en-US" w:eastAsia="zh-CN"/>
              </w:rPr>
              <w:t>m</w:t>
            </w:r>
            <w:r>
              <w:rPr>
                <w:rFonts w:ascii="Times New Roman" w:hAnsi="Times New Roman" w:eastAsia="宋体"/>
                <w:color w:val="auto"/>
                <w:szCs w:val="21"/>
                <w:highlight w:val="none"/>
                <w:u w:val="single"/>
                <w:vertAlign w:val="superscript"/>
                <w:lang w:val="en-US" w:eastAsia="zh-CN"/>
              </w:rPr>
              <w:t>3</w:t>
            </w:r>
            <w:r>
              <w:rPr>
                <w:rFonts w:ascii="Times New Roman" w:hAnsi="Times New Roman" w:eastAsia="宋体"/>
                <w:color w:val="auto"/>
                <w:szCs w:val="21"/>
                <w:highlight w:val="none"/>
                <w:u w:val="single"/>
                <w:lang w:val="en-US" w:eastAsia="zh-CN"/>
              </w:rPr>
              <w:t>/次</w:t>
            </w:r>
          </w:p>
        </w:tc>
        <w:tc>
          <w:tcPr>
            <w:tcW w:w="2989" w:type="dxa"/>
            <w:tcBorders>
              <w:tl2br w:val="nil"/>
              <w:tr2bl w:val="nil"/>
            </w:tcBorders>
            <w:noWrap w:val="0"/>
            <w:vAlign w:val="center"/>
          </w:tcPr>
          <w:p>
            <w:pPr>
              <w:pStyle w:val="81"/>
              <w:jc w:val="left"/>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经沉砂池沉淀后用于矿区洒水降尘</w:t>
            </w:r>
          </w:p>
        </w:tc>
        <w:tc>
          <w:tcPr>
            <w:tcW w:w="1854"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3495" w:type="dxa"/>
            <w:vMerge w:val="restar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对环境影响不大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tcBorders>
              <w:tl2br w:val="nil"/>
              <w:tr2bl w:val="nil"/>
            </w:tcBorders>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车辆清洗</w:t>
            </w:r>
          </w:p>
        </w:tc>
        <w:tc>
          <w:tcPr>
            <w:tcW w:w="996" w:type="dxa"/>
            <w:tcBorders>
              <w:tl2br w:val="nil"/>
              <w:tr2bl w:val="nil"/>
            </w:tcBorders>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废水量</w:t>
            </w:r>
          </w:p>
        </w:tc>
        <w:tc>
          <w:tcPr>
            <w:tcW w:w="1138"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2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pacing w:val="-2"/>
                <w:kern w:val="0"/>
                <w:sz w:val="21"/>
                <w:highlight w:val="none"/>
              </w:rPr>
              <w:t>840</w:t>
            </w:r>
          </w:p>
        </w:tc>
        <w:tc>
          <w:tcPr>
            <w:tcW w:w="2989"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经隔油沉砂后循环使用不外排</w:t>
            </w:r>
          </w:p>
        </w:tc>
        <w:tc>
          <w:tcPr>
            <w:tcW w:w="1854" w:type="dxa"/>
            <w:tcBorders>
              <w:tl2br w:val="nil"/>
              <w:tr2bl w:val="nil"/>
            </w:tcBorders>
            <w:noWrap w:val="0"/>
            <w:vAlign w:val="center"/>
          </w:tcPr>
          <w:p>
            <w:pPr>
              <w:pStyle w:val="81"/>
              <w:jc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w:t>
            </w:r>
          </w:p>
        </w:tc>
        <w:tc>
          <w:tcPr>
            <w:tcW w:w="3495"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tcBorders>
              <w:tl2br w:val="nil"/>
              <w:tr2bl w:val="nil"/>
            </w:tcBorders>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洗砂废水</w:t>
            </w:r>
          </w:p>
        </w:tc>
        <w:tc>
          <w:tcPr>
            <w:tcW w:w="996" w:type="dxa"/>
            <w:tcBorders>
              <w:tl2br w:val="nil"/>
              <w:tr2bl w:val="nil"/>
            </w:tcBorders>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废水量</w:t>
            </w:r>
          </w:p>
        </w:tc>
        <w:tc>
          <w:tcPr>
            <w:tcW w:w="1138"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281"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75000</w:t>
            </w:r>
          </w:p>
        </w:tc>
        <w:tc>
          <w:tcPr>
            <w:tcW w:w="2989"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经沉淀后循环使用不外排</w:t>
            </w:r>
          </w:p>
        </w:tc>
        <w:tc>
          <w:tcPr>
            <w:tcW w:w="1854" w:type="dxa"/>
            <w:tcBorders>
              <w:tl2br w:val="nil"/>
              <w:tr2bl w:val="nil"/>
            </w:tcBorders>
            <w:noWrap w:val="0"/>
            <w:vAlign w:val="center"/>
          </w:tcPr>
          <w:p>
            <w:pPr>
              <w:pStyle w:val="81"/>
              <w:jc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w:t>
            </w:r>
          </w:p>
        </w:tc>
        <w:tc>
          <w:tcPr>
            <w:tcW w:w="3495"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566" w:type="dxa"/>
            <w:gridSpan w:val="2"/>
            <w:vMerge w:val="restart"/>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生活废水</w:t>
            </w:r>
          </w:p>
        </w:tc>
        <w:tc>
          <w:tcPr>
            <w:tcW w:w="996"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1138"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12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1890</w:t>
            </w:r>
            <w:r>
              <w:rPr>
                <w:rFonts w:ascii="Times New Roman" w:hAnsi="Times New Roman" w:eastAsia="宋体" w:cs="Times New Roman"/>
                <w:color w:val="auto"/>
                <w:sz w:val="21"/>
                <w:highlight w:val="none"/>
              </w:rPr>
              <w:t>t/a</w:t>
            </w:r>
          </w:p>
        </w:tc>
        <w:tc>
          <w:tcPr>
            <w:tcW w:w="2989" w:type="dxa"/>
            <w:vMerge w:val="restart"/>
            <w:tcBorders>
              <w:tl2br w:val="nil"/>
              <w:tr2bl w:val="nil"/>
            </w:tcBorders>
            <w:noWrap w:val="0"/>
            <w:vAlign w:val="center"/>
          </w:tcPr>
          <w:p>
            <w:pPr>
              <w:pStyle w:val="81"/>
              <w:jc w:val="left"/>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隔油后的厨房废水和生活污水经化粪池处理后用于周边旱地施肥</w:t>
            </w:r>
          </w:p>
        </w:tc>
        <w:tc>
          <w:tcPr>
            <w:tcW w:w="1854" w:type="dxa"/>
            <w:vMerge w:val="restart"/>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w:t>
            </w:r>
          </w:p>
        </w:tc>
        <w:tc>
          <w:tcPr>
            <w:tcW w:w="3495"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566" w:type="dxa"/>
            <w:gridSpan w:val="2"/>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996" w:type="dxa"/>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COD</w:t>
            </w:r>
            <w:r>
              <w:rPr>
                <w:rFonts w:ascii="Times New Roman" w:hAnsi="Times New Roman" w:eastAsia="宋体" w:cs="Times New Roman"/>
                <w:color w:val="auto"/>
                <w:sz w:val="21"/>
                <w:highlight w:val="none"/>
                <w:vertAlign w:val="subscript"/>
              </w:rPr>
              <w:t>Cr</w:t>
            </w:r>
          </w:p>
        </w:tc>
        <w:tc>
          <w:tcPr>
            <w:tcW w:w="1138"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315.7</w:t>
            </w:r>
          </w:p>
        </w:tc>
        <w:tc>
          <w:tcPr>
            <w:tcW w:w="1281"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597</w:t>
            </w:r>
            <w:r>
              <w:rPr>
                <w:rFonts w:ascii="Times New Roman" w:hAnsi="Times New Roman" w:eastAsia="宋体" w:cs="Times New Roman"/>
                <w:color w:val="auto"/>
                <w:sz w:val="21"/>
                <w:highlight w:val="none"/>
              </w:rPr>
              <w:t>t/a</w:t>
            </w:r>
          </w:p>
        </w:tc>
        <w:tc>
          <w:tcPr>
            <w:tcW w:w="2989"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566" w:type="dxa"/>
            <w:gridSpan w:val="2"/>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996" w:type="dxa"/>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BOD</w:t>
            </w:r>
            <w:r>
              <w:rPr>
                <w:rFonts w:ascii="Times New Roman" w:hAnsi="Times New Roman" w:eastAsia="宋体" w:cs="Times New Roman"/>
                <w:color w:val="auto"/>
                <w:sz w:val="21"/>
                <w:highlight w:val="none"/>
                <w:vertAlign w:val="subscript"/>
              </w:rPr>
              <w:t>5</w:t>
            </w:r>
          </w:p>
        </w:tc>
        <w:tc>
          <w:tcPr>
            <w:tcW w:w="1138"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218.6</w:t>
            </w:r>
          </w:p>
        </w:tc>
        <w:tc>
          <w:tcPr>
            <w:tcW w:w="1281"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413</w:t>
            </w:r>
            <w:r>
              <w:rPr>
                <w:rFonts w:ascii="Times New Roman" w:hAnsi="Times New Roman" w:eastAsia="宋体" w:cs="Times New Roman"/>
                <w:color w:val="auto"/>
                <w:sz w:val="21"/>
                <w:highlight w:val="none"/>
              </w:rPr>
              <w:t>t/a</w:t>
            </w:r>
          </w:p>
        </w:tc>
        <w:tc>
          <w:tcPr>
            <w:tcW w:w="2989"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566" w:type="dxa"/>
            <w:gridSpan w:val="2"/>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996" w:type="dxa"/>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SS</w:t>
            </w:r>
          </w:p>
        </w:tc>
        <w:tc>
          <w:tcPr>
            <w:tcW w:w="1138"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160</w:t>
            </w:r>
          </w:p>
        </w:tc>
        <w:tc>
          <w:tcPr>
            <w:tcW w:w="1281"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302</w:t>
            </w:r>
            <w:r>
              <w:rPr>
                <w:rFonts w:ascii="Times New Roman" w:hAnsi="Times New Roman" w:eastAsia="宋体" w:cs="Times New Roman"/>
                <w:color w:val="auto"/>
                <w:sz w:val="21"/>
                <w:highlight w:val="none"/>
              </w:rPr>
              <w:t>t/a</w:t>
            </w:r>
          </w:p>
        </w:tc>
        <w:tc>
          <w:tcPr>
            <w:tcW w:w="2989"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566" w:type="dxa"/>
            <w:gridSpan w:val="2"/>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996" w:type="dxa"/>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NH</w:t>
            </w:r>
            <w:r>
              <w:rPr>
                <w:rFonts w:ascii="Times New Roman" w:hAnsi="Times New Roman" w:eastAsia="宋体" w:cs="Times New Roman"/>
                <w:color w:val="auto"/>
                <w:sz w:val="21"/>
                <w:highlight w:val="none"/>
                <w:vertAlign w:val="subscript"/>
              </w:rPr>
              <w:t>3</w:t>
            </w:r>
            <w:r>
              <w:rPr>
                <w:rFonts w:ascii="Times New Roman" w:hAnsi="Times New Roman" w:eastAsia="宋体" w:cs="Times New Roman"/>
                <w:color w:val="auto"/>
                <w:sz w:val="21"/>
                <w:highlight w:val="none"/>
              </w:rPr>
              <w:t>-N</w:t>
            </w:r>
          </w:p>
        </w:tc>
        <w:tc>
          <w:tcPr>
            <w:tcW w:w="1138"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27.</w:t>
            </w:r>
            <w:r>
              <w:rPr>
                <w:rFonts w:hint="eastAsia" w:ascii="Times New Roman" w:hAnsi="Times New Roman" w:eastAsia="宋体" w:cs="Times New Roman"/>
                <w:color w:val="auto"/>
                <w:sz w:val="21"/>
                <w:highlight w:val="none"/>
              </w:rPr>
              <w:t>5</w:t>
            </w:r>
          </w:p>
        </w:tc>
        <w:tc>
          <w:tcPr>
            <w:tcW w:w="1281"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052</w:t>
            </w:r>
            <w:r>
              <w:rPr>
                <w:rFonts w:ascii="Times New Roman" w:hAnsi="Times New Roman" w:eastAsia="宋体" w:cs="Times New Roman"/>
                <w:color w:val="auto"/>
                <w:sz w:val="21"/>
                <w:highlight w:val="none"/>
              </w:rPr>
              <w:t>t/a</w:t>
            </w:r>
          </w:p>
        </w:tc>
        <w:tc>
          <w:tcPr>
            <w:tcW w:w="2989"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566" w:type="dxa"/>
            <w:gridSpan w:val="2"/>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996" w:type="dxa"/>
            <w:tcBorders>
              <w:tl2br w:val="nil"/>
              <w:tr2bl w:val="nil"/>
            </w:tcBorders>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动植物油</w:t>
            </w:r>
          </w:p>
        </w:tc>
        <w:tc>
          <w:tcPr>
            <w:tcW w:w="1138"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21.</w:t>
            </w:r>
            <w:r>
              <w:rPr>
                <w:rFonts w:hint="eastAsia" w:ascii="Times New Roman" w:hAnsi="Times New Roman" w:eastAsia="宋体" w:cs="Times New Roman"/>
                <w:color w:val="auto"/>
                <w:sz w:val="21"/>
                <w:highlight w:val="none"/>
              </w:rPr>
              <w:t>4</w:t>
            </w:r>
          </w:p>
        </w:tc>
        <w:tc>
          <w:tcPr>
            <w:tcW w:w="1281" w:type="dxa"/>
            <w:tcBorders>
              <w:tl2br w:val="nil"/>
              <w:tr2bl w:val="nil"/>
            </w:tcBorders>
            <w:noWrap w:val="0"/>
            <w:vAlign w:val="center"/>
          </w:tcPr>
          <w:p>
            <w:pPr>
              <w:tabs>
                <w:tab w:val="left" w:pos="5940"/>
              </w:tabs>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4</w:t>
            </w:r>
            <w:r>
              <w:rPr>
                <w:rFonts w:ascii="Times New Roman" w:hAnsi="Times New Roman" w:eastAsia="宋体" w:cs="Times New Roman"/>
                <w:color w:val="auto"/>
                <w:sz w:val="21"/>
                <w:highlight w:val="none"/>
              </w:rPr>
              <w:t>t/a</w:t>
            </w:r>
          </w:p>
        </w:tc>
        <w:tc>
          <w:tcPr>
            <w:tcW w:w="2989"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噪声</w:t>
            </w:r>
          </w:p>
        </w:tc>
        <w:tc>
          <w:tcPr>
            <w:tcW w:w="1566" w:type="dxa"/>
            <w:gridSpan w:val="2"/>
            <w:tcBorders>
              <w:tl2br w:val="nil"/>
              <w:tr2bl w:val="nil"/>
            </w:tcBorders>
            <w:noWrap w:val="0"/>
            <w:vAlign w:val="center"/>
          </w:tcPr>
          <w:p>
            <w:pPr>
              <w:pStyle w:val="81"/>
              <w:jc w:val="left"/>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设备噪声、运输车辆</w:t>
            </w:r>
          </w:p>
        </w:tc>
        <w:tc>
          <w:tcPr>
            <w:tcW w:w="996"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连续等效</w:t>
            </w:r>
          </w:p>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A声级</w:t>
            </w:r>
          </w:p>
        </w:tc>
        <w:tc>
          <w:tcPr>
            <w:tcW w:w="1138"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281"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47~57dB(A)</w:t>
            </w:r>
          </w:p>
        </w:tc>
        <w:tc>
          <w:tcPr>
            <w:tcW w:w="2989" w:type="dxa"/>
            <w:tcBorders>
              <w:tl2br w:val="nil"/>
              <w:tr2bl w:val="nil"/>
            </w:tcBorders>
            <w:noWrap w:val="0"/>
            <w:vAlign w:val="center"/>
          </w:tcPr>
          <w:p>
            <w:pPr>
              <w:pStyle w:val="81"/>
              <w:jc w:val="left"/>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减震垫、柔性接头、隔声罩、厂房阻隔</w:t>
            </w:r>
          </w:p>
        </w:tc>
        <w:tc>
          <w:tcPr>
            <w:tcW w:w="1854" w:type="dxa"/>
            <w:tcBorders>
              <w:tl2br w:val="nil"/>
              <w:tr2bl w:val="nil"/>
            </w:tcBorders>
            <w:noWrap w:val="0"/>
            <w:vAlign w:val="center"/>
          </w:tcPr>
          <w:p>
            <w:pPr>
              <w:pStyle w:val="81"/>
              <w:jc w:val="left"/>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固定噪声源附近应设置环境保护图形标志牌</w:t>
            </w:r>
          </w:p>
        </w:tc>
        <w:tc>
          <w:tcPr>
            <w:tcW w:w="3495" w:type="dxa"/>
            <w:tcBorders>
              <w:tl2br w:val="nil"/>
              <w:tr2bl w:val="nil"/>
            </w:tcBorders>
            <w:noWrap w:val="0"/>
            <w:vAlign w:val="center"/>
          </w:tcPr>
          <w:p>
            <w:pPr>
              <w:pStyle w:val="81"/>
              <w:jc w:val="left"/>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厂界噪声排放满足《工业企业厂界环境噪声排放标准》（GB</w:t>
            </w:r>
            <w:r>
              <w:rPr>
                <w:rFonts w:hint="eastAsia" w:ascii="Times New Roman" w:hAnsi="Times New Roman" w:eastAsia="宋体"/>
                <w:color w:val="auto"/>
                <w:szCs w:val="21"/>
                <w:highlight w:val="none"/>
                <w:lang w:val="en-US" w:eastAsia="zh-CN"/>
              </w:rPr>
              <w:t xml:space="preserve"> </w:t>
            </w:r>
            <w:r>
              <w:rPr>
                <w:rFonts w:ascii="Times New Roman" w:hAnsi="Times New Roman" w:eastAsia="宋体"/>
                <w:color w:val="auto"/>
                <w:szCs w:val="21"/>
                <w:highlight w:val="none"/>
                <w:lang w:val="en-US" w:eastAsia="zh-CN"/>
              </w:rPr>
              <w:t>12348-2008）2类区排放限值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restart"/>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固体</w:t>
            </w:r>
          </w:p>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废物</w:t>
            </w:r>
          </w:p>
        </w:tc>
        <w:tc>
          <w:tcPr>
            <w:tcW w:w="2562" w:type="dxa"/>
            <w:gridSpan w:val="3"/>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表土</w:t>
            </w:r>
          </w:p>
        </w:tc>
        <w:tc>
          <w:tcPr>
            <w:tcW w:w="1138"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2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1000t/a</w:t>
            </w:r>
          </w:p>
        </w:tc>
        <w:tc>
          <w:tcPr>
            <w:tcW w:w="2989" w:type="dxa"/>
            <w:tcBorders>
              <w:tl2br w:val="nil"/>
              <w:tr2bl w:val="nil"/>
            </w:tcBorders>
            <w:noWrap w:val="0"/>
            <w:vAlign w:val="center"/>
          </w:tcPr>
          <w:p>
            <w:pPr>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堆放于</w:t>
            </w:r>
            <w:r>
              <w:rPr>
                <w:rFonts w:hint="eastAsia" w:ascii="Times New Roman" w:hAnsi="Times New Roman" w:eastAsia="宋体" w:cs="Times New Roman"/>
                <w:color w:val="auto"/>
                <w:kern w:val="0"/>
                <w:sz w:val="21"/>
                <w:highlight w:val="none"/>
              </w:rPr>
              <w:t>临时排土场</w:t>
            </w:r>
            <w:r>
              <w:rPr>
                <w:rFonts w:ascii="Times New Roman" w:hAnsi="Times New Roman" w:eastAsia="宋体" w:cs="Times New Roman"/>
                <w:color w:val="auto"/>
                <w:kern w:val="0"/>
                <w:sz w:val="21"/>
                <w:highlight w:val="none"/>
              </w:rPr>
              <w:t>，用于矿山复垦</w:t>
            </w:r>
          </w:p>
        </w:tc>
        <w:tc>
          <w:tcPr>
            <w:tcW w:w="1854" w:type="dxa"/>
            <w:vMerge w:val="restart"/>
            <w:tcBorders>
              <w:tl2br w:val="nil"/>
              <w:tr2bl w:val="nil"/>
            </w:tcBorders>
            <w:noWrap w:val="0"/>
            <w:vAlign w:val="center"/>
          </w:tcPr>
          <w:p>
            <w:pPr>
              <w:pStyle w:val="81"/>
              <w:jc w:val="left"/>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在存放场边界和进出口位置设置环保标志牌</w:t>
            </w:r>
          </w:p>
        </w:tc>
        <w:tc>
          <w:tcPr>
            <w:tcW w:w="3495" w:type="dxa"/>
            <w:vMerge w:val="restart"/>
            <w:tcBorders>
              <w:tl2br w:val="nil"/>
              <w:tr2bl w:val="nil"/>
            </w:tcBorders>
            <w:noWrap w:val="0"/>
            <w:vAlign w:val="center"/>
          </w:tcPr>
          <w:p>
            <w:pPr>
              <w:pStyle w:val="81"/>
              <w:jc w:val="left"/>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满足《危险废物贮存污染控制标准》（GB</w:t>
            </w:r>
            <w:r>
              <w:rPr>
                <w:rFonts w:hint="eastAsia" w:ascii="Times New Roman" w:hAnsi="Times New Roman" w:eastAsia="宋体"/>
                <w:color w:val="auto"/>
                <w:szCs w:val="21"/>
                <w:highlight w:val="none"/>
                <w:lang w:val="en-US" w:eastAsia="zh-CN"/>
              </w:rPr>
              <w:t xml:space="preserve"> </w:t>
            </w:r>
            <w:r>
              <w:rPr>
                <w:rFonts w:ascii="Times New Roman" w:hAnsi="Times New Roman" w:eastAsia="宋体"/>
                <w:color w:val="auto"/>
                <w:szCs w:val="21"/>
                <w:highlight w:val="none"/>
                <w:lang w:val="en-US" w:eastAsia="zh-CN"/>
              </w:rPr>
              <w:t>18597-2001）及其修改单、《一般工业固体废物贮存、处置场污染控制标准》（GB</w:t>
            </w:r>
            <w:r>
              <w:rPr>
                <w:rFonts w:hint="eastAsia" w:ascii="Times New Roman" w:hAnsi="Times New Roman" w:eastAsia="宋体"/>
                <w:color w:val="auto"/>
                <w:szCs w:val="21"/>
                <w:highlight w:val="none"/>
                <w:lang w:val="en-US" w:eastAsia="zh-CN"/>
              </w:rPr>
              <w:t xml:space="preserve"> </w:t>
            </w:r>
            <w:r>
              <w:rPr>
                <w:rFonts w:ascii="Times New Roman" w:hAnsi="Times New Roman" w:eastAsia="宋体"/>
                <w:color w:val="auto"/>
                <w:szCs w:val="21"/>
                <w:highlight w:val="none"/>
                <w:lang w:val="en-US" w:eastAsia="zh-CN"/>
              </w:rPr>
              <w:t>18599-2001）的要求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2562" w:type="dxa"/>
            <w:gridSpan w:val="3"/>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废土石渣</w:t>
            </w:r>
          </w:p>
        </w:tc>
        <w:tc>
          <w:tcPr>
            <w:tcW w:w="1138"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2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4000t/a</w:t>
            </w:r>
          </w:p>
        </w:tc>
        <w:tc>
          <w:tcPr>
            <w:tcW w:w="2989"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kern w:val="0"/>
                <w:sz w:val="21"/>
                <w:highlight w:val="none"/>
              </w:rPr>
              <w:t>经外卖</w:t>
            </w:r>
            <w:r>
              <w:rPr>
                <w:rFonts w:ascii="Times New Roman" w:hAnsi="Times New Roman" w:eastAsia="宋体" w:cs="Times New Roman"/>
                <w:color w:val="auto"/>
                <w:kern w:val="0"/>
                <w:sz w:val="21"/>
                <w:highlight w:val="none"/>
              </w:rPr>
              <w:t>用于</w:t>
            </w:r>
            <w:r>
              <w:rPr>
                <w:rFonts w:hint="eastAsia" w:ascii="Times New Roman" w:hAnsi="Times New Roman" w:eastAsia="宋体" w:cs="Times New Roman"/>
                <w:color w:val="auto"/>
                <w:kern w:val="0"/>
                <w:sz w:val="21"/>
                <w:highlight w:val="none"/>
              </w:rPr>
              <w:t>周边</w:t>
            </w:r>
            <w:r>
              <w:rPr>
                <w:rFonts w:ascii="Times New Roman" w:hAnsi="Times New Roman" w:eastAsia="宋体" w:cs="Times New Roman"/>
                <w:color w:val="auto"/>
                <w:kern w:val="0"/>
                <w:sz w:val="21"/>
                <w:highlight w:val="none"/>
              </w:rPr>
              <w:t>道路</w:t>
            </w:r>
            <w:r>
              <w:rPr>
                <w:rFonts w:hint="eastAsia" w:ascii="Times New Roman" w:hAnsi="Times New Roman" w:eastAsia="宋体" w:cs="Times New Roman"/>
                <w:color w:val="auto"/>
                <w:kern w:val="0"/>
                <w:sz w:val="21"/>
                <w:highlight w:val="none"/>
              </w:rPr>
              <w:t>建设</w:t>
            </w: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2562" w:type="dxa"/>
            <w:gridSpan w:val="3"/>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泥渣</w:t>
            </w:r>
          </w:p>
        </w:tc>
        <w:tc>
          <w:tcPr>
            <w:tcW w:w="1138"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2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cs="Times New Roman"/>
                <w:color w:val="auto"/>
                <w:sz w:val="21"/>
                <w:highlight w:val="none"/>
                <w:u w:val="single"/>
                <w:lang w:val="en-US" w:eastAsia="zh-CN"/>
              </w:rPr>
              <w:t>5</w:t>
            </w:r>
            <w:r>
              <w:rPr>
                <w:rFonts w:hint="eastAsia" w:ascii="Times New Roman" w:hAnsi="Times New Roman" w:eastAsia="宋体" w:cs="Times New Roman"/>
                <w:color w:val="auto"/>
                <w:sz w:val="21"/>
                <w:highlight w:val="none"/>
                <w:u w:val="single"/>
              </w:rPr>
              <w:t>t/a</w:t>
            </w:r>
          </w:p>
        </w:tc>
        <w:tc>
          <w:tcPr>
            <w:tcW w:w="2989"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用于矿区道路平整</w:t>
            </w: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2562" w:type="dxa"/>
            <w:gridSpan w:val="3"/>
            <w:tcBorders>
              <w:tl2br w:val="nil"/>
              <w:tr2bl w:val="nil"/>
            </w:tcBorders>
            <w:noWrap w:val="0"/>
            <w:vAlign w:val="center"/>
          </w:tcPr>
          <w:p>
            <w:pPr>
              <w:pStyle w:val="81"/>
              <w:jc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洗砂泥饼</w:t>
            </w:r>
          </w:p>
        </w:tc>
        <w:tc>
          <w:tcPr>
            <w:tcW w:w="1138"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p>
        </w:tc>
        <w:tc>
          <w:tcPr>
            <w:tcW w:w="12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2352.5t/a</w:t>
            </w:r>
          </w:p>
        </w:tc>
        <w:tc>
          <w:tcPr>
            <w:tcW w:w="2989"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外卖砖厂</w:t>
            </w: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2562" w:type="dxa"/>
            <w:gridSpan w:val="3"/>
            <w:tcBorders>
              <w:tl2br w:val="nil"/>
              <w:tr2bl w:val="nil"/>
            </w:tcBorders>
            <w:noWrap w:val="0"/>
            <w:vAlign w:val="center"/>
          </w:tcPr>
          <w:p>
            <w:pPr>
              <w:pStyle w:val="81"/>
              <w:jc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除尘器粉尘</w:t>
            </w:r>
          </w:p>
        </w:tc>
        <w:tc>
          <w:tcPr>
            <w:tcW w:w="1138"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2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173.745</w:t>
            </w:r>
            <w:r>
              <w:rPr>
                <w:rFonts w:ascii="Times New Roman" w:hAnsi="Times New Roman" w:eastAsia="宋体" w:cs="Times New Roman"/>
                <w:color w:val="auto"/>
                <w:sz w:val="21"/>
                <w:highlight w:val="none"/>
              </w:rPr>
              <w:t>t/a</w:t>
            </w:r>
          </w:p>
        </w:tc>
        <w:tc>
          <w:tcPr>
            <w:tcW w:w="2989" w:type="dxa"/>
            <w:vMerge w:val="restar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统一收集外卖</w:t>
            </w: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2562" w:type="dxa"/>
            <w:gridSpan w:val="3"/>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废零件</w:t>
            </w:r>
          </w:p>
        </w:tc>
        <w:tc>
          <w:tcPr>
            <w:tcW w:w="1138"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281" w:type="dxa"/>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3.0t/a</w:t>
            </w:r>
          </w:p>
        </w:tc>
        <w:tc>
          <w:tcPr>
            <w:tcW w:w="2989"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2562" w:type="dxa"/>
            <w:gridSpan w:val="3"/>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废含油抹布</w:t>
            </w:r>
          </w:p>
        </w:tc>
        <w:tc>
          <w:tcPr>
            <w:tcW w:w="1138"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281"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r>
              <w:rPr>
                <w:rFonts w:hint="eastAsia" w:cs="Times New Roman"/>
                <w:color w:val="auto"/>
                <w:sz w:val="21"/>
                <w:highlight w:val="none"/>
                <w:lang w:val="en-US" w:eastAsia="zh-CN"/>
              </w:rPr>
              <w:t>02</w:t>
            </w:r>
            <w:r>
              <w:rPr>
                <w:rFonts w:ascii="Times New Roman" w:hAnsi="Times New Roman" w:eastAsia="宋体" w:cs="Times New Roman"/>
                <w:color w:val="auto"/>
                <w:sz w:val="21"/>
                <w:highlight w:val="none"/>
              </w:rPr>
              <w:t>t/a</w:t>
            </w:r>
          </w:p>
        </w:tc>
        <w:tc>
          <w:tcPr>
            <w:tcW w:w="2989" w:type="dxa"/>
            <w:tcBorders>
              <w:tl2br w:val="nil"/>
              <w:tr2bl w:val="nil"/>
            </w:tcBorders>
            <w:noWrap w:val="0"/>
            <w:vAlign w:val="center"/>
          </w:tcPr>
          <w:p>
            <w:pPr>
              <w:pStyle w:val="81"/>
              <w:jc w:val="left"/>
              <w:rPr>
                <w:rFonts w:ascii="Times New Roman" w:hAnsi="Times New Roman" w:eastAsia="宋体"/>
                <w:color w:val="auto"/>
                <w:szCs w:val="21"/>
                <w:highlight w:val="none"/>
                <w:lang w:val="en-US" w:eastAsia="zh-CN"/>
              </w:rPr>
            </w:pPr>
            <w:r>
              <w:rPr>
                <w:rFonts w:hint="eastAsia" w:cs="Times New Roman"/>
                <w:color w:val="auto"/>
                <w:kern w:val="0"/>
                <w:sz w:val="21"/>
                <w:highlight w:val="none"/>
                <w:u w:val="single"/>
                <w:lang w:val="en-US" w:eastAsia="zh-CN"/>
              </w:rPr>
              <w:t>混入生活垃圾，</w:t>
            </w:r>
            <w:r>
              <w:rPr>
                <w:rFonts w:ascii="Times New Roman" w:hAnsi="Times New Roman" w:eastAsia="宋体" w:cs="Times New Roman"/>
                <w:color w:val="auto"/>
                <w:sz w:val="21"/>
                <w:highlight w:val="none"/>
                <w:u w:val="single"/>
              </w:rPr>
              <w:t>由环卫部门处理</w:t>
            </w: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2562" w:type="dxa"/>
            <w:gridSpan w:val="3"/>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废机油</w:t>
            </w:r>
          </w:p>
        </w:tc>
        <w:tc>
          <w:tcPr>
            <w:tcW w:w="1138"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c>
          <w:tcPr>
            <w:tcW w:w="1281"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0.1t/a</w:t>
            </w:r>
          </w:p>
        </w:tc>
        <w:tc>
          <w:tcPr>
            <w:tcW w:w="2989" w:type="dxa"/>
            <w:tcBorders>
              <w:tl2br w:val="nil"/>
              <w:tr2bl w:val="nil"/>
            </w:tcBorders>
            <w:noWrap w:val="0"/>
            <w:vAlign w:val="center"/>
          </w:tcPr>
          <w:p>
            <w:pPr>
              <w:pStyle w:val="81"/>
              <w:jc w:val="left"/>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委托有危险废物处理资质的单位处置</w:t>
            </w: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vMerge w:val="continue"/>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p>
        </w:tc>
        <w:tc>
          <w:tcPr>
            <w:tcW w:w="2562" w:type="dxa"/>
            <w:gridSpan w:val="3"/>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生活垃圾</w:t>
            </w:r>
          </w:p>
        </w:tc>
        <w:tc>
          <w:tcPr>
            <w:tcW w:w="1138"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1281"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13.5</w:t>
            </w:r>
            <w:r>
              <w:rPr>
                <w:rFonts w:ascii="Times New Roman" w:hAnsi="Times New Roman" w:eastAsia="宋体" w:cs="Times New Roman"/>
                <w:color w:val="auto"/>
                <w:sz w:val="21"/>
                <w:highlight w:val="none"/>
              </w:rPr>
              <w:t>t/a</w:t>
            </w:r>
          </w:p>
        </w:tc>
        <w:tc>
          <w:tcPr>
            <w:tcW w:w="2989"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kern w:val="0"/>
                <w:szCs w:val="21"/>
                <w:highlight w:val="none"/>
                <w:lang w:val="en-US" w:eastAsia="zh-CN"/>
              </w:rPr>
              <w:t>收集后由环卫部门处理</w:t>
            </w:r>
          </w:p>
        </w:tc>
        <w:tc>
          <w:tcPr>
            <w:tcW w:w="1854"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c>
          <w:tcPr>
            <w:tcW w:w="3495" w:type="dxa"/>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854"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环境</w:t>
            </w:r>
          </w:p>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风险</w:t>
            </w:r>
          </w:p>
        </w:tc>
        <w:tc>
          <w:tcPr>
            <w:tcW w:w="9824" w:type="dxa"/>
            <w:gridSpan w:val="7"/>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制定事故应急预案、根据各风险制定风险防范措施</w:t>
            </w:r>
          </w:p>
        </w:tc>
        <w:tc>
          <w:tcPr>
            <w:tcW w:w="3495" w:type="dxa"/>
            <w:tcBorders>
              <w:tl2br w:val="nil"/>
              <w:tr2bl w:val="nil"/>
            </w:tcBorders>
            <w:noWrap w:val="0"/>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满足风险应急要求</w:t>
            </w:r>
          </w:p>
        </w:tc>
      </w:tr>
    </w:tbl>
    <w:p>
      <w:pPr>
        <w:spacing w:line="240" w:lineRule="auto"/>
        <w:ind w:firstLine="0" w:firstLineChars="0"/>
        <w:jc w:val="left"/>
        <w:rPr>
          <w:rFonts w:ascii="Times New Roman" w:hAnsi="Times New Roman" w:eastAsia="宋体" w:cs="Times New Roman"/>
          <w:b/>
          <w:bCs/>
          <w:color w:val="auto"/>
          <w:sz w:val="32"/>
          <w:szCs w:val="32"/>
          <w:highlight w:val="none"/>
        </w:rPr>
        <w:sectPr>
          <w:pgSz w:w="16838" w:h="11906" w:orient="landscape"/>
          <w:pgMar w:top="1418" w:right="1361" w:bottom="1418" w:left="1361" w:header="720" w:footer="720" w:gutter="0"/>
          <w:pgBorders>
            <w:top w:val="none" w:sz="0" w:space="0"/>
            <w:left w:val="none" w:sz="0" w:space="0"/>
            <w:bottom w:val="none" w:sz="0" w:space="0"/>
            <w:right w:val="none" w:sz="0" w:space="0"/>
          </w:pgBorders>
          <w:cols w:space="720" w:num="1"/>
          <w:docGrid w:type="lines" w:linePitch="326" w:charSpace="0"/>
        </w:sectPr>
      </w:pPr>
    </w:p>
    <w:p>
      <w:pPr>
        <w:pStyle w:val="4"/>
        <w:rPr>
          <w:rFonts w:ascii="Times New Roman" w:hAnsi="Times New Roman" w:eastAsia="宋体"/>
          <w:color w:val="auto"/>
          <w:kern w:val="2"/>
          <w:highlight w:val="none"/>
        </w:rPr>
      </w:pPr>
      <w:bookmarkStart w:id="531" w:name="_Toc515531723"/>
      <w:bookmarkEnd w:id="531"/>
      <w:bookmarkStart w:id="532" w:name="_Toc532378877"/>
      <w:bookmarkStart w:id="533" w:name="_Toc3913"/>
      <w:bookmarkStart w:id="534" w:name="_Toc8247"/>
      <w:r>
        <w:rPr>
          <w:rFonts w:ascii="Times New Roman" w:hAnsi="Times New Roman" w:eastAsia="宋体"/>
          <w:color w:val="auto"/>
          <w:highlight w:val="none"/>
        </w:rPr>
        <w:t>7.3 环境监测计划</w:t>
      </w:r>
      <w:bookmarkEnd w:id="532"/>
      <w:bookmarkEnd w:id="533"/>
      <w:bookmarkEnd w:id="534"/>
    </w:p>
    <w:p>
      <w:pPr>
        <w:overflowPunct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根据《排污单位自行监测技术指南 总则》（HJ</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819-2017）和《排污许可证申请与核发技术规范 总则》（HJ</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942-2018），本项目生产运行过程涉及一般排放口，项目在生产运行期需提出污染源监测计划和环境质量监测计划。</w:t>
      </w:r>
    </w:p>
    <w:p>
      <w:pPr>
        <w:pStyle w:val="5"/>
        <w:rPr>
          <w:rFonts w:ascii="Times New Roman" w:hAnsi="Times New Roman" w:eastAsia="宋体"/>
          <w:color w:val="auto"/>
          <w:highlight w:val="none"/>
        </w:rPr>
      </w:pPr>
      <w:r>
        <w:rPr>
          <w:rFonts w:ascii="Times New Roman" w:hAnsi="Times New Roman" w:eastAsia="宋体"/>
          <w:color w:val="auto"/>
          <w:highlight w:val="none"/>
        </w:rPr>
        <w:t>7.3.1 污染源监测计划</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根据项目特点，项目运营期污染源监测包括废气和噪声监测，根据《排污单位自行监测技术指南 总则》（HJ</w:t>
      </w:r>
      <w:r>
        <w:rPr>
          <w:rFonts w:hint="eastAsia" w:ascii="Times New Roman" w:hAnsi="Times New Roman" w:eastAsia="宋体" w:cs="Times New Roman"/>
          <w:color w:val="auto"/>
          <w:szCs w:val="24"/>
          <w:highlight w:val="none"/>
          <w:lang w:val="en-US" w:eastAsia="zh-CN"/>
        </w:rPr>
        <w:t xml:space="preserve"> </w:t>
      </w:r>
      <w:r>
        <w:rPr>
          <w:rFonts w:ascii="Times New Roman" w:hAnsi="Times New Roman" w:eastAsia="宋体" w:cs="Times New Roman"/>
          <w:color w:val="auto"/>
          <w:szCs w:val="24"/>
          <w:highlight w:val="none"/>
        </w:rPr>
        <w:t>819-2017）</w:t>
      </w:r>
      <w:r>
        <w:rPr>
          <w:rFonts w:ascii="Times New Roman" w:hAnsi="Times New Roman" w:eastAsia="宋体" w:cs="Times New Roman"/>
          <w:color w:val="auto"/>
          <w:highlight w:val="none"/>
        </w:rPr>
        <w:t>，项目</w:t>
      </w:r>
      <w:r>
        <w:rPr>
          <w:rFonts w:ascii="Times New Roman" w:hAnsi="Times New Roman" w:eastAsia="宋体" w:cs="Times New Roman"/>
          <w:color w:val="auto"/>
          <w:szCs w:val="24"/>
          <w:highlight w:val="none"/>
        </w:rPr>
        <w:t>正常运营情况的环境监测计划表见表7.3-1。</w:t>
      </w:r>
    </w:p>
    <w:p>
      <w:pPr>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b/>
          <w:bCs/>
          <w:color w:val="auto"/>
          <w:szCs w:val="24"/>
          <w:highlight w:val="none"/>
        </w:rPr>
        <w:t>表7.3-1  项目污染源监测计划一览表</w:t>
      </w:r>
    </w:p>
    <w:tbl>
      <w:tblPr>
        <w:tblStyle w:val="48"/>
        <w:tblW w:w="907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01"/>
        <w:gridCol w:w="601"/>
        <w:gridCol w:w="1954"/>
        <w:gridCol w:w="1458"/>
        <w:gridCol w:w="1088"/>
        <w:gridCol w:w="30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06" w:hRule="atLeast"/>
          <w:tblHeader/>
        </w:trPr>
        <w:tc>
          <w:tcPr>
            <w:tcW w:w="901"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污染源</w:t>
            </w:r>
          </w:p>
        </w:tc>
        <w:tc>
          <w:tcPr>
            <w:tcW w:w="2555"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监测点位</w:t>
            </w:r>
          </w:p>
        </w:tc>
        <w:tc>
          <w:tcPr>
            <w:tcW w:w="1458"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监测指标</w:t>
            </w:r>
          </w:p>
        </w:tc>
        <w:tc>
          <w:tcPr>
            <w:tcW w:w="1088"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监测频率</w:t>
            </w:r>
          </w:p>
        </w:tc>
        <w:tc>
          <w:tcPr>
            <w:tcW w:w="3069"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执行排放标准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06" w:hRule="atLeast"/>
        </w:trPr>
        <w:tc>
          <w:tcPr>
            <w:tcW w:w="901"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废气</w:t>
            </w:r>
          </w:p>
        </w:tc>
        <w:tc>
          <w:tcPr>
            <w:tcW w:w="601" w:type="dxa"/>
            <w:vMerge w:val="restart"/>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cs="Times New Roman"/>
                <w:color w:val="auto"/>
                <w:sz w:val="21"/>
                <w:highlight w:val="none"/>
                <w:u w:val="single"/>
                <w:lang w:val="en-US" w:eastAsia="zh-CN"/>
              </w:rPr>
              <w:t>破碎场</w:t>
            </w:r>
            <w:r>
              <w:rPr>
                <w:rFonts w:hint="eastAsia" w:ascii="Times New Roman" w:hAnsi="Times New Roman" w:eastAsia="宋体"/>
                <w:color w:val="auto"/>
                <w:sz w:val="21"/>
                <w:highlight w:val="none"/>
                <w:u w:val="single"/>
              </w:rPr>
              <w:t>①</w:t>
            </w:r>
          </w:p>
        </w:tc>
        <w:tc>
          <w:tcPr>
            <w:tcW w:w="19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1#排气筒</w:t>
            </w:r>
          </w:p>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筛选</w:t>
            </w:r>
            <w:r>
              <w:rPr>
                <w:rFonts w:ascii="Times New Roman" w:hAnsi="Times New Roman" w:eastAsia="宋体" w:cs="Times New Roman"/>
                <w:color w:val="auto"/>
                <w:sz w:val="21"/>
                <w:highlight w:val="none"/>
              </w:rPr>
              <w:t>破碎</w:t>
            </w:r>
            <w:r>
              <w:rPr>
                <w:rFonts w:hint="eastAsia" w:ascii="Times New Roman" w:hAnsi="Times New Roman" w:eastAsia="宋体"/>
                <w:color w:val="auto"/>
                <w:sz w:val="21"/>
                <w:highlight w:val="none"/>
              </w:rPr>
              <w:t>①</w:t>
            </w:r>
            <w:r>
              <w:rPr>
                <w:rFonts w:ascii="Times New Roman" w:hAnsi="Times New Roman" w:eastAsia="宋体" w:cs="Times New Roman"/>
                <w:color w:val="auto"/>
                <w:sz w:val="21"/>
                <w:highlight w:val="none"/>
              </w:rPr>
              <w:t>）</w:t>
            </w:r>
          </w:p>
        </w:tc>
        <w:tc>
          <w:tcPr>
            <w:tcW w:w="14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8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每年1次</w:t>
            </w:r>
          </w:p>
        </w:tc>
        <w:tc>
          <w:tcPr>
            <w:tcW w:w="3069" w:type="dxa"/>
            <w:vMerge w:val="restart"/>
            <w:noWrap w:val="0"/>
            <w:vAlign w:val="center"/>
          </w:tcPr>
          <w:p>
            <w:pPr>
              <w:adjustRightInd w:val="0"/>
              <w:snapToGrid w:val="0"/>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《大气污染物综合排放标准》（GB</w:t>
            </w:r>
            <w:r>
              <w:rPr>
                <w:rFonts w:hint="eastAsia" w:ascii="Times New Roman" w:hAnsi="Times New Roman" w:eastAsia="宋体" w:cs="Times New Roman"/>
                <w:color w:val="auto"/>
                <w:sz w:val="21"/>
                <w:highlight w:val="none"/>
                <w:lang w:val="en-US" w:eastAsia="zh-CN"/>
              </w:rPr>
              <w:t xml:space="preserve"> </w:t>
            </w:r>
            <w:r>
              <w:rPr>
                <w:rFonts w:ascii="Times New Roman" w:hAnsi="Times New Roman" w:eastAsia="宋体" w:cs="Times New Roman"/>
                <w:color w:val="auto"/>
                <w:sz w:val="21"/>
                <w:highlight w:val="none"/>
              </w:rPr>
              <w:t>16297-1996）表2中二级限值标准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06" w:hRule="atLeast"/>
        </w:trPr>
        <w:tc>
          <w:tcPr>
            <w:tcW w:w="901"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01"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p>
        </w:tc>
        <w:tc>
          <w:tcPr>
            <w:tcW w:w="19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2#排气筒</w:t>
            </w:r>
          </w:p>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二级破碎①</w:t>
            </w:r>
            <w:r>
              <w:rPr>
                <w:rFonts w:ascii="Times New Roman" w:hAnsi="Times New Roman" w:eastAsia="宋体" w:cs="Times New Roman"/>
                <w:color w:val="auto"/>
                <w:sz w:val="21"/>
                <w:highlight w:val="none"/>
              </w:rPr>
              <w:t>）</w:t>
            </w:r>
          </w:p>
        </w:tc>
        <w:tc>
          <w:tcPr>
            <w:tcW w:w="14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8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每年1次</w:t>
            </w:r>
          </w:p>
        </w:tc>
        <w:tc>
          <w:tcPr>
            <w:tcW w:w="3069" w:type="dxa"/>
            <w:vMerge w:val="continue"/>
            <w:noWrap w:val="0"/>
            <w:vAlign w:val="center"/>
          </w:tcPr>
          <w:p>
            <w:pPr>
              <w:adjustRightInd w:val="0"/>
              <w:snapToGrid w:val="0"/>
              <w:spacing w:line="240" w:lineRule="auto"/>
              <w:ind w:firstLine="0" w:firstLineChars="0"/>
              <w:jc w:val="left"/>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06" w:hRule="atLeast"/>
        </w:trPr>
        <w:tc>
          <w:tcPr>
            <w:tcW w:w="901"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01"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p>
        </w:tc>
        <w:tc>
          <w:tcPr>
            <w:tcW w:w="19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3#排气筒</w:t>
            </w:r>
          </w:p>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①</w:t>
            </w:r>
            <w:r>
              <w:rPr>
                <w:rFonts w:ascii="Times New Roman" w:hAnsi="Times New Roman" w:eastAsia="宋体" w:cs="Times New Roman"/>
                <w:color w:val="auto"/>
                <w:sz w:val="21"/>
                <w:highlight w:val="none"/>
              </w:rPr>
              <w:t>）</w:t>
            </w:r>
          </w:p>
        </w:tc>
        <w:tc>
          <w:tcPr>
            <w:tcW w:w="14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8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每年1次</w:t>
            </w:r>
          </w:p>
        </w:tc>
        <w:tc>
          <w:tcPr>
            <w:tcW w:w="3069" w:type="dxa"/>
            <w:vMerge w:val="continue"/>
            <w:noWrap w:val="0"/>
            <w:vAlign w:val="center"/>
          </w:tcPr>
          <w:p>
            <w:pPr>
              <w:adjustRightInd w:val="0"/>
              <w:snapToGrid w:val="0"/>
              <w:spacing w:line="240" w:lineRule="auto"/>
              <w:ind w:firstLine="0" w:firstLineChars="0"/>
              <w:jc w:val="left"/>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06" w:hRule="atLeast"/>
        </w:trPr>
        <w:tc>
          <w:tcPr>
            <w:tcW w:w="901"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01" w:type="dxa"/>
            <w:vMerge w:val="restart"/>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cs="Times New Roman"/>
                <w:color w:val="auto"/>
                <w:sz w:val="21"/>
                <w:highlight w:val="none"/>
                <w:u w:val="single"/>
                <w:lang w:val="en-US" w:eastAsia="zh-CN"/>
              </w:rPr>
              <w:t>破碎场</w:t>
            </w:r>
            <w:r>
              <w:rPr>
                <w:rFonts w:hint="eastAsia" w:ascii="Times New Roman" w:hAnsi="Times New Roman" w:eastAsia="宋体"/>
                <w:color w:val="auto"/>
                <w:sz w:val="21"/>
                <w:highlight w:val="none"/>
                <w:u w:val="single"/>
              </w:rPr>
              <w:t>②</w:t>
            </w:r>
          </w:p>
        </w:tc>
        <w:tc>
          <w:tcPr>
            <w:tcW w:w="19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1#排气筒</w:t>
            </w:r>
          </w:p>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筛选</w:t>
            </w:r>
            <w:r>
              <w:rPr>
                <w:rFonts w:ascii="Times New Roman" w:hAnsi="Times New Roman" w:eastAsia="宋体" w:cs="Times New Roman"/>
                <w:color w:val="auto"/>
                <w:sz w:val="21"/>
                <w:highlight w:val="none"/>
              </w:rPr>
              <w:t>破碎</w:t>
            </w:r>
            <w:r>
              <w:rPr>
                <w:rFonts w:hint="eastAsia" w:ascii="Times New Roman" w:hAnsi="Times New Roman" w:eastAsia="宋体"/>
                <w:color w:val="auto"/>
                <w:sz w:val="21"/>
                <w:highlight w:val="none"/>
              </w:rPr>
              <w:t>②</w:t>
            </w:r>
            <w:r>
              <w:rPr>
                <w:rFonts w:ascii="Times New Roman" w:hAnsi="Times New Roman" w:eastAsia="宋体" w:cs="Times New Roman"/>
                <w:color w:val="auto"/>
                <w:sz w:val="21"/>
                <w:highlight w:val="none"/>
              </w:rPr>
              <w:t>）</w:t>
            </w:r>
          </w:p>
        </w:tc>
        <w:tc>
          <w:tcPr>
            <w:tcW w:w="14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8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每年1次</w:t>
            </w:r>
          </w:p>
        </w:tc>
        <w:tc>
          <w:tcPr>
            <w:tcW w:w="3069" w:type="dxa"/>
            <w:vMerge w:val="continue"/>
            <w:noWrap w:val="0"/>
            <w:vAlign w:val="center"/>
          </w:tcPr>
          <w:p>
            <w:pPr>
              <w:adjustRightInd w:val="0"/>
              <w:snapToGrid w:val="0"/>
              <w:spacing w:line="240" w:lineRule="auto"/>
              <w:ind w:firstLine="0" w:firstLineChars="0"/>
              <w:jc w:val="left"/>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6" w:hRule="atLeast"/>
        </w:trPr>
        <w:tc>
          <w:tcPr>
            <w:tcW w:w="901"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01"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2#排气筒</w:t>
            </w:r>
          </w:p>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二级破碎筛分</w:t>
            </w:r>
            <w:r>
              <w:rPr>
                <w:rFonts w:hint="eastAsia" w:ascii="Times New Roman" w:hAnsi="Times New Roman" w:eastAsia="宋体"/>
                <w:color w:val="auto"/>
                <w:sz w:val="21"/>
                <w:highlight w:val="none"/>
              </w:rPr>
              <w:t>②</w:t>
            </w:r>
            <w:r>
              <w:rPr>
                <w:rFonts w:ascii="Times New Roman" w:hAnsi="Times New Roman" w:eastAsia="宋体" w:cs="Times New Roman"/>
                <w:color w:val="auto"/>
                <w:sz w:val="21"/>
                <w:highlight w:val="none"/>
              </w:rPr>
              <w:t>）</w:t>
            </w:r>
          </w:p>
        </w:tc>
        <w:tc>
          <w:tcPr>
            <w:tcW w:w="14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8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每年1次</w:t>
            </w:r>
          </w:p>
        </w:tc>
        <w:tc>
          <w:tcPr>
            <w:tcW w:w="3069" w:type="dxa"/>
            <w:vMerge w:val="continue"/>
            <w:noWrap w:val="0"/>
            <w:vAlign w:val="center"/>
          </w:tcPr>
          <w:p>
            <w:pPr>
              <w:adjustRightInd w:val="0"/>
              <w:snapToGrid w:val="0"/>
              <w:spacing w:line="240" w:lineRule="auto"/>
              <w:ind w:firstLine="0" w:firstLineChars="0"/>
              <w:jc w:val="left"/>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06" w:hRule="atLeast"/>
        </w:trPr>
        <w:tc>
          <w:tcPr>
            <w:tcW w:w="901"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601"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54"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3#排气筒</w:t>
            </w:r>
          </w:p>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②</w:t>
            </w:r>
            <w:r>
              <w:rPr>
                <w:rFonts w:ascii="Times New Roman" w:hAnsi="Times New Roman" w:eastAsia="宋体" w:cs="Times New Roman"/>
                <w:color w:val="auto"/>
                <w:sz w:val="21"/>
                <w:highlight w:val="none"/>
              </w:rPr>
              <w:t>）</w:t>
            </w:r>
          </w:p>
        </w:tc>
        <w:tc>
          <w:tcPr>
            <w:tcW w:w="14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8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每年1次</w:t>
            </w:r>
          </w:p>
        </w:tc>
        <w:tc>
          <w:tcPr>
            <w:tcW w:w="3069" w:type="dxa"/>
            <w:vMerge w:val="continue"/>
            <w:noWrap w:val="0"/>
            <w:vAlign w:val="center"/>
          </w:tcPr>
          <w:p>
            <w:pPr>
              <w:adjustRightInd w:val="0"/>
              <w:snapToGrid w:val="0"/>
              <w:spacing w:line="240" w:lineRule="auto"/>
              <w:ind w:firstLine="0" w:firstLineChars="0"/>
              <w:jc w:val="left"/>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06" w:hRule="atLeast"/>
        </w:trPr>
        <w:tc>
          <w:tcPr>
            <w:tcW w:w="901"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555"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项目厂界</w:t>
            </w:r>
          </w:p>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下风向</w:t>
            </w:r>
          </w:p>
        </w:tc>
        <w:tc>
          <w:tcPr>
            <w:tcW w:w="14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08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每季1次</w:t>
            </w:r>
          </w:p>
        </w:tc>
        <w:tc>
          <w:tcPr>
            <w:tcW w:w="3069" w:type="dxa"/>
            <w:noWrap w:val="0"/>
            <w:vAlign w:val="center"/>
          </w:tcPr>
          <w:p>
            <w:pPr>
              <w:adjustRightInd w:val="0"/>
              <w:snapToGrid w:val="0"/>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《大气污染物综合排放标准》（GB</w:t>
            </w:r>
            <w:r>
              <w:rPr>
                <w:rFonts w:hint="eastAsia" w:ascii="Times New Roman" w:hAnsi="Times New Roman" w:eastAsia="宋体" w:cs="Times New Roman"/>
                <w:color w:val="auto"/>
                <w:sz w:val="21"/>
                <w:highlight w:val="none"/>
                <w:lang w:val="en-US" w:eastAsia="zh-CN"/>
              </w:rPr>
              <w:t xml:space="preserve"> </w:t>
            </w:r>
            <w:r>
              <w:rPr>
                <w:rFonts w:ascii="Times New Roman" w:hAnsi="Times New Roman" w:eastAsia="宋体" w:cs="Times New Roman"/>
                <w:color w:val="auto"/>
                <w:sz w:val="21"/>
                <w:highlight w:val="none"/>
              </w:rPr>
              <w:t>16297-1996）表2无组织排放监控浓度限值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06" w:hRule="atLeast"/>
        </w:trPr>
        <w:tc>
          <w:tcPr>
            <w:tcW w:w="901"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噪声</w:t>
            </w:r>
          </w:p>
        </w:tc>
        <w:tc>
          <w:tcPr>
            <w:tcW w:w="2555"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项目厂界</w:t>
            </w:r>
          </w:p>
        </w:tc>
        <w:tc>
          <w:tcPr>
            <w:tcW w:w="145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等效A声级</w:t>
            </w:r>
          </w:p>
        </w:tc>
        <w:tc>
          <w:tcPr>
            <w:tcW w:w="1088"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每季度1次</w:t>
            </w:r>
          </w:p>
        </w:tc>
        <w:tc>
          <w:tcPr>
            <w:tcW w:w="3069" w:type="dxa"/>
            <w:noWrap w:val="0"/>
            <w:vAlign w:val="center"/>
          </w:tcPr>
          <w:p>
            <w:pPr>
              <w:adjustRightInd w:val="0"/>
              <w:snapToGrid w:val="0"/>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《工业企业厂界环境噪声排放标准》（GB</w:t>
            </w:r>
            <w:r>
              <w:rPr>
                <w:rFonts w:hint="eastAsia" w:ascii="Times New Roman" w:hAnsi="Times New Roman" w:eastAsia="宋体" w:cs="Times New Roman"/>
                <w:color w:val="auto"/>
                <w:sz w:val="21"/>
                <w:highlight w:val="none"/>
                <w:lang w:val="en-US" w:eastAsia="zh-CN"/>
              </w:rPr>
              <w:t xml:space="preserve"> </w:t>
            </w:r>
            <w:r>
              <w:rPr>
                <w:rFonts w:ascii="Times New Roman" w:hAnsi="Times New Roman" w:eastAsia="宋体" w:cs="Times New Roman"/>
                <w:color w:val="auto"/>
                <w:sz w:val="21"/>
                <w:highlight w:val="none"/>
              </w:rPr>
              <w:t>12348-2008）2类标准</w:t>
            </w:r>
          </w:p>
        </w:tc>
      </w:tr>
    </w:tbl>
    <w:p>
      <w:pPr>
        <w:pStyle w:val="5"/>
        <w:rPr>
          <w:rFonts w:ascii="Times New Roman" w:hAnsi="Times New Roman" w:eastAsia="宋体"/>
          <w:color w:val="auto"/>
          <w:highlight w:val="none"/>
        </w:rPr>
      </w:pPr>
      <w:bookmarkStart w:id="535" w:name="_Toc488654360"/>
      <w:bookmarkEnd w:id="535"/>
      <w:bookmarkStart w:id="536" w:name="_Toc486324523"/>
      <w:bookmarkEnd w:id="536"/>
      <w:bookmarkStart w:id="537" w:name="_Toc488654359"/>
      <w:bookmarkEnd w:id="537"/>
      <w:bookmarkStart w:id="538" w:name="_Toc486324524"/>
      <w:bookmarkEnd w:id="538"/>
      <w:bookmarkStart w:id="539" w:name="_Toc486324522"/>
      <w:bookmarkEnd w:id="539"/>
      <w:bookmarkStart w:id="540" w:name="_Toc488654361"/>
      <w:bookmarkEnd w:id="540"/>
      <w:r>
        <w:rPr>
          <w:rFonts w:ascii="Times New Roman" w:hAnsi="Times New Roman" w:eastAsia="宋体"/>
          <w:color w:val="auto"/>
          <w:highlight w:val="none"/>
        </w:rPr>
        <w:t>7.3.2 环境质量监测计划</w:t>
      </w:r>
    </w:p>
    <w:p>
      <w:pPr>
        <w:spacing w:line="500" w:lineRule="exact"/>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w:t>
      </w:r>
      <w:r>
        <w:rPr>
          <w:rFonts w:ascii="Times New Roman" w:hAnsi="Times New Roman" w:eastAsia="宋体" w:cs="Times New Roman"/>
          <w:color w:val="auto"/>
          <w:highlight w:val="none"/>
        </w:rPr>
        <w:t>项目实施后环境质量监测计划见表7.3-2。</w:t>
      </w:r>
    </w:p>
    <w:p>
      <w:pPr>
        <w:spacing w:line="240" w:lineRule="auto"/>
        <w:ind w:firstLine="0" w:firstLineChars="0"/>
        <w:jc w:val="center"/>
        <w:rPr>
          <w:rFonts w:ascii="Times New Roman" w:hAnsi="Times New Roman" w:eastAsia="宋体" w:cs="Times New Roman"/>
          <w:b/>
          <w:bCs/>
          <w:color w:val="auto"/>
          <w:szCs w:val="24"/>
          <w:highlight w:val="none"/>
        </w:rPr>
      </w:pPr>
      <w:r>
        <w:rPr>
          <w:rFonts w:ascii="Times New Roman" w:hAnsi="Times New Roman" w:eastAsia="宋体" w:cs="Times New Roman"/>
          <w:b/>
          <w:bCs/>
          <w:color w:val="auto"/>
          <w:szCs w:val="24"/>
          <w:highlight w:val="none"/>
        </w:rPr>
        <w:t>表7.3-2 项目环境质量监测计划一览表</w:t>
      </w:r>
    </w:p>
    <w:tbl>
      <w:tblPr>
        <w:tblStyle w:val="48"/>
        <w:tblW w:w="907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65"/>
        <w:gridCol w:w="1799"/>
        <w:gridCol w:w="1699"/>
        <w:gridCol w:w="40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06" w:hRule="atLeast"/>
          <w:tblHeader/>
        </w:trPr>
        <w:tc>
          <w:tcPr>
            <w:tcW w:w="1565"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监测点位</w:t>
            </w:r>
          </w:p>
        </w:tc>
        <w:tc>
          <w:tcPr>
            <w:tcW w:w="1799"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监测指标</w:t>
            </w:r>
          </w:p>
        </w:tc>
        <w:tc>
          <w:tcPr>
            <w:tcW w:w="1699"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监测频率</w:t>
            </w:r>
          </w:p>
        </w:tc>
        <w:tc>
          <w:tcPr>
            <w:tcW w:w="4008" w:type="dxa"/>
            <w:noWrap w:val="0"/>
            <w:vAlign w:val="center"/>
          </w:tcPr>
          <w:p>
            <w:pPr>
              <w:adjustRightInd w:val="0"/>
              <w:snapToGrid w:val="0"/>
              <w:spacing w:line="240" w:lineRule="auto"/>
              <w:ind w:firstLine="0" w:firstLineChars="0"/>
              <w:jc w:val="center"/>
              <w:rPr>
                <w:rFonts w:ascii="Times New Roman" w:hAnsi="Times New Roman" w:eastAsia="宋体" w:cs="Times New Roman"/>
                <w:b/>
                <w:bCs/>
                <w:color w:val="auto"/>
                <w:sz w:val="21"/>
                <w:highlight w:val="none"/>
              </w:rPr>
            </w:pPr>
            <w:r>
              <w:rPr>
                <w:rFonts w:ascii="Times New Roman" w:hAnsi="Times New Roman" w:eastAsia="宋体" w:cs="Times New Roman"/>
                <w:b/>
                <w:bCs/>
                <w:color w:val="auto"/>
                <w:sz w:val="21"/>
                <w:highlight w:val="none"/>
              </w:rPr>
              <w:t>执行环境质量标准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06" w:hRule="atLeast"/>
        </w:trPr>
        <w:tc>
          <w:tcPr>
            <w:tcW w:w="156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项目厂界下风向</w:t>
            </w:r>
          </w:p>
        </w:tc>
        <w:tc>
          <w:tcPr>
            <w:tcW w:w="179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69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每年1次</w:t>
            </w:r>
          </w:p>
        </w:tc>
        <w:tc>
          <w:tcPr>
            <w:tcW w:w="4008" w:type="dxa"/>
            <w:noWrap w:val="0"/>
            <w:vAlign w:val="center"/>
          </w:tcPr>
          <w:p>
            <w:pPr>
              <w:adjustRightInd w:val="0"/>
              <w:snapToGrid w:val="0"/>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《环境空气质量标准》（GB</w:t>
            </w:r>
            <w:r>
              <w:rPr>
                <w:rFonts w:hint="eastAsia" w:ascii="Times New Roman" w:hAnsi="Times New Roman" w:eastAsia="宋体" w:cs="Times New Roman"/>
                <w:color w:val="auto"/>
                <w:sz w:val="21"/>
                <w:highlight w:val="none"/>
                <w:lang w:val="en-US" w:eastAsia="zh-CN"/>
              </w:rPr>
              <w:t xml:space="preserve"> </w:t>
            </w:r>
            <w:r>
              <w:rPr>
                <w:rFonts w:ascii="Times New Roman" w:hAnsi="Times New Roman" w:eastAsia="宋体" w:cs="Times New Roman"/>
                <w:color w:val="auto"/>
                <w:sz w:val="21"/>
                <w:highlight w:val="none"/>
              </w:rPr>
              <w:t>3095-2012）及其修改单二级标准</w:t>
            </w:r>
          </w:p>
        </w:tc>
      </w:tr>
    </w:tbl>
    <w:p>
      <w:pPr>
        <w:pStyle w:val="4"/>
        <w:rPr>
          <w:rFonts w:ascii="Times New Roman" w:hAnsi="Times New Roman" w:eastAsia="宋体"/>
          <w:color w:val="auto"/>
          <w:kern w:val="2"/>
          <w:highlight w:val="none"/>
        </w:rPr>
      </w:pPr>
      <w:bookmarkStart w:id="541" w:name="_Toc529368387"/>
      <w:bookmarkEnd w:id="541"/>
      <w:bookmarkStart w:id="542" w:name="_Toc532378878"/>
      <w:bookmarkEnd w:id="542"/>
      <w:bookmarkStart w:id="543" w:name="_Toc510509318"/>
      <w:bookmarkStart w:id="544" w:name="_Toc16186"/>
      <w:bookmarkStart w:id="545" w:name="_Toc5171"/>
      <w:r>
        <w:rPr>
          <w:rFonts w:ascii="Times New Roman" w:hAnsi="Times New Roman" w:eastAsia="宋体"/>
          <w:color w:val="auto"/>
          <w:highlight w:val="none"/>
        </w:rPr>
        <w:t xml:space="preserve">7.4 </w:t>
      </w:r>
      <w:bookmarkEnd w:id="543"/>
      <w:r>
        <w:rPr>
          <w:rFonts w:ascii="Times New Roman" w:hAnsi="Times New Roman" w:eastAsia="宋体"/>
          <w:color w:val="auto"/>
          <w:highlight w:val="none"/>
        </w:rPr>
        <w:t>排污口管理</w:t>
      </w:r>
      <w:bookmarkEnd w:id="544"/>
      <w:bookmarkEnd w:id="545"/>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排污口是企业污染物进入受纳环境的通道，做好排污口管理是实施污染物总量控制和达标排放的基础工作之一，必须实行规范化管理。</w:t>
      </w:r>
    </w:p>
    <w:p>
      <w:pPr>
        <w:ind w:firstLine="360" w:firstLineChars="15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环境保护图形标志—排放口（源）》和《排污口设置及规范化整治管理办法》的技术要求，企业所有排放口（包括气、声、渣）必须按照“便于采样、便于计量检测、便于日常监督检查”的原则来规范化要求，设置与之相适应的环境保护图形标志牌和企业排污口分布图，对污染物治理设施安装运行监控装置、排污口的规范化要符合当地环保部门的有关要求。</w:t>
      </w:r>
    </w:p>
    <w:p>
      <w:pPr>
        <w:pStyle w:val="5"/>
        <w:rPr>
          <w:rFonts w:ascii="Times New Roman" w:hAnsi="Times New Roman" w:eastAsia="宋体"/>
          <w:color w:val="auto"/>
          <w:highlight w:val="none"/>
        </w:rPr>
      </w:pPr>
      <w:r>
        <w:rPr>
          <w:rFonts w:ascii="Times New Roman" w:hAnsi="Times New Roman" w:eastAsia="宋体"/>
          <w:color w:val="auto"/>
          <w:highlight w:val="none"/>
        </w:rPr>
        <w:t>7.4.1 排污口管理的原则</w:t>
      </w:r>
    </w:p>
    <w:p>
      <w:pPr>
        <w:ind w:firstLine="360" w:firstLineChars="150"/>
        <w:rPr>
          <w:rFonts w:ascii="Times New Roman" w:hAnsi="Times New Roman" w:eastAsia="宋体" w:cs="Times New Roman"/>
          <w:color w:val="auto"/>
          <w:highlight w:val="none"/>
        </w:rPr>
      </w:pPr>
      <w:r>
        <w:rPr>
          <w:rFonts w:ascii="Times New Roman" w:hAnsi="Times New Roman" w:eastAsia="宋体" w:cs="Times New Roman"/>
          <w:color w:val="auto"/>
          <w:highlight w:val="none"/>
        </w:rPr>
        <w:t>1、向环境排放污染物的排污口必须规范化。</w:t>
      </w:r>
    </w:p>
    <w:p>
      <w:pPr>
        <w:ind w:firstLine="360" w:firstLineChars="150"/>
        <w:rPr>
          <w:rFonts w:ascii="Times New Roman" w:hAnsi="Times New Roman" w:eastAsia="宋体" w:cs="Times New Roman"/>
          <w:color w:val="auto"/>
          <w:highlight w:val="none"/>
        </w:rPr>
      </w:pPr>
      <w:r>
        <w:rPr>
          <w:rFonts w:ascii="Times New Roman" w:hAnsi="Times New Roman" w:eastAsia="宋体" w:cs="Times New Roman"/>
          <w:color w:val="auto"/>
          <w:highlight w:val="none"/>
        </w:rPr>
        <w:t>2、列入总量控制指标的排污口为管理重点。</w:t>
      </w:r>
    </w:p>
    <w:p>
      <w:pPr>
        <w:ind w:firstLine="360" w:firstLineChars="150"/>
        <w:rPr>
          <w:rFonts w:ascii="Times New Roman" w:hAnsi="Times New Roman" w:eastAsia="宋体" w:cs="Times New Roman"/>
          <w:color w:val="auto"/>
          <w:highlight w:val="none"/>
        </w:rPr>
      </w:pPr>
      <w:r>
        <w:rPr>
          <w:rFonts w:ascii="Times New Roman" w:hAnsi="Times New Roman" w:eastAsia="宋体" w:cs="Times New Roman"/>
          <w:color w:val="auto"/>
          <w:highlight w:val="none"/>
        </w:rPr>
        <w:t>3、排污口应便于采样与计量监测，便于日常监督检查。</w:t>
      </w:r>
    </w:p>
    <w:p>
      <w:pPr>
        <w:pStyle w:val="5"/>
        <w:rPr>
          <w:rFonts w:ascii="Times New Roman" w:hAnsi="Times New Roman" w:eastAsia="宋体"/>
          <w:color w:val="auto"/>
          <w:highlight w:val="none"/>
        </w:rPr>
      </w:pPr>
      <w:r>
        <w:rPr>
          <w:rFonts w:ascii="Times New Roman" w:hAnsi="Times New Roman" w:eastAsia="宋体"/>
          <w:color w:val="auto"/>
          <w:highlight w:val="none"/>
        </w:rPr>
        <w:t>7.4.2 排污口的技术要求</w:t>
      </w:r>
    </w:p>
    <w:p>
      <w:pPr>
        <w:ind w:firstLine="360" w:firstLineChars="150"/>
        <w:rPr>
          <w:rFonts w:ascii="Times New Roman" w:hAnsi="Times New Roman" w:eastAsia="宋体" w:cs="Times New Roman"/>
          <w:color w:val="auto"/>
          <w:highlight w:val="none"/>
        </w:rPr>
      </w:pPr>
      <w:r>
        <w:rPr>
          <w:rFonts w:ascii="Times New Roman" w:hAnsi="Times New Roman" w:eastAsia="宋体" w:cs="Times New Roman"/>
          <w:color w:val="auto"/>
          <w:highlight w:val="none"/>
        </w:rPr>
        <w:t>1、排污口的位置必须合理确定，进行规范化管理；</w:t>
      </w:r>
    </w:p>
    <w:p>
      <w:pPr>
        <w:ind w:firstLine="360" w:firstLineChars="150"/>
        <w:rPr>
          <w:rFonts w:ascii="Times New Roman" w:hAnsi="Times New Roman" w:eastAsia="宋体" w:cs="Times New Roman"/>
          <w:color w:val="auto"/>
          <w:highlight w:val="none"/>
        </w:rPr>
      </w:pPr>
      <w:r>
        <w:rPr>
          <w:rFonts w:ascii="Times New Roman" w:hAnsi="Times New Roman" w:eastAsia="宋体" w:cs="Times New Roman"/>
          <w:color w:val="auto"/>
          <w:highlight w:val="none"/>
        </w:rPr>
        <w:t>2、污水排放的采样点按《污染源监测技术规范设置》设置于工厂的总排放口；</w:t>
      </w:r>
    </w:p>
    <w:p>
      <w:pPr>
        <w:ind w:firstLine="360" w:firstLineChars="150"/>
        <w:rPr>
          <w:rFonts w:ascii="Times New Roman" w:hAnsi="Times New Roman" w:eastAsia="宋体" w:cs="Times New Roman"/>
          <w:color w:val="auto"/>
          <w:highlight w:val="none"/>
        </w:rPr>
      </w:pPr>
      <w:r>
        <w:rPr>
          <w:rFonts w:ascii="Times New Roman" w:hAnsi="Times New Roman" w:eastAsia="宋体" w:cs="Times New Roman"/>
          <w:color w:val="auto"/>
          <w:highlight w:val="none"/>
        </w:rPr>
        <w:t>4、废气永久监测孔的设置：废气采样点应按《污染源监测技术规范设置》设置于废气排气筒上，采样点的气流要稳定，采样孔设置为圆形，直径约75 mm，采样口平时应用活动式盖子盖上，防止气流涌出。</w:t>
      </w:r>
    </w:p>
    <w:p>
      <w:pPr>
        <w:pStyle w:val="5"/>
        <w:rPr>
          <w:rFonts w:ascii="Times New Roman" w:hAnsi="Times New Roman" w:eastAsia="宋体"/>
          <w:color w:val="auto"/>
          <w:highlight w:val="none"/>
        </w:rPr>
      </w:pPr>
      <w:r>
        <w:rPr>
          <w:rFonts w:ascii="Times New Roman" w:hAnsi="Times New Roman" w:eastAsia="宋体"/>
          <w:color w:val="auto"/>
          <w:highlight w:val="none"/>
        </w:rPr>
        <w:t>7.4.3 排污口立标和建档</w:t>
      </w:r>
    </w:p>
    <w:p>
      <w:pPr>
        <w:ind w:firstLine="360" w:firstLineChars="150"/>
        <w:rPr>
          <w:rFonts w:ascii="Times New Roman" w:hAnsi="Times New Roman" w:eastAsia="宋体" w:cs="Times New Roman"/>
          <w:color w:val="auto"/>
          <w:highlight w:val="none"/>
        </w:rPr>
      </w:pPr>
      <w:r>
        <w:rPr>
          <w:rFonts w:ascii="Times New Roman" w:hAnsi="Times New Roman" w:eastAsia="宋体" w:cs="Times New Roman"/>
          <w:color w:val="auto"/>
          <w:highlight w:val="none"/>
        </w:rPr>
        <w:t>1、排污口立标管理</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废气排放口、固体废物堆场应按《环境保护图形标志－排污口(源)》（GB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l5562.1-1995）规定，设置统一制作的环境保护图形标志牌，污染物排放口设置提示性环境保护图形标志牌。</w:t>
      </w:r>
    </w:p>
    <w:p>
      <w:pPr>
        <w:ind w:firstLine="360" w:firstLineChars="150"/>
        <w:rPr>
          <w:rFonts w:ascii="Times New Roman" w:hAnsi="Times New Roman" w:eastAsia="宋体" w:cs="Times New Roman"/>
          <w:color w:val="auto"/>
          <w:highlight w:val="none"/>
        </w:rPr>
      </w:pPr>
      <w:r>
        <w:rPr>
          <w:rFonts w:ascii="Times New Roman" w:hAnsi="Times New Roman" w:eastAsia="宋体" w:cs="Times New Roman"/>
          <w:color w:val="auto"/>
          <w:highlight w:val="none"/>
        </w:rPr>
        <w:t>2、排污口建档管理</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使用国家环保局统一印制的《中华人民共和国规范化排污口标志登记证》，并按要求填写有关内容，项目建成后，应将主要污染物种类、数量、浓度、排放去向、立标情况及设施运行情况记录于档案。</w:t>
      </w:r>
    </w:p>
    <w:p>
      <w:pPr>
        <w:pStyle w:val="4"/>
        <w:rPr>
          <w:rFonts w:ascii="Times New Roman" w:hAnsi="Times New Roman" w:eastAsia="宋体"/>
          <w:color w:val="auto"/>
          <w:highlight w:val="none"/>
        </w:rPr>
      </w:pPr>
      <w:bookmarkStart w:id="546" w:name="_Toc529368388"/>
      <w:bookmarkEnd w:id="546"/>
      <w:bookmarkStart w:id="547" w:name="_Toc744"/>
      <w:bookmarkEnd w:id="547"/>
      <w:bookmarkStart w:id="548" w:name="_Toc12088"/>
      <w:bookmarkEnd w:id="548"/>
      <w:bookmarkStart w:id="549" w:name="_Toc30914"/>
      <w:bookmarkEnd w:id="549"/>
      <w:bookmarkStart w:id="550" w:name="_Toc532378879"/>
      <w:bookmarkEnd w:id="550"/>
      <w:bookmarkStart w:id="551" w:name="_Toc19900"/>
      <w:bookmarkEnd w:id="551"/>
      <w:bookmarkStart w:id="552" w:name="_Toc368907138"/>
      <w:bookmarkEnd w:id="552"/>
      <w:bookmarkStart w:id="553" w:name="_Toc517684413"/>
      <w:bookmarkEnd w:id="553"/>
      <w:bookmarkStart w:id="554" w:name="_Toc18316"/>
      <w:bookmarkEnd w:id="554"/>
      <w:bookmarkStart w:id="555" w:name="_Toc3796"/>
      <w:bookmarkEnd w:id="555"/>
      <w:bookmarkStart w:id="556" w:name="_Toc403926592"/>
      <w:bookmarkEnd w:id="556"/>
      <w:bookmarkStart w:id="557" w:name="_Toc498069225"/>
      <w:bookmarkEnd w:id="557"/>
      <w:bookmarkStart w:id="558" w:name="_Toc18395"/>
      <w:bookmarkEnd w:id="558"/>
      <w:bookmarkStart w:id="559" w:name="_Toc30820"/>
      <w:bookmarkEnd w:id="559"/>
      <w:bookmarkStart w:id="560" w:name="_Toc4231"/>
      <w:bookmarkEnd w:id="560"/>
      <w:bookmarkStart w:id="561" w:name="_Toc755"/>
      <w:bookmarkStart w:id="562" w:name="_Toc15064"/>
      <w:r>
        <w:rPr>
          <w:rFonts w:ascii="Times New Roman" w:hAnsi="Times New Roman" w:eastAsia="宋体"/>
          <w:color w:val="auto"/>
          <w:highlight w:val="none"/>
        </w:rPr>
        <w:t>7.5 排污许可管理</w:t>
      </w:r>
      <w:bookmarkEnd w:id="561"/>
      <w:bookmarkEnd w:id="562"/>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根据《排污许可证管理暂行规定》：新建项目的排污单位应当在投入生产或使用并产生实际排污行为之前申请领取排污许可证。根据《固定污染源排污许可分类管理名录（2017年版）》，本项目不属于该名录规定的行业范围，且不被列入重点排污单位名录，且项目粉尘排放量小于1000t/a，故本项目不需要申请领取排污许可证。</w:t>
      </w:r>
    </w:p>
    <w:p>
      <w:pPr>
        <w:pStyle w:val="4"/>
        <w:rPr>
          <w:rFonts w:ascii="Times New Roman" w:hAnsi="Times New Roman" w:eastAsia="宋体"/>
          <w:color w:val="auto"/>
          <w:highlight w:val="none"/>
        </w:rPr>
      </w:pPr>
      <w:bookmarkStart w:id="563" w:name="_Toc532378880"/>
      <w:bookmarkEnd w:id="563"/>
      <w:bookmarkStart w:id="564" w:name="_Toc30549"/>
      <w:bookmarkEnd w:id="564"/>
      <w:bookmarkStart w:id="565" w:name="_Toc27354"/>
      <w:bookmarkEnd w:id="565"/>
      <w:bookmarkStart w:id="566" w:name="_Toc11819"/>
      <w:bookmarkEnd w:id="566"/>
      <w:bookmarkStart w:id="567" w:name="_Toc26422"/>
      <w:bookmarkEnd w:id="567"/>
      <w:bookmarkStart w:id="568" w:name="_Toc524355547"/>
      <w:bookmarkEnd w:id="568"/>
      <w:bookmarkStart w:id="569" w:name="_Toc3904"/>
      <w:bookmarkEnd w:id="569"/>
      <w:bookmarkStart w:id="570" w:name="_Toc529368389"/>
      <w:bookmarkEnd w:id="570"/>
      <w:bookmarkStart w:id="571" w:name="_Toc5976"/>
      <w:bookmarkEnd w:id="571"/>
      <w:bookmarkStart w:id="572" w:name="_Toc31950"/>
      <w:bookmarkEnd w:id="572"/>
      <w:bookmarkStart w:id="573" w:name="_Toc21024"/>
      <w:bookmarkEnd w:id="573"/>
      <w:bookmarkStart w:id="574" w:name="_Toc19883"/>
      <w:bookmarkStart w:id="575" w:name="_Toc17342"/>
      <w:bookmarkStart w:id="576" w:name="_Toc3561"/>
      <w:r>
        <w:rPr>
          <w:rFonts w:ascii="Times New Roman" w:hAnsi="Times New Roman" w:eastAsia="宋体"/>
          <w:color w:val="auto"/>
          <w:highlight w:val="none"/>
        </w:rPr>
        <w:t>7.6 环境管理台账记录要求</w:t>
      </w:r>
      <w:bookmarkEnd w:id="574"/>
      <w:bookmarkEnd w:id="575"/>
      <w:bookmarkEnd w:id="576"/>
    </w:p>
    <w:p>
      <w:pPr>
        <w:pStyle w:val="18"/>
        <w:ind w:left="0" w:firstLine="480"/>
        <w:rPr>
          <w:rFonts w:ascii="Times New Roman" w:hAnsi="Times New Roman" w:eastAsia="宋体"/>
          <w:color w:val="auto"/>
          <w:highlight w:val="none"/>
          <w:lang w:eastAsia="zh-CN"/>
        </w:rPr>
      </w:pPr>
      <w:bookmarkStart w:id="577" w:name="_Toc529368390"/>
      <w:bookmarkEnd w:id="577"/>
      <w:r>
        <w:rPr>
          <w:rFonts w:ascii="Times New Roman" w:hAnsi="Times New Roman" w:eastAsia="宋体"/>
          <w:color w:val="auto"/>
          <w:highlight w:val="none"/>
          <w:lang w:eastAsia="zh-CN"/>
        </w:rPr>
        <w:t>根据《排污单位环境管理台账及排污许可证执行报告技术规范 总则（试行）》（HJ</w:t>
      </w:r>
      <w:r>
        <w:rPr>
          <w:rFonts w:hint="eastAsia" w:ascii="Times New Roman" w:hAnsi="Times New Roman" w:eastAsia="宋体"/>
          <w:color w:val="auto"/>
          <w:highlight w:val="none"/>
          <w:lang w:val="en-US" w:eastAsia="zh-CN"/>
        </w:rPr>
        <w:t xml:space="preserve"> </w:t>
      </w:r>
      <w:r>
        <w:rPr>
          <w:rFonts w:ascii="Times New Roman" w:hAnsi="Times New Roman" w:eastAsia="宋体"/>
          <w:color w:val="auto"/>
          <w:highlight w:val="none"/>
          <w:lang w:eastAsia="zh-CN"/>
        </w:rPr>
        <w:t>944-2018），项目需做好环境管理台账记录。</w:t>
      </w:r>
    </w:p>
    <w:p>
      <w:pPr>
        <w:pStyle w:val="5"/>
        <w:rPr>
          <w:rFonts w:ascii="Times New Roman" w:hAnsi="Times New Roman" w:eastAsia="宋体"/>
          <w:color w:val="auto"/>
          <w:highlight w:val="none"/>
        </w:rPr>
      </w:pPr>
      <w:r>
        <w:rPr>
          <w:rFonts w:ascii="Times New Roman" w:hAnsi="Times New Roman" w:eastAsia="宋体"/>
          <w:color w:val="auto"/>
          <w:highlight w:val="none"/>
        </w:rPr>
        <w:t>7.6.1 记录形式</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记录形式分为电子台账和纸质台账两种形式。</w:t>
      </w:r>
    </w:p>
    <w:p>
      <w:pPr>
        <w:pStyle w:val="5"/>
        <w:rPr>
          <w:rFonts w:ascii="Times New Roman" w:hAnsi="Times New Roman" w:eastAsia="宋体"/>
          <w:color w:val="auto"/>
          <w:highlight w:val="none"/>
        </w:rPr>
      </w:pPr>
      <w:r>
        <w:rPr>
          <w:rFonts w:ascii="Times New Roman" w:hAnsi="Times New Roman" w:eastAsia="宋体"/>
          <w:color w:val="auto"/>
          <w:highlight w:val="none"/>
        </w:rPr>
        <w:t>7.6.2 记录内容</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环境管理台账包括基本信息、生产设施运行管理信息、污染防治设施运行管理信息、监测记录信息及其他环境管理信息。</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1、基本信息</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包括排污单位生产设施基本信息、污染防治设施基本信息。</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a）生产设施基本信息：主要技术参数及设计值等。</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b）污染防治设施基本信息：主要技术参数及设计值；对于防渗漏、防泄漏等污染防治措施，还应记录落实情况及问题整改情况等。</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2、生产设施运行管理信息</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包括主体工程、公用工程、辅助工程、储运工程等单元的生产设施运行管理信息。</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a）正常工况：运行状态、生产负荷、主要产品产量、原辅料等。</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1）运行状态：是否正常运行，主要参数名称及数值。</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2）生产负荷：主要产品产量与设计生产能力之比。</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3）主要产品产量：名称、产量。</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4）原辅料：名称、用量。</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5）其他：用电量等。</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b）非正常工况：起止时间、产品产量、原辅料消耗量、事件原因、应对措施、是否报告等。</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对于无实际产品、非正常工况的辅助工程及储运工程的相关生产设施，仅记录正常工况下的运行状态和生产负荷信息。</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3、污染防治设施运行管理信息</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a）正常情况：运行情况等。</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1）运行情况：是否正常运行；治理效率、副产物产生量等。</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2）涉及 DCS 系统的，还应记录 DCS 曲线图。DCS 曲线图应按不同污染物分别记录，至少包括烟气量、污染物进出口浓度等。</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b）异常情况：起止时间、污染物排放浓度、异常原因、应对措施、是否报告等。</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4、监测记录信息</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①有组织废气</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监测记录信息应包括：采样日期、样品数量、采样方法、采样人姓名等采样信息，并记录排放口编码、工况烟气量、排口温度、污染因子、许可排放浓度限值、监测浓度、测定方法以及是否超标等信息。若监测结果超标，应说明超标原因。</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②无组织废气</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监测记录信息应包括：采样日期、样品数量、采样方法、采样人姓名等采样信息，并按班次记录生产运行工况，检查环保设施密闭情况、是否出现破损等。</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④噪声</w:t>
      </w:r>
    </w:p>
    <w:p>
      <w:pPr>
        <w:pStyle w:val="18"/>
        <w:ind w:left="0" w:firstLine="480"/>
        <w:rPr>
          <w:rFonts w:ascii="Times New Roman" w:hAnsi="Times New Roman" w:eastAsia="宋体"/>
          <w:color w:val="auto"/>
          <w:highlight w:val="none"/>
          <w:lang w:eastAsia="zh-CN"/>
        </w:rPr>
      </w:pPr>
      <w:r>
        <w:rPr>
          <w:rFonts w:ascii="Times New Roman" w:hAnsi="Times New Roman" w:eastAsia="宋体"/>
          <w:color w:val="auto"/>
          <w:highlight w:val="none"/>
          <w:lang w:eastAsia="zh-CN"/>
        </w:rPr>
        <w:t>监测记录信息应包括：监测日期、监测点位、监测方法、采样人姓名等采样信息，并按班次记录生产运行工况。</w:t>
      </w:r>
    </w:p>
    <w:p>
      <w:pPr>
        <w:pStyle w:val="5"/>
        <w:rPr>
          <w:rFonts w:ascii="Times New Roman" w:hAnsi="Times New Roman" w:eastAsia="宋体"/>
          <w:color w:val="auto"/>
          <w:highlight w:val="none"/>
        </w:rPr>
      </w:pPr>
      <w:r>
        <w:rPr>
          <w:rFonts w:ascii="Times New Roman" w:hAnsi="Times New Roman" w:eastAsia="宋体"/>
          <w:color w:val="auto"/>
          <w:highlight w:val="none"/>
        </w:rPr>
        <w:t>7.6.3 记录频次</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1、基本信息</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对于未发生变化的基本信息，按年记录，1次/年；对于发生变化的基本信息，在发生变化时记录1次。</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2、生产设施运行管理信息</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a）正常工况：</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1）运行状态：一般按日或批次记录，1次/日或批次。</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2）生产负荷：一般按日或批次记录，1次/日或批次。</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3）产品产量：连续生产的，按日记录，1次/日。非连续生产的，按照生产周期记录，1次/周期；周期小于1天的，按日记录，1次/日。</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4）原辅料：按照采购批次记录，1次/批。</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b）非正常工况：按照工况期记录，1次/工况期。</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3、污染防治设施运行管理信息</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a）正常情况：</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1）运行情况：按日记录，1次/日。</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2）DCS 曲线图：按月记录，1次/月。</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b）异常情况：按照异常情况期记录，1次/异常情况期。</w:t>
      </w:r>
    </w:p>
    <w:p>
      <w:pPr>
        <w:pStyle w:val="5"/>
        <w:rPr>
          <w:rFonts w:ascii="Times New Roman" w:hAnsi="Times New Roman" w:eastAsia="宋体"/>
          <w:color w:val="auto"/>
          <w:highlight w:val="none"/>
        </w:rPr>
      </w:pPr>
      <w:r>
        <w:rPr>
          <w:rFonts w:ascii="Times New Roman" w:hAnsi="Times New Roman" w:eastAsia="宋体"/>
          <w:color w:val="auto"/>
          <w:highlight w:val="none"/>
        </w:rPr>
        <w:t>7.6.4 记录存储及保存</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a）纸质存储：应将纸质台账存放于保护袋、卷夹或保护盒等保存介质中；由专人签字、定点保存；应采取防光、防热、防潮、防细菌及防污染等措施；如有破损应及时修补，并留存备查；保存时间原则上不低于3年。</w:t>
      </w:r>
    </w:p>
    <w:p>
      <w:pPr>
        <w:ind w:firstLine="480"/>
        <w:rPr>
          <w:rFonts w:ascii="Times New Roman" w:hAnsi="Times New Roman" w:eastAsia="宋体" w:cs="Times New Roman"/>
          <w:b/>
          <w:bCs/>
          <w:color w:val="auto"/>
          <w:highlight w:val="none"/>
        </w:rPr>
      </w:pPr>
      <w:r>
        <w:rPr>
          <w:rFonts w:ascii="Times New Roman" w:hAnsi="Times New Roman" w:eastAsia="宋体" w:cs="Times New Roman"/>
          <w:color w:val="auto"/>
          <w:highlight w:val="none"/>
        </w:rPr>
        <w:t>b）电子化存储：应存放于电子存储介质中，并进行数据备份；可在排污许可管理信息平台填报并保存；由专人定期维护管理；保存时间原则上不低于3年。</w:t>
      </w:r>
    </w:p>
    <w:p>
      <w:pPr>
        <w:pStyle w:val="4"/>
        <w:rPr>
          <w:rFonts w:ascii="Times New Roman" w:hAnsi="Times New Roman" w:eastAsia="宋体"/>
          <w:color w:val="auto"/>
          <w:highlight w:val="none"/>
        </w:rPr>
      </w:pPr>
      <w:bookmarkStart w:id="578" w:name="_Toc532378881"/>
      <w:bookmarkEnd w:id="578"/>
      <w:bookmarkStart w:id="579" w:name="_Toc25790"/>
      <w:bookmarkStart w:id="580" w:name="_Toc14921"/>
      <w:r>
        <w:rPr>
          <w:rFonts w:ascii="Times New Roman" w:hAnsi="Times New Roman" w:eastAsia="宋体"/>
          <w:color w:val="auto"/>
          <w:highlight w:val="none"/>
        </w:rPr>
        <w:t>7.7 竣工环境保护验收</w:t>
      </w:r>
      <w:bookmarkEnd w:id="579"/>
      <w:bookmarkEnd w:id="580"/>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建设项目环境保护管理条例（2017年修正）》、《关于发布&lt;建设项目竣工环境保护验收暂行办法&gt;的公告》（国环规环评〔2017〕4号）等规范或文件已明确：建设单位是建设项目竣工环境保护验收的责任主体，</w:t>
      </w:r>
      <w:r>
        <w:rPr>
          <w:rFonts w:hint="eastAsia" w:ascii="Times New Roman" w:hAnsi="Times New Roman" w:eastAsia="宋体" w:cs="Times New Roman"/>
          <w:color w:val="auto"/>
          <w:highlight w:val="none"/>
        </w:rPr>
        <w:t> </w:t>
      </w:r>
      <w:r>
        <w:rPr>
          <w:rFonts w:ascii="Times New Roman" w:hAnsi="Times New Roman" w:eastAsia="宋体" w:cs="Times New Roman"/>
          <w:color w:val="auto"/>
          <w:highlight w:val="none"/>
        </w:rPr>
        <w:t>除需要取得排污许可证的水和大气污染防治设施外，其他环境保护设施的验收期限一般不超过 3 个月；需要对该类环境保护设施进行调试或者整改的， 验收期限可以适当延期，但最长不超过 12 个月。</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项目属于生态影响类，根据《建设项目竣工环境保护验收技术规范 生态影响类》（HJ/T</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394-2007）及相关文件要求，在工程正常运行的情况下即可开展验收调查工作。验收调查报告主要包括以下内容：</w:t>
      </w:r>
    </w:p>
    <w:p>
      <w:pPr>
        <w:numPr>
          <w:ilvl w:val="0"/>
          <w:numId w:val="20"/>
        </w:numPr>
        <w:ind w:left="0"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敏感目标调查；</w:t>
      </w:r>
    </w:p>
    <w:p>
      <w:pPr>
        <w:numPr>
          <w:ilvl w:val="0"/>
          <w:numId w:val="20"/>
        </w:numPr>
        <w:ind w:left="0"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工程调查；</w:t>
      </w:r>
    </w:p>
    <w:p>
      <w:pPr>
        <w:numPr>
          <w:ilvl w:val="0"/>
          <w:numId w:val="20"/>
        </w:numPr>
        <w:ind w:left="0"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环评环境保护措施落实情况调查；</w:t>
      </w:r>
    </w:p>
    <w:p>
      <w:pPr>
        <w:numPr>
          <w:ilvl w:val="0"/>
          <w:numId w:val="20"/>
        </w:numPr>
        <w:ind w:left="0"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生态影响调查；</w:t>
      </w:r>
    </w:p>
    <w:p>
      <w:pPr>
        <w:numPr>
          <w:ilvl w:val="0"/>
          <w:numId w:val="20"/>
        </w:numPr>
        <w:ind w:left="0"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大气环境影响调查；</w:t>
      </w:r>
    </w:p>
    <w:p>
      <w:pPr>
        <w:numPr>
          <w:ilvl w:val="0"/>
          <w:numId w:val="20"/>
        </w:numPr>
        <w:ind w:left="0"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水环境影响调查；</w:t>
      </w:r>
    </w:p>
    <w:p>
      <w:pPr>
        <w:numPr>
          <w:ilvl w:val="0"/>
          <w:numId w:val="20"/>
        </w:numPr>
        <w:ind w:left="0"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声环境影响调查；</w:t>
      </w:r>
    </w:p>
    <w:p>
      <w:pPr>
        <w:numPr>
          <w:ilvl w:val="0"/>
          <w:numId w:val="20"/>
        </w:numPr>
        <w:ind w:left="0"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环境振动影响调查；</w:t>
      </w:r>
    </w:p>
    <w:p>
      <w:pPr>
        <w:numPr>
          <w:ilvl w:val="0"/>
          <w:numId w:val="20"/>
        </w:numPr>
        <w:ind w:left="0"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固体废物影响调查；</w:t>
      </w:r>
    </w:p>
    <w:p>
      <w:pPr>
        <w:numPr>
          <w:ilvl w:val="0"/>
          <w:numId w:val="20"/>
        </w:numPr>
        <w:ind w:left="0"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环境管理状况及监控计划落实情况调查；</w:t>
      </w:r>
    </w:p>
    <w:p>
      <w:pPr>
        <w:numPr>
          <w:ilvl w:val="0"/>
          <w:numId w:val="20"/>
        </w:numPr>
        <w:ind w:left="0"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公众意见调查；</w:t>
      </w:r>
    </w:p>
    <w:p>
      <w:pPr>
        <w:numPr>
          <w:ilvl w:val="0"/>
          <w:numId w:val="20"/>
        </w:numPr>
        <w:ind w:left="0"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调查结论与建议；</w:t>
      </w:r>
    </w:p>
    <w:p>
      <w:pPr>
        <w:numPr>
          <w:ilvl w:val="0"/>
          <w:numId w:val="20"/>
        </w:numPr>
        <w:ind w:left="0"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附件；</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综上，项目建成后建设单位应当自主验收并对验收结论负责，具体验收内容或方法参照《建设项目竣工环境保护验收暂行办法》有关文件要求执行。</w:t>
      </w:r>
    </w:p>
    <w:p>
      <w:pPr>
        <w:ind w:firstLine="480"/>
        <w:rPr>
          <w:rFonts w:ascii="Times New Roman" w:hAnsi="Times New Roman" w:eastAsia="宋体" w:cs="Times New Roman"/>
          <w:color w:val="auto"/>
          <w:highlight w:val="none"/>
        </w:rPr>
        <w:sectPr>
          <w:pgSz w:w="11906" w:h="16838"/>
          <w:pgMar w:top="1797" w:right="1440" w:bottom="1797" w:left="1440" w:header="851" w:footer="992" w:gutter="0"/>
          <w:pgBorders>
            <w:top w:val="none" w:sz="0" w:space="0"/>
            <w:left w:val="none" w:sz="0" w:space="0"/>
            <w:bottom w:val="none" w:sz="0" w:space="0"/>
            <w:right w:val="none" w:sz="0" w:space="0"/>
          </w:pgBorders>
          <w:cols w:space="720" w:num="1"/>
          <w:docGrid w:type="lines" w:linePitch="312" w:charSpace="0"/>
        </w:sectPr>
      </w:pPr>
      <w:r>
        <w:rPr>
          <w:rFonts w:ascii="Times New Roman" w:hAnsi="Times New Roman" w:eastAsia="宋体" w:cs="Times New Roman"/>
          <w:color w:val="auto"/>
          <w:highlight w:val="none"/>
        </w:rPr>
        <w:t>本项目有关“三同时”清单见表7.7-1。</w:t>
      </w:r>
    </w:p>
    <w:p>
      <w:pPr>
        <w:spacing w:line="240" w:lineRule="auto"/>
        <w:ind w:firstLine="0" w:firstLineChars="0"/>
        <w:jc w:val="center"/>
        <w:rPr>
          <w:rFonts w:ascii="Times New Roman" w:hAnsi="Times New Roman" w:eastAsia="宋体" w:cs="Times New Roman"/>
          <w:color w:val="auto"/>
          <w:szCs w:val="24"/>
          <w:highlight w:val="none"/>
        </w:rPr>
      </w:pPr>
      <w:r>
        <w:rPr>
          <w:rFonts w:ascii="Times New Roman" w:hAnsi="Times New Roman" w:eastAsia="宋体" w:cs="Times New Roman"/>
          <w:b/>
          <w:color w:val="auto"/>
          <w:szCs w:val="24"/>
          <w:highlight w:val="none"/>
        </w:rPr>
        <w:t>表7.7-1 项目“三同时”验收清单</w:t>
      </w:r>
    </w:p>
    <w:tbl>
      <w:tblPr>
        <w:tblStyle w:val="48"/>
        <w:tblW w:w="1417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0"/>
        <w:gridCol w:w="930"/>
        <w:gridCol w:w="2021"/>
        <w:gridCol w:w="2437"/>
        <w:gridCol w:w="4857"/>
        <w:gridCol w:w="31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3691" w:type="dxa"/>
            <w:gridSpan w:val="3"/>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对象</w:t>
            </w:r>
          </w:p>
        </w:tc>
        <w:tc>
          <w:tcPr>
            <w:tcW w:w="2437"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主要污染因子</w:t>
            </w:r>
          </w:p>
        </w:tc>
        <w:tc>
          <w:tcPr>
            <w:tcW w:w="4857"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b/>
                <w:color w:val="auto"/>
                <w:sz w:val="21"/>
                <w:highlight w:val="none"/>
              </w:rPr>
              <w:t>污染防治措施</w:t>
            </w:r>
          </w:p>
        </w:tc>
        <w:tc>
          <w:tcPr>
            <w:tcW w:w="3188"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46" w:hRule="atLeast"/>
          <w:jc w:val="center"/>
        </w:trPr>
        <w:tc>
          <w:tcPr>
            <w:tcW w:w="740" w:type="dxa"/>
            <w:vMerge w:val="restart"/>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废气</w:t>
            </w:r>
          </w:p>
        </w:tc>
        <w:tc>
          <w:tcPr>
            <w:tcW w:w="930" w:type="dxa"/>
            <w:vMerge w:val="restart"/>
            <w:noWrap w:val="0"/>
            <w:tcMar>
              <w:top w:w="0" w:type="dxa"/>
              <w:left w:w="28" w:type="dxa"/>
              <w:bottom w:w="0" w:type="dxa"/>
              <w:right w:w="28" w:type="dxa"/>
            </w:tcMar>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highlight w:val="none"/>
                <w:lang w:eastAsia="zh-CN"/>
              </w:rPr>
            </w:pPr>
            <w:r>
              <w:rPr>
                <w:rFonts w:hint="eastAsia" w:cs="Times New Roman"/>
                <w:color w:val="auto"/>
                <w:sz w:val="21"/>
                <w:highlight w:val="none"/>
                <w:u w:val="single"/>
                <w:lang w:eastAsia="zh-CN"/>
              </w:rPr>
              <w:t>破碎场①</w:t>
            </w:r>
          </w:p>
        </w:tc>
        <w:tc>
          <w:tcPr>
            <w:tcW w:w="2021" w:type="dxa"/>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①</w:t>
            </w:r>
          </w:p>
        </w:tc>
        <w:tc>
          <w:tcPr>
            <w:tcW w:w="2437"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4857" w:type="dxa"/>
            <w:noWrap w:val="0"/>
            <w:tcMar>
              <w:top w:w="0" w:type="dxa"/>
              <w:left w:w="28" w:type="dxa"/>
              <w:bottom w:w="0" w:type="dxa"/>
              <w:right w:w="28" w:type="dxa"/>
            </w:tcMar>
            <w:vAlign w:val="center"/>
          </w:tcPr>
          <w:p>
            <w:pPr>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lang w:val="en-US" w:eastAsia="zh-CN"/>
              </w:rPr>
              <w:t>喷淋</w:t>
            </w:r>
            <w:r>
              <w:rPr>
                <w:rFonts w:hint="eastAsia" w:ascii="Times New Roman" w:hAnsi="Times New Roman" w:eastAsia="宋体" w:cs="Times New Roman"/>
                <w:color w:val="auto"/>
                <w:sz w:val="21"/>
                <w:highlight w:val="none"/>
              </w:rPr>
              <w:t>+封闭+负压收集+袋式除尘器</w:t>
            </w:r>
            <w:r>
              <w:rPr>
                <w:rFonts w:ascii="Times New Roman" w:hAnsi="Times New Roman" w:eastAsia="宋体" w:cs="Times New Roman"/>
                <w:color w:val="auto"/>
                <w:sz w:val="21"/>
                <w:highlight w:val="none"/>
              </w:rPr>
              <w:t>+15m高排气筒</w:t>
            </w:r>
          </w:p>
        </w:tc>
        <w:tc>
          <w:tcPr>
            <w:tcW w:w="3188" w:type="dxa"/>
            <w:vMerge w:val="restart"/>
            <w:noWrap w:val="0"/>
            <w:tcMar>
              <w:top w:w="0" w:type="dxa"/>
              <w:left w:w="28" w:type="dxa"/>
              <w:bottom w:w="0" w:type="dxa"/>
              <w:right w:w="28" w:type="dxa"/>
            </w:tcMar>
            <w:vAlign w:val="center"/>
          </w:tcPr>
          <w:p>
            <w:pPr>
              <w:adjustRightInd w:val="0"/>
              <w:snapToGrid w:val="0"/>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lang w:bidi="en-US"/>
              </w:rPr>
              <w:t>《大气污染物综合排放标准》（GB</w:t>
            </w:r>
            <w:r>
              <w:rPr>
                <w:rFonts w:hint="eastAsia" w:ascii="Times New Roman" w:hAnsi="Times New Roman" w:eastAsia="宋体" w:cs="Times New Roman"/>
                <w:color w:val="auto"/>
                <w:sz w:val="21"/>
                <w:highlight w:val="none"/>
                <w:lang w:val="en-US" w:eastAsia="zh-CN" w:bidi="en-US"/>
              </w:rPr>
              <w:t xml:space="preserve"> </w:t>
            </w:r>
            <w:r>
              <w:rPr>
                <w:rFonts w:ascii="Times New Roman" w:hAnsi="Times New Roman" w:eastAsia="宋体" w:cs="Times New Roman"/>
                <w:color w:val="auto"/>
                <w:sz w:val="21"/>
                <w:highlight w:val="none"/>
                <w:lang w:bidi="en-US"/>
              </w:rPr>
              <w:t>16297-1996）表2二级标准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05"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930" w:type="dxa"/>
            <w:vMerge w:val="continue"/>
            <w:noWrap w:val="0"/>
            <w:tcMar>
              <w:top w:w="0" w:type="dxa"/>
              <w:left w:w="28" w:type="dxa"/>
              <w:bottom w:w="0" w:type="dxa"/>
              <w:right w:w="28" w:type="dxa"/>
            </w:tcMar>
            <w:vAlign w:val="center"/>
          </w:tcPr>
          <w:p>
            <w:pPr>
              <w:pStyle w:val="81"/>
              <w:jc w:val="center"/>
              <w:rPr>
                <w:rFonts w:ascii="Times New Roman" w:hAnsi="Times New Roman" w:eastAsia="宋体"/>
                <w:color w:val="auto"/>
                <w:szCs w:val="21"/>
                <w:highlight w:val="none"/>
                <w:lang w:val="en-US" w:eastAsia="zh-CN"/>
              </w:rPr>
            </w:pPr>
          </w:p>
        </w:tc>
        <w:tc>
          <w:tcPr>
            <w:tcW w:w="2021" w:type="dxa"/>
            <w:noWrap w:val="0"/>
            <w:tcMar>
              <w:top w:w="0" w:type="dxa"/>
              <w:left w:w="28" w:type="dxa"/>
              <w:bottom w:w="0" w:type="dxa"/>
              <w:right w:w="28" w:type="dxa"/>
            </w:tcMar>
            <w:vAlign w:val="center"/>
          </w:tcPr>
          <w:p>
            <w:pPr>
              <w:widowControl/>
              <w:adjustRightInd w:val="0"/>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二级破碎①</w:t>
            </w:r>
          </w:p>
        </w:tc>
        <w:tc>
          <w:tcPr>
            <w:tcW w:w="2437"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4857" w:type="dxa"/>
            <w:noWrap w:val="0"/>
            <w:tcMar>
              <w:top w:w="0" w:type="dxa"/>
              <w:left w:w="28" w:type="dxa"/>
              <w:bottom w:w="0" w:type="dxa"/>
              <w:right w:w="28" w:type="dxa"/>
            </w:tcMar>
            <w:vAlign w:val="center"/>
          </w:tcPr>
          <w:p>
            <w:pPr>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lang w:val="en-US" w:eastAsia="zh-CN"/>
              </w:rPr>
              <w:t>喷淋</w:t>
            </w:r>
            <w:r>
              <w:rPr>
                <w:rFonts w:hint="eastAsia" w:ascii="Times New Roman" w:hAnsi="Times New Roman" w:eastAsia="宋体" w:cs="Times New Roman"/>
                <w:color w:val="auto"/>
                <w:sz w:val="21"/>
                <w:highlight w:val="none"/>
              </w:rPr>
              <w:t>+封闭+负压收集+袋式除尘器</w:t>
            </w:r>
            <w:r>
              <w:rPr>
                <w:rFonts w:ascii="Times New Roman" w:hAnsi="Times New Roman" w:eastAsia="宋体" w:cs="Times New Roman"/>
                <w:color w:val="auto"/>
                <w:sz w:val="21"/>
                <w:highlight w:val="none"/>
              </w:rPr>
              <w:t>+15m高排气筒</w:t>
            </w:r>
          </w:p>
        </w:tc>
        <w:tc>
          <w:tcPr>
            <w:tcW w:w="3188"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930" w:type="dxa"/>
            <w:vMerge w:val="continue"/>
            <w:noWrap w:val="0"/>
            <w:tcMar>
              <w:top w:w="0" w:type="dxa"/>
              <w:left w:w="28" w:type="dxa"/>
              <w:bottom w:w="0" w:type="dxa"/>
              <w:right w:w="28" w:type="dxa"/>
            </w:tcMar>
            <w:vAlign w:val="center"/>
          </w:tcPr>
          <w:p>
            <w:pPr>
              <w:pStyle w:val="81"/>
              <w:jc w:val="center"/>
              <w:rPr>
                <w:rFonts w:ascii="Times New Roman" w:hAnsi="Times New Roman" w:eastAsia="宋体"/>
                <w:color w:val="auto"/>
                <w:szCs w:val="21"/>
                <w:highlight w:val="none"/>
                <w:lang w:val="en-US" w:eastAsia="zh-CN"/>
              </w:rPr>
            </w:pPr>
          </w:p>
        </w:tc>
        <w:tc>
          <w:tcPr>
            <w:tcW w:w="2021" w:type="dxa"/>
            <w:noWrap w:val="0"/>
            <w:tcMar>
              <w:top w:w="0" w:type="dxa"/>
              <w:left w:w="28" w:type="dxa"/>
              <w:bottom w:w="0" w:type="dxa"/>
              <w:right w:w="28" w:type="dxa"/>
            </w:tcMar>
            <w:vAlign w:val="center"/>
          </w:tcPr>
          <w:p>
            <w:pPr>
              <w:widowControl/>
              <w:adjustRightInd w:val="0"/>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①</w:t>
            </w:r>
          </w:p>
        </w:tc>
        <w:tc>
          <w:tcPr>
            <w:tcW w:w="2437"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4857" w:type="dxa"/>
            <w:noWrap w:val="0"/>
            <w:tcMar>
              <w:top w:w="0" w:type="dxa"/>
              <w:left w:w="28" w:type="dxa"/>
              <w:bottom w:w="0" w:type="dxa"/>
              <w:right w:w="28" w:type="dxa"/>
            </w:tcMar>
            <w:vAlign w:val="center"/>
          </w:tcPr>
          <w:p>
            <w:pPr>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lang w:val="en-US" w:eastAsia="zh-CN"/>
              </w:rPr>
              <w:t>喷淋</w:t>
            </w:r>
            <w:r>
              <w:rPr>
                <w:rFonts w:hint="eastAsia" w:ascii="Times New Roman" w:hAnsi="Times New Roman" w:eastAsia="宋体" w:cs="Times New Roman"/>
                <w:color w:val="auto"/>
                <w:sz w:val="21"/>
                <w:highlight w:val="none"/>
              </w:rPr>
              <w:t>+封闭+负压收集+袋式除尘器</w:t>
            </w:r>
            <w:r>
              <w:rPr>
                <w:rFonts w:ascii="Times New Roman" w:hAnsi="Times New Roman" w:eastAsia="宋体" w:cs="Times New Roman"/>
                <w:color w:val="auto"/>
                <w:sz w:val="21"/>
                <w:highlight w:val="none"/>
              </w:rPr>
              <w:t>+15m高排气筒</w:t>
            </w:r>
          </w:p>
        </w:tc>
        <w:tc>
          <w:tcPr>
            <w:tcW w:w="3188"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930" w:type="dxa"/>
            <w:vMerge w:val="restart"/>
            <w:noWrap w:val="0"/>
            <w:tcMar>
              <w:top w:w="0" w:type="dxa"/>
              <w:left w:w="28" w:type="dxa"/>
              <w:bottom w:w="0" w:type="dxa"/>
              <w:right w:w="28" w:type="dxa"/>
            </w:tcMar>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highlight w:val="none"/>
                <w:lang w:eastAsia="zh-CN"/>
              </w:rPr>
            </w:pPr>
            <w:r>
              <w:rPr>
                <w:rFonts w:hint="eastAsia" w:cs="Times New Roman"/>
                <w:color w:val="auto"/>
                <w:sz w:val="21"/>
                <w:highlight w:val="none"/>
                <w:u w:val="single"/>
                <w:lang w:eastAsia="zh-CN"/>
              </w:rPr>
              <w:t>破碎场②</w:t>
            </w:r>
          </w:p>
        </w:tc>
        <w:tc>
          <w:tcPr>
            <w:tcW w:w="2021" w:type="dxa"/>
            <w:noWrap w:val="0"/>
            <w:tcMar>
              <w:top w:w="0" w:type="dxa"/>
              <w:left w:w="28" w:type="dxa"/>
              <w:bottom w:w="0" w:type="dxa"/>
              <w:right w:w="28" w:type="dxa"/>
            </w:tcMar>
            <w:vAlign w:val="center"/>
          </w:tcPr>
          <w:p>
            <w:pPr>
              <w:widowControl/>
              <w:adjustRightInd w:val="0"/>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②</w:t>
            </w:r>
          </w:p>
        </w:tc>
        <w:tc>
          <w:tcPr>
            <w:tcW w:w="2437"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4857" w:type="dxa"/>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喷淋</w:t>
            </w:r>
            <w:r>
              <w:rPr>
                <w:rFonts w:hint="eastAsia" w:ascii="Times New Roman" w:hAnsi="Times New Roman" w:eastAsia="宋体" w:cs="Times New Roman"/>
                <w:color w:val="auto"/>
                <w:sz w:val="21"/>
                <w:highlight w:val="none"/>
              </w:rPr>
              <w:t>+封闭+负压收集+袋式除尘器</w:t>
            </w:r>
            <w:r>
              <w:rPr>
                <w:rFonts w:ascii="Times New Roman" w:hAnsi="Times New Roman" w:eastAsia="宋体" w:cs="Times New Roman"/>
                <w:color w:val="auto"/>
                <w:sz w:val="21"/>
                <w:highlight w:val="none"/>
              </w:rPr>
              <w:t>+15m高排气筒</w:t>
            </w:r>
          </w:p>
        </w:tc>
        <w:tc>
          <w:tcPr>
            <w:tcW w:w="3188"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930" w:type="dxa"/>
            <w:vMerge w:val="continue"/>
            <w:noWrap w:val="0"/>
            <w:tcMar>
              <w:top w:w="0" w:type="dxa"/>
              <w:left w:w="28" w:type="dxa"/>
              <w:bottom w:w="0" w:type="dxa"/>
              <w:right w:w="28" w:type="dxa"/>
            </w:tcMar>
            <w:vAlign w:val="center"/>
          </w:tcPr>
          <w:p>
            <w:pPr>
              <w:pStyle w:val="81"/>
              <w:jc w:val="center"/>
              <w:rPr>
                <w:rFonts w:ascii="Times New Roman" w:hAnsi="Times New Roman" w:eastAsia="宋体"/>
                <w:color w:val="auto"/>
                <w:highlight w:val="none"/>
                <w:lang w:val="en-US" w:eastAsia="zh-CN"/>
              </w:rPr>
            </w:pPr>
          </w:p>
        </w:tc>
        <w:tc>
          <w:tcPr>
            <w:tcW w:w="2021" w:type="dxa"/>
            <w:noWrap w:val="0"/>
            <w:tcMar>
              <w:top w:w="0" w:type="dxa"/>
              <w:left w:w="28" w:type="dxa"/>
              <w:bottom w:w="0" w:type="dxa"/>
              <w:right w:w="28" w:type="dxa"/>
            </w:tcMar>
            <w:vAlign w:val="center"/>
          </w:tcPr>
          <w:p>
            <w:pPr>
              <w:widowControl/>
              <w:adjustRightInd w:val="0"/>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二级破碎筛分</w:t>
            </w:r>
            <w:r>
              <w:rPr>
                <w:rFonts w:hint="eastAsia" w:ascii="Times New Roman" w:hAnsi="Times New Roman" w:eastAsia="宋体"/>
                <w:color w:val="auto"/>
                <w:sz w:val="21"/>
                <w:highlight w:val="none"/>
              </w:rPr>
              <w:t>②</w:t>
            </w:r>
          </w:p>
        </w:tc>
        <w:tc>
          <w:tcPr>
            <w:tcW w:w="2437"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4857" w:type="dxa"/>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喷淋</w:t>
            </w:r>
            <w:r>
              <w:rPr>
                <w:rFonts w:hint="eastAsia" w:ascii="Times New Roman" w:hAnsi="Times New Roman" w:eastAsia="宋体" w:cs="Times New Roman"/>
                <w:color w:val="auto"/>
                <w:sz w:val="21"/>
                <w:highlight w:val="none"/>
              </w:rPr>
              <w:t>+封闭+负压收集+袋式除尘器</w:t>
            </w:r>
            <w:r>
              <w:rPr>
                <w:rFonts w:ascii="Times New Roman" w:hAnsi="Times New Roman" w:eastAsia="宋体" w:cs="Times New Roman"/>
                <w:color w:val="auto"/>
                <w:sz w:val="21"/>
                <w:highlight w:val="none"/>
              </w:rPr>
              <w:t>+15m高排气筒</w:t>
            </w:r>
          </w:p>
        </w:tc>
        <w:tc>
          <w:tcPr>
            <w:tcW w:w="3188"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930" w:type="dxa"/>
            <w:vMerge w:val="continue"/>
            <w:noWrap w:val="0"/>
            <w:tcMar>
              <w:top w:w="0" w:type="dxa"/>
              <w:left w:w="28" w:type="dxa"/>
              <w:bottom w:w="0" w:type="dxa"/>
              <w:right w:w="28" w:type="dxa"/>
            </w:tcMar>
            <w:vAlign w:val="center"/>
          </w:tcPr>
          <w:p>
            <w:pPr>
              <w:pStyle w:val="81"/>
              <w:jc w:val="center"/>
              <w:rPr>
                <w:rFonts w:ascii="Times New Roman" w:hAnsi="Times New Roman" w:eastAsia="宋体"/>
                <w:color w:val="auto"/>
                <w:highlight w:val="none"/>
                <w:lang w:val="en-US" w:eastAsia="zh-CN"/>
              </w:rPr>
            </w:pPr>
          </w:p>
        </w:tc>
        <w:tc>
          <w:tcPr>
            <w:tcW w:w="2021" w:type="dxa"/>
            <w:noWrap w:val="0"/>
            <w:tcMar>
              <w:top w:w="0" w:type="dxa"/>
              <w:left w:w="28" w:type="dxa"/>
              <w:bottom w:w="0" w:type="dxa"/>
              <w:right w:w="28" w:type="dxa"/>
            </w:tcMar>
            <w:vAlign w:val="center"/>
          </w:tcPr>
          <w:p>
            <w:pPr>
              <w:widowControl/>
              <w:adjustRightInd w:val="0"/>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②</w:t>
            </w:r>
          </w:p>
        </w:tc>
        <w:tc>
          <w:tcPr>
            <w:tcW w:w="2437"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4857" w:type="dxa"/>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喷淋</w:t>
            </w:r>
            <w:r>
              <w:rPr>
                <w:rFonts w:hint="eastAsia" w:ascii="Times New Roman" w:hAnsi="Times New Roman" w:eastAsia="宋体" w:cs="Times New Roman"/>
                <w:color w:val="auto"/>
                <w:sz w:val="21"/>
                <w:highlight w:val="none"/>
              </w:rPr>
              <w:t>+封闭+负压收集+袋式除尘器</w:t>
            </w:r>
            <w:r>
              <w:rPr>
                <w:rFonts w:ascii="Times New Roman" w:hAnsi="Times New Roman" w:eastAsia="宋体" w:cs="Times New Roman"/>
                <w:color w:val="auto"/>
                <w:sz w:val="21"/>
                <w:highlight w:val="none"/>
              </w:rPr>
              <w:t>+15m高排气筒</w:t>
            </w:r>
          </w:p>
        </w:tc>
        <w:tc>
          <w:tcPr>
            <w:tcW w:w="3188"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951" w:type="dxa"/>
            <w:gridSpan w:val="2"/>
            <w:noWrap w:val="0"/>
            <w:tcMar>
              <w:top w:w="0" w:type="dxa"/>
              <w:left w:w="28" w:type="dxa"/>
              <w:bottom w:w="0" w:type="dxa"/>
              <w:right w:w="28" w:type="dxa"/>
            </w:tcMar>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表土剥离</w:t>
            </w:r>
          </w:p>
        </w:tc>
        <w:tc>
          <w:tcPr>
            <w:tcW w:w="2437"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4857" w:type="dxa"/>
            <w:noWrap w:val="0"/>
            <w:tcMar>
              <w:top w:w="0" w:type="dxa"/>
              <w:left w:w="28" w:type="dxa"/>
              <w:bottom w:w="0" w:type="dxa"/>
              <w:right w:w="28" w:type="dxa"/>
            </w:tcMar>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szCs w:val="21"/>
                <w:highlight w:val="none"/>
                <w:lang w:val="en-US" w:eastAsia="zh-CN"/>
              </w:rPr>
              <w:t>/</w:t>
            </w:r>
          </w:p>
        </w:tc>
        <w:tc>
          <w:tcPr>
            <w:tcW w:w="3188" w:type="dxa"/>
            <w:vMerge w:val="restart"/>
            <w:noWrap w:val="0"/>
            <w:tcMar>
              <w:top w:w="0" w:type="dxa"/>
              <w:left w:w="28" w:type="dxa"/>
              <w:bottom w:w="0" w:type="dxa"/>
              <w:right w:w="28" w:type="dxa"/>
            </w:tcMar>
            <w:vAlign w:val="center"/>
          </w:tcPr>
          <w:p>
            <w:pPr>
              <w:adjustRightInd w:val="0"/>
              <w:snapToGrid w:val="0"/>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lang w:bidi="en-US"/>
              </w:rPr>
              <w:t>《大气污染物综合排放标准》（GB</w:t>
            </w:r>
            <w:r>
              <w:rPr>
                <w:rFonts w:hint="eastAsia" w:ascii="Times New Roman" w:hAnsi="Times New Roman" w:eastAsia="宋体" w:cs="Times New Roman"/>
                <w:color w:val="auto"/>
                <w:sz w:val="21"/>
                <w:highlight w:val="none"/>
                <w:lang w:val="en-US" w:eastAsia="zh-CN" w:bidi="en-US"/>
              </w:rPr>
              <w:t xml:space="preserve"> </w:t>
            </w:r>
            <w:r>
              <w:rPr>
                <w:rFonts w:ascii="Times New Roman" w:hAnsi="Times New Roman" w:eastAsia="宋体" w:cs="Times New Roman"/>
                <w:color w:val="auto"/>
                <w:sz w:val="21"/>
                <w:highlight w:val="none"/>
                <w:lang w:bidi="en-US"/>
              </w:rPr>
              <w:t>16297-1996）表2无组织排放监控浓度限值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951" w:type="dxa"/>
            <w:gridSpan w:val="2"/>
            <w:noWrap w:val="0"/>
            <w:tcMar>
              <w:top w:w="0" w:type="dxa"/>
              <w:left w:w="28" w:type="dxa"/>
              <w:bottom w:w="0" w:type="dxa"/>
              <w:right w:w="28" w:type="dxa"/>
            </w:tcMar>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凿岩钻孔</w:t>
            </w:r>
          </w:p>
        </w:tc>
        <w:tc>
          <w:tcPr>
            <w:tcW w:w="2437"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4857" w:type="dxa"/>
            <w:noWrap w:val="0"/>
            <w:tcMar>
              <w:top w:w="0" w:type="dxa"/>
              <w:left w:w="28" w:type="dxa"/>
              <w:bottom w:w="0" w:type="dxa"/>
              <w:right w:w="28" w:type="dxa"/>
            </w:tcMar>
            <w:vAlign w:val="center"/>
          </w:tcPr>
          <w:p>
            <w:pPr>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凿岩钻孔前洒水湿润，采用自带收尘装置潜孔钻机</w:t>
            </w:r>
          </w:p>
        </w:tc>
        <w:tc>
          <w:tcPr>
            <w:tcW w:w="3188"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951" w:type="dxa"/>
            <w:gridSpan w:val="2"/>
            <w:noWrap w:val="0"/>
            <w:tcMar>
              <w:top w:w="0" w:type="dxa"/>
              <w:left w:w="28" w:type="dxa"/>
              <w:bottom w:w="0" w:type="dxa"/>
              <w:right w:w="28" w:type="dxa"/>
            </w:tcMar>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爆破</w:t>
            </w:r>
          </w:p>
        </w:tc>
        <w:tc>
          <w:tcPr>
            <w:tcW w:w="2437"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CO、NO</w:t>
            </w:r>
            <w:r>
              <w:rPr>
                <w:rFonts w:ascii="Times New Roman" w:hAnsi="Times New Roman" w:eastAsia="宋体" w:cs="Times New Roman"/>
                <w:color w:val="auto"/>
                <w:sz w:val="21"/>
                <w:highlight w:val="none"/>
                <w:vertAlign w:val="subscript"/>
              </w:rPr>
              <w:t>x</w:t>
            </w:r>
            <w:r>
              <w:rPr>
                <w:rFonts w:ascii="Times New Roman" w:hAnsi="Times New Roman" w:eastAsia="宋体" w:cs="Times New Roman"/>
                <w:color w:val="auto"/>
                <w:sz w:val="21"/>
                <w:highlight w:val="none"/>
              </w:rPr>
              <w:t>、颗粒物</w:t>
            </w:r>
          </w:p>
        </w:tc>
        <w:tc>
          <w:tcPr>
            <w:tcW w:w="4857" w:type="dxa"/>
            <w:noWrap w:val="0"/>
            <w:tcMar>
              <w:top w:w="0" w:type="dxa"/>
              <w:left w:w="28" w:type="dxa"/>
              <w:bottom w:w="0" w:type="dxa"/>
              <w:right w:w="28" w:type="dxa"/>
            </w:tcMar>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szCs w:val="21"/>
                <w:highlight w:val="none"/>
                <w:lang w:val="en-US" w:eastAsia="zh-CN"/>
              </w:rPr>
              <w:t>爆破后通过</w:t>
            </w:r>
            <w:r>
              <w:rPr>
                <w:rFonts w:hint="eastAsia" w:ascii="Times New Roman" w:hAnsi="Times New Roman" w:eastAsia="宋体"/>
                <w:color w:val="auto"/>
                <w:szCs w:val="21"/>
                <w:highlight w:val="none"/>
                <w:lang w:val="en-US" w:eastAsia="zh-CN"/>
              </w:rPr>
              <w:t>雾炮机</w:t>
            </w:r>
            <w:r>
              <w:rPr>
                <w:rFonts w:ascii="Times New Roman" w:hAnsi="Times New Roman" w:eastAsia="宋体"/>
                <w:color w:val="auto"/>
                <w:szCs w:val="21"/>
                <w:highlight w:val="none"/>
                <w:lang w:val="en-US" w:eastAsia="zh-CN"/>
              </w:rPr>
              <w:t>洒水降尘</w:t>
            </w:r>
          </w:p>
        </w:tc>
        <w:tc>
          <w:tcPr>
            <w:tcW w:w="3188"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62"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951" w:type="dxa"/>
            <w:gridSpan w:val="2"/>
            <w:noWrap w:val="0"/>
            <w:tcMar>
              <w:top w:w="0" w:type="dxa"/>
              <w:left w:w="28" w:type="dxa"/>
              <w:bottom w:w="0" w:type="dxa"/>
              <w:right w:w="28" w:type="dxa"/>
            </w:tcMar>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采装</w:t>
            </w:r>
          </w:p>
        </w:tc>
        <w:tc>
          <w:tcPr>
            <w:tcW w:w="2437"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4857" w:type="dxa"/>
            <w:noWrap w:val="0"/>
            <w:tcMar>
              <w:top w:w="0" w:type="dxa"/>
              <w:left w:w="28" w:type="dxa"/>
              <w:bottom w:w="0" w:type="dxa"/>
              <w:right w:w="28" w:type="dxa"/>
            </w:tcMar>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szCs w:val="21"/>
                <w:highlight w:val="none"/>
                <w:lang w:val="en-US" w:eastAsia="zh-CN"/>
              </w:rPr>
              <w:t>洒水降尘</w:t>
            </w:r>
          </w:p>
        </w:tc>
        <w:tc>
          <w:tcPr>
            <w:tcW w:w="3188"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951" w:type="dxa"/>
            <w:gridSpan w:val="2"/>
            <w:noWrap w:val="0"/>
            <w:tcMar>
              <w:top w:w="0" w:type="dxa"/>
              <w:left w:w="28" w:type="dxa"/>
              <w:bottom w:w="0" w:type="dxa"/>
              <w:right w:w="28" w:type="dxa"/>
            </w:tcMar>
            <w:vAlign w:val="center"/>
          </w:tcPr>
          <w:p>
            <w:pPr>
              <w:pStyle w:val="81"/>
              <w:rPr>
                <w:rFonts w:hint="eastAsia"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堆料场①、堆料场②、</w:t>
            </w:r>
            <w:r>
              <w:rPr>
                <w:rFonts w:ascii="Times New Roman" w:hAnsi="Times New Roman" w:eastAsia="宋体"/>
                <w:color w:val="auto"/>
                <w:highlight w:val="none"/>
                <w:lang w:val="en-US" w:eastAsia="zh-CN"/>
              </w:rPr>
              <w:t>堆料场</w:t>
            </w:r>
            <w:r>
              <w:rPr>
                <w:rFonts w:hint="eastAsia" w:ascii="Times New Roman" w:hAnsi="Times New Roman" w:eastAsia="宋体"/>
                <w:color w:val="auto"/>
                <w:highlight w:val="none"/>
                <w:lang w:val="en-US" w:eastAsia="zh-CN"/>
              </w:rPr>
              <w:t>③、</w:t>
            </w:r>
            <w:r>
              <w:rPr>
                <w:rFonts w:ascii="Times New Roman" w:hAnsi="Times New Roman" w:eastAsia="宋体"/>
                <w:color w:val="auto"/>
                <w:highlight w:val="none"/>
                <w:lang w:val="en-US" w:eastAsia="zh-CN"/>
              </w:rPr>
              <w:t>堆料场</w:t>
            </w:r>
            <w:r>
              <w:rPr>
                <w:rFonts w:hint="eastAsia" w:ascii="Times New Roman" w:hAnsi="Times New Roman" w:eastAsia="宋体" w:cs="宋体"/>
                <w:color w:val="auto"/>
                <w:highlight w:val="none"/>
                <w:lang w:val="en-US" w:eastAsia="zh-CN"/>
              </w:rPr>
              <w:t>④、</w:t>
            </w:r>
            <w:r>
              <w:rPr>
                <w:rFonts w:ascii="Times New Roman" w:hAnsi="Times New Roman" w:eastAsia="宋体"/>
                <w:color w:val="auto"/>
                <w:highlight w:val="none"/>
                <w:lang w:val="en-US" w:eastAsia="zh-CN"/>
              </w:rPr>
              <w:t>堆料场</w:t>
            </w:r>
            <w:r>
              <w:rPr>
                <w:rFonts w:hint="eastAsia" w:ascii="Times New Roman" w:hAnsi="Times New Roman" w:eastAsia="宋体" w:cs="宋体"/>
                <w:color w:val="auto"/>
                <w:highlight w:val="none"/>
                <w:lang w:val="en-US" w:eastAsia="zh-CN"/>
              </w:rPr>
              <w:t>⑤、</w:t>
            </w:r>
            <w:r>
              <w:rPr>
                <w:rFonts w:ascii="Times New Roman" w:hAnsi="Times New Roman" w:eastAsia="宋体"/>
                <w:color w:val="auto"/>
                <w:highlight w:val="none"/>
                <w:lang w:val="en-US" w:eastAsia="zh-CN"/>
              </w:rPr>
              <w:t>堆料场</w:t>
            </w:r>
            <w:r>
              <w:rPr>
                <w:rFonts w:hint="eastAsia" w:ascii="Times New Roman" w:hAnsi="Times New Roman" w:eastAsia="宋体" w:cs="宋体"/>
                <w:color w:val="auto"/>
                <w:highlight w:val="none"/>
                <w:lang w:val="en-US" w:eastAsia="zh-CN"/>
              </w:rPr>
              <w:t>⑥、</w:t>
            </w:r>
            <w:r>
              <w:rPr>
                <w:rFonts w:ascii="Times New Roman" w:hAnsi="Times New Roman" w:eastAsia="宋体"/>
                <w:color w:val="auto"/>
                <w:highlight w:val="none"/>
                <w:lang w:val="en-US" w:eastAsia="zh-CN"/>
              </w:rPr>
              <w:t>堆料场</w:t>
            </w:r>
            <w:r>
              <w:rPr>
                <w:rFonts w:hint="eastAsia" w:ascii="Times New Roman" w:hAnsi="Times New Roman" w:eastAsia="宋体" w:cs="宋体"/>
                <w:color w:val="auto"/>
                <w:highlight w:val="none"/>
                <w:lang w:val="en-US" w:eastAsia="zh-CN"/>
              </w:rPr>
              <w:t>⑦、</w:t>
            </w:r>
            <w:r>
              <w:rPr>
                <w:rFonts w:ascii="Times New Roman" w:hAnsi="Times New Roman" w:eastAsia="宋体"/>
                <w:color w:val="auto"/>
                <w:szCs w:val="21"/>
                <w:highlight w:val="none"/>
                <w:lang w:val="en-US" w:eastAsia="zh-CN"/>
              </w:rPr>
              <w:t>堆</w:t>
            </w:r>
            <w:r>
              <w:rPr>
                <w:rFonts w:ascii="Times New Roman" w:hAnsi="Times New Roman" w:eastAsia="宋体"/>
                <w:color w:val="auto"/>
                <w:highlight w:val="none"/>
                <w:lang w:val="en-US" w:eastAsia="zh-CN"/>
              </w:rPr>
              <w:t>堆料场</w:t>
            </w:r>
            <w:r>
              <w:rPr>
                <w:rFonts w:hint="eastAsia" w:ascii="Times New Roman" w:hAnsi="Times New Roman" w:eastAsia="宋体" w:cs="宋体"/>
                <w:color w:val="auto"/>
                <w:highlight w:val="none"/>
                <w:lang w:val="en-US" w:eastAsia="zh-CN"/>
              </w:rPr>
              <w:t>⑧、</w:t>
            </w:r>
            <w:r>
              <w:rPr>
                <w:rFonts w:hint="eastAsia" w:ascii="Times New Roman" w:hAnsi="Times New Roman" w:eastAsia="宋体"/>
                <w:color w:val="auto"/>
                <w:highlight w:val="none"/>
                <w:lang w:val="en-US" w:eastAsia="zh-CN"/>
              </w:rPr>
              <w:t>临时排土场</w:t>
            </w:r>
            <w:r>
              <w:rPr>
                <w:rFonts w:hint="eastAsia" w:ascii="Times New Roman" w:hAnsi="Times New Roman" w:eastAsia="宋体" w:cs="宋体"/>
                <w:color w:val="auto"/>
                <w:highlight w:val="none"/>
                <w:lang w:val="en-US" w:eastAsia="zh-CN"/>
              </w:rPr>
              <w:t>①、</w:t>
            </w:r>
            <w:r>
              <w:rPr>
                <w:rFonts w:hint="eastAsia" w:ascii="Times New Roman" w:hAnsi="Times New Roman" w:eastAsia="宋体"/>
                <w:color w:val="auto"/>
                <w:highlight w:val="none"/>
                <w:lang w:val="en-US" w:eastAsia="zh-CN"/>
              </w:rPr>
              <w:t>临时排土场</w:t>
            </w:r>
            <w:r>
              <w:rPr>
                <w:rFonts w:hint="eastAsia" w:ascii="Times New Roman" w:hAnsi="Times New Roman" w:eastAsia="宋体" w:cs="宋体"/>
                <w:color w:val="auto"/>
                <w:highlight w:val="none"/>
                <w:lang w:val="en-US" w:eastAsia="zh-CN"/>
              </w:rPr>
              <w:t>②</w:t>
            </w:r>
          </w:p>
        </w:tc>
        <w:tc>
          <w:tcPr>
            <w:tcW w:w="2437"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4857" w:type="dxa"/>
            <w:noWrap w:val="0"/>
            <w:tcMar>
              <w:top w:w="0" w:type="dxa"/>
              <w:left w:w="28" w:type="dxa"/>
              <w:bottom w:w="0" w:type="dxa"/>
              <w:right w:w="28" w:type="dxa"/>
            </w:tcMar>
            <w:vAlign w:val="center"/>
          </w:tcPr>
          <w:p>
            <w:pPr>
              <w:pStyle w:val="81"/>
              <w:jc w:val="left"/>
              <w:rPr>
                <w:rFonts w:ascii="Times New Roman" w:hAnsi="Times New Roman" w:eastAsia="宋体"/>
                <w:color w:val="auto"/>
                <w:highlight w:val="none"/>
                <w:lang w:val="en-US" w:eastAsia="zh-CN"/>
              </w:rPr>
            </w:pPr>
            <w:r>
              <w:rPr>
                <w:rFonts w:hint="eastAsia" w:ascii="Times New Roman" w:hAnsi="Times New Roman" w:eastAsia="宋体"/>
                <w:color w:val="auto"/>
                <w:szCs w:val="21"/>
                <w:highlight w:val="none"/>
                <w:lang w:val="en-US" w:eastAsia="zh-CN"/>
              </w:rPr>
              <w:t>临时排土场</w:t>
            </w:r>
            <w:r>
              <w:rPr>
                <w:rFonts w:ascii="Times New Roman" w:hAnsi="Times New Roman" w:eastAsia="宋体"/>
                <w:color w:val="auto"/>
                <w:szCs w:val="21"/>
                <w:highlight w:val="none"/>
                <w:lang w:val="en-US" w:eastAsia="zh-CN"/>
              </w:rPr>
              <w:t>周边设置围挡、</w:t>
            </w:r>
            <w:r>
              <w:rPr>
                <w:rFonts w:hint="eastAsia" w:ascii="Times New Roman" w:hAnsi="Times New Roman" w:eastAsia="宋体"/>
                <w:color w:val="auto"/>
                <w:szCs w:val="21"/>
                <w:highlight w:val="none"/>
                <w:lang w:val="en-US" w:eastAsia="zh-CN"/>
              </w:rPr>
              <w:t>堆料场地面进行硬化处理、</w:t>
            </w:r>
            <w:r>
              <w:rPr>
                <w:rFonts w:ascii="Times New Roman" w:hAnsi="Times New Roman" w:eastAsia="宋体"/>
                <w:color w:val="auto"/>
                <w:szCs w:val="21"/>
                <w:highlight w:val="none"/>
                <w:lang w:val="en-US" w:eastAsia="zh-CN"/>
              </w:rPr>
              <w:t>定时洒水降尘</w:t>
            </w:r>
            <w:r>
              <w:rPr>
                <w:rFonts w:hint="eastAsia" w:ascii="Times New Roman" w:hAnsi="Times New Roman" w:eastAsia="宋体"/>
                <w:color w:val="auto"/>
                <w:szCs w:val="21"/>
                <w:highlight w:val="none"/>
                <w:lang w:val="en-US" w:eastAsia="zh-CN"/>
              </w:rPr>
              <w:t>、石粉堆料场设置厂棚</w:t>
            </w:r>
          </w:p>
        </w:tc>
        <w:tc>
          <w:tcPr>
            <w:tcW w:w="3188"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951" w:type="dxa"/>
            <w:gridSpan w:val="2"/>
            <w:noWrap w:val="0"/>
            <w:tcMar>
              <w:top w:w="0" w:type="dxa"/>
              <w:left w:w="28" w:type="dxa"/>
              <w:bottom w:w="0" w:type="dxa"/>
              <w:right w:w="28" w:type="dxa"/>
            </w:tcMar>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落料</w:t>
            </w:r>
          </w:p>
        </w:tc>
        <w:tc>
          <w:tcPr>
            <w:tcW w:w="2437"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4857" w:type="dxa"/>
            <w:noWrap w:val="0"/>
            <w:tcMar>
              <w:top w:w="0" w:type="dxa"/>
              <w:left w:w="28" w:type="dxa"/>
              <w:bottom w:w="0" w:type="dxa"/>
              <w:right w:w="28" w:type="dxa"/>
            </w:tcMar>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4"/>
                <w:highlight w:val="none"/>
                <w:lang w:val="en-US" w:eastAsia="zh-CN"/>
              </w:rPr>
              <w:t>使用可伸缩斜槽</w:t>
            </w:r>
          </w:p>
        </w:tc>
        <w:tc>
          <w:tcPr>
            <w:tcW w:w="3188"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951" w:type="dxa"/>
            <w:gridSpan w:val="2"/>
            <w:noWrap w:val="0"/>
            <w:tcMar>
              <w:top w:w="0" w:type="dxa"/>
              <w:left w:w="28" w:type="dxa"/>
              <w:bottom w:w="0" w:type="dxa"/>
              <w:right w:w="28" w:type="dxa"/>
            </w:tcMar>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筛选破碎</w:t>
            </w:r>
          </w:p>
        </w:tc>
        <w:tc>
          <w:tcPr>
            <w:tcW w:w="2437"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4857" w:type="dxa"/>
            <w:noWrap w:val="0"/>
            <w:tcMar>
              <w:top w:w="0" w:type="dxa"/>
              <w:left w:w="28" w:type="dxa"/>
              <w:bottom w:w="0" w:type="dxa"/>
              <w:right w:w="28" w:type="dxa"/>
            </w:tcMar>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雾炮机、喷淋</w:t>
            </w:r>
          </w:p>
        </w:tc>
        <w:tc>
          <w:tcPr>
            <w:tcW w:w="3188"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951" w:type="dxa"/>
            <w:gridSpan w:val="2"/>
            <w:noWrap w:val="0"/>
            <w:tcMar>
              <w:top w:w="0" w:type="dxa"/>
              <w:left w:w="28" w:type="dxa"/>
              <w:bottom w:w="0" w:type="dxa"/>
              <w:right w:w="28" w:type="dxa"/>
            </w:tcMar>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装卸</w:t>
            </w:r>
          </w:p>
        </w:tc>
        <w:tc>
          <w:tcPr>
            <w:tcW w:w="2437"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4857" w:type="dxa"/>
            <w:noWrap w:val="0"/>
            <w:tcMar>
              <w:top w:w="0" w:type="dxa"/>
              <w:left w:w="28" w:type="dxa"/>
              <w:bottom w:w="0" w:type="dxa"/>
              <w:right w:w="28" w:type="dxa"/>
            </w:tcMar>
            <w:vAlign w:val="center"/>
          </w:tcPr>
          <w:p>
            <w:pPr>
              <w:spacing w:line="240" w:lineRule="auto"/>
              <w:ind w:firstLine="420"/>
              <w:jc w:val="center"/>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洒水降尘</w:t>
            </w:r>
          </w:p>
        </w:tc>
        <w:tc>
          <w:tcPr>
            <w:tcW w:w="3188"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lang w:bidi="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951" w:type="dxa"/>
            <w:gridSpan w:val="2"/>
            <w:noWrap w:val="0"/>
            <w:tcMar>
              <w:top w:w="0" w:type="dxa"/>
              <w:left w:w="28" w:type="dxa"/>
              <w:bottom w:w="0" w:type="dxa"/>
              <w:right w:w="28"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道路扬尘</w:t>
            </w:r>
          </w:p>
        </w:tc>
        <w:tc>
          <w:tcPr>
            <w:tcW w:w="2437"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4857" w:type="dxa"/>
            <w:noWrap w:val="0"/>
            <w:tcMar>
              <w:top w:w="0" w:type="dxa"/>
              <w:left w:w="28" w:type="dxa"/>
              <w:bottom w:w="0" w:type="dxa"/>
              <w:right w:w="28" w:type="dxa"/>
            </w:tcMar>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szCs w:val="21"/>
                <w:highlight w:val="none"/>
                <w:lang w:val="en-US" w:eastAsia="zh-CN"/>
              </w:rPr>
              <w:t>运输道路定期洒水，运输车辆加盖篷布</w:t>
            </w:r>
          </w:p>
        </w:tc>
        <w:tc>
          <w:tcPr>
            <w:tcW w:w="3188"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05"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951" w:type="dxa"/>
            <w:gridSpan w:val="2"/>
            <w:noWrap w:val="0"/>
            <w:tcMar>
              <w:top w:w="0" w:type="dxa"/>
              <w:left w:w="28" w:type="dxa"/>
              <w:bottom w:w="0" w:type="dxa"/>
              <w:right w:w="28" w:type="dxa"/>
            </w:tcMar>
            <w:vAlign w:val="center"/>
          </w:tcPr>
          <w:p>
            <w:pPr>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汽车尾气</w:t>
            </w:r>
          </w:p>
        </w:tc>
        <w:tc>
          <w:tcPr>
            <w:tcW w:w="2437"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CO、HC、NO</w:t>
            </w:r>
            <w:r>
              <w:rPr>
                <w:rFonts w:ascii="Times New Roman" w:hAnsi="Times New Roman" w:eastAsia="宋体" w:cs="Times New Roman"/>
                <w:color w:val="auto"/>
                <w:sz w:val="21"/>
                <w:highlight w:val="none"/>
                <w:vertAlign w:val="subscript"/>
              </w:rPr>
              <w:t>x</w:t>
            </w:r>
          </w:p>
        </w:tc>
        <w:tc>
          <w:tcPr>
            <w:tcW w:w="4857" w:type="dxa"/>
            <w:noWrap w:val="0"/>
            <w:tcMar>
              <w:top w:w="0" w:type="dxa"/>
              <w:left w:w="28" w:type="dxa"/>
              <w:bottom w:w="0" w:type="dxa"/>
              <w:right w:w="28" w:type="dxa"/>
            </w:tcMar>
            <w:vAlign w:val="center"/>
          </w:tcPr>
          <w:p>
            <w:pPr>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大气扩散</w:t>
            </w:r>
          </w:p>
        </w:tc>
        <w:tc>
          <w:tcPr>
            <w:tcW w:w="3188"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40"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951" w:type="dxa"/>
            <w:gridSpan w:val="2"/>
            <w:noWrap w:val="0"/>
            <w:tcMar>
              <w:top w:w="0" w:type="dxa"/>
              <w:left w:w="28" w:type="dxa"/>
              <w:bottom w:w="0" w:type="dxa"/>
              <w:right w:w="28" w:type="dxa"/>
            </w:tcMar>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厨房</w:t>
            </w:r>
          </w:p>
        </w:tc>
        <w:tc>
          <w:tcPr>
            <w:tcW w:w="2437"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油烟、SO</w:t>
            </w:r>
            <w:r>
              <w:rPr>
                <w:rFonts w:ascii="Times New Roman" w:hAnsi="Times New Roman" w:eastAsia="宋体" w:cs="Times New Roman"/>
                <w:color w:val="auto"/>
                <w:sz w:val="21"/>
                <w:highlight w:val="none"/>
                <w:vertAlign w:val="subscript"/>
              </w:rPr>
              <w:t>2</w:t>
            </w: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r>
              <w:rPr>
                <w:rFonts w:ascii="Times New Roman" w:hAnsi="Times New Roman" w:eastAsia="宋体" w:cs="Times New Roman"/>
                <w:color w:val="auto"/>
                <w:sz w:val="21"/>
                <w:highlight w:val="none"/>
              </w:rPr>
              <w:t>、颗粒物</w:t>
            </w:r>
          </w:p>
        </w:tc>
        <w:tc>
          <w:tcPr>
            <w:tcW w:w="4857" w:type="dxa"/>
            <w:noWrap w:val="0"/>
            <w:tcMar>
              <w:top w:w="0" w:type="dxa"/>
              <w:left w:w="28" w:type="dxa"/>
              <w:bottom w:w="0" w:type="dxa"/>
              <w:right w:w="28" w:type="dxa"/>
            </w:tcMar>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szCs w:val="21"/>
                <w:highlight w:val="none"/>
                <w:lang w:val="en-US" w:eastAsia="zh-CN"/>
              </w:rPr>
              <w:t>油烟净化器</w:t>
            </w:r>
          </w:p>
        </w:tc>
        <w:tc>
          <w:tcPr>
            <w:tcW w:w="3188" w:type="dxa"/>
            <w:noWrap w:val="0"/>
            <w:tcMar>
              <w:top w:w="0" w:type="dxa"/>
              <w:left w:w="28" w:type="dxa"/>
              <w:bottom w:w="0" w:type="dxa"/>
              <w:right w:w="28" w:type="dxa"/>
            </w:tcMar>
            <w:vAlign w:val="center"/>
          </w:tcPr>
          <w:p>
            <w:pPr>
              <w:adjustRightInd w:val="0"/>
              <w:snapToGrid w:val="0"/>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《饮食业油烟排放标准》（GB</w:t>
            </w:r>
            <w:r>
              <w:rPr>
                <w:rFonts w:hint="eastAsia" w:ascii="Times New Roman" w:hAnsi="Times New Roman" w:eastAsia="宋体" w:cs="Times New Roman"/>
                <w:color w:val="auto"/>
                <w:sz w:val="21"/>
                <w:highlight w:val="none"/>
                <w:lang w:val="en-US" w:eastAsia="zh-CN"/>
              </w:rPr>
              <w:t xml:space="preserve"> </w:t>
            </w:r>
            <w:r>
              <w:rPr>
                <w:rFonts w:ascii="Times New Roman" w:hAnsi="Times New Roman" w:eastAsia="宋体" w:cs="Times New Roman"/>
                <w:color w:val="auto"/>
                <w:sz w:val="21"/>
                <w:highlight w:val="none"/>
              </w:rPr>
              <w:t>18483-2001）排放限值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40" w:type="dxa"/>
            <w:vMerge w:val="restart"/>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w:t>
            </w:r>
          </w:p>
        </w:tc>
        <w:tc>
          <w:tcPr>
            <w:tcW w:w="2951" w:type="dxa"/>
            <w:gridSpan w:val="2"/>
            <w:noWrap w:val="0"/>
            <w:tcMar>
              <w:top w:w="0" w:type="dxa"/>
              <w:left w:w="28" w:type="dxa"/>
              <w:bottom w:w="0" w:type="dxa"/>
              <w:right w:w="28" w:type="dxa"/>
            </w:tcMar>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初期雨水</w:t>
            </w:r>
          </w:p>
        </w:tc>
        <w:tc>
          <w:tcPr>
            <w:tcW w:w="2437"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SS</w:t>
            </w:r>
          </w:p>
        </w:tc>
        <w:tc>
          <w:tcPr>
            <w:tcW w:w="4857" w:type="dxa"/>
            <w:noWrap w:val="0"/>
            <w:tcMar>
              <w:top w:w="0" w:type="dxa"/>
              <w:left w:w="28" w:type="dxa"/>
              <w:bottom w:w="0" w:type="dxa"/>
              <w:right w:w="28" w:type="dxa"/>
            </w:tcMar>
            <w:vAlign w:val="center"/>
          </w:tcPr>
          <w:p>
            <w:pPr>
              <w:pStyle w:val="81"/>
              <w:jc w:val="center"/>
              <w:rPr>
                <w:rFonts w:ascii="Times New Roman" w:hAnsi="Times New Roman" w:eastAsia="宋体"/>
                <w:color w:val="auto"/>
                <w:highlight w:val="none"/>
                <w:lang w:val="en-US" w:eastAsia="zh-CN"/>
              </w:rPr>
            </w:pPr>
            <w:r>
              <w:rPr>
                <w:rFonts w:ascii="Times New Roman" w:hAnsi="Times New Roman" w:eastAsia="宋体"/>
                <w:color w:val="auto"/>
                <w:szCs w:val="21"/>
                <w:highlight w:val="none"/>
                <w:lang w:val="en-US" w:eastAsia="zh-CN"/>
              </w:rPr>
              <w:t>经沉砂池沉淀后用于矿区洒水降尘</w:t>
            </w:r>
          </w:p>
        </w:tc>
        <w:tc>
          <w:tcPr>
            <w:tcW w:w="3188"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951" w:type="dxa"/>
            <w:gridSpan w:val="2"/>
            <w:noWrap w:val="0"/>
            <w:tcMar>
              <w:top w:w="0" w:type="dxa"/>
              <w:left w:w="28" w:type="dxa"/>
              <w:bottom w:w="0" w:type="dxa"/>
              <w:right w:w="28" w:type="dxa"/>
            </w:tcMar>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车辆清洗</w:t>
            </w:r>
          </w:p>
        </w:tc>
        <w:tc>
          <w:tcPr>
            <w:tcW w:w="2437" w:type="dxa"/>
            <w:noWrap w:val="0"/>
            <w:tcMar>
              <w:top w:w="0" w:type="dxa"/>
              <w:left w:w="28" w:type="dxa"/>
              <w:bottom w:w="0" w:type="dxa"/>
              <w:right w:w="28" w:type="dxa"/>
            </w:tcMar>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SS</w:t>
            </w:r>
          </w:p>
        </w:tc>
        <w:tc>
          <w:tcPr>
            <w:tcW w:w="4857" w:type="dxa"/>
            <w:noWrap w:val="0"/>
            <w:tcMar>
              <w:top w:w="0" w:type="dxa"/>
              <w:left w:w="28" w:type="dxa"/>
              <w:bottom w:w="0" w:type="dxa"/>
              <w:right w:w="28" w:type="dxa"/>
            </w:tcMar>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经隔油沉砂后循环使用不外排</w:t>
            </w:r>
          </w:p>
        </w:tc>
        <w:tc>
          <w:tcPr>
            <w:tcW w:w="3188"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951" w:type="dxa"/>
            <w:gridSpan w:val="2"/>
            <w:noWrap w:val="0"/>
            <w:tcMar>
              <w:top w:w="0" w:type="dxa"/>
              <w:left w:w="28" w:type="dxa"/>
              <w:bottom w:w="0" w:type="dxa"/>
              <w:right w:w="28" w:type="dxa"/>
            </w:tcMar>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sz w:val="21"/>
                <w:highlight w:val="none"/>
              </w:rPr>
              <w:t>洗砂废水</w:t>
            </w:r>
          </w:p>
        </w:tc>
        <w:tc>
          <w:tcPr>
            <w:tcW w:w="2437" w:type="dxa"/>
            <w:noWrap w:val="0"/>
            <w:tcMar>
              <w:top w:w="0" w:type="dxa"/>
              <w:left w:w="28" w:type="dxa"/>
              <w:bottom w:w="0" w:type="dxa"/>
              <w:right w:w="28" w:type="dxa"/>
            </w:tcMar>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SS</w:t>
            </w:r>
          </w:p>
        </w:tc>
        <w:tc>
          <w:tcPr>
            <w:tcW w:w="4857" w:type="dxa"/>
            <w:noWrap w:val="0"/>
            <w:tcMar>
              <w:top w:w="0" w:type="dxa"/>
              <w:left w:w="28" w:type="dxa"/>
              <w:bottom w:w="0" w:type="dxa"/>
              <w:right w:w="28" w:type="dxa"/>
            </w:tcMar>
            <w:vAlign w:val="center"/>
          </w:tcPr>
          <w:p>
            <w:pPr>
              <w:pStyle w:val="81"/>
              <w:jc w:val="center"/>
              <w:rPr>
                <w:rFonts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经沉淀后循环使用不外排</w:t>
            </w:r>
          </w:p>
        </w:tc>
        <w:tc>
          <w:tcPr>
            <w:tcW w:w="3188"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951" w:type="dxa"/>
            <w:gridSpan w:val="2"/>
            <w:noWrap w:val="0"/>
            <w:tcMar>
              <w:top w:w="0" w:type="dxa"/>
              <w:left w:w="28" w:type="dxa"/>
              <w:bottom w:w="0" w:type="dxa"/>
              <w:right w:w="28" w:type="dxa"/>
            </w:tcMar>
            <w:vAlign w:val="center"/>
          </w:tcPr>
          <w:p>
            <w:pPr>
              <w:pStyle w:val="81"/>
              <w:jc w:val="center"/>
              <w:rPr>
                <w:rFonts w:ascii="Times New Roman" w:hAnsi="Times New Roman" w:eastAsia="宋体"/>
                <w:color w:val="auto"/>
                <w:szCs w:val="21"/>
                <w:highlight w:val="none"/>
                <w:lang w:val="en-US" w:eastAsia="zh-CN"/>
              </w:rPr>
            </w:pPr>
            <w:r>
              <w:rPr>
                <w:rFonts w:ascii="Times New Roman" w:hAnsi="Times New Roman" w:eastAsia="宋体"/>
                <w:color w:val="auto"/>
                <w:szCs w:val="21"/>
                <w:highlight w:val="none"/>
                <w:lang w:val="en-US" w:eastAsia="zh-CN"/>
              </w:rPr>
              <w:t>生活废水</w:t>
            </w:r>
          </w:p>
        </w:tc>
        <w:tc>
          <w:tcPr>
            <w:tcW w:w="2437" w:type="dxa"/>
            <w:noWrap w:val="0"/>
            <w:tcMar>
              <w:top w:w="0" w:type="dxa"/>
              <w:left w:w="28" w:type="dxa"/>
              <w:bottom w:w="0" w:type="dxa"/>
              <w:right w:w="28" w:type="dxa"/>
            </w:tcMar>
            <w:vAlign w:val="center"/>
          </w:tcPr>
          <w:p>
            <w:pPr>
              <w:adjustRightInd w:val="0"/>
              <w:snapToGrid w:val="0"/>
              <w:spacing w:line="240" w:lineRule="auto"/>
              <w:ind w:firstLine="0" w:firstLineChars="0"/>
              <w:jc w:val="left"/>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SS、COD</w:t>
            </w:r>
            <w:r>
              <w:rPr>
                <w:rFonts w:ascii="Times New Roman" w:hAnsi="Times New Roman" w:eastAsia="宋体" w:cs="Times New Roman"/>
                <w:color w:val="auto"/>
                <w:sz w:val="21"/>
                <w:highlight w:val="none"/>
                <w:vertAlign w:val="subscript"/>
              </w:rPr>
              <w:t>Cr</w:t>
            </w:r>
            <w:r>
              <w:rPr>
                <w:rFonts w:ascii="Times New Roman" w:hAnsi="Times New Roman" w:eastAsia="宋体" w:cs="Times New Roman"/>
                <w:color w:val="auto"/>
                <w:sz w:val="21"/>
                <w:highlight w:val="none"/>
              </w:rPr>
              <w:t>、BOD</w:t>
            </w:r>
            <w:r>
              <w:rPr>
                <w:rFonts w:ascii="Times New Roman" w:hAnsi="Times New Roman" w:eastAsia="宋体" w:cs="Times New Roman"/>
                <w:color w:val="auto"/>
                <w:sz w:val="21"/>
                <w:highlight w:val="none"/>
                <w:vertAlign w:val="subscript"/>
              </w:rPr>
              <w:t>5</w:t>
            </w:r>
            <w:r>
              <w:rPr>
                <w:rFonts w:ascii="Times New Roman" w:hAnsi="Times New Roman" w:eastAsia="宋体" w:cs="Times New Roman"/>
                <w:color w:val="auto"/>
                <w:sz w:val="21"/>
                <w:highlight w:val="none"/>
              </w:rPr>
              <w:t>、氨氮、动植物油</w:t>
            </w:r>
          </w:p>
        </w:tc>
        <w:tc>
          <w:tcPr>
            <w:tcW w:w="4857" w:type="dxa"/>
            <w:noWrap w:val="0"/>
            <w:tcMar>
              <w:top w:w="0" w:type="dxa"/>
              <w:left w:w="28" w:type="dxa"/>
              <w:bottom w:w="0" w:type="dxa"/>
              <w:right w:w="28" w:type="dxa"/>
            </w:tcMar>
            <w:vAlign w:val="center"/>
          </w:tcPr>
          <w:p>
            <w:pPr>
              <w:pStyle w:val="81"/>
              <w:jc w:val="left"/>
              <w:rPr>
                <w:rFonts w:ascii="Times New Roman" w:hAnsi="Times New Roman" w:eastAsia="宋体"/>
                <w:color w:val="auto"/>
                <w:highlight w:val="none"/>
                <w:lang w:val="en-US" w:eastAsia="zh-CN"/>
              </w:rPr>
            </w:pPr>
            <w:r>
              <w:rPr>
                <w:rFonts w:ascii="Times New Roman" w:hAnsi="Times New Roman" w:eastAsia="宋体"/>
                <w:color w:val="auto"/>
                <w:highlight w:val="none"/>
                <w:lang w:val="en-US" w:eastAsia="zh-CN"/>
              </w:rPr>
              <w:t>隔油后的厨房废水和生活污水经化粪池处理后用于周边旱地施肥</w:t>
            </w:r>
          </w:p>
        </w:tc>
        <w:tc>
          <w:tcPr>
            <w:tcW w:w="3188"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p>
        </w:tc>
      </w:tr>
    </w:tbl>
    <w:p>
      <w:pPr>
        <w:spacing w:line="240" w:lineRule="auto"/>
        <w:ind w:firstLine="0" w:firstLineChars="0"/>
        <w:jc w:val="left"/>
        <w:rPr>
          <w:rFonts w:hint="eastAsia" w:ascii="Times New Roman" w:hAnsi="Times New Roman" w:eastAsia="宋体" w:cs="Times New Roman"/>
          <w:b/>
          <w:color w:val="auto"/>
          <w:szCs w:val="24"/>
          <w:highlight w:val="none"/>
        </w:rPr>
        <w:sectPr>
          <w:pgSz w:w="16838" w:h="11906" w:orient="landscape"/>
          <w:pgMar w:top="1440" w:right="1797" w:bottom="1440" w:left="1797" w:header="851" w:footer="992" w:gutter="0"/>
          <w:pgBorders>
            <w:top w:val="none" w:sz="0" w:space="0"/>
            <w:left w:val="none" w:sz="0" w:space="0"/>
            <w:bottom w:val="none" w:sz="0" w:space="0"/>
            <w:right w:val="none" w:sz="0" w:space="0"/>
          </w:pgBorders>
          <w:cols w:space="720" w:num="1"/>
          <w:docGrid w:type="lines" w:linePitch="312" w:charSpace="0"/>
        </w:sectPr>
      </w:pPr>
    </w:p>
    <w:p>
      <w:pPr>
        <w:spacing w:line="240" w:lineRule="auto"/>
        <w:ind w:firstLine="0" w:firstLineChars="0"/>
        <w:jc w:val="left"/>
        <w:rPr>
          <w:rFonts w:hint="eastAsia" w:ascii="Times New Roman" w:hAnsi="Times New Roman" w:eastAsia="宋体" w:cs="Times New Roman"/>
          <w:b/>
          <w:color w:val="auto"/>
          <w:szCs w:val="24"/>
          <w:highlight w:val="none"/>
        </w:rPr>
      </w:pPr>
      <w:r>
        <w:rPr>
          <w:rFonts w:hint="eastAsia" w:ascii="Times New Roman" w:hAnsi="Times New Roman" w:eastAsia="宋体" w:cs="Times New Roman"/>
          <w:b/>
          <w:color w:val="auto"/>
          <w:szCs w:val="24"/>
          <w:highlight w:val="none"/>
        </w:rPr>
        <w:t>续表</w:t>
      </w:r>
    </w:p>
    <w:tbl>
      <w:tblPr>
        <w:tblStyle w:val="48"/>
        <w:tblW w:w="1417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706"/>
        <w:gridCol w:w="2490"/>
        <w:gridCol w:w="5566"/>
        <w:gridCol w:w="36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446" w:type="dxa"/>
            <w:gridSpan w:val="2"/>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对象</w:t>
            </w:r>
          </w:p>
        </w:tc>
        <w:tc>
          <w:tcPr>
            <w:tcW w:w="2490"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主要污染因子</w:t>
            </w:r>
          </w:p>
        </w:tc>
        <w:tc>
          <w:tcPr>
            <w:tcW w:w="5566"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b/>
                <w:color w:val="auto"/>
                <w:sz w:val="21"/>
                <w:highlight w:val="none"/>
              </w:rPr>
              <w:t>污染防治措施</w:t>
            </w:r>
          </w:p>
        </w:tc>
        <w:tc>
          <w:tcPr>
            <w:tcW w:w="3671"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0"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color w:val="auto"/>
                <w:sz w:val="21"/>
                <w:highlight w:val="none"/>
              </w:rPr>
              <w:t>噪声</w:t>
            </w:r>
          </w:p>
        </w:tc>
        <w:tc>
          <w:tcPr>
            <w:tcW w:w="1706" w:type="dxa"/>
            <w:noWrap w:val="0"/>
            <w:tcMar>
              <w:top w:w="0" w:type="dxa"/>
              <w:left w:w="28" w:type="dxa"/>
              <w:bottom w:w="0" w:type="dxa"/>
              <w:right w:w="28" w:type="dxa"/>
            </w:tcMar>
            <w:vAlign w:val="center"/>
          </w:tcPr>
          <w:p>
            <w:pPr>
              <w:pStyle w:val="81"/>
              <w:jc w:val="center"/>
              <w:rPr>
                <w:rFonts w:ascii="Times New Roman" w:hAnsi="Times New Roman" w:eastAsia="宋体"/>
                <w:b/>
                <w:color w:val="auto"/>
                <w:highlight w:val="none"/>
                <w:lang w:val="en-US" w:eastAsia="zh-CN"/>
              </w:rPr>
            </w:pPr>
            <w:r>
              <w:rPr>
                <w:rFonts w:ascii="Times New Roman" w:hAnsi="Times New Roman" w:eastAsia="宋体"/>
                <w:color w:val="auto"/>
                <w:szCs w:val="21"/>
                <w:highlight w:val="none"/>
                <w:lang w:val="en-US" w:eastAsia="zh-CN"/>
              </w:rPr>
              <w:t>设备噪声</w:t>
            </w:r>
          </w:p>
        </w:tc>
        <w:tc>
          <w:tcPr>
            <w:tcW w:w="2490"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color w:val="auto"/>
                <w:sz w:val="21"/>
                <w:highlight w:val="none"/>
              </w:rPr>
              <w:t>等效连续A声级</w:t>
            </w:r>
          </w:p>
        </w:tc>
        <w:tc>
          <w:tcPr>
            <w:tcW w:w="5566" w:type="dxa"/>
            <w:noWrap w:val="0"/>
            <w:tcMar>
              <w:top w:w="0" w:type="dxa"/>
              <w:left w:w="28" w:type="dxa"/>
              <w:bottom w:w="0" w:type="dxa"/>
              <w:right w:w="28" w:type="dxa"/>
            </w:tcMar>
            <w:vAlign w:val="center"/>
          </w:tcPr>
          <w:p>
            <w:pPr>
              <w:pStyle w:val="81"/>
              <w:jc w:val="center"/>
              <w:rPr>
                <w:rFonts w:ascii="Times New Roman" w:hAnsi="Times New Roman" w:eastAsia="宋体"/>
                <w:b/>
                <w:color w:val="auto"/>
                <w:highlight w:val="none"/>
                <w:lang w:val="en-US" w:eastAsia="zh-CN"/>
              </w:rPr>
            </w:pPr>
            <w:r>
              <w:rPr>
                <w:rFonts w:ascii="Times New Roman" w:hAnsi="Times New Roman" w:eastAsia="宋体"/>
                <w:color w:val="auto"/>
                <w:szCs w:val="21"/>
                <w:highlight w:val="none"/>
                <w:lang w:val="en-US" w:eastAsia="zh-CN"/>
              </w:rPr>
              <w:t>减震垫、柔性接头、隔声罩、厂房阻隔</w:t>
            </w:r>
          </w:p>
        </w:tc>
        <w:tc>
          <w:tcPr>
            <w:tcW w:w="3671" w:type="dxa"/>
            <w:noWrap w:val="0"/>
            <w:tcMar>
              <w:top w:w="0" w:type="dxa"/>
              <w:left w:w="28" w:type="dxa"/>
              <w:bottom w:w="0" w:type="dxa"/>
              <w:right w:w="28" w:type="dxa"/>
            </w:tcMar>
            <w:vAlign w:val="center"/>
          </w:tcPr>
          <w:p>
            <w:pPr>
              <w:adjustRightInd w:val="0"/>
              <w:snapToGrid w:val="0"/>
              <w:spacing w:line="240" w:lineRule="auto"/>
              <w:ind w:firstLine="0" w:firstLineChars="0"/>
              <w:jc w:val="left"/>
              <w:rPr>
                <w:rFonts w:ascii="Times New Roman" w:hAnsi="Times New Roman" w:eastAsia="宋体" w:cs="Times New Roman"/>
                <w:b/>
                <w:color w:val="auto"/>
                <w:sz w:val="21"/>
                <w:highlight w:val="none"/>
              </w:rPr>
            </w:pPr>
            <w:r>
              <w:rPr>
                <w:rFonts w:ascii="Times New Roman" w:hAnsi="Times New Roman" w:eastAsia="宋体" w:cs="Times New Roman"/>
                <w:color w:val="auto"/>
                <w:sz w:val="21"/>
                <w:highlight w:val="none"/>
              </w:rPr>
              <w:t>《工业企业厂界环境噪声排放标准》（GB</w:t>
            </w:r>
            <w:r>
              <w:rPr>
                <w:rFonts w:hint="eastAsia" w:ascii="Times New Roman" w:hAnsi="Times New Roman" w:eastAsia="宋体" w:cs="Times New Roman"/>
                <w:color w:val="auto"/>
                <w:sz w:val="21"/>
                <w:highlight w:val="none"/>
                <w:lang w:val="en-US" w:eastAsia="zh-CN"/>
              </w:rPr>
              <w:t xml:space="preserve"> </w:t>
            </w:r>
            <w:r>
              <w:rPr>
                <w:rFonts w:ascii="Times New Roman" w:hAnsi="Times New Roman" w:eastAsia="宋体" w:cs="Times New Roman"/>
                <w:color w:val="auto"/>
                <w:sz w:val="21"/>
                <w:highlight w:val="none"/>
              </w:rPr>
              <w:t>12348-2008）2类标准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0" w:type="dxa"/>
            <w:vMerge w:val="restart"/>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固体</w:t>
            </w:r>
          </w:p>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废物</w:t>
            </w:r>
          </w:p>
        </w:tc>
        <w:tc>
          <w:tcPr>
            <w:tcW w:w="1706" w:type="dxa"/>
            <w:vMerge w:val="restart"/>
            <w:noWrap w:val="0"/>
            <w:tcMar>
              <w:top w:w="0" w:type="dxa"/>
              <w:left w:w="28" w:type="dxa"/>
              <w:bottom w:w="0" w:type="dxa"/>
              <w:right w:w="28" w:type="dxa"/>
            </w:tcMar>
            <w:vAlign w:val="center"/>
          </w:tcPr>
          <w:p>
            <w:pPr>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一般工业</w:t>
            </w:r>
          </w:p>
          <w:p>
            <w:pPr>
              <w:spacing w:line="240" w:lineRule="exact"/>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固体废物</w:t>
            </w:r>
          </w:p>
        </w:tc>
        <w:tc>
          <w:tcPr>
            <w:tcW w:w="2490"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表土</w:t>
            </w:r>
          </w:p>
        </w:tc>
        <w:tc>
          <w:tcPr>
            <w:tcW w:w="5566"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kern w:val="0"/>
                <w:sz w:val="21"/>
                <w:highlight w:val="none"/>
              </w:rPr>
              <w:t>堆放于</w:t>
            </w:r>
            <w:r>
              <w:rPr>
                <w:rFonts w:hint="eastAsia" w:ascii="Times New Roman" w:hAnsi="Times New Roman" w:eastAsia="宋体" w:cs="Times New Roman"/>
                <w:color w:val="auto"/>
                <w:kern w:val="0"/>
                <w:sz w:val="21"/>
                <w:highlight w:val="none"/>
              </w:rPr>
              <w:t>临时排土场</w:t>
            </w:r>
            <w:r>
              <w:rPr>
                <w:rFonts w:ascii="Times New Roman" w:hAnsi="Times New Roman" w:eastAsia="宋体" w:cs="Times New Roman"/>
                <w:color w:val="auto"/>
                <w:kern w:val="0"/>
                <w:sz w:val="21"/>
                <w:highlight w:val="none"/>
              </w:rPr>
              <w:t>，用于矿山复垦</w:t>
            </w:r>
          </w:p>
        </w:tc>
        <w:tc>
          <w:tcPr>
            <w:tcW w:w="3671" w:type="dxa"/>
            <w:vMerge w:val="restart"/>
            <w:noWrap w:val="0"/>
            <w:tcMar>
              <w:top w:w="0" w:type="dxa"/>
              <w:left w:w="28" w:type="dxa"/>
              <w:bottom w:w="0" w:type="dxa"/>
              <w:right w:w="28" w:type="dxa"/>
            </w:tcMar>
            <w:vAlign w:val="center"/>
          </w:tcPr>
          <w:p>
            <w:pPr>
              <w:adjustRightInd w:val="0"/>
              <w:snapToGrid w:val="0"/>
              <w:spacing w:line="240" w:lineRule="auto"/>
              <w:ind w:firstLine="0" w:firstLineChars="0"/>
              <w:jc w:val="left"/>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储存场所要符合《一般工业固体废物贮存、处置场污染控制标准》（GB</w:t>
            </w:r>
            <w:r>
              <w:rPr>
                <w:rFonts w:hint="eastAsia" w:ascii="Times New Roman" w:hAnsi="Times New Roman" w:eastAsia="宋体" w:cs="Times New Roman"/>
                <w:color w:val="auto"/>
                <w:sz w:val="21"/>
                <w:highlight w:val="none"/>
                <w:lang w:val="en-US" w:eastAsia="zh-CN"/>
              </w:rPr>
              <w:t xml:space="preserve"> </w:t>
            </w:r>
            <w:r>
              <w:rPr>
                <w:rFonts w:ascii="Times New Roman" w:hAnsi="Times New Roman" w:eastAsia="宋体" w:cs="Times New Roman"/>
                <w:color w:val="auto"/>
                <w:sz w:val="21"/>
                <w:highlight w:val="none"/>
              </w:rPr>
              <w:t>18599-2001）及其修改单要求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706" w:type="dxa"/>
            <w:vMerge w:val="continue"/>
            <w:noWrap w:val="0"/>
            <w:tcMar>
              <w:top w:w="0" w:type="dxa"/>
              <w:left w:w="28" w:type="dxa"/>
              <w:bottom w:w="0" w:type="dxa"/>
              <w:right w:w="28" w:type="dxa"/>
            </w:tcMar>
            <w:vAlign w:val="center"/>
          </w:tcPr>
          <w:p>
            <w:pPr>
              <w:spacing w:line="240" w:lineRule="exact"/>
              <w:ind w:firstLine="0" w:firstLineChars="0"/>
              <w:jc w:val="center"/>
              <w:rPr>
                <w:rFonts w:ascii="Times New Roman" w:hAnsi="Times New Roman" w:eastAsia="宋体" w:cs="Times New Roman"/>
                <w:color w:val="auto"/>
                <w:sz w:val="21"/>
                <w:highlight w:val="none"/>
              </w:rPr>
            </w:pPr>
          </w:p>
        </w:tc>
        <w:tc>
          <w:tcPr>
            <w:tcW w:w="2490"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废土石渣</w:t>
            </w:r>
          </w:p>
        </w:tc>
        <w:tc>
          <w:tcPr>
            <w:tcW w:w="5566"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经外卖用于周边道路建设</w:t>
            </w:r>
          </w:p>
        </w:tc>
        <w:tc>
          <w:tcPr>
            <w:tcW w:w="3671"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left"/>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706" w:type="dxa"/>
            <w:vMerge w:val="continue"/>
            <w:noWrap w:val="0"/>
            <w:tcMar>
              <w:top w:w="0" w:type="dxa"/>
              <w:left w:w="28" w:type="dxa"/>
              <w:bottom w:w="0" w:type="dxa"/>
              <w:right w:w="28" w:type="dxa"/>
            </w:tcMar>
            <w:vAlign w:val="center"/>
          </w:tcPr>
          <w:p>
            <w:pPr>
              <w:spacing w:line="240" w:lineRule="exact"/>
              <w:ind w:firstLine="0" w:firstLineChars="0"/>
              <w:jc w:val="center"/>
              <w:rPr>
                <w:rFonts w:ascii="Times New Roman" w:hAnsi="Times New Roman" w:eastAsia="宋体" w:cs="Times New Roman"/>
                <w:color w:val="auto"/>
                <w:sz w:val="21"/>
                <w:highlight w:val="none"/>
              </w:rPr>
            </w:pPr>
          </w:p>
        </w:tc>
        <w:tc>
          <w:tcPr>
            <w:tcW w:w="2490"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泥渣</w:t>
            </w:r>
          </w:p>
        </w:tc>
        <w:tc>
          <w:tcPr>
            <w:tcW w:w="5566"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用于矿区道路平整</w:t>
            </w:r>
          </w:p>
        </w:tc>
        <w:tc>
          <w:tcPr>
            <w:tcW w:w="3671" w:type="dxa"/>
            <w:vMerge w:val="continue"/>
            <w:noWrap w:val="0"/>
            <w:tcMar>
              <w:top w:w="0" w:type="dxa"/>
              <w:left w:w="28" w:type="dxa"/>
              <w:bottom w:w="0" w:type="dxa"/>
              <w:right w:w="28" w:type="dxa"/>
            </w:tcMar>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706" w:type="dxa"/>
            <w:vMerge w:val="continue"/>
            <w:noWrap w:val="0"/>
            <w:tcMar>
              <w:top w:w="0" w:type="dxa"/>
              <w:left w:w="28" w:type="dxa"/>
              <w:bottom w:w="0" w:type="dxa"/>
              <w:right w:w="28" w:type="dxa"/>
            </w:tcMar>
            <w:vAlign w:val="center"/>
          </w:tcPr>
          <w:p>
            <w:pPr>
              <w:spacing w:line="240" w:lineRule="exact"/>
              <w:ind w:firstLine="0" w:firstLineChars="0"/>
              <w:jc w:val="center"/>
              <w:rPr>
                <w:rFonts w:ascii="Times New Roman" w:hAnsi="Times New Roman" w:eastAsia="宋体" w:cs="Times New Roman"/>
                <w:color w:val="auto"/>
                <w:sz w:val="21"/>
                <w:highlight w:val="none"/>
              </w:rPr>
            </w:pPr>
          </w:p>
        </w:tc>
        <w:tc>
          <w:tcPr>
            <w:tcW w:w="2490"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洗砂泥饼</w:t>
            </w:r>
          </w:p>
        </w:tc>
        <w:tc>
          <w:tcPr>
            <w:tcW w:w="5566"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外卖砖厂</w:t>
            </w:r>
          </w:p>
        </w:tc>
        <w:tc>
          <w:tcPr>
            <w:tcW w:w="3671" w:type="dxa"/>
            <w:vMerge w:val="continue"/>
            <w:noWrap w:val="0"/>
            <w:tcMar>
              <w:top w:w="0" w:type="dxa"/>
              <w:left w:w="28" w:type="dxa"/>
              <w:bottom w:w="0" w:type="dxa"/>
              <w:right w:w="28" w:type="dxa"/>
            </w:tcMar>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706" w:type="dxa"/>
            <w:vMerge w:val="continue"/>
            <w:noWrap w:val="0"/>
            <w:tcMar>
              <w:top w:w="0" w:type="dxa"/>
              <w:left w:w="28" w:type="dxa"/>
              <w:bottom w:w="0" w:type="dxa"/>
              <w:right w:w="28" w:type="dxa"/>
            </w:tcMar>
            <w:vAlign w:val="center"/>
          </w:tcPr>
          <w:p>
            <w:pPr>
              <w:spacing w:line="240" w:lineRule="exact"/>
              <w:ind w:firstLine="0" w:firstLineChars="0"/>
              <w:jc w:val="center"/>
              <w:rPr>
                <w:rFonts w:ascii="Times New Roman" w:hAnsi="Times New Roman" w:eastAsia="宋体" w:cs="Times New Roman"/>
                <w:color w:val="auto"/>
                <w:sz w:val="21"/>
                <w:highlight w:val="none"/>
              </w:rPr>
            </w:pPr>
          </w:p>
        </w:tc>
        <w:tc>
          <w:tcPr>
            <w:tcW w:w="2490"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除尘器粉尘</w:t>
            </w:r>
            <w:r>
              <w:rPr>
                <w:rFonts w:ascii="Times New Roman" w:hAnsi="Times New Roman" w:eastAsia="宋体" w:cs="Times New Roman"/>
                <w:color w:val="auto"/>
                <w:sz w:val="21"/>
                <w:highlight w:val="none"/>
              </w:rPr>
              <w:t>、废零件</w:t>
            </w:r>
          </w:p>
        </w:tc>
        <w:tc>
          <w:tcPr>
            <w:tcW w:w="5566"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统一收集外卖</w:t>
            </w:r>
          </w:p>
        </w:tc>
        <w:tc>
          <w:tcPr>
            <w:tcW w:w="3671" w:type="dxa"/>
            <w:vMerge w:val="continue"/>
            <w:noWrap w:val="0"/>
            <w:tcMar>
              <w:top w:w="0" w:type="dxa"/>
              <w:left w:w="28" w:type="dxa"/>
              <w:bottom w:w="0" w:type="dxa"/>
              <w:right w:w="28" w:type="dxa"/>
            </w:tcMar>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706" w:type="dxa"/>
            <w:vMerge w:val="restart"/>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危险废物</w:t>
            </w:r>
          </w:p>
        </w:tc>
        <w:tc>
          <w:tcPr>
            <w:tcW w:w="2490"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废含油抹布</w:t>
            </w:r>
          </w:p>
        </w:tc>
        <w:tc>
          <w:tcPr>
            <w:tcW w:w="5566"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cs="Times New Roman"/>
                <w:color w:val="auto"/>
                <w:kern w:val="0"/>
                <w:sz w:val="21"/>
                <w:highlight w:val="none"/>
                <w:u w:val="single"/>
                <w:lang w:val="en-US" w:eastAsia="zh-CN"/>
              </w:rPr>
              <w:t>混入生活垃圾，</w:t>
            </w:r>
            <w:r>
              <w:rPr>
                <w:rFonts w:ascii="Times New Roman" w:hAnsi="Times New Roman" w:eastAsia="宋体" w:cs="Times New Roman"/>
                <w:color w:val="auto"/>
                <w:sz w:val="21"/>
                <w:highlight w:val="none"/>
                <w:u w:val="single"/>
              </w:rPr>
              <w:t>由环卫部门处理</w:t>
            </w:r>
          </w:p>
        </w:tc>
        <w:tc>
          <w:tcPr>
            <w:tcW w:w="3671" w:type="dxa"/>
            <w:vMerge w:val="restart"/>
            <w:noWrap w:val="0"/>
            <w:tcMar>
              <w:top w:w="0" w:type="dxa"/>
              <w:left w:w="28" w:type="dxa"/>
              <w:bottom w:w="0" w:type="dxa"/>
              <w:right w:w="28" w:type="dxa"/>
            </w:tcMar>
            <w:vAlign w:val="center"/>
          </w:tcPr>
          <w:p>
            <w:pPr>
              <w:adjustRightInd w:val="0"/>
              <w:snapToGrid w:val="0"/>
              <w:spacing w:line="240" w:lineRule="auto"/>
              <w:ind w:firstLine="0" w:firstLineChars="0"/>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暂存场所《危险废物贮存污染控制标准》（GB</w:t>
            </w:r>
            <w:r>
              <w:rPr>
                <w:rFonts w:hint="eastAsia" w:ascii="Times New Roman" w:hAnsi="Times New Roman" w:eastAsia="宋体" w:cs="Times New Roman"/>
                <w:bCs/>
                <w:color w:val="auto"/>
                <w:sz w:val="21"/>
                <w:highlight w:val="none"/>
                <w:lang w:val="en-US" w:eastAsia="zh-CN"/>
              </w:rPr>
              <w:t xml:space="preserve"> </w:t>
            </w:r>
            <w:r>
              <w:rPr>
                <w:rFonts w:ascii="Times New Roman" w:hAnsi="Times New Roman" w:eastAsia="宋体" w:cs="Times New Roman"/>
                <w:bCs/>
                <w:color w:val="auto"/>
                <w:sz w:val="21"/>
                <w:highlight w:val="none"/>
              </w:rPr>
              <w:t>18597-2001）及其修改单的要求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706"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490"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废机油</w:t>
            </w:r>
          </w:p>
        </w:tc>
        <w:tc>
          <w:tcPr>
            <w:tcW w:w="5566"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危险废物库暂存，委托有</w:t>
            </w:r>
            <w:r>
              <w:rPr>
                <w:rFonts w:ascii="Times New Roman" w:hAnsi="Times New Roman" w:eastAsia="宋体" w:cs="Times New Roman"/>
                <w:color w:val="auto"/>
                <w:sz w:val="21"/>
                <w:highlight w:val="none"/>
                <w:lang w:val="zh-CN"/>
              </w:rPr>
              <w:t>资质的单位处置</w:t>
            </w:r>
          </w:p>
        </w:tc>
        <w:tc>
          <w:tcPr>
            <w:tcW w:w="3671" w:type="dxa"/>
            <w:vMerge w:val="continue"/>
            <w:noWrap w:val="0"/>
            <w:tcMar>
              <w:top w:w="0" w:type="dxa"/>
              <w:left w:w="28" w:type="dxa"/>
              <w:bottom w:w="0" w:type="dxa"/>
              <w:right w:w="28" w:type="dxa"/>
            </w:tcMar>
            <w:vAlign w:val="center"/>
          </w:tcPr>
          <w:p>
            <w:pPr>
              <w:adjustRightInd w:val="0"/>
              <w:snapToGrid w:val="0"/>
              <w:spacing w:line="240" w:lineRule="auto"/>
              <w:ind w:firstLine="0" w:firstLineChars="0"/>
              <w:rPr>
                <w:rFonts w:ascii="Times New Roman" w:hAnsi="Times New Roman" w:eastAsia="宋体" w:cs="Times New Roman"/>
                <w:bCs/>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0" w:type="dxa"/>
            <w:vMerge w:val="continue"/>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4196" w:type="dxa"/>
            <w:gridSpan w:val="2"/>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lang w:bidi="en-US"/>
              </w:rPr>
            </w:pPr>
            <w:r>
              <w:rPr>
                <w:rFonts w:ascii="Times New Roman" w:hAnsi="Times New Roman" w:eastAsia="宋体" w:cs="Times New Roman"/>
                <w:color w:val="auto"/>
                <w:sz w:val="21"/>
                <w:highlight w:val="none"/>
              </w:rPr>
              <w:t>生活垃圾</w:t>
            </w:r>
          </w:p>
        </w:tc>
        <w:tc>
          <w:tcPr>
            <w:tcW w:w="5566"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sz w:val="21"/>
                <w:highlight w:val="none"/>
              </w:rPr>
              <w:t>环卫部门统一处理</w:t>
            </w:r>
          </w:p>
        </w:tc>
        <w:tc>
          <w:tcPr>
            <w:tcW w:w="3671"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lang w:bidi="en-US"/>
              </w:rPr>
            </w:pPr>
            <w:r>
              <w:rPr>
                <w:rFonts w:ascii="Times New Roman" w:hAnsi="Times New Roman" w:eastAsia="宋体" w:cs="Times New Roman"/>
                <w:color w:val="auto"/>
                <w:sz w:val="21"/>
                <w:highlight w:val="none"/>
                <w:lang w:bidi="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0"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环境</w:t>
            </w:r>
          </w:p>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风险</w:t>
            </w:r>
          </w:p>
        </w:tc>
        <w:tc>
          <w:tcPr>
            <w:tcW w:w="9762" w:type="dxa"/>
            <w:gridSpan w:val="3"/>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bCs/>
                <w:color w:val="auto"/>
                <w:sz w:val="21"/>
                <w:highlight w:val="none"/>
              </w:rPr>
              <w:t>柴油储罐区增加围堰，储罐区地表做防渗处理</w:t>
            </w:r>
            <w:r>
              <w:rPr>
                <w:rFonts w:hint="eastAsia" w:ascii="Times New Roman" w:hAnsi="Times New Roman" w:eastAsia="宋体" w:cs="Times New Roman"/>
                <w:bCs/>
                <w:color w:val="auto"/>
                <w:sz w:val="21"/>
                <w:highlight w:val="none"/>
              </w:rPr>
              <w:t>，</w:t>
            </w:r>
            <w:r>
              <w:rPr>
                <w:rFonts w:ascii="Times New Roman" w:hAnsi="Times New Roman" w:eastAsia="宋体" w:cs="Times New Roman"/>
                <w:color w:val="auto"/>
                <w:sz w:val="21"/>
                <w:highlight w:val="none"/>
              </w:rPr>
              <w:t>制定事故应急预案、根据各风险制定风险防范措施</w:t>
            </w:r>
          </w:p>
        </w:tc>
        <w:tc>
          <w:tcPr>
            <w:tcW w:w="3671" w:type="dxa"/>
            <w:noWrap w:val="0"/>
            <w:tcMar>
              <w:top w:w="0" w:type="dxa"/>
              <w:left w:w="28" w:type="dxa"/>
              <w:bottom w:w="0" w:type="dxa"/>
              <w:right w:w="28" w:type="dxa"/>
            </w:tcMar>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lang w:bidi="en-US"/>
              </w:rPr>
            </w:pPr>
            <w:r>
              <w:rPr>
                <w:rFonts w:ascii="Times New Roman" w:hAnsi="Times New Roman" w:eastAsia="宋体" w:cs="Times New Roman"/>
                <w:color w:val="auto"/>
                <w:sz w:val="21"/>
                <w:highlight w:val="none"/>
              </w:rPr>
              <w:t>满足风险应急要求</w:t>
            </w:r>
          </w:p>
        </w:tc>
      </w:tr>
    </w:tbl>
    <w:p>
      <w:pPr>
        <w:spacing w:line="240" w:lineRule="auto"/>
        <w:ind w:firstLine="0" w:firstLineChars="0"/>
        <w:jc w:val="left"/>
        <w:rPr>
          <w:rFonts w:hint="eastAsia" w:ascii="Times New Roman" w:hAnsi="Times New Roman" w:eastAsia="宋体" w:cs="Times New Roman"/>
          <w:b/>
          <w:color w:val="auto"/>
          <w:szCs w:val="24"/>
          <w:highlight w:val="none"/>
        </w:rPr>
        <w:sectPr>
          <w:headerReference r:id="rId23" w:type="default"/>
          <w:pgSz w:w="16838" w:h="11906" w:orient="landscape"/>
          <w:pgMar w:top="1440" w:right="1797" w:bottom="1440" w:left="1797" w:header="851" w:footer="992" w:gutter="0"/>
          <w:pgBorders>
            <w:top w:val="none" w:sz="0" w:space="0"/>
            <w:left w:val="none" w:sz="0" w:space="0"/>
            <w:bottom w:val="none" w:sz="0" w:space="0"/>
            <w:right w:val="none" w:sz="0" w:space="0"/>
          </w:pgBorders>
          <w:cols w:space="720" w:num="1"/>
          <w:docGrid w:type="lines" w:linePitch="312" w:charSpace="0"/>
        </w:sectPr>
      </w:pPr>
    </w:p>
    <w:p>
      <w:pPr>
        <w:pStyle w:val="2"/>
        <w:rPr>
          <w:rFonts w:ascii="Times New Roman" w:hAnsi="Times New Roman" w:eastAsia="宋体"/>
          <w:color w:val="auto"/>
          <w:highlight w:val="none"/>
        </w:rPr>
      </w:pPr>
      <w:bookmarkStart w:id="581" w:name="_Toc6414"/>
      <w:r>
        <w:rPr>
          <w:rFonts w:ascii="Times New Roman" w:hAnsi="Times New Roman" w:eastAsia="宋体"/>
          <w:color w:val="auto"/>
          <w:highlight w:val="none"/>
        </w:rPr>
        <w:t>8 环境影响评价结论</w:t>
      </w:r>
      <w:bookmarkEnd w:id="581"/>
      <w:r>
        <w:rPr>
          <w:rFonts w:ascii="Times New Roman" w:hAnsi="Times New Roman" w:eastAsia="宋体"/>
          <w:color w:val="auto"/>
          <w:highlight w:val="none"/>
        </w:rPr>
        <w:t xml:space="preserve"> </w:t>
      </w:r>
    </w:p>
    <w:p>
      <w:pPr>
        <w:pStyle w:val="4"/>
        <w:rPr>
          <w:rFonts w:ascii="Times New Roman" w:hAnsi="Times New Roman" w:eastAsia="宋体"/>
          <w:color w:val="auto"/>
          <w:highlight w:val="none"/>
        </w:rPr>
      </w:pPr>
      <w:bookmarkStart w:id="582" w:name="_Toc11796"/>
      <w:r>
        <w:rPr>
          <w:rFonts w:ascii="Times New Roman" w:hAnsi="Times New Roman" w:eastAsia="宋体"/>
          <w:color w:val="auto"/>
          <w:highlight w:val="none"/>
        </w:rPr>
        <w:t>8.1 建设项目概况</w:t>
      </w:r>
      <w:bookmarkEnd w:id="582"/>
      <w:r>
        <w:rPr>
          <w:rFonts w:ascii="Times New Roman" w:hAnsi="Times New Roman" w:eastAsia="宋体"/>
          <w:color w:val="auto"/>
          <w:highlight w:val="none"/>
        </w:rPr>
        <w:t xml:space="preserve"> </w:t>
      </w:r>
    </w:p>
    <w:p>
      <w:pPr>
        <w:ind w:firstLine="480"/>
        <w:rPr>
          <w:rFonts w:ascii="Times New Roman" w:hAnsi="Times New Roman" w:eastAsia="宋体" w:cs="Times New Roman"/>
          <w:color w:val="auto"/>
          <w:szCs w:val="24"/>
          <w:highlight w:val="none"/>
        </w:rPr>
      </w:pPr>
      <w:r>
        <w:rPr>
          <w:rFonts w:hint="eastAsia" w:ascii="Times New Roman" w:hAnsi="Times New Roman" w:eastAsia="宋体" w:cs="Times New Roman"/>
          <w:color w:val="auto"/>
          <w:highlight w:val="none"/>
        </w:rPr>
        <w:t>三江侗族自治县宏源采石场硅质岩矿年开采加工50万吨砂石料项目</w:t>
      </w:r>
      <w:r>
        <w:rPr>
          <w:rFonts w:hint="eastAsia" w:ascii="Times New Roman" w:hAnsi="Times New Roman" w:eastAsia="宋体" w:cs="Times New Roman"/>
          <w:color w:val="auto"/>
          <w:highlight w:val="none"/>
          <w:lang w:val="en-US" w:eastAsia="zh-CN"/>
        </w:rPr>
        <w:t>位于</w:t>
      </w:r>
      <w:r>
        <w:rPr>
          <w:rFonts w:hint="eastAsia" w:ascii="Times New Roman" w:hAnsi="Times New Roman" w:eastAsia="宋体" w:cs="Times New Roman"/>
          <w:color w:val="auto"/>
          <w:szCs w:val="24"/>
          <w:highlight w:val="none"/>
          <w:lang w:val="en-US" w:eastAsia="zh-CN"/>
        </w:rPr>
        <w:t>三江县斗江镇东坪村东恒屯，</w:t>
      </w:r>
      <w:r>
        <w:rPr>
          <w:rFonts w:hint="eastAsia" w:ascii="Times New Roman" w:hAnsi="Times New Roman" w:eastAsia="宋体" w:cs="Times New Roman"/>
          <w:color w:val="auto"/>
          <w:highlight w:val="none"/>
        </w:rPr>
        <w:t>为矿山整合工程，由原</w:t>
      </w:r>
      <w:r>
        <w:rPr>
          <w:rFonts w:hint="eastAsia" w:ascii="Times New Roman" w:hAnsi="Times New Roman" w:eastAsia="宋体"/>
          <w:color w:val="auto"/>
          <w:highlight w:val="none"/>
        </w:rPr>
        <w:t>三江县海江采石场和</w:t>
      </w:r>
      <w:r>
        <w:rPr>
          <w:rFonts w:hint="eastAsia" w:ascii="Times New Roman" w:hAnsi="Times New Roman" w:eastAsia="宋体" w:cs="Times New Roman"/>
          <w:color w:val="auto"/>
          <w:szCs w:val="24"/>
          <w:highlight w:val="none"/>
        </w:rPr>
        <w:t>原</w:t>
      </w:r>
      <w:r>
        <w:rPr>
          <w:rFonts w:hint="eastAsia" w:ascii="Times New Roman" w:hAnsi="Times New Roman" w:eastAsia="宋体"/>
          <w:color w:val="auto"/>
          <w:highlight w:val="none"/>
        </w:rPr>
        <w:t>三江县宏保兴采石场2个矿山整合而成，整合后采矿权人归属</w:t>
      </w:r>
      <w:r>
        <w:rPr>
          <w:rFonts w:hint="eastAsia" w:ascii="Times New Roman" w:hAnsi="Times New Roman" w:eastAsia="宋体" w:cs="Times New Roman"/>
          <w:color w:val="auto"/>
          <w:highlight w:val="none"/>
        </w:rPr>
        <w:t>三江县鑫贝矿业有限公司。</w:t>
      </w:r>
      <w:r>
        <w:rPr>
          <w:rFonts w:ascii="Times New Roman" w:hAnsi="Times New Roman" w:eastAsia="宋体" w:cs="Times New Roman"/>
          <w:color w:val="auto"/>
          <w:szCs w:val="24"/>
          <w:highlight w:val="none"/>
        </w:rPr>
        <w:t>矿区中心地理坐标：</w:t>
      </w:r>
      <w:r>
        <w:rPr>
          <w:rFonts w:hint="eastAsia" w:ascii="Times New Roman" w:hAnsi="Times New Roman" w:eastAsia="宋体" w:cs="Times New Roman"/>
          <w:color w:val="auto"/>
          <w:szCs w:val="24"/>
          <w:highlight w:val="none"/>
        </w:rPr>
        <w:t>109.704875</w:t>
      </w:r>
      <w:r>
        <w:rPr>
          <w:rFonts w:ascii="Times New Roman" w:hAnsi="Times New Roman" w:eastAsia="宋体" w:cs="Times New Roman"/>
          <w:color w:val="auto"/>
          <w:szCs w:val="24"/>
          <w:highlight w:val="none"/>
        </w:rPr>
        <w:t>°E，</w:t>
      </w:r>
      <w:r>
        <w:rPr>
          <w:rFonts w:hint="eastAsia" w:ascii="Times New Roman" w:hAnsi="Times New Roman" w:eastAsia="宋体" w:cs="Times New Roman"/>
          <w:color w:val="auto"/>
          <w:szCs w:val="24"/>
          <w:highlight w:val="none"/>
        </w:rPr>
        <w:t>25.757735</w:t>
      </w:r>
      <w:r>
        <w:rPr>
          <w:rFonts w:ascii="Times New Roman" w:hAnsi="Times New Roman" w:eastAsia="宋体" w:cs="Times New Roman"/>
          <w:color w:val="auto"/>
          <w:szCs w:val="24"/>
          <w:highlight w:val="none"/>
        </w:rPr>
        <w:t>°N。本项目为露天开采，开采矿种为</w:t>
      </w:r>
      <w:r>
        <w:rPr>
          <w:rFonts w:hint="eastAsia" w:ascii="Times New Roman" w:hAnsi="Times New Roman" w:eastAsia="宋体" w:cs="Times New Roman"/>
          <w:color w:val="auto"/>
          <w:szCs w:val="24"/>
          <w:highlight w:val="none"/>
        </w:rPr>
        <w:t>硅质岩</w:t>
      </w:r>
      <w:r>
        <w:rPr>
          <w:rFonts w:ascii="Times New Roman" w:hAnsi="Times New Roman" w:eastAsia="宋体" w:cs="Times New Roman"/>
          <w:color w:val="auto"/>
          <w:szCs w:val="24"/>
          <w:highlight w:val="none"/>
        </w:rPr>
        <w:t>矿，</w:t>
      </w:r>
      <w:r>
        <w:rPr>
          <w:rFonts w:hint="eastAsia" w:ascii="Times New Roman" w:hAnsi="Times New Roman" w:eastAsia="宋体"/>
          <w:color w:val="auto"/>
          <w:szCs w:val="24"/>
          <w:highlight w:val="none"/>
        </w:rPr>
        <w:t>矿山面积0.1598km</w:t>
      </w:r>
      <w:r>
        <w:rPr>
          <w:rFonts w:hint="eastAsia" w:ascii="Times New Roman" w:hAnsi="Times New Roman" w:eastAsia="宋体"/>
          <w:color w:val="auto"/>
          <w:szCs w:val="24"/>
          <w:highlight w:val="none"/>
          <w:vertAlign w:val="superscript"/>
        </w:rPr>
        <w:t>2</w:t>
      </w:r>
      <w:r>
        <w:rPr>
          <w:rFonts w:hint="eastAsia" w:ascii="Times New Roman" w:hAnsi="Times New Roman" w:eastAsia="宋体"/>
          <w:color w:val="auto"/>
          <w:szCs w:val="24"/>
          <w:highlight w:val="none"/>
        </w:rPr>
        <w:t>，开采深度+447</w:t>
      </w:r>
      <w:r>
        <w:rPr>
          <w:rFonts w:ascii="Times New Roman" w:hAnsi="Times New Roman" w:eastAsia="宋体" w:cs="Times New Roman"/>
          <w:color w:val="auto"/>
          <w:szCs w:val="24"/>
          <w:highlight w:val="none"/>
        </w:rPr>
        <w:t>~</w:t>
      </w:r>
      <w:r>
        <w:rPr>
          <w:rFonts w:hint="eastAsia" w:ascii="Times New Roman" w:hAnsi="Times New Roman" w:eastAsia="宋体"/>
          <w:color w:val="auto"/>
          <w:szCs w:val="24"/>
          <w:highlight w:val="none"/>
        </w:rPr>
        <w:t>+227m，</w:t>
      </w:r>
      <w:r>
        <w:rPr>
          <w:rFonts w:hint="eastAsia" w:ascii="Times New Roman" w:hAnsi="Times New Roman" w:eastAsia="宋体"/>
          <w:color w:val="auto"/>
          <w:szCs w:val="24"/>
          <w:highlight w:val="none"/>
          <w:u w:val="single"/>
        </w:rPr>
        <w:t>以露天开采方式进行开采，利用原海江采石场和原宏保兴采石场</w:t>
      </w:r>
      <w:r>
        <w:rPr>
          <w:rFonts w:hint="eastAsia"/>
          <w:color w:val="auto"/>
          <w:szCs w:val="24"/>
          <w:highlight w:val="none"/>
          <w:u w:val="single"/>
          <w:lang w:val="en-US" w:eastAsia="zh-CN"/>
        </w:rPr>
        <w:t>场地</w:t>
      </w:r>
      <w:r>
        <w:rPr>
          <w:rFonts w:hint="eastAsia" w:ascii="Times New Roman" w:hAnsi="Times New Roman" w:eastAsia="宋体"/>
          <w:color w:val="auto"/>
          <w:szCs w:val="24"/>
          <w:highlight w:val="none"/>
          <w:u w:val="single"/>
        </w:rPr>
        <w:t>分别铺设2条</w:t>
      </w:r>
      <w:r>
        <w:rPr>
          <w:rFonts w:hint="eastAsia"/>
          <w:color w:val="auto"/>
          <w:szCs w:val="24"/>
          <w:highlight w:val="none"/>
          <w:u w:val="single"/>
          <w:lang w:val="en-US" w:eastAsia="zh-CN"/>
        </w:rPr>
        <w:t>破碎筛分</w:t>
      </w:r>
      <w:r>
        <w:rPr>
          <w:rFonts w:hint="eastAsia" w:ascii="Times New Roman" w:hAnsi="Times New Roman" w:eastAsia="宋体"/>
          <w:color w:val="auto"/>
          <w:szCs w:val="24"/>
          <w:highlight w:val="none"/>
          <w:u w:val="single"/>
        </w:rPr>
        <w:t>加工生产线，包括开采、破碎、筛分、输送、除尘、仓储、运输等生产及辅助设备，建成后年开采加工建筑用砂石料50万吨。</w:t>
      </w:r>
      <w:r>
        <w:rPr>
          <w:rFonts w:ascii="Times New Roman" w:hAnsi="Times New Roman" w:eastAsia="宋体" w:cs="Times New Roman"/>
          <w:color w:val="auto"/>
          <w:szCs w:val="24"/>
          <w:highlight w:val="none"/>
          <w:u w:val="single"/>
        </w:rPr>
        <w:t>矿山</w:t>
      </w:r>
      <w:r>
        <w:rPr>
          <w:rFonts w:hint="eastAsia" w:ascii="Times New Roman" w:hAnsi="Times New Roman" w:eastAsia="宋体" w:cs="Times New Roman"/>
          <w:color w:val="auto"/>
          <w:szCs w:val="24"/>
          <w:highlight w:val="none"/>
          <w:u w:val="single"/>
        </w:rPr>
        <w:t>可开采</w:t>
      </w:r>
      <w:r>
        <w:rPr>
          <w:rFonts w:ascii="Times New Roman" w:hAnsi="Times New Roman" w:eastAsia="宋体" w:cs="Times New Roman"/>
          <w:color w:val="auto"/>
          <w:szCs w:val="24"/>
          <w:highlight w:val="none"/>
          <w:u w:val="single"/>
        </w:rPr>
        <w:t>服务年限为</w:t>
      </w:r>
      <w:r>
        <w:rPr>
          <w:rFonts w:hint="eastAsia" w:ascii="Times New Roman" w:hAnsi="Times New Roman" w:eastAsia="宋体" w:cs="Times New Roman"/>
          <w:color w:val="auto"/>
          <w:szCs w:val="24"/>
          <w:highlight w:val="none"/>
          <w:u w:val="single"/>
        </w:rPr>
        <w:t>2</w:t>
      </w:r>
      <w:r>
        <w:rPr>
          <w:rFonts w:hint="eastAsia" w:cs="Times New Roman"/>
          <w:color w:val="auto"/>
          <w:szCs w:val="24"/>
          <w:highlight w:val="none"/>
          <w:u w:val="single"/>
          <w:lang w:val="en-US" w:eastAsia="zh-CN"/>
        </w:rPr>
        <w:t>8</w:t>
      </w:r>
      <w:r>
        <w:rPr>
          <w:rFonts w:ascii="Times New Roman" w:hAnsi="Times New Roman" w:eastAsia="宋体" w:cs="Times New Roman"/>
          <w:color w:val="auto"/>
          <w:szCs w:val="24"/>
          <w:highlight w:val="none"/>
          <w:u w:val="single"/>
        </w:rPr>
        <w:t>年，项目总投资</w:t>
      </w:r>
      <w:r>
        <w:rPr>
          <w:rFonts w:hint="eastAsia" w:ascii="Times New Roman" w:hAnsi="Times New Roman" w:eastAsia="宋体" w:cs="Times New Roman"/>
          <w:color w:val="auto"/>
          <w:szCs w:val="24"/>
          <w:highlight w:val="none"/>
          <w:u w:val="single"/>
        </w:rPr>
        <w:t>59</w:t>
      </w:r>
      <w:r>
        <w:rPr>
          <w:rFonts w:ascii="Times New Roman" w:hAnsi="Times New Roman" w:eastAsia="宋体" w:cs="Times New Roman"/>
          <w:color w:val="auto"/>
          <w:szCs w:val="24"/>
          <w:highlight w:val="none"/>
          <w:u w:val="single"/>
        </w:rPr>
        <w:t>0万元，其中环保投资</w:t>
      </w:r>
      <w:r>
        <w:rPr>
          <w:rFonts w:hint="eastAsia" w:ascii="Times New Roman" w:hAnsi="Times New Roman" w:eastAsia="宋体" w:cs="Times New Roman"/>
          <w:color w:val="auto"/>
          <w:szCs w:val="24"/>
          <w:highlight w:val="none"/>
          <w:u w:val="single"/>
        </w:rPr>
        <w:t>248</w:t>
      </w:r>
      <w:r>
        <w:rPr>
          <w:rFonts w:ascii="Times New Roman" w:hAnsi="Times New Roman" w:eastAsia="宋体" w:cs="Times New Roman"/>
          <w:color w:val="auto"/>
          <w:szCs w:val="24"/>
          <w:highlight w:val="none"/>
          <w:u w:val="single"/>
        </w:rPr>
        <w:t>万元。</w:t>
      </w:r>
    </w:p>
    <w:p>
      <w:pPr>
        <w:pStyle w:val="4"/>
        <w:rPr>
          <w:rFonts w:ascii="Times New Roman" w:hAnsi="Times New Roman" w:eastAsia="宋体"/>
          <w:color w:val="auto"/>
          <w:highlight w:val="none"/>
        </w:rPr>
      </w:pPr>
      <w:bookmarkStart w:id="583" w:name="_Toc15728"/>
      <w:r>
        <w:rPr>
          <w:rFonts w:ascii="Times New Roman" w:hAnsi="Times New Roman" w:eastAsia="宋体"/>
          <w:color w:val="auto"/>
          <w:highlight w:val="none"/>
        </w:rPr>
        <w:t>8.2 环境质量现状</w:t>
      </w:r>
      <w:bookmarkEnd w:id="583"/>
      <w:r>
        <w:rPr>
          <w:rFonts w:ascii="Times New Roman" w:hAnsi="Times New Roman" w:eastAsia="宋体"/>
          <w:color w:val="auto"/>
          <w:highlight w:val="none"/>
        </w:rPr>
        <w:t xml:space="preserve"> </w:t>
      </w:r>
    </w:p>
    <w:p>
      <w:pPr>
        <w:ind w:firstLine="482"/>
        <w:jc w:val="left"/>
        <w:rPr>
          <w:rFonts w:ascii="Times New Roman" w:hAnsi="Times New Roman" w:eastAsia="宋体" w:cs="Times New Roman"/>
          <w:color w:val="auto"/>
          <w:szCs w:val="24"/>
          <w:highlight w:val="none"/>
        </w:rPr>
      </w:pPr>
      <w:r>
        <w:rPr>
          <w:rFonts w:ascii="Times New Roman" w:hAnsi="Times New Roman" w:eastAsia="宋体" w:cs="Times New Roman"/>
          <w:b/>
          <w:color w:val="auto"/>
          <w:szCs w:val="24"/>
          <w:highlight w:val="none"/>
        </w:rPr>
        <w:t>1</w:t>
      </w:r>
      <w:r>
        <w:rPr>
          <w:rFonts w:ascii="Times New Roman" w:hAnsi="Times New Roman" w:eastAsia="宋体" w:cs="Times New Roman"/>
          <w:color w:val="auto"/>
          <w:szCs w:val="24"/>
          <w:highlight w:val="none"/>
        </w:rPr>
        <w:t xml:space="preserve">、环境空气 </w:t>
      </w:r>
    </w:p>
    <w:p>
      <w:pPr>
        <w:ind w:firstLine="480"/>
        <w:jc w:val="left"/>
        <w:rPr>
          <w:rFonts w:ascii="Times New Roman" w:hAnsi="Times New Roman" w:eastAsia="宋体" w:cs="Times New Roman"/>
          <w:color w:val="auto"/>
          <w:szCs w:val="24"/>
          <w:highlight w:val="none"/>
        </w:rPr>
      </w:pPr>
      <w:r>
        <w:rPr>
          <w:rFonts w:ascii="Times New Roman" w:hAnsi="Times New Roman" w:eastAsia="宋体"/>
          <w:color w:val="auto"/>
          <w:highlight w:val="none"/>
        </w:rPr>
        <w:t>根据</w:t>
      </w:r>
      <w:r>
        <w:rPr>
          <w:rFonts w:hint="eastAsia" w:ascii="Times New Roman" w:hAnsi="Times New Roman" w:eastAsia="宋体"/>
          <w:color w:val="auto"/>
          <w:highlight w:val="none"/>
        </w:rPr>
        <w:t>三江县</w:t>
      </w:r>
      <w:r>
        <w:rPr>
          <w:rFonts w:ascii="Times New Roman" w:hAnsi="Times New Roman" w:eastAsia="宋体"/>
          <w:color w:val="auto"/>
          <w:highlight w:val="none"/>
        </w:rPr>
        <w:t>2018年环境质量</w:t>
      </w:r>
      <w:r>
        <w:rPr>
          <w:rFonts w:hint="eastAsia" w:ascii="Times New Roman" w:hAnsi="Times New Roman" w:eastAsia="宋体"/>
          <w:color w:val="auto"/>
          <w:highlight w:val="none"/>
        </w:rPr>
        <w:t>公报</w:t>
      </w:r>
      <w:r>
        <w:rPr>
          <w:rFonts w:ascii="Times New Roman" w:hAnsi="Times New Roman" w:eastAsia="宋体"/>
          <w:color w:val="auto"/>
          <w:highlight w:val="none"/>
        </w:rPr>
        <w:t>，</w:t>
      </w:r>
      <w:r>
        <w:rPr>
          <w:rFonts w:hint="eastAsia" w:ascii="Times New Roman" w:hAnsi="Times New Roman" w:eastAsia="宋体"/>
          <w:color w:val="auto"/>
          <w:highlight w:val="none"/>
        </w:rPr>
        <w:t>三江县2018年为达标区，</w:t>
      </w:r>
      <w:r>
        <w:rPr>
          <w:rFonts w:ascii="Times New Roman" w:hAnsi="Times New Roman" w:eastAsia="宋体"/>
          <w:color w:val="auto"/>
          <w:highlight w:val="none"/>
        </w:rPr>
        <w:t>评价区域环境空气污染物基本项目满足《环境空气质量标准》（GB</w:t>
      </w:r>
      <w:r>
        <w:rPr>
          <w:rFonts w:hint="eastAsia" w:ascii="Times New Roman" w:hAnsi="Times New Roman" w:eastAsia="宋体"/>
          <w:color w:val="auto"/>
          <w:highlight w:val="none"/>
          <w:lang w:val="en-US" w:eastAsia="zh-CN"/>
        </w:rPr>
        <w:t xml:space="preserve"> </w:t>
      </w:r>
      <w:r>
        <w:rPr>
          <w:rFonts w:ascii="Times New Roman" w:hAnsi="Times New Roman" w:eastAsia="宋体"/>
          <w:color w:val="auto"/>
          <w:highlight w:val="none"/>
        </w:rPr>
        <w:t>3095-2012）</w:t>
      </w:r>
      <w:r>
        <w:rPr>
          <w:rFonts w:ascii="Times New Roman" w:hAnsi="Times New Roman" w:eastAsia="宋体" w:cs="Times New Roman"/>
          <w:color w:val="auto"/>
          <w:szCs w:val="24"/>
          <w:highlight w:val="none"/>
        </w:rPr>
        <w:t>及其修改单二级标准。</w:t>
      </w:r>
      <w:r>
        <w:rPr>
          <w:rFonts w:ascii="Times New Roman" w:hAnsi="Times New Roman" w:eastAsia="宋体"/>
          <w:color w:val="auto"/>
          <w:highlight w:val="none"/>
        </w:rPr>
        <w:t>根据现状监测</w:t>
      </w:r>
      <w:r>
        <w:rPr>
          <w:rFonts w:hint="eastAsia" w:ascii="Times New Roman" w:hAnsi="Times New Roman" w:eastAsia="宋体"/>
          <w:color w:val="auto"/>
          <w:highlight w:val="none"/>
        </w:rPr>
        <w:t>项目区域TSP日均浓度</w:t>
      </w:r>
      <w:r>
        <w:rPr>
          <w:rFonts w:ascii="Times New Roman" w:hAnsi="Times New Roman" w:eastAsia="宋体" w:cs="Times New Roman"/>
          <w:color w:val="auto"/>
          <w:highlight w:val="none"/>
        </w:rPr>
        <w:t>满足《环境空气质量标准》（GB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3095-2012）</w:t>
      </w:r>
      <w:r>
        <w:rPr>
          <w:rFonts w:ascii="Times New Roman" w:hAnsi="Times New Roman" w:eastAsia="宋体" w:cs="Times New Roman"/>
          <w:color w:val="auto"/>
          <w:szCs w:val="24"/>
          <w:highlight w:val="none"/>
        </w:rPr>
        <w:t>及其修改单二级标准。</w:t>
      </w:r>
    </w:p>
    <w:p>
      <w:pPr>
        <w:ind w:firstLine="482"/>
        <w:jc w:val="left"/>
        <w:rPr>
          <w:rFonts w:ascii="Times New Roman" w:hAnsi="Times New Roman" w:eastAsia="宋体" w:cs="Times New Roman"/>
          <w:color w:val="auto"/>
          <w:szCs w:val="24"/>
          <w:highlight w:val="none"/>
        </w:rPr>
      </w:pPr>
      <w:r>
        <w:rPr>
          <w:rFonts w:ascii="Times New Roman" w:hAnsi="Times New Roman" w:eastAsia="宋体" w:cs="Times New Roman"/>
          <w:b/>
          <w:color w:val="auto"/>
          <w:szCs w:val="24"/>
          <w:highlight w:val="none"/>
        </w:rPr>
        <w:t>2</w:t>
      </w:r>
      <w:r>
        <w:rPr>
          <w:rFonts w:ascii="Times New Roman" w:hAnsi="Times New Roman" w:eastAsia="宋体" w:cs="Times New Roman"/>
          <w:color w:val="auto"/>
          <w:szCs w:val="24"/>
          <w:highlight w:val="none"/>
        </w:rPr>
        <w:t xml:space="preserve">、地表水环境 </w:t>
      </w:r>
    </w:p>
    <w:p>
      <w:pPr>
        <w:ind w:firstLine="480"/>
        <w:jc w:val="left"/>
        <w:rPr>
          <w:rFonts w:ascii="Times New Roman" w:hAnsi="Times New Roman" w:eastAsia="宋体" w:cs="Times New Roman"/>
          <w:color w:val="auto"/>
          <w:szCs w:val="24"/>
          <w:highlight w:val="none"/>
        </w:rPr>
      </w:pPr>
      <w:r>
        <w:rPr>
          <w:rFonts w:hint="eastAsia" w:ascii="Times New Roman" w:hAnsi="Times New Roman" w:eastAsia="宋体" w:cs="Times New Roman"/>
          <w:color w:val="auto"/>
          <w:highlight w:val="none"/>
        </w:rPr>
        <w:t>项目区域古宜河水质</w:t>
      </w:r>
      <w:r>
        <w:rPr>
          <w:rFonts w:ascii="Times New Roman" w:hAnsi="Times New Roman" w:eastAsia="宋体" w:cs="Times New Roman"/>
          <w:color w:val="auto"/>
          <w:highlight w:val="none"/>
        </w:rPr>
        <w:t>各监测因子均满足《地表水环境质量标准》（GB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宋体" w:cs="Times New Roman"/>
          <w:color w:val="auto"/>
          <w:highlight w:val="none"/>
        </w:rPr>
        <w:t>3838</w:t>
      </w:r>
      <w:r>
        <w:rPr>
          <w:rFonts w:hint="eastAsia" w:ascii="Times New Roman" w:hAnsi="Times New Roman" w:eastAsia="宋体" w:cs="Times New Roman"/>
          <w:color w:val="auto"/>
          <w:highlight w:val="none"/>
          <w:lang w:val="en-US" w:eastAsia="zh-CN"/>
        </w:rPr>
        <w:t>-</w:t>
      </w:r>
      <w:r>
        <w:rPr>
          <w:rFonts w:ascii="Times New Roman" w:hAnsi="Times New Roman" w:eastAsia="宋体" w:cs="Times New Roman"/>
          <w:color w:val="auto"/>
          <w:highlight w:val="none"/>
        </w:rPr>
        <w:t>2002）Ⅲ类水质标准要求。</w:t>
      </w:r>
      <w:r>
        <w:rPr>
          <w:rFonts w:hint="eastAsia" w:ascii="Times New Roman" w:hAnsi="Times New Roman" w:eastAsia="宋体"/>
          <w:color w:val="auto"/>
          <w:highlight w:val="none"/>
        </w:rPr>
        <w:t>项目区域无名小沟</w:t>
      </w:r>
      <w:r>
        <w:rPr>
          <w:rFonts w:ascii="Times New Roman" w:hAnsi="Times New Roman" w:eastAsia="宋体"/>
          <w:color w:val="auto"/>
          <w:highlight w:val="none"/>
        </w:rPr>
        <w:t>各监测因子均符合《地表水环境质量标准》（GB</w:t>
      </w:r>
      <w:r>
        <w:rPr>
          <w:rFonts w:hint="eastAsia" w:ascii="Times New Roman" w:hAnsi="Times New Roman" w:eastAsia="宋体"/>
          <w:color w:val="auto"/>
          <w:highlight w:val="none"/>
          <w:lang w:val="en-US" w:eastAsia="zh-CN"/>
        </w:rPr>
        <w:t xml:space="preserve"> </w:t>
      </w:r>
      <w:r>
        <w:rPr>
          <w:rFonts w:ascii="Times New Roman" w:hAnsi="Times New Roman" w:eastAsia="宋体"/>
          <w:color w:val="auto"/>
          <w:highlight w:val="none"/>
        </w:rPr>
        <w:t>3838-2002）Ⅲ类标准要求</w:t>
      </w:r>
      <w:r>
        <w:rPr>
          <w:rFonts w:ascii="Times New Roman" w:hAnsi="Times New Roman" w:eastAsia="宋体" w:cs="Times New Roman"/>
          <w:color w:val="auto"/>
          <w:highlight w:val="none"/>
        </w:rPr>
        <w:t>。</w:t>
      </w:r>
    </w:p>
    <w:p>
      <w:pPr>
        <w:ind w:firstLine="482"/>
        <w:jc w:val="left"/>
        <w:rPr>
          <w:rFonts w:ascii="Times New Roman" w:hAnsi="Times New Roman" w:eastAsia="宋体" w:cs="Times New Roman"/>
          <w:color w:val="auto"/>
          <w:szCs w:val="24"/>
          <w:highlight w:val="none"/>
        </w:rPr>
      </w:pPr>
      <w:r>
        <w:rPr>
          <w:rFonts w:ascii="Times New Roman" w:hAnsi="Times New Roman" w:eastAsia="宋体" w:cs="Times New Roman"/>
          <w:b/>
          <w:color w:val="auto"/>
          <w:szCs w:val="24"/>
          <w:highlight w:val="none"/>
        </w:rPr>
        <w:t>3</w:t>
      </w:r>
      <w:r>
        <w:rPr>
          <w:rFonts w:ascii="Times New Roman" w:hAnsi="Times New Roman" w:eastAsia="宋体" w:cs="Times New Roman"/>
          <w:color w:val="auto"/>
          <w:szCs w:val="24"/>
          <w:highlight w:val="none"/>
        </w:rPr>
        <w:t xml:space="preserve">、声环境 </w:t>
      </w:r>
    </w:p>
    <w:p>
      <w:pPr>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根据项目声环境质量监测结果，项目厂界四周昼间、夜间噪声均达到《声环境质量标准》（GB</w:t>
      </w:r>
      <w:r>
        <w:rPr>
          <w:rFonts w:hint="eastAsia" w:ascii="Times New Roman" w:hAnsi="Times New Roman" w:eastAsia="宋体" w:cs="Times New Roman"/>
          <w:color w:val="auto"/>
          <w:szCs w:val="24"/>
          <w:highlight w:val="none"/>
          <w:lang w:val="en-US" w:eastAsia="zh-CN"/>
        </w:rPr>
        <w:t xml:space="preserve"> </w:t>
      </w:r>
      <w:r>
        <w:rPr>
          <w:rFonts w:ascii="Times New Roman" w:hAnsi="Times New Roman" w:eastAsia="宋体" w:cs="Times New Roman"/>
          <w:color w:val="auto"/>
          <w:szCs w:val="24"/>
          <w:highlight w:val="none"/>
        </w:rPr>
        <w:t xml:space="preserve">3096-2008）2类标准要求。 </w:t>
      </w:r>
    </w:p>
    <w:p>
      <w:pPr>
        <w:ind w:firstLine="482"/>
        <w:jc w:val="left"/>
        <w:rPr>
          <w:rFonts w:ascii="Times New Roman" w:hAnsi="Times New Roman" w:eastAsia="宋体" w:cs="Times New Roman"/>
          <w:color w:val="auto"/>
          <w:szCs w:val="24"/>
          <w:highlight w:val="none"/>
        </w:rPr>
      </w:pPr>
      <w:r>
        <w:rPr>
          <w:rFonts w:hint="eastAsia" w:ascii="Times New Roman" w:hAnsi="Times New Roman" w:eastAsia="宋体" w:cs="Times New Roman"/>
          <w:b/>
          <w:color w:val="auto"/>
          <w:szCs w:val="24"/>
          <w:highlight w:val="none"/>
        </w:rPr>
        <w:t>4</w:t>
      </w:r>
      <w:r>
        <w:rPr>
          <w:rFonts w:ascii="Times New Roman" w:hAnsi="Times New Roman" w:eastAsia="宋体" w:cs="Times New Roman"/>
          <w:color w:val="auto"/>
          <w:szCs w:val="24"/>
          <w:highlight w:val="none"/>
        </w:rPr>
        <w:t>、生态环境</w:t>
      </w:r>
    </w:p>
    <w:p>
      <w:pPr>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项目区域主要生态系统类型为自然生态系统，区域植被主要是灌木丛、灌草丛以及农作物等，植被种类较单一，动物种类也多为常见的物种，生态系统的组成成分较简单，区域范围内农作物生产良好。总体上，项目区域生态环境质量一般。</w:t>
      </w:r>
    </w:p>
    <w:p>
      <w:pPr>
        <w:pStyle w:val="4"/>
        <w:rPr>
          <w:rFonts w:ascii="Times New Roman" w:hAnsi="Times New Roman" w:eastAsia="宋体"/>
          <w:color w:val="auto"/>
          <w:highlight w:val="none"/>
        </w:rPr>
      </w:pPr>
      <w:bookmarkStart w:id="584" w:name="_Toc15552"/>
      <w:r>
        <w:rPr>
          <w:rFonts w:ascii="Times New Roman" w:hAnsi="Times New Roman" w:eastAsia="宋体"/>
          <w:color w:val="auto"/>
          <w:highlight w:val="none"/>
        </w:rPr>
        <w:t>8.3 污染物排放情况</w:t>
      </w:r>
      <w:bookmarkEnd w:id="584"/>
    </w:p>
    <w:p>
      <w:pPr>
        <w:pStyle w:val="5"/>
        <w:rPr>
          <w:rFonts w:ascii="Times New Roman" w:hAnsi="Times New Roman" w:eastAsia="宋体"/>
          <w:color w:val="auto"/>
          <w:highlight w:val="none"/>
        </w:rPr>
      </w:pPr>
      <w:r>
        <w:rPr>
          <w:rFonts w:ascii="Times New Roman" w:hAnsi="Times New Roman" w:eastAsia="宋体"/>
          <w:color w:val="auto"/>
          <w:highlight w:val="none"/>
        </w:rPr>
        <w:t>8.3.1 施工期</w:t>
      </w:r>
    </w:p>
    <w:p>
      <w:pPr>
        <w:widowControl/>
        <w:ind w:firstLine="480"/>
        <w:rPr>
          <w:rFonts w:ascii="Times New Roman" w:hAnsi="Times New Roman" w:eastAsia="宋体" w:cs="Times New Roman"/>
          <w:color w:val="auto"/>
          <w:szCs w:val="32"/>
          <w:highlight w:val="none"/>
        </w:rPr>
      </w:pPr>
      <w:r>
        <w:rPr>
          <w:rFonts w:ascii="Times New Roman" w:hAnsi="Times New Roman" w:eastAsia="宋体" w:cs="Times New Roman"/>
          <w:color w:val="auto"/>
          <w:szCs w:val="32"/>
          <w:highlight w:val="none"/>
        </w:rPr>
        <w:t>1、废气</w:t>
      </w:r>
    </w:p>
    <w:p>
      <w:pPr>
        <w:widowControl/>
        <w:ind w:firstLine="480"/>
        <w:rPr>
          <w:rFonts w:ascii="Times New Roman" w:hAnsi="Times New Roman" w:eastAsia="宋体" w:cs="Times New Roman"/>
          <w:color w:val="auto"/>
          <w:szCs w:val="32"/>
          <w:highlight w:val="none"/>
        </w:rPr>
      </w:pPr>
      <w:r>
        <w:rPr>
          <w:rFonts w:ascii="Times New Roman" w:hAnsi="Times New Roman" w:eastAsia="宋体" w:cs="Times New Roman"/>
          <w:color w:val="auto"/>
          <w:szCs w:val="32"/>
          <w:highlight w:val="none"/>
        </w:rPr>
        <w:t>施工期废气污染主要来源于施工扬尘、工程机械废气及车辆废气。</w:t>
      </w:r>
    </w:p>
    <w:p>
      <w:pPr>
        <w:widowControl/>
        <w:ind w:firstLine="480"/>
        <w:rPr>
          <w:rFonts w:ascii="Times New Roman" w:hAnsi="Times New Roman" w:eastAsia="宋体" w:cs="Times New Roman"/>
          <w:color w:val="auto"/>
          <w:szCs w:val="32"/>
          <w:highlight w:val="none"/>
        </w:rPr>
      </w:pPr>
      <w:r>
        <w:rPr>
          <w:rFonts w:ascii="Times New Roman" w:hAnsi="Times New Roman" w:eastAsia="宋体" w:cs="Times New Roman"/>
          <w:color w:val="auto"/>
          <w:szCs w:val="32"/>
          <w:highlight w:val="none"/>
        </w:rPr>
        <w:t>2、废水</w:t>
      </w:r>
    </w:p>
    <w:p>
      <w:pPr>
        <w:ind w:firstLine="480"/>
        <w:rPr>
          <w:rFonts w:ascii="Times New Roman" w:hAnsi="Times New Roman" w:eastAsia="宋体" w:cs="Times New Roman"/>
          <w:color w:val="auto"/>
          <w:szCs w:val="32"/>
          <w:highlight w:val="none"/>
        </w:rPr>
      </w:pPr>
      <w:r>
        <w:rPr>
          <w:rFonts w:ascii="Times New Roman" w:hAnsi="Times New Roman" w:eastAsia="宋体" w:cs="Times New Roman"/>
          <w:color w:val="auto"/>
          <w:szCs w:val="32"/>
          <w:highlight w:val="none"/>
        </w:rPr>
        <w:t>施工期废水主要包括施工废水、生活污水。其中</w:t>
      </w:r>
      <w:r>
        <w:rPr>
          <w:rFonts w:ascii="Times New Roman" w:hAnsi="Times New Roman" w:eastAsia="宋体" w:cs="Times New Roman"/>
          <w:color w:val="auto"/>
          <w:kern w:val="0"/>
          <w:szCs w:val="24"/>
          <w:highlight w:val="none"/>
        </w:rPr>
        <w:t>施工废水通过沟渠排入沉砂池，用于场地洒水降尘，对环境的影响较小。</w:t>
      </w:r>
      <w:r>
        <w:rPr>
          <w:rFonts w:ascii="Times New Roman" w:hAnsi="Times New Roman" w:eastAsia="宋体" w:cs="Times New Roman"/>
          <w:color w:val="auto"/>
          <w:szCs w:val="24"/>
          <w:highlight w:val="none"/>
        </w:rPr>
        <w:t>施工期生活污水量</w:t>
      </w:r>
      <w:r>
        <w:rPr>
          <w:rFonts w:hint="eastAsia" w:ascii="Times New Roman" w:hAnsi="Times New Roman" w:eastAsia="宋体" w:cs="Times New Roman"/>
          <w:color w:val="auto"/>
          <w:szCs w:val="24"/>
          <w:highlight w:val="none"/>
        </w:rPr>
        <w:t>4.8</w:t>
      </w:r>
      <w:r>
        <w:rPr>
          <w:rFonts w:ascii="Times New Roman" w:hAnsi="Times New Roman" w:eastAsia="宋体" w:cs="Times New Roman"/>
          <w:color w:val="auto"/>
          <w:szCs w:val="24"/>
          <w:highlight w:val="none"/>
        </w:rPr>
        <w:t>m</w:t>
      </w:r>
      <w:r>
        <w:rPr>
          <w:rFonts w:ascii="Times New Roman" w:hAnsi="Times New Roman" w:eastAsia="宋体" w:cs="Times New Roman"/>
          <w:color w:val="auto"/>
          <w:szCs w:val="24"/>
          <w:highlight w:val="none"/>
          <w:vertAlign w:val="superscript"/>
        </w:rPr>
        <w:t>3</w:t>
      </w:r>
      <w:r>
        <w:rPr>
          <w:rFonts w:ascii="Times New Roman" w:hAnsi="Times New Roman" w:eastAsia="宋体" w:cs="Times New Roman"/>
          <w:color w:val="auto"/>
          <w:szCs w:val="24"/>
          <w:highlight w:val="none"/>
        </w:rPr>
        <w:t>/d，</w:t>
      </w:r>
      <w:r>
        <w:rPr>
          <w:rFonts w:ascii="Times New Roman" w:hAnsi="Times New Roman" w:eastAsia="宋体" w:cs="Times New Roman"/>
          <w:bCs/>
          <w:color w:val="auto"/>
          <w:szCs w:val="24"/>
          <w:highlight w:val="none"/>
        </w:rPr>
        <w:t>生活污水</w:t>
      </w:r>
      <w:r>
        <w:rPr>
          <w:rFonts w:ascii="Times New Roman" w:hAnsi="Times New Roman" w:eastAsia="宋体" w:cs="Times New Roman"/>
          <w:color w:val="auto"/>
          <w:szCs w:val="24"/>
          <w:highlight w:val="none"/>
        </w:rPr>
        <w:t>中主要污染物为COD、BOD</w:t>
      </w:r>
      <w:r>
        <w:rPr>
          <w:rFonts w:ascii="Times New Roman" w:hAnsi="Times New Roman" w:eastAsia="宋体" w:cs="Times New Roman"/>
          <w:color w:val="auto"/>
          <w:szCs w:val="24"/>
          <w:highlight w:val="none"/>
          <w:vertAlign w:val="subscript"/>
        </w:rPr>
        <w:t>5</w:t>
      </w:r>
      <w:r>
        <w:rPr>
          <w:rFonts w:ascii="Times New Roman" w:hAnsi="Times New Roman" w:eastAsia="宋体" w:cs="Times New Roman"/>
          <w:color w:val="auto"/>
          <w:szCs w:val="24"/>
          <w:highlight w:val="none"/>
        </w:rPr>
        <w:t>、NH</w:t>
      </w:r>
      <w:r>
        <w:rPr>
          <w:rFonts w:ascii="Times New Roman" w:hAnsi="Times New Roman" w:eastAsia="宋体" w:cs="Times New Roman"/>
          <w:color w:val="auto"/>
          <w:szCs w:val="24"/>
          <w:highlight w:val="none"/>
          <w:vertAlign w:val="subscript"/>
        </w:rPr>
        <w:t>3</w:t>
      </w:r>
      <w:r>
        <w:rPr>
          <w:rFonts w:ascii="Times New Roman" w:hAnsi="Times New Roman" w:eastAsia="宋体" w:cs="Times New Roman"/>
          <w:color w:val="auto"/>
          <w:szCs w:val="24"/>
          <w:highlight w:val="none"/>
        </w:rPr>
        <w:t>-N、SS，生活污水经化粪池处理后</w:t>
      </w:r>
      <w:r>
        <w:rPr>
          <w:rFonts w:ascii="Times New Roman" w:hAnsi="Times New Roman" w:eastAsia="宋体" w:cs="Times New Roman"/>
          <w:bCs/>
          <w:color w:val="auto"/>
          <w:szCs w:val="24"/>
          <w:highlight w:val="none"/>
        </w:rPr>
        <w:t>，</w:t>
      </w:r>
      <w:r>
        <w:rPr>
          <w:rFonts w:ascii="Times New Roman" w:hAnsi="Times New Roman" w:eastAsia="宋体" w:cs="Times New Roman"/>
          <w:color w:val="auto"/>
          <w:szCs w:val="24"/>
          <w:highlight w:val="none"/>
        </w:rPr>
        <w:t>用于周边旱地施肥。</w:t>
      </w:r>
    </w:p>
    <w:p>
      <w:pPr>
        <w:widowControl/>
        <w:ind w:firstLine="480"/>
        <w:rPr>
          <w:rFonts w:ascii="Times New Roman" w:hAnsi="Times New Roman" w:eastAsia="宋体" w:cs="Times New Roman"/>
          <w:color w:val="auto"/>
          <w:szCs w:val="32"/>
          <w:highlight w:val="none"/>
        </w:rPr>
      </w:pPr>
      <w:r>
        <w:rPr>
          <w:rFonts w:ascii="Times New Roman" w:hAnsi="Times New Roman" w:eastAsia="宋体" w:cs="Times New Roman"/>
          <w:color w:val="auto"/>
          <w:szCs w:val="32"/>
          <w:highlight w:val="none"/>
        </w:rPr>
        <w:t>3、噪声</w:t>
      </w:r>
    </w:p>
    <w:p>
      <w:pPr>
        <w:ind w:firstLine="480"/>
        <w:rPr>
          <w:rFonts w:ascii="Times New Roman" w:hAnsi="Times New Roman" w:eastAsia="宋体" w:cs="Times New Roman"/>
          <w:color w:val="auto"/>
          <w:szCs w:val="32"/>
          <w:highlight w:val="none"/>
        </w:rPr>
      </w:pPr>
      <w:r>
        <w:rPr>
          <w:rFonts w:ascii="Times New Roman" w:hAnsi="Times New Roman" w:eastAsia="宋体" w:cs="Times New Roman"/>
          <w:color w:val="auto"/>
          <w:szCs w:val="32"/>
          <w:highlight w:val="none"/>
        </w:rPr>
        <w:t>施工期的噪声主要来源于施工现场的各类机械设备和物料运输的交通噪声。噪声源强在85⁓90dB(A)之间。</w:t>
      </w:r>
    </w:p>
    <w:p>
      <w:pPr>
        <w:widowControl/>
        <w:ind w:firstLine="480"/>
        <w:rPr>
          <w:rFonts w:ascii="Times New Roman" w:hAnsi="Times New Roman" w:eastAsia="宋体" w:cs="Times New Roman"/>
          <w:color w:val="auto"/>
          <w:szCs w:val="32"/>
          <w:highlight w:val="none"/>
        </w:rPr>
      </w:pPr>
      <w:r>
        <w:rPr>
          <w:rFonts w:ascii="Times New Roman" w:hAnsi="Times New Roman" w:eastAsia="宋体" w:cs="Times New Roman"/>
          <w:color w:val="auto"/>
          <w:szCs w:val="32"/>
          <w:highlight w:val="none"/>
        </w:rPr>
        <w:t>4、固体废物</w:t>
      </w:r>
    </w:p>
    <w:p>
      <w:pPr>
        <w:ind w:firstLine="480"/>
        <w:rPr>
          <w:rFonts w:ascii="Times New Roman" w:hAnsi="Times New Roman" w:eastAsia="宋体" w:cs="Times New Roman"/>
          <w:color w:val="auto"/>
          <w:szCs w:val="32"/>
          <w:highlight w:val="none"/>
        </w:rPr>
      </w:pPr>
      <w:r>
        <w:rPr>
          <w:rFonts w:ascii="Times New Roman" w:hAnsi="Times New Roman" w:eastAsia="宋体" w:cs="Times New Roman"/>
          <w:color w:val="auto"/>
          <w:szCs w:val="24"/>
          <w:highlight w:val="none"/>
        </w:rPr>
        <w:t>项目施工过程产生残砖、废弃混凝土、废旧设备等，产生量约为</w:t>
      </w:r>
      <w:r>
        <w:rPr>
          <w:rFonts w:hint="eastAsia" w:ascii="Times New Roman" w:hAnsi="Times New Roman" w:eastAsia="宋体" w:cs="Times New Roman"/>
          <w:color w:val="auto"/>
          <w:szCs w:val="24"/>
          <w:highlight w:val="none"/>
        </w:rPr>
        <w:t>7</w:t>
      </w:r>
      <w:r>
        <w:rPr>
          <w:rFonts w:ascii="Times New Roman" w:hAnsi="Times New Roman" w:eastAsia="宋体" w:cs="Times New Roman"/>
          <w:color w:val="auto"/>
          <w:szCs w:val="24"/>
          <w:highlight w:val="none"/>
        </w:rPr>
        <w:t>5t，残砖、废弃混凝土全部用于进场道路的建设，废旧设备收集后外卖。生活垃圾产生量约</w:t>
      </w:r>
      <w:r>
        <w:rPr>
          <w:rFonts w:ascii="Times New Roman" w:hAnsi="Times New Roman" w:eastAsia="宋体" w:cs="Times New Roman"/>
          <w:color w:val="auto"/>
          <w:szCs w:val="20"/>
          <w:highlight w:val="none"/>
        </w:rPr>
        <w:t>为</w:t>
      </w:r>
      <w:r>
        <w:rPr>
          <w:rFonts w:hint="eastAsia" w:ascii="Times New Roman" w:hAnsi="Times New Roman" w:eastAsia="宋体" w:cs="Times New Roman"/>
          <w:color w:val="auto"/>
          <w:szCs w:val="20"/>
          <w:highlight w:val="none"/>
        </w:rPr>
        <w:t>4</w:t>
      </w:r>
      <w:r>
        <w:rPr>
          <w:rFonts w:ascii="Times New Roman" w:hAnsi="Times New Roman" w:eastAsia="宋体" w:cs="Times New Roman"/>
          <w:color w:val="auto"/>
          <w:szCs w:val="20"/>
          <w:highlight w:val="none"/>
        </w:rPr>
        <w:t>0kg/d。生活垃圾</w:t>
      </w:r>
      <w:r>
        <w:rPr>
          <w:rFonts w:ascii="Times New Roman" w:hAnsi="Times New Roman" w:eastAsia="宋体" w:cs="Times New Roman"/>
          <w:color w:val="auto"/>
          <w:szCs w:val="24"/>
          <w:highlight w:val="none"/>
        </w:rPr>
        <w:t>收集后由环卫部门处理</w:t>
      </w:r>
      <w:r>
        <w:rPr>
          <w:rFonts w:ascii="Times New Roman" w:hAnsi="Times New Roman" w:eastAsia="宋体" w:cs="Times New Roman"/>
          <w:color w:val="auto"/>
          <w:highlight w:val="none"/>
        </w:rPr>
        <w:t>。</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5、生态影响</w:t>
      </w:r>
    </w:p>
    <w:p>
      <w:pPr>
        <w:ind w:firstLine="480"/>
        <w:rPr>
          <w:rFonts w:ascii="Times New Roman" w:hAnsi="Times New Roman" w:eastAsia="宋体" w:cs="Times New Roman"/>
          <w:color w:val="auto"/>
          <w:szCs w:val="32"/>
          <w:highlight w:val="none"/>
        </w:rPr>
      </w:pPr>
      <w:r>
        <w:rPr>
          <w:rFonts w:ascii="Times New Roman" w:hAnsi="Times New Roman" w:eastAsia="宋体" w:cs="Times New Roman"/>
          <w:color w:val="auto"/>
          <w:szCs w:val="24"/>
          <w:highlight w:val="none"/>
        </w:rPr>
        <w:t>项目施工期占用少量荒地，施工过程植被遭到破坏，裸露的土地经雨水冲刷，易造成水土流失。</w:t>
      </w:r>
    </w:p>
    <w:p>
      <w:pPr>
        <w:pStyle w:val="5"/>
        <w:rPr>
          <w:rFonts w:ascii="Times New Roman" w:hAnsi="Times New Roman" w:eastAsia="宋体"/>
          <w:color w:val="auto"/>
          <w:highlight w:val="none"/>
        </w:rPr>
      </w:pPr>
      <w:r>
        <w:rPr>
          <w:rFonts w:ascii="Times New Roman" w:hAnsi="Times New Roman" w:eastAsia="宋体"/>
          <w:color w:val="auto"/>
          <w:highlight w:val="none"/>
        </w:rPr>
        <w:t>8.3.2 运营期</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项目运营期污染物排放情况详见表8.3-1。</w:t>
      </w:r>
    </w:p>
    <w:p>
      <w:pPr>
        <w:spacing w:line="240" w:lineRule="auto"/>
        <w:ind w:firstLine="482"/>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表8.3-1 项目主要污染源污染物产排情况汇总一览表</w:t>
      </w:r>
    </w:p>
    <w:tbl>
      <w:tblPr>
        <w:tblStyle w:val="48"/>
        <w:tblW w:w="9076" w:type="dxa"/>
        <w:jc w:val="center"/>
        <w:tblInd w:w="0" w:type="dxa"/>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
      <w:tblGrid>
        <w:gridCol w:w="742"/>
        <w:gridCol w:w="524"/>
        <w:gridCol w:w="1919"/>
        <w:gridCol w:w="1260"/>
        <w:gridCol w:w="1455"/>
        <w:gridCol w:w="1530"/>
        <w:gridCol w:w="1636"/>
        <w:gridCol w:w="10"/>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类别</w:t>
            </w:r>
          </w:p>
        </w:tc>
        <w:tc>
          <w:tcPr>
            <w:tcW w:w="2443"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污染源</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污染物</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产生量（t/a）</w:t>
            </w:r>
          </w:p>
        </w:tc>
        <w:tc>
          <w:tcPr>
            <w:tcW w:w="1530" w:type="dxa"/>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削减量（t/a）</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排放量（t/a）</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废气</w:t>
            </w:r>
          </w:p>
        </w:tc>
        <w:tc>
          <w:tcPr>
            <w:tcW w:w="524"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无组织</w:t>
            </w:r>
          </w:p>
        </w:tc>
        <w:tc>
          <w:tcPr>
            <w:tcW w:w="191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表土剥离</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少量</w:t>
            </w:r>
          </w:p>
        </w:tc>
        <w:tc>
          <w:tcPr>
            <w:tcW w:w="15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少量</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少量</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凿岩钻孔</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w:t>
            </w:r>
            <w:r>
              <w:rPr>
                <w:rFonts w:ascii="Times New Roman" w:hAnsi="Times New Roman" w:eastAsia="宋体" w:cs="Times New Roman"/>
                <w:color w:val="auto"/>
                <w:sz w:val="21"/>
                <w:highlight w:val="none"/>
              </w:rPr>
              <w:t>.0</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1.8</w:t>
            </w:r>
          </w:p>
        </w:tc>
        <w:tc>
          <w:tcPr>
            <w:tcW w:w="1646" w:type="dxa"/>
            <w:gridSpan w:val="2"/>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vMerge w:val="restart"/>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爆破</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5.117</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5.117</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hint="eastAsia" w:ascii="Times New Roman" w:hAnsi="Times New Roman" w:eastAsia="宋体" w:cs="Times New Roman"/>
                <w:bCs/>
                <w:color w:val="auto"/>
                <w:sz w:val="21"/>
                <w:highlight w:val="none"/>
              </w:rPr>
              <w:t>1.325</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bCs/>
                <w:color w:val="auto"/>
                <w:sz w:val="21"/>
                <w:highlight w:val="none"/>
              </w:rPr>
            </w:pPr>
            <w:r>
              <w:rPr>
                <w:rFonts w:hint="eastAsia" w:ascii="Times New Roman" w:hAnsi="Times New Roman" w:eastAsia="宋体" w:cs="Times New Roman"/>
                <w:bCs/>
                <w:color w:val="auto"/>
                <w:sz w:val="21"/>
                <w:highlight w:val="none"/>
              </w:rPr>
              <w:t>1.325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vMerge w:val="continue"/>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40</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28</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采装</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5</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3.5</w:t>
            </w:r>
          </w:p>
        </w:tc>
        <w:tc>
          <w:tcPr>
            <w:tcW w:w="1646" w:type="dxa"/>
            <w:gridSpan w:val="2"/>
            <w:noWrap w:val="0"/>
            <w:vAlign w:val="center"/>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1.5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widowControl/>
              <w:adjustRightInd w:val="0"/>
              <w:snapToGrid w:val="0"/>
              <w:spacing w:line="240" w:lineRule="auto"/>
              <w:ind w:firstLine="0" w:firstLineChars="0"/>
              <w:jc w:val="center"/>
              <w:rPr>
                <w:rFonts w:ascii="Times New Roman" w:hAnsi="Times New Roman" w:eastAsia="宋体"/>
                <w:color w:val="auto"/>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①</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1.875</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1.687</w:t>
            </w:r>
          </w:p>
        </w:tc>
        <w:tc>
          <w:tcPr>
            <w:tcW w:w="1646" w:type="dxa"/>
            <w:gridSpan w:val="2"/>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0.188</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widowControl/>
              <w:adjustRightInd w:val="0"/>
              <w:snapToGrid w:val="0"/>
              <w:spacing w:line="240" w:lineRule="auto"/>
              <w:ind w:firstLine="0" w:firstLineChars="0"/>
              <w:jc w:val="center"/>
              <w:rPr>
                <w:rFonts w:ascii="Times New Roman" w:hAnsi="Times New Roman" w:eastAsia="宋体"/>
                <w:color w:val="auto"/>
                <w:highlight w:val="none"/>
              </w:rPr>
            </w:pPr>
            <w:r>
              <w:rPr>
                <w:rFonts w:hint="eastAsia" w:ascii="Times New Roman" w:hAnsi="Times New Roman" w:eastAsia="宋体" w:cs="Times New Roman"/>
                <w:color w:val="auto"/>
                <w:sz w:val="21"/>
                <w:highlight w:val="none"/>
              </w:rPr>
              <w:t>二级破碎①</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3.75</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3.375</w:t>
            </w:r>
          </w:p>
        </w:tc>
        <w:tc>
          <w:tcPr>
            <w:tcW w:w="1646" w:type="dxa"/>
            <w:gridSpan w:val="2"/>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0.375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widowControl/>
              <w:adjustRightInd w:val="0"/>
              <w:snapToGrid w:val="0"/>
              <w:spacing w:line="240" w:lineRule="auto"/>
              <w:ind w:firstLine="0" w:firstLineChars="0"/>
              <w:jc w:val="center"/>
              <w:rPr>
                <w:rFonts w:ascii="Times New Roman" w:hAnsi="Times New Roman" w:eastAsia="宋体"/>
                <w:color w:val="auto"/>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①</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7.5</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6.75</w:t>
            </w:r>
          </w:p>
        </w:tc>
        <w:tc>
          <w:tcPr>
            <w:tcW w:w="1646" w:type="dxa"/>
            <w:gridSpan w:val="2"/>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0.75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widowControl/>
              <w:adjustRightInd w:val="0"/>
              <w:snapToGrid w:val="0"/>
              <w:spacing w:line="240" w:lineRule="auto"/>
              <w:ind w:firstLine="0" w:firstLineChars="0"/>
              <w:jc w:val="center"/>
              <w:rPr>
                <w:rFonts w:ascii="Times New Roman" w:hAnsi="Times New Roman" w:eastAsia="宋体"/>
                <w:color w:val="auto"/>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②</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1.875</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1.687</w:t>
            </w:r>
          </w:p>
        </w:tc>
        <w:tc>
          <w:tcPr>
            <w:tcW w:w="1646" w:type="dxa"/>
            <w:gridSpan w:val="2"/>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0.188</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widowControl/>
              <w:adjustRightInd w:val="0"/>
              <w:snapToGrid w:val="0"/>
              <w:spacing w:line="240" w:lineRule="auto"/>
              <w:ind w:firstLine="0" w:firstLineChars="0"/>
              <w:jc w:val="center"/>
              <w:rPr>
                <w:rFonts w:ascii="Times New Roman" w:hAnsi="Times New Roman" w:eastAsia="宋体"/>
                <w:color w:val="auto"/>
                <w:highlight w:val="none"/>
              </w:rPr>
            </w:pPr>
            <w:r>
              <w:rPr>
                <w:rFonts w:hint="eastAsia" w:ascii="Times New Roman" w:hAnsi="Times New Roman" w:eastAsia="宋体" w:cs="Times New Roman"/>
                <w:color w:val="auto"/>
                <w:sz w:val="21"/>
                <w:highlight w:val="none"/>
              </w:rPr>
              <w:t>二级破碎筛分</w:t>
            </w:r>
            <w:r>
              <w:rPr>
                <w:rFonts w:hint="eastAsia" w:ascii="Times New Roman" w:hAnsi="Times New Roman" w:eastAsia="宋体"/>
                <w:color w:val="auto"/>
                <w:sz w:val="21"/>
                <w:highlight w:val="none"/>
              </w:rPr>
              <w:t>②</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3.75</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3.375</w:t>
            </w:r>
          </w:p>
        </w:tc>
        <w:tc>
          <w:tcPr>
            <w:tcW w:w="1646" w:type="dxa"/>
            <w:gridSpan w:val="2"/>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0.375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widowControl/>
              <w:adjustRightInd w:val="0"/>
              <w:snapToGrid w:val="0"/>
              <w:spacing w:line="240" w:lineRule="auto"/>
              <w:ind w:firstLine="0" w:firstLineChars="0"/>
              <w:jc w:val="center"/>
              <w:rPr>
                <w:rFonts w:ascii="Times New Roman" w:hAnsi="Times New Roman" w:eastAsia="宋体"/>
                <w:color w:val="auto"/>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②</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0.75</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0.675</w:t>
            </w:r>
          </w:p>
        </w:tc>
        <w:tc>
          <w:tcPr>
            <w:tcW w:w="1646" w:type="dxa"/>
            <w:gridSpan w:val="2"/>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0.075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落料</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35</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0.262</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088</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装卸</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279</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0.195</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084</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堆料场①</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0.166</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0.083</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083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堆料场②</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125</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0.063</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062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s="Times New Roman"/>
                <w:color w:val="auto"/>
                <w:sz w:val="21"/>
                <w:highlight w:val="none"/>
              </w:rPr>
              <w:t>③</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0.125</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0.063</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0.062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④</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0.083</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0.041</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0.042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⑤</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0.166</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0.083</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083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⑥</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125</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0.063</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062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⑦</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0.125</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0.063</w:t>
            </w:r>
          </w:p>
        </w:tc>
        <w:tc>
          <w:tcPr>
            <w:tcW w:w="1646" w:type="dxa"/>
            <w:gridSpan w:val="2"/>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0.062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堆料场</w:t>
            </w:r>
            <w:r>
              <w:rPr>
                <w:rFonts w:hint="eastAsia" w:ascii="Times New Roman" w:hAnsi="Times New Roman" w:eastAsia="宋体"/>
                <w:color w:val="auto"/>
                <w:sz w:val="21"/>
                <w:highlight w:val="none"/>
              </w:rPr>
              <w:t>⑧</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0.083</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0.041</w:t>
            </w:r>
          </w:p>
        </w:tc>
        <w:tc>
          <w:tcPr>
            <w:tcW w:w="1646" w:type="dxa"/>
            <w:gridSpan w:val="2"/>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0.042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临时排土场</w:t>
            </w:r>
            <w:r>
              <w:rPr>
                <w:rFonts w:hint="eastAsia" w:ascii="Times New Roman" w:hAnsi="Times New Roman" w:eastAsia="宋体"/>
                <w:color w:val="auto"/>
                <w:sz w:val="21"/>
                <w:highlight w:val="none"/>
              </w:rPr>
              <w:t>①</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166</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0.083</w:t>
            </w:r>
          </w:p>
        </w:tc>
        <w:tc>
          <w:tcPr>
            <w:tcW w:w="1646" w:type="dxa"/>
            <w:gridSpan w:val="2"/>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0.</w:t>
            </w:r>
            <w:r>
              <w:rPr>
                <w:rFonts w:hint="eastAsia" w:ascii="Times New Roman" w:hAnsi="Times New Roman" w:eastAsia="宋体" w:cs="Times New Roman"/>
                <w:color w:val="auto"/>
                <w:kern w:val="0"/>
                <w:sz w:val="21"/>
                <w:highlight w:val="none"/>
              </w:rPr>
              <w:t>083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临时排土场</w:t>
            </w:r>
            <w:r>
              <w:rPr>
                <w:rFonts w:hint="eastAsia" w:ascii="Times New Roman" w:hAnsi="Times New Roman" w:eastAsia="宋体"/>
                <w:color w:val="auto"/>
                <w:sz w:val="21"/>
                <w:highlight w:val="none"/>
              </w:rPr>
              <w:t>②</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0.166</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0.083</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kern w:val="0"/>
                <w:sz w:val="21"/>
                <w:highlight w:val="none"/>
              </w:rPr>
              <w:t>0.083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道路扬尘</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kern w:val="0"/>
                <w:sz w:val="21"/>
                <w:highlight w:val="none"/>
              </w:rPr>
              <w:t>1.</w:t>
            </w:r>
            <w:r>
              <w:rPr>
                <w:rFonts w:hint="eastAsia" w:ascii="Times New Roman" w:hAnsi="Times New Roman" w:eastAsia="宋体" w:cs="Times New Roman"/>
                <w:color w:val="auto"/>
                <w:kern w:val="0"/>
                <w:sz w:val="21"/>
                <w:highlight w:val="none"/>
              </w:rPr>
              <w:t>468</w:t>
            </w:r>
          </w:p>
        </w:tc>
        <w:tc>
          <w:tcPr>
            <w:tcW w:w="1530" w:type="dxa"/>
            <w:noWrap w:val="0"/>
            <w:vAlign w:val="bottom"/>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0.881</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0.587</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汽车尾气</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pacing w:val="2"/>
                <w:sz w:val="21"/>
                <w:highlight w:val="none"/>
              </w:rPr>
              <w:t>CO</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643</w:t>
            </w:r>
          </w:p>
        </w:tc>
        <w:tc>
          <w:tcPr>
            <w:tcW w:w="1530" w:type="dxa"/>
            <w:noWrap w:val="0"/>
            <w:vAlign w:val="center"/>
          </w:tcPr>
          <w:p>
            <w:pPr>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643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pacing w:val="2"/>
                <w:sz w:val="21"/>
                <w:highlight w:val="none"/>
              </w:rPr>
              <w:t>HC</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203</w:t>
            </w:r>
          </w:p>
        </w:tc>
        <w:tc>
          <w:tcPr>
            <w:tcW w:w="15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203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967</w:t>
            </w:r>
          </w:p>
        </w:tc>
        <w:tc>
          <w:tcPr>
            <w:tcW w:w="15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967</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厨房</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油烟</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0.0</w:t>
            </w:r>
            <w:r>
              <w:rPr>
                <w:rFonts w:hint="eastAsia" w:ascii="Times New Roman" w:hAnsi="Times New Roman" w:eastAsia="宋体" w:cs="Times New Roman"/>
                <w:bCs/>
                <w:color w:val="auto"/>
                <w:sz w:val="21"/>
                <w:highlight w:val="none"/>
              </w:rPr>
              <w:t>1215</w:t>
            </w:r>
          </w:p>
        </w:tc>
        <w:tc>
          <w:tcPr>
            <w:tcW w:w="15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bCs/>
                <w:color w:val="auto"/>
                <w:sz w:val="21"/>
                <w:highlight w:val="none"/>
              </w:rPr>
              <w:t>0.00972</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0.00</w:t>
            </w:r>
            <w:r>
              <w:rPr>
                <w:rFonts w:hint="eastAsia" w:ascii="Times New Roman" w:hAnsi="Times New Roman" w:eastAsia="宋体" w:cs="Times New Roman"/>
                <w:bCs/>
                <w:color w:val="auto"/>
                <w:sz w:val="21"/>
                <w:highlight w:val="none"/>
              </w:rPr>
              <w:t>243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0.00</w:t>
            </w:r>
            <w:r>
              <w:rPr>
                <w:rFonts w:hint="eastAsia" w:ascii="Times New Roman" w:hAnsi="Times New Roman" w:eastAsia="宋体" w:cs="Times New Roman"/>
                <w:bCs/>
                <w:color w:val="auto"/>
                <w:sz w:val="21"/>
                <w:highlight w:val="none"/>
              </w:rPr>
              <w:t>0378</w:t>
            </w:r>
          </w:p>
        </w:tc>
        <w:tc>
          <w:tcPr>
            <w:tcW w:w="15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bCs/>
                <w:color w:val="auto"/>
                <w:sz w:val="21"/>
                <w:highlight w:val="none"/>
              </w:rPr>
              <w:t>0</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bCs/>
                <w:color w:val="auto"/>
                <w:sz w:val="21"/>
                <w:highlight w:val="none"/>
              </w:rPr>
              <w:t>0.00</w:t>
            </w:r>
            <w:r>
              <w:rPr>
                <w:rFonts w:hint="eastAsia" w:ascii="Times New Roman" w:hAnsi="Times New Roman" w:eastAsia="宋体" w:cs="Times New Roman"/>
                <w:bCs/>
                <w:color w:val="auto"/>
                <w:sz w:val="21"/>
                <w:highlight w:val="none"/>
              </w:rPr>
              <w:t>0378</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SO</w:t>
            </w:r>
            <w:r>
              <w:rPr>
                <w:rFonts w:ascii="Times New Roman" w:hAnsi="Times New Roman" w:eastAsia="宋体" w:cs="Times New Roman"/>
                <w:color w:val="auto"/>
                <w:sz w:val="21"/>
                <w:highlight w:val="none"/>
                <w:vertAlign w:val="subscript"/>
              </w:rPr>
              <w:t>2</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0.000</w:t>
            </w:r>
            <w:r>
              <w:rPr>
                <w:rFonts w:hint="eastAsia" w:ascii="Times New Roman" w:hAnsi="Times New Roman" w:eastAsia="宋体" w:cs="Times New Roman"/>
                <w:color w:val="auto"/>
                <w:sz w:val="21"/>
                <w:highlight w:val="none"/>
              </w:rPr>
              <w:t>486</w:t>
            </w:r>
          </w:p>
        </w:tc>
        <w:tc>
          <w:tcPr>
            <w:tcW w:w="15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0.000</w:t>
            </w:r>
            <w:r>
              <w:rPr>
                <w:rFonts w:hint="eastAsia" w:ascii="Times New Roman" w:hAnsi="Times New Roman" w:eastAsia="宋体" w:cs="Times New Roman"/>
                <w:color w:val="auto"/>
                <w:sz w:val="21"/>
                <w:highlight w:val="none"/>
              </w:rPr>
              <w:t>486</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NO</w:t>
            </w:r>
            <w:r>
              <w:rPr>
                <w:rFonts w:ascii="Times New Roman" w:hAnsi="Times New Roman" w:eastAsia="宋体" w:cs="Times New Roman"/>
                <w:color w:val="auto"/>
                <w:sz w:val="21"/>
                <w:highlight w:val="none"/>
                <w:vertAlign w:val="subscript"/>
              </w:rPr>
              <w:t>x</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0.00</w:t>
            </w:r>
            <w:r>
              <w:rPr>
                <w:rFonts w:hint="eastAsia" w:ascii="Times New Roman" w:hAnsi="Times New Roman" w:eastAsia="宋体" w:cs="Times New Roman"/>
                <w:color w:val="auto"/>
                <w:sz w:val="21"/>
                <w:highlight w:val="none"/>
              </w:rPr>
              <w:t>4752</w:t>
            </w:r>
          </w:p>
        </w:tc>
        <w:tc>
          <w:tcPr>
            <w:tcW w:w="15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0</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ascii="Times New Roman" w:hAnsi="Times New Roman" w:eastAsia="宋体" w:cs="Times New Roman"/>
                <w:color w:val="auto"/>
                <w:sz w:val="21"/>
                <w:highlight w:val="none"/>
              </w:rPr>
              <w:t>0.00</w:t>
            </w:r>
            <w:r>
              <w:rPr>
                <w:rFonts w:hint="eastAsia" w:ascii="Times New Roman" w:hAnsi="Times New Roman" w:eastAsia="宋体" w:cs="Times New Roman"/>
                <w:color w:val="auto"/>
                <w:sz w:val="21"/>
                <w:highlight w:val="none"/>
              </w:rPr>
              <w:t>4752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有组织</w:t>
            </w:r>
          </w:p>
        </w:tc>
        <w:tc>
          <w:tcPr>
            <w:tcW w:w="1919"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①</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16.875</w:t>
            </w:r>
          </w:p>
        </w:tc>
        <w:tc>
          <w:tcPr>
            <w:tcW w:w="15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highlight w:val="none"/>
              </w:rPr>
            </w:pPr>
            <w:r>
              <w:rPr>
                <w:rFonts w:hint="eastAsia" w:ascii="Times New Roman" w:hAnsi="Times New Roman" w:eastAsia="宋体" w:cs="Times New Roman"/>
                <w:color w:val="auto"/>
                <w:sz w:val="21"/>
                <w:highlight w:val="none"/>
              </w:rPr>
              <w:t>16.706</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0.169</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olor w:val="auto"/>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olor w:val="auto"/>
                <w:highlight w:val="none"/>
              </w:rPr>
            </w:pPr>
          </w:p>
        </w:tc>
        <w:tc>
          <w:tcPr>
            <w:tcW w:w="1919"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二级破碎①</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33.75</w:t>
            </w:r>
          </w:p>
        </w:tc>
        <w:tc>
          <w:tcPr>
            <w:tcW w:w="15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33.412</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0.338</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①</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67.5</w:t>
            </w:r>
          </w:p>
        </w:tc>
        <w:tc>
          <w:tcPr>
            <w:tcW w:w="15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66.825</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0.675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筛选破碎</w:t>
            </w:r>
            <w:r>
              <w:rPr>
                <w:rFonts w:hint="eastAsia" w:ascii="Times New Roman" w:hAnsi="Times New Roman" w:eastAsia="宋体"/>
                <w:color w:val="auto"/>
                <w:sz w:val="21"/>
                <w:highlight w:val="none"/>
              </w:rPr>
              <w:t>②</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16.875</w:t>
            </w:r>
          </w:p>
        </w:tc>
        <w:tc>
          <w:tcPr>
            <w:tcW w:w="15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16.706</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0.169</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二级破碎筛分</w:t>
            </w:r>
            <w:r>
              <w:rPr>
                <w:rFonts w:hint="eastAsia" w:ascii="Times New Roman" w:hAnsi="Times New Roman" w:eastAsia="宋体"/>
                <w:color w:val="auto"/>
                <w:sz w:val="21"/>
                <w:highlight w:val="none"/>
              </w:rPr>
              <w:t>②</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33.75</w:t>
            </w:r>
          </w:p>
        </w:tc>
        <w:tc>
          <w:tcPr>
            <w:tcW w:w="15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33.412</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0.338</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524"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919"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三级破碎筛分</w:t>
            </w:r>
            <w:r>
              <w:rPr>
                <w:rFonts w:hint="eastAsia" w:ascii="Times New Roman" w:hAnsi="Times New Roman" w:eastAsia="宋体"/>
                <w:color w:val="auto"/>
                <w:sz w:val="21"/>
                <w:highlight w:val="none"/>
              </w:rPr>
              <w:t>②</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颗粒物</w:t>
            </w:r>
          </w:p>
        </w:tc>
        <w:tc>
          <w:tcPr>
            <w:tcW w:w="145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6.75</w:t>
            </w:r>
          </w:p>
        </w:tc>
        <w:tc>
          <w:tcPr>
            <w:tcW w:w="15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6.682</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0.068</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w:t>
            </w:r>
          </w:p>
        </w:tc>
        <w:tc>
          <w:tcPr>
            <w:tcW w:w="2443" w:type="dxa"/>
            <w:gridSpan w:val="2"/>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初期雨水</w:t>
            </w:r>
          </w:p>
        </w:tc>
        <w:tc>
          <w:tcPr>
            <w:tcW w:w="1260"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pacing w:val="-2"/>
                <w:kern w:val="0"/>
                <w:sz w:val="21"/>
                <w:highlight w:val="none"/>
                <w:u w:val="single"/>
              </w:rPr>
            </w:pPr>
            <w:r>
              <w:rPr>
                <w:rFonts w:hint="eastAsia" w:cs="Times New Roman"/>
                <w:color w:val="auto"/>
                <w:sz w:val="21"/>
                <w:highlight w:val="none"/>
                <w:u w:val="single"/>
                <w:lang w:val="en-US" w:eastAsia="zh-CN"/>
              </w:rPr>
              <w:t>401</w:t>
            </w:r>
            <w:r>
              <w:rPr>
                <w:rFonts w:ascii="Times New Roman" w:hAnsi="Times New Roman" w:eastAsia="宋体" w:cs="Times New Roman"/>
                <w:color w:val="auto"/>
                <w:sz w:val="21"/>
                <w:highlight w:val="none"/>
                <w:u w:val="single"/>
              </w:rPr>
              <w:t>m</w:t>
            </w:r>
            <w:r>
              <w:rPr>
                <w:rFonts w:ascii="Times New Roman" w:hAnsi="Times New Roman" w:eastAsia="宋体" w:cs="Times New Roman"/>
                <w:color w:val="auto"/>
                <w:sz w:val="21"/>
                <w:highlight w:val="none"/>
                <w:u w:val="single"/>
                <w:vertAlign w:val="superscript"/>
              </w:rPr>
              <w:t>3</w:t>
            </w:r>
            <w:r>
              <w:rPr>
                <w:rFonts w:ascii="Times New Roman" w:hAnsi="Times New Roman" w:eastAsia="宋体" w:cs="Times New Roman"/>
                <w:color w:val="auto"/>
                <w:sz w:val="21"/>
                <w:highlight w:val="none"/>
                <w:u w:val="single"/>
              </w:rPr>
              <w:t>/次</w:t>
            </w:r>
          </w:p>
        </w:tc>
        <w:tc>
          <w:tcPr>
            <w:tcW w:w="15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u w:val="single"/>
              </w:rPr>
            </w:pPr>
            <w:r>
              <w:rPr>
                <w:rFonts w:hint="eastAsia" w:cs="Times New Roman"/>
                <w:color w:val="auto"/>
                <w:sz w:val="21"/>
                <w:highlight w:val="none"/>
                <w:u w:val="single"/>
                <w:lang w:val="en-US" w:eastAsia="zh-CN"/>
              </w:rPr>
              <w:t>401</w:t>
            </w:r>
            <w:r>
              <w:rPr>
                <w:rFonts w:ascii="Times New Roman" w:hAnsi="Times New Roman" w:eastAsia="宋体" w:cs="Times New Roman"/>
                <w:color w:val="auto"/>
                <w:sz w:val="21"/>
                <w:highlight w:val="none"/>
                <w:u w:val="single"/>
              </w:rPr>
              <w:t>m</w:t>
            </w:r>
            <w:r>
              <w:rPr>
                <w:rFonts w:ascii="Times New Roman" w:hAnsi="Times New Roman" w:eastAsia="宋体" w:cs="Times New Roman"/>
                <w:color w:val="auto"/>
                <w:sz w:val="21"/>
                <w:highlight w:val="none"/>
                <w:u w:val="single"/>
                <w:vertAlign w:val="superscript"/>
              </w:rPr>
              <w:t>3</w:t>
            </w:r>
            <w:r>
              <w:rPr>
                <w:rFonts w:ascii="Times New Roman" w:hAnsi="Times New Roman" w:eastAsia="宋体" w:cs="Times New Roman"/>
                <w:color w:val="auto"/>
                <w:sz w:val="21"/>
                <w:highlight w:val="none"/>
                <w:u w:val="single"/>
              </w:rPr>
              <w:t>/次</w:t>
            </w:r>
          </w:p>
        </w:tc>
        <w:tc>
          <w:tcPr>
            <w:tcW w:w="1646" w:type="dxa"/>
            <w:gridSpan w:val="2"/>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443" w:type="dxa"/>
            <w:gridSpan w:val="2"/>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车辆清洗</w:t>
            </w:r>
          </w:p>
        </w:tc>
        <w:tc>
          <w:tcPr>
            <w:tcW w:w="1260"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pacing w:val="-2"/>
                <w:kern w:val="0"/>
                <w:sz w:val="21"/>
                <w:highlight w:val="none"/>
              </w:rPr>
            </w:pPr>
            <w:r>
              <w:rPr>
                <w:rFonts w:hint="eastAsia" w:ascii="Times New Roman" w:hAnsi="Times New Roman" w:eastAsia="宋体" w:cs="Times New Roman"/>
                <w:color w:val="auto"/>
                <w:spacing w:val="-2"/>
                <w:kern w:val="0"/>
                <w:sz w:val="21"/>
                <w:highlight w:val="none"/>
              </w:rPr>
              <w:t>840</w:t>
            </w:r>
          </w:p>
        </w:tc>
        <w:tc>
          <w:tcPr>
            <w:tcW w:w="15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pacing w:val="-2"/>
                <w:kern w:val="0"/>
                <w:sz w:val="21"/>
                <w:highlight w:val="none"/>
              </w:rPr>
              <w:t>840</w:t>
            </w:r>
          </w:p>
        </w:tc>
        <w:tc>
          <w:tcPr>
            <w:tcW w:w="1646"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443" w:type="dxa"/>
            <w:gridSpan w:val="2"/>
            <w:noWrap w:val="0"/>
            <w:vAlign w:val="center"/>
          </w:tcPr>
          <w:p>
            <w:pPr>
              <w:tabs>
                <w:tab w:val="left" w:pos="624"/>
              </w:tabs>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洗砂废水</w:t>
            </w:r>
          </w:p>
        </w:tc>
        <w:tc>
          <w:tcPr>
            <w:tcW w:w="1260" w:type="dxa"/>
            <w:noWrap w:val="0"/>
            <w:vAlign w:val="center"/>
          </w:tcPr>
          <w:p>
            <w:pPr>
              <w:tabs>
                <w:tab w:val="left" w:pos="624"/>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75000</w:t>
            </w:r>
          </w:p>
        </w:tc>
        <w:tc>
          <w:tcPr>
            <w:tcW w:w="15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75000</w:t>
            </w:r>
          </w:p>
        </w:tc>
        <w:tc>
          <w:tcPr>
            <w:tcW w:w="1646" w:type="dxa"/>
            <w:gridSpan w:val="2"/>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gridAfter w:val="1"/>
          <w:wAfter w:w="10" w:type="dxa"/>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443" w:type="dxa"/>
            <w:gridSpan w:val="2"/>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w:t>
            </w:r>
          </w:p>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污水</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89</w:t>
            </w:r>
            <w:r>
              <w:rPr>
                <w:rFonts w:ascii="Times New Roman" w:hAnsi="Times New Roman" w:eastAsia="宋体" w:cs="Times New Roman"/>
                <w:color w:val="auto"/>
                <w:sz w:val="21"/>
                <w:highlight w:val="none"/>
              </w:rPr>
              <w:t>0</w:t>
            </w:r>
          </w:p>
        </w:tc>
        <w:tc>
          <w:tcPr>
            <w:tcW w:w="153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63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rPr>
              <w:t>89</w:t>
            </w:r>
            <w:r>
              <w:rPr>
                <w:rFonts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gridAfter w:val="1"/>
          <w:wAfter w:w="10" w:type="dxa"/>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443" w:type="dxa"/>
            <w:gridSpan w:val="2"/>
            <w:vMerge w:val="continue"/>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COD</w:t>
            </w:r>
            <w:r>
              <w:rPr>
                <w:rFonts w:ascii="Times New Roman" w:hAnsi="Times New Roman" w:eastAsia="宋体" w:cs="Times New Roman"/>
                <w:color w:val="auto"/>
                <w:sz w:val="21"/>
                <w:highlight w:val="none"/>
                <w:vertAlign w:val="subscript"/>
              </w:rPr>
              <w:t>Cr</w:t>
            </w:r>
          </w:p>
        </w:tc>
        <w:tc>
          <w:tcPr>
            <w:tcW w:w="1455" w:type="dxa"/>
            <w:noWrap w:val="0"/>
            <w:vAlign w:val="center"/>
          </w:tcPr>
          <w:p>
            <w:pPr>
              <w:tabs>
                <w:tab w:val="left" w:pos="5940"/>
              </w:tabs>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702</w:t>
            </w:r>
          </w:p>
        </w:tc>
        <w:tc>
          <w:tcPr>
            <w:tcW w:w="1530" w:type="dxa"/>
            <w:noWrap w:val="0"/>
            <w:vAlign w:val="center"/>
          </w:tcPr>
          <w:p>
            <w:pPr>
              <w:tabs>
                <w:tab w:val="left" w:pos="5940"/>
              </w:tabs>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105</w:t>
            </w:r>
          </w:p>
        </w:tc>
        <w:tc>
          <w:tcPr>
            <w:tcW w:w="1636" w:type="dxa"/>
            <w:noWrap w:val="0"/>
            <w:vAlign w:val="center"/>
          </w:tcPr>
          <w:p>
            <w:pPr>
              <w:tabs>
                <w:tab w:val="left" w:pos="5940"/>
              </w:tabs>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597</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gridAfter w:val="1"/>
          <w:wAfter w:w="10" w:type="dxa"/>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443" w:type="dxa"/>
            <w:gridSpan w:val="2"/>
            <w:vMerge w:val="continue"/>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BOD</w:t>
            </w:r>
            <w:r>
              <w:rPr>
                <w:rFonts w:ascii="Times New Roman" w:hAnsi="Times New Roman" w:eastAsia="宋体" w:cs="Times New Roman"/>
                <w:color w:val="auto"/>
                <w:sz w:val="21"/>
                <w:highlight w:val="none"/>
                <w:vertAlign w:val="subscript"/>
              </w:rPr>
              <w:t>5</w:t>
            </w:r>
          </w:p>
        </w:tc>
        <w:tc>
          <w:tcPr>
            <w:tcW w:w="1455" w:type="dxa"/>
            <w:noWrap w:val="0"/>
            <w:vAlign w:val="center"/>
          </w:tcPr>
          <w:p>
            <w:pPr>
              <w:tabs>
                <w:tab w:val="left" w:pos="5940"/>
              </w:tabs>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459</w:t>
            </w:r>
          </w:p>
        </w:tc>
        <w:tc>
          <w:tcPr>
            <w:tcW w:w="1530" w:type="dxa"/>
            <w:noWrap w:val="0"/>
            <w:vAlign w:val="center"/>
          </w:tcPr>
          <w:p>
            <w:pPr>
              <w:tabs>
                <w:tab w:val="left" w:pos="5940"/>
              </w:tabs>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046</w:t>
            </w:r>
          </w:p>
        </w:tc>
        <w:tc>
          <w:tcPr>
            <w:tcW w:w="1636" w:type="dxa"/>
            <w:noWrap w:val="0"/>
            <w:vAlign w:val="center"/>
          </w:tcPr>
          <w:p>
            <w:pPr>
              <w:tabs>
                <w:tab w:val="left" w:pos="5940"/>
              </w:tabs>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413</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gridAfter w:val="1"/>
          <w:wAfter w:w="10" w:type="dxa"/>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443" w:type="dxa"/>
            <w:gridSpan w:val="2"/>
            <w:vMerge w:val="continue"/>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SS</w:t>
            </w:r>
          </w:p>
        </w:tc>
        <w:tc>
          <w:tcPr>
            <w:tcW w:w="1455" w:type="dxa"/>
            <w:noWrap w:val="0"/>
            <w:vAlign w:val="center"/>
          </w:tcPr>
          <w:p>
            <w:pPr>
              <w:tabs>
                <w:tab w:val="left" w:pos="5940"/>
              </w:tabs>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432</w:t>
            </w:r>
          </w:p>
        </w:tc>
        <w:tc>
          <w:tcPr>
            <w:tcW w:w="1530" w:type="dxa"/>
            <w:noWrap w:val="0"/>
            <w:vAlign w:val="center"/>
          </w:tcPr>
          <w:p>
            <w:pPr>
              <w:tabs>
                <w:tab w:val="left" w:pos="5940"/>
              </w:tabs>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13</w:t>
            </w:r>
          </w:p>
        </w:tc>
        <w:tc>
          <w:tcPr>
            <w:tcW w:w="1636" w:type="dxa"/>
            <w:noWrap w:val="0"/>
            <w:vAlign w:val="center"/>
          </w:tcPr>
          <w:p>
            <w:pPr>
              <w:tabs>
                <w:tab w:val="left" w:pos="5940"/>
              </w:tabs>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302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gridAfter w:val="1"/>
          <w:wAfter w:w="10" w:type="dxa"/>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443" w:type="dxa"/>
            <w:gridSpan w:val="2"/>
            <w:vMerge w:val="continue"/>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NH</w:t>
            </w:r>
            <w:r>
              <w:rPr>
                <w:rFonts w:ascii="Times New Roman" w:hAnsi="Times New Roman" w:eastAsia="宋体" w:cs="Times New Roman"/>
                <w:color w:val="auto"/>
                <w:sz w:val="21"/>
                <w:highlight w:val="none"/>
                <w:vertAlign w:val="subscript"/>
              </w:rPr>
              <w:t>3</w:t>
            </w:r>
            <w:r>
              <w:rPr>
                <w:rFonts w:ascii="Times New Roman" w:hAnsi="Times New Roman" w:eastAsia="宋体" w:cs="Times New Roman"/>
                <w:color w:val="auto"/>
                <w:sz w:val="21"/>
                <w:highlight w:val="none"/>
              </w:rPr>
              <w:t>-N</w:t>
            </w:r>
          </w:p>
        </w:tc>
        <w:tc>
          <w:tcPr>
            <w:tcW w:w="1455" w:type="dxa"/>
            <w:noWrap w:val="0"/>
            <w:vAlign w:val="center"/>
          </w:tcPr>
          <w:p>
            <w:pPr>
              <w:tabs>
                <w:tab w:val="left" w:pos="5940"/>
              </w:tabs>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052</w:t>
            </w:r>
          </w:p>
        </w:tc>
        <w:tc>
          <w:tcPr>
            <w:tcW w:w="1530" w:type="dxa"/>
            <w:noWrap w:val="0"/>
            <w:vAlign w:val="center"/>
          </w:tcPr>
          <w:p>
            <w:pPr>
              <w:tabs>
                <w:tab w:val="left" w:pos="5940"/>
              </w:tabs>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636" w:type="dxa"/>
            <w:noWrap w:val="0"/>
            <w:vAlign w:val="center"/>
          </w:tcPr>
          <w:p>
            <w:pPr>
              <w:tabs>
                <w:tab w:val="left" w:pos="5940"/>
              </w:tabs>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rPr>
              <w:t>052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gridAfter w:val="1"/>
          <w:wAfter w:w="10" w:type="dxa"/>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443" w:type="dxa"/>
            <w:gridSpan w:val="2"/>
            <w:vMerge w:val="continue"/>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动植物油</w:t>
            </w:r>
          </w:p>
        </w:tc>
        <w:tc>
          <w:tcPr>
            <w:tcW w:w="1455" w:type="dxa"/>
            <w:noWrap w:val="0"/>
            <w:vAlign w:val="center"/>
          </w:tcPr>
          <w:p>
            <w:pPr>
              <w:tabs>
                <w:tab w:val="left" w:pos="5940"/>
              </w:tabs>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81</w:t>
            </w:r>
          </w:p>
        </w:tc>
        <w:tc>
          <w:tcPr>
            <w:tcW w:w="1530" w:type="dxa"/>
            <w:noWrap w:val="0"/>
            <w:vAlign w:val="center"/>
          </w:tcPr>
          <w:p>
            <w:pPr>
              <w:tabs>
                <w:tab w:val="left" w:pos="5940"/>
              </w:tabs>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0.041</w:t>
            </w:r>
          </w:p>
        </w:tc>
        <w:tc>
          <w:tcPr>
            <w:tcW w:w="1636" w:type="dxa"/>
            <w:noWrap w:val="0"/>
            <w:vAlign w:val="center"/>
          </w:tcPr>
          <w:p>
            <w:pPr>
              <w:tabs>
                <w:tab w:val="left" w:pos="5940"/>
              </w:tabs>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0.0</w:t>
            </w:r>
            <w:r>
              <w:rPr>
                <w:rFonts w:hint="eastAsia" w:ascii="Times New Roman" w:hAnsi="Times New Roman" w:eastAsia="宋体" w:cs="Times New Roman"/>
                <w:color w:val="auto"/>
                <w:sz w:val="21"/>
                <w:highlight w:val="none"/>
              </w:rPr>
              <w:t>4</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gridAfter w:val="1"/>
          <w:wAfter w:w="10" w:type="dxa"/>
          <w:trHeight w:val="227" w:hRule="atLeast"/>
          <w:jc w:val="center"/>
        </w:trPr>
        <w:tc>
          <w:tcPr>
            <w:tcW w:w="742"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噪声</w:t>
            </w:r>
          </w:p>
        </w:tc>
        <w:tc>
          <w:tcPr>
            <w:tcW w:w="2443" w:type="dxa"/>
            <w:gridSpan w:val="2"/>
            <w:noWrap w:val="0"/>
            <w:vAlign w:val="center"/>
          </w:tcPr>
          <w:p>
            <w:pPr>
              <w:tabs>
                <w:tab w:val="left" w:pos="5940"/>
              </w:tabs>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设备</w:t>
            </w:r>
            <w:r>
              <w:rPr>
                <w:rFonts w:hint="eastAsia" w:ascii="Times New Roman" w:hAnsi="Times New Roman" w:eastAsia="宋体" w:cs="Times New Roman"/>
                <w:color w:val="auto"/>
                <w:sz w:val="21"/>
                <w:highlight w:val="none"/>
              </w:rPr>
              <w:t>、爆破</w:t>
            </w:r>
          </w:p>
        </w:tc>
        <w:tc>
          <w:tcPr>
            <w:tcW w:w="1260"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Leq(A)</w:t>
            </w:r>
          </w:p>
        </w:tc>
        <w:tc>
          <w:tcPr>
            <w:tcW w:w="1455"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75~11</w:t>
            </w:r>
            <w:r>
              <w:rPr>
                <w:rFonts w:hint="eastAsia" w:ascii="Times New Roman" w:hAnsi="Times New Roman" w:eastAsia="宋体" w:cs="Times New Roman"/>
                <w:color w:val="auto"/>
                <w:sz w:val="21"/>
                <w:highlight w:val="none"/>
              </w:rPr>
              <w:t>5</w:t>
            </w:r>
            <w:r>
              <w:rPr>
                <w:rFonts w:ascii="Times New Roman" w:hAnsi="Times New Roman" w:eastAsia="宋体" w:cs="Times New Roman"/>
                <w:color w:val="auto"/>
                <w:sz w:val="21"/>
                <w:highlight w:val="none"/>
              </w:rPr>
              <w:t>dB(A)</w:t>
            </w:r>
          </w:p>
        </w:tc>
        <w:tc>
          <w:tcPr>
            <w:tcW w:w="15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消声、减振等</w:t>
            </w:r>
          </w:p>
        </w:tc>
        <w:tc>
          <w:tcPr>
            <w:tcW w:w="1636" w:type="dxa"/>
            <w:noWrap w:val="0"/>
            <w:vAlign w:val="center"/>
          </w:tcPr>
          <w:p>
            <w:pPr>
              <w:widowControl/>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厂界47⁓57dB(A)</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gridAfter w:val="1"/>
          <w:wAfter w:w="10" w:type="dxa"/>
          <w:trHeight w:val="227" w:hRule="atLeast"/>
          <w:jc w:val="center"/>
        </w:trPr>
        <w:tc>
          <w:tcPr>
            <w:tcW w:w="742" w:type="dxa"/>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固体废物</w:t>
            </w:r>
          </w:p>
        </w:tc>
        <w:tc>
          <w:tcPr>
            <w:tcW w:w="2443"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采矿区</w:t>
            </w:r>
          </w:p>
        </w:tc>
        <w:tc>
          <w:tcPr>
            <w:tcW w:w="126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表土</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1000</w:t>
            </w:r>
          </w:p>
        </w:tc>
        <w:tc>
          <w:tcPr>
            <w:tcW w:w="15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1000</w:t>
            </w:r>
          </w:p>
        </w:tc>
        <w:tc>
          <w:tcPr>
            <w:tcW w:w="1636" w:type="dxa"/>
            <w:noWrap w:val="0"/>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lang w:bidi="ar"/>
              </w:rPr>
              <w:t>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gridAfter w:val="1"/>
          <w:wAfter w:w="10" w:type="dxa"/>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443"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采矿区</w:t>
            </w:r>
          </w:p>
        </w:tc>
        <w:tc>
          <w:tcPr>
            <w:tcW w:w="126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废土石渣</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4000</w:t>
            </w:r>
          </w:p>
        </w:tc>
        <w:tc>
          <w:tcPr>
            <w:tcW w:w="15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636"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4000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gridAfter w:val="1"/>
          <w:wAfter w:w="10" w:type="dxa"/>
          <w:trHeight w:val="227" w:hRule="atLeast"/>
          <w:jc w:val="center"/>
        </w:trPr>
        <w:tc>
          <w:tcPr>
            <w:tcW w:w="742" w:type="dxa"/>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443"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除尘装置</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除尘器粉尘</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173.745</w:t>
            </w:r>
          </w:p>
        </w:tc>
        <w:tc>
          <w:tcPr>
            <w:tcW w:w="153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63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173.745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gridAfter w:val="1"/>
          <w:wAfter w:w="10" w:type="dxa"/>
          <w:trHeight w:val="227" w:hRule="atLeast"/>
          <w:jc w:val="center"/>
        </w:trPr>
        <w:tc>
          <w:tcPr>
            <w:tcW w:w="742" w:type="dxa"/>
            <w:vMerge w:val="continue"/>
            <w:noWrap w:val="0"/>
            <w:vAlign w:val="top"/>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443"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沉砂池</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泥渣</w:t>
            </w:r>
          </w:p>
        </w:tc>
        <w:tc>
          <w:tcPr>
            <w:tcW w:w="1455"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highlight w:val="none"/>
                <w:u w:val="single"/>
                <w:lang w:val="en-US" w:eastAsia="zh-CN"/>
              </w:rPr>
            </w:pPr>
            <w:r>
              <w:rPr>
                <w:rFonts w:hint="eastAsia" w:cs="Times New Roman"/>
                <w:color w:val="auto"/>
                <w:sz w:val="21"/>
                <w:highlight w:val="none"/>
                <w:u w:val="single"/>
                <w:lang w:val="en-US" w:eastAsia="zh-CN"/>
              </w:rPr>
              <w:t>5</w:t>
            </w:r>
          </w:p>
        </w:tc>
        <w:tc>
          <w:tcPr>
            <w:tcW w:w="1530"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highlight w:val="none"/>
                <w:u w:val="single"/>
                <w:lang w:val="en-US" w:eastAsia="zh-CN"/>
              </w:rPr>
            </w:pPr>
            <w:r>
              <w:rPr>
                <w:rFonts w:hint="eastAsia" w:cs="Times New Roman"/>
                <w:color w:val="auto"/>
                <w:sz w:val="21"/>
                <w:highlight w:val="none"/>
                <w:u w:val="single"/>
                <w:lang w:val="en-US" w:eastAsia="zh-CN"/>
              </w:rPr>
              <w:t>5</w:t>
            </w:r>
          </w:p>
        </w:tc>
        <w:tc>
          <w:tcPr>
            <w:tcW w:w="163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gridAfter w:val="1"/>
          <w:wAfter w:w="10" w:type="dxa"/>
          <w:trHeight w:val="227" w:hRule="atLeast"/>
          <w:jc w:val="center"/>
        </w:trPr>
        <w:tc>
          <w:tcPr>
            <w:tcW w:w="742" w:type="dxa"/>
            <w:vMerge w:val="continue"/>
            <w:noWrap w:val="0"/>
            <w:vAlign w:val="top"/>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443" w:type="dxa"/>
            <w:gridSpan w:val="2"/>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洗砂区</w:t>
            </w:r>
          </w:p>
        </w:tc>
        <w:tc>
          <w:tcPr>
            <w:tcW w:w="126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洗砂泥饼</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2352.5</w:t>
            </w:r>
          </w:p>
        </w:tc>
        <w:tc>
          <w:tcPr>
            <w:tcW w:w="153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636"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highlight w:val="none"/>
                <w:lang w:bidi="ar"/>
              </w:rPr>
            </w:pPr>
            <w:r>
              <w:rPr>
                <w:rFonts w:hint="eastAsia" w:ascii="Times New Roman" w:hAnsi="Times New Roman" w:eastAsia="宋体" w:cs="Times New Roman"/>
                <w:color w:val="auto"/>
                <w:sz w:val="21"/>
                <w:highlight w:val="none"/>
              </w:rPr>
              <w:t>2352.5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gridAfter w:val="1"/>
          <w:wAfter w:w="10" w:type="dxa"/>
          <w:trHeight w:val="227" w:hRule="atLeast"/>
          <w:jc w:val="center"/>
        </w:trPr>
        <w:tc>
          <w:tcPr>
            <w:tcW w:w="742" w:type="dxa"/>
            <w:vMerge w:val="continue"/>
            <w:noWrap w:val="0"/>
            <w:vAlign w:val="top"/>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443" w:type="dxa"/>
            <w:gridSpan w:val="2"/>
            <w:vMerge w:val="restart"/>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机修房</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废零件</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3.0</w:t>
            </w:r>
          </w:p>
        </w:tc>
        <w:tc>
          <w:tcPr>
            <w:tcW w:w="153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63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3.0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gridAfter w:val="1"/>
          <w:wAfter w:w="10" w:type="dxa"/>
          <w:trHeight w:val="227" w:hRule="atLeast"/>
          <w:jc w:val="center"/>
        </w:trPr>
        <w:tc>
          <w:tcPr>
            <w:tcW w:w="742" w:type="dxa"/>
            <w:vMerge w:val="continue"/>
            <w:noWrap w:val="0"/>
            <w:vAlign w:val="top"/>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443" w:type="dxa"/>
            <w:gridSpan w:val="2"/>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废含油抹布</w:t>
            </w:r>
          </w:p>
        </w:tc>
        <w:tc>
          <w:tcPr>
            <w:tcW w:w="1455"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0.02</w:t>
            </w:r>
          </w:p>
        </w:tc>
        <w:tc>
          <w:tcPr>
            <w:tcW w:w="1530" w:type="dxa"/>
            <w:noWrap w:val="0"/>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636" w:type="dxa"/>
            <w:noWrap w:val="0"/>
            <w:vAlign w:val="center"/>
          </w:tcPr>
          <w:p>
            <w:pPr>
              <w:autoSpaceDE w:val="0"/>
              <w:autoSpaceDN w:val="0"/>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kern w:val="0"/>
                <w:sz w:val="21"/>
                <w:highlight w:val="none"/>
              </w:rPr>
              <w:t>0.02</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gridAfter w:val="1"/>
          <w:wAfter w:w="10" w:type="dxa"/>
          <w:trHeight w:val="227" w:hRule="atLeast"/>
          <w:jc w:val="center"/>
        </w:trPr>
        <w:tc>
          <w:tcPr>
            <w:tcW w:w="742" w:type="dxa"/>
            <w:vMerge w:val="continue"/>
            <w:noWrap w:val="0"/>
            <w:vAlign w:val="top"/>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443" w:type="dxa"/>
            <w:gridSpan w:val="2"/>
            <w:vMerge w:val="continue"/>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废机油</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w:t>
            </w:r>
          </w:p>
        </w:tc>
        <w:tc>
          <w:tcPr>
            <w:tcW w:w="153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63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0.1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57" w:type="dxa"/>
            <w:bottom w:w="0" w:type="dxa"/>
            <w:right w:w="57" w:type="dxa"/>
          </w:tblCellMar>
        </w:tblPrEx>
        <w:trPr>
          <w:gridAfter w:val="1"/>
          <w:wAfter w:w="10" w:type="dxa"/>
          <w:trHeight w:val="227" w:hRule="atLeast"/>
          <w:jc w:val="center"/>
        </w:trPr>
        <w:tc>
          <w:tcPr>
            <w:tcW w:w="742" w:type="dxa"/>
            <w:vMerge w:val="continue"/>
            <w:noWrap w:val="0"/>
            <w:vAlign w:val="top"/>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p>
        </w:tc>
        <w:tc>
          <w:tcPr>
            <w:tcW w:w="2443" w:type="dxa"/>
            <w:gridSpan w:val="2"/>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生活区</w:t>
            </w:r>
          </w:p>
        </w:tc>
        <w:tc>
          <w:tcPr>
            <w:tcW w:w="1260"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生活垃圾</w:t>
            </w:r>
          </w:p>
        </w:tc>
        <w:tc>
          <w:tcPr>
            <w:tcW w:w="1455"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13</w:t>
            </w:r>
            <w:r>
              <w:rPr>
                <w:rFonts w:ascii="Times New Roman" w:hAnsi="Times New Roman" w:eastAsia="宋体" w:cs="Times New Roman"/>
                <w:color w:val="auto"/>
                <w:sz w:val="21"/>
                <w:highlight w:val="none"/>
              </w:rPr>
              <w:t>.5</w:t>
            </w:r>
          </w:p>
        </w:tc>
        <w:tc>
          <w:tcPr>
            <w:tcW w:w="153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0</w:t>
            </w:r>
          </w:p>
        </w:tc>
        <w:tc>
          <w:tcPr>
            <w:tcW w:w="1636" w:type="dxa"/>
            <w:noWrap w:val="0"/>
            <w:vAlign w:val="center"/>
          </w:tcPr>
          <w:p>
            <w:pPr>
              <w:adjustRightInd w:val="0"/>
              <w:snapToGrid w:val="0"/>
              <w:spacing w:line="240" w:lineRule="auto"/>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13</w:t>
            </w:r>
            <w:r>
              <w:rPr>
                <w:rFonts w:ascii="Times New Roman" w:hAnsi="Times New Roman" w:eastAsia="宋体" w:cs="Times New Roman"/>
                <w:color w:val="auto"/>
                <w:sz w:val="21"/>
                <w:highlight w:val="none"/>
              </w:rPr>
              <w:t>.5</w:t>
            </w:r>
          </w:p>
        </w:tc>
      </w:tr>
    </w:tbl>
    <w:p>
      <w:pPr>
        <w:pStyle w:val="4"/>
        <w:rPr>
          <w:rFonts w:ascii="Times New Roman" w:hAnsi="Times New Roman" w:eastAsia="宋体"/>
          <w:color w:val="auto"/>
          <w:highlight w:val="none"/>
        </w:rPr>
      </w:pPr>
      <w:bookmarkStart w:id="585" w:name="_Toc11410"/>
      <w:r>
        <w:rPr>
          <w:rFonts w:ascii="Times New Roman" w:hAnsi="Times New Roman" w:eastAsia="宋体"/>
          <w:color w:val="auto"/>
          <w:highlight w:val="none"/>
        </w:rPr>
        <w:t>8.4 主要环境影响</w:t>
      </w:r>
      <w:bookmarkEnd w:id="585"/>
      <w:r>
        <w:rPr>
          <w:rFonts w:ascii="Times New Roman" w:hAnsi="Times New Roman" w:eastAsia="宋体"/>
          <w:color w:val="auto"/>
          <w:highlight w:val="none"/>
        </w:rPr>
        <w:t xml:space="preserve"> </w:t>
      </w:r>
    </w:p>
    <w:p>
      <w:pPr>
        <w:pStyle w:val="5"/>
        <w:rPr>
          <w:rFonts w:ascii="Times New Roman" w:hAnsi="Times New Roman" w:eastAsia="宋体"/>
          <w:color w:val="auto"/>
          <w:highlight w:val="none"/>
        </w:rPr>
      </w:pPr>
      <w:r>
        <w:rPr>
          <w:rFonts w:ascii="Times New Roman" w:hAnsi="Times New Roman" w:eastAsia="宋体"/>
          <w:color w:val="auto"/>
          <w:highlight w:val="none"/>
        </w:rPr>
        <w:t>8.4.1 施工期环境影响</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项目为</w:t>
      </w:r>
      <w:r>
        <w:rPr>
          <w:rFonts w:hint="eastAsia" w:ascii="Times New Roman" w:hAnsi="Times New Roman" w:eastAsia="宋体" w:cs="Times New Roman"/>
          <w:color w:val="auto"/>
          <w:highlight w:val="none"/>
          <w:lang w:val="en-US" w:eastAsia="zh-CN"/>
        </w:rPr>
        <w:t>整合</w:t>
      </w:r>
      <w:r>
        <w:rPr>
          <w:rFonts w:ascii="Times New Roman" w:hAnsi="Times New Roman" w:eastAsia="宋体" w:cs="Times New Roman"/>
          <w:color w:val="auto"/>
          <w:highlight w:val="none"/>
        </w:rPr>
        <w:t>工程，施工期主要的环境影响是施工扬尘、施工废水、施工噪声、固体废物和生态影响。项目施工持续时间较短，工程竣工后施工期环境影响即告消除。</w:t>
      </w:r>
    </w:p>
    <w:p>
      <w:pPr>
        <w:pStyle w:val="5"/>
        <w:rPr>
          <w:rFonts w:ascii="Times New Roman" w:hAnsi="Times New Roman" w:eastAsia="宋体"/>
          <w:color w:val="auto"/>
          <w:highlight w:val="none"/>
        </w:rPr>
      </w:pPr>
      <w:r>
        <w:rPr>
          <w:rFonts w:ascii="Times New Roman" w:hAnsi="Times New Roman" w:eastAsia="宋体"/>
          <w:color w:val="auto"/>
          <w:highlight w:val="none"/>
        </w:rPr>
        <w:t>8.4.2 运营期环境影响</w:t>
      </w:r>
    </w:p>
    <w:p>
      <w:pPr>
        <w:ind w:firstLine="482"/>
        <w:rPr>
          <w:rFonts w:ascii="Times New Roman" w:hAnsi="Times New Roman" w:eastAsia="宋体" w:cs="Times New Roman"/>
          <w:b/>
          <w:bCs/>
          <w:color w:val="auto"/>
          <w:szCs w:val="24"/>
          <w:highlight w:val="none"/>
        </w:rPr>
      </w:pPr>
      <w:r>
        <w:rPr>
          <w:rFonts w:ascii="Times New Roman" w:hAnsi="Times New Roman" w:eastAsia="宋体" w:cs="Times New Roman"/>
          <w:b/>
          <w:bCs/>
          <w:color w:val="auto"/>
          <w:szCs w:val="24"/>
          <w:highlight w:val="none"/>
        </w:rPr>
        <w:t xml:space="preserve">1、环境空气 </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项目运营期大气污染物主要为TSP、PM</w:t>
      </w:r>
      <w:r>
        <w:rPr>
          <w:rFonts w:ascii="Times New Roman" w:hAnsi="Times New Roman" w:eastAsia="宋体" w:cs="Times New Roman"/>
          <w:color w:val="auto"/>
          <w:szCs w:val="24"/>
          <w:highlight w:val="none"/>
          <w:vertAlign w:val="subscript"/>
        </w:rPr>
        <w:t>10</w:t>
      </w:r>
      <w:r>
        <w:rPr>
          <w:rFonts w:ascii="Times New Roman" w:hAnsi="Times New Roman" w:eastAsia="宋体" w:cs="Times New Roman"/>
          <w:color w:val="auto"/>
          <w:szCs w:val="24"/>
          <w:highlight w:val="none"/>
        </w:rPr>
        <w:t>、PM</w:t>
      </w:r>
      <w:r>
        <w:rPr>
          <w:rFonts w:ascii="Times New Roman" w:hAnsi="Times New Roman" w:eastAsia="宋体" w:cs="Times New Roman"/>
          <w:color w:val="auto"/>
          <w:szCs w:val="24"/>
          <w:highlight w:val="none"/>
          <w:vertAlign w:val="subscript"/>
        </w:rPr>
        <w:t>2.5</w:t>
      </w:r>
      <w:r>
        <w:rPr>
          <w:rFonts w:ascii="Times New Roman" w:hAnsi="Times New Roman" w:eastAsia="宋体" w:cs="Times New Roman"/>
          <w:color w:val="auto"/>
          <w:szCs w:val="24"/>
          <w:highlight w:val="none"/>
        </w:rPr>
        <w:t>，由预测结果可知，</w:t>
      </w:r>
      <w:r>
        <w:rPr>
          <w:rFonts w:ascii="Times New Roman" w:hAnsi="Times New Roman" w:eastAsia="宋体" w:cs="Times New Roman"/>
          <w:color w:val="auto"/>
          <w:highlight w:val="none"/>
        </w:rPr>
        <w:t>拟建项目新增污染源正常排放下各污染物短期浓度贡献值的最大浓度占标率小于100%，新增污染源正常排放下各污染物年均浓度贡献值的最大浓度占标率小于30%</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TSP</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PM</w:t>
      </w:r>
      <w:r>
        <w:rPr>
          <w:rFonts w:ascii="Times New Roman" w:hAnsi="Times New Roman" w:eastAsia="宋体" w:cs="Times New Roman"/>
          <w:color w:val="auto"/>
          <w:highlight w:val="none"/>
          <w:vertAlign w:val="subscript"/>
        </w:rPr>
        <w:t>10</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PM</w:t>
      </w:r>
      <w:r>
        <w:rPr>
          <w:rFonts w:ascii="Times New Roman" w:hAnsi="Times New Roman" w:eastAsia="宋体" w:cs="Times New Roman"/>
          <w:color w:val="auto"/>
          <w:highlight w:val="none"/>
          <w:vertAlign w:val="subscript"/>
        </w:rPr>
        <w:t>2.5</w:t>
      </w:r>
      <w:r>
        <w:rPr>
          <w:rFonts w:ascii="Times New Roman" w:hAnsi="Times New Roman" w:eastAsia="宋体" w:cs="Times New Roman"/>
          <w:color w:val="auto"/>
          <w:highlight w:val="none"/>
        </w:rPr>
        <w:t>叠加现状浓度后符合环境质量标准，本项目大气环境环境影响可以接受。</w:t>
      </w:r>
    </w:p>
    <w:p>
      <w:pPr>
        <w:ind w:firstLine="48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本项目</w:t>
      </w:r>
      <w:r>
        <w:rPr>
          <w:rFonts w:hint="eastAsia" w:ascii="Times New Roman" w:hAnsi="Times New Roman" w:eastAsia="宋体" w:cs="Times New Roman"/>
          <w:color w:val="auto"/>
          <w:szCs w:val="24"/>
          <w:highlight w:val="none"/>
        </w:rPr>
        <w:t>厂界浓度满足</w:t>
      </w:r>
      <w:r>
        <w:rPr>
          <w:rFonts w:ascii="Times New Roman" w:hAnsi="Times New Roman" w:eastAsia="宋体" w:cs="Times New Roman"/>
          <w:bCs/>
          <w:color w:val="auto"/>
          <w:szCs w:val="24"/>
          <w:highlight w:val="none"/>
        </w:rPr>
        <w:t>《大气污染物综合排放标准》（GB</w:t>
      </w:r>
      <w:r>
        <w:rPr>
          <w:rFonts w:hint="eastAsia" w:ascii="Times New Roman" w:hAnsi="Times New Roman" w:eastAsia="宋体" w:cs="Times New Roman"/>
          <w:bCs/>
          <w:color w:val="auto"/>
          <w:szCs w:val="24"/>
          <w:highlight w:val="none"/>
          <w:lang w:val="en-US" w:eastAsia="zh-CN"/>
        </w:rPr>
        <w:t xml:space="preserve"> </w:t>
      </w:r>
      <w:r>
        <w:rPr>
          <w:rFonts w:ascii="Times New Roman" w:hAnsi="Times New Roman" w:eastAsia="宋体" w:cs="Times New Roman"/>
          <w:bCs/>
          <w:color w:val="auto"/>
          <w:szCs w:val="24"/>
          <w:highlight w:val="none"/>
        </w:rPr>
        <w:t>16297-1996）表2无组织排放</w:t>
      </w:r>
      <w:r>
        <w:rPr>
          <w:rFonts w:ascii="Times New Roman" w:hAnsi="Times New Roman" w:eastAsia="宋体" w:cs="Times New Roman"/>
          <w:bCs/>
          <w:color w:val="auto"/>
          <w:highlight w:val="none"/>
        </w:rPr>
        <w:t>监控浓度限值</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厂界外网格点短期贡献浓度均满足环境质量标准要求，不需设定大气环境防护距离。</w:t>
      </w:r>
    </w:p>
    <w:p>
      <w:pPr>
        <w:ind w:firstLine="482"/>
        <w:jc w:val="left"/>
        <w:rPr>
          <w:rFonts w:ascii="Times New Roman" w:hAnsi="Times New Roman" w:eastAsia="宋体" w:cs="Times New Roman"/>
          <w:color w:val="auto"/>
          <w:szCs w:val="24"/>
          <w:highlight w:val="none"/>
        </w:rPr>
      </w:pPr>
      <w:r>
        <w:rPr>
          <w:rFonts w:ascii="Times New Roman" w:hAnsi="Times New Roman" w:eastAsia="宋体" w:cs="Times New Roman"/>
          <w:b/>
          <w:bCs/>
          <w:color w:val="auto"/>
          <w:szCs w:val="24"/>
          <w:highlight w:val="none"/>
        </w:rPr>
        <w:t>2、地表水环境</w:t>
      </w:r>
      <w:r>
        <w:rPr>
          <w:rFonts w:ascii="Times New Roman" w:hAnsi="Times New Roman" w:eastAsia="宋体" w:cs="Times New Roman"/>
          <w:color w:val="auto"/>
          <w:szCs w:val="24"/>
          <w:highlight w:val="none"/>
        </w:rPr>
        <w:t xml:space="preserve"> </w:t>
      </w:r>
    </w:p>
    <w:p>
      <w:pPr>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项目无生产废水产生。矿区周边设置截排水沟，收集场内采区和加工区前 30min初期雨水进入沉砂池，经自然沉淀后用于矿区洒水降尘。</w:t>
      </w:r>
      <w:r>
        <w:rPr>
          <w:rFonts w:hint="eastAsia"/>
          <w:color w:val="auto"/>
          <w:highlight w:val="none"/>
          <w:u w:val="single"/>
        </w:rPr>
        <w:t>中后期雨水直接排</w:t>
      </w:r>
      <w:r>
        <w:rPr>
          <w:rFonts w:hint="eastAsia"/>
          <w:color w:val="auto"/>
          <w:highlight w:val="none"/>
          <w:u w:val="single"/>
          <w:lang w:val="en-US" w:eastAsia="zh-CN"/>
        </w:rPr>
        <w:t>入矿区周边无名小沟</w:t>
      </w:r>
      <w:r>
        <w:rPr>
          <w:rFonts w:hint="eastAsia"/>
          <w:color w:val="auto"/>
          <w:highlight w:val="none"/>
          <w:u w:val="single"/>
        </w:rPr>
        <w:t>。</w:t>
      </w:r>
      <w:r>
        <w:rPr>
          <w:rFonts w:ascii="Times New Roman" w:hAnsi="Times New Roman" w:eastAsia="宋体" w:cs="Times New Roman"/>
          <w:color w:val="auto"/>
          <w:szCs w:val="24"/>
          <w:highlight w:val="none"/>
        </w:rPr>
        <w:t>车辆清洗废水</w:t>
      </w:r>
      <w:r>
        <w:rPr>
          <w:rFonts w:hint="eastAsia" w:ascii="Times New Roman" w:hAnsi="Times New Roman" w:eastAsia="宋体" w:cs="Times New Roman"/>
          <w:color w:val="auto"/>
          <w:szCs w:val="24"/>
          <w:highlight w:val="none"/>
        </w:rPr>
        <w:t>和洗砂废水</w:t>
      </w:r>
      <w:r>
        <w:rPr>
          <w:rFonts w:ascii="Times New Roman" w:hAnsi="Times New Roman" w:eastAsia="宋体" w:cs="Times New Roman"/>
          <w:color w:val="auto"/>
          <w:szCs w:val="24"/>
          <w:highlight w:val="none"/>
        </w:rPr>
        <w:t>沉淀后循环使用，不外排。项目生活污水经化粪池处理</w:t>
      </w:r>
      <w:r>
        <w:rPr>
          <w:rFonts w:ascii="Times New Roman" w:hAnsi="Times New Roman" w:eastAsia="宋体" w:cs="Times New Roman"/>
          <w:bCs/>
          <w:color w:val="auto"/>
          <w:highlight w:val="none"/>
        </w:rPr>
        <w:t>后用于周边旱地施肥</w:t>
      </w:r>
      <w:r>
        <w:rPr>
          <w:rFonts w:ascii="Times New Roman" w:hAnsi="Times New Roman" w:eastAsia="宋体" w:cs="Times New Roman"/>
          <w:color w:val="auto"/>
          <w:szCs w:val="24"/>
          <w:highlight w:val="none"/>
        </w:rPr>
        <w:t xml:space="preserve">。因此，项目生活污水对区域地表水体影响较小。 </w:t>
      </w:r>
    </w:p>
    <w:p>
      <w:pPr>
        <w:ind w:firstLine="482"/>
        <w:rPr>
          <w:rFonts w:ascii="Times New Roman" w:hAnsi="Times New Roman" w:eastAsia="宋体" w:cs="Times New Roman"/>
          <w:b/>
          <w:bCs/>
          <w:color w:val="auto"/>
          <w:szCs w:val="24"/>
          <w:highlight w:val="none"/>
        </w:rPr>
      </w:pPr>
      <w:r>
        <w:rPr>
          <w:rFonts w:ascii="Times New Roman" w:hAnsi="Times New Roman" w:eastAsia="宋体" w:cs="Times New Roman"/>
          <w:b/>
          <w:bCs/>
          <w:color w:val="auto"/>
          <w:szCs w:val="24"/>
          <w:highlight w:val="none"/>
        </w:rPr>
        <w:t xml:space="preserve">3、声环境 </w:t>
      </w:r>
    </w:p>
    <w:p>
      <w:pPr>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项目采矿噪声、作业面噪声等经距离衰减和建筑物隔声后，矿山及作业面场界噪声均能达到《工业企业厂界环境噪声排放标准》(GB</w:t>
      </w:r>
      <w:r>
        <w:rPr>
          <w:rFonts w:hint="eastAsia" w:ascii="Times New Roman" w:hAnsi="Times New Roman" w:eastAsia="宋体" w:cs="Times New Roman"/>
          <w:color w:val="auto"/>
          <w:szCs w:val="24"/>
          <w:highlight w:val="none"/>
          <w:lang w:val="en-US" w:eastAsia="zh-CN"/>
        </w:rPr>
        <w:t xml:space="preserve"> </w:t>
      </w:r>
      <w:r>
        <w:rPr>
          <w:rFonts w:ascii="Times New Roman" w:hAnsi="Times New Roman" w:eastAsia="宋体" w:cs="Times New Roman"/>
          <w:color w:val="auto"/>
          <w:szCs w:val="24"/>
          <w:highlight w:val="none"/>
        </w:rPr>
        <w:t>12348-2008)中2类区限值。周边最近敏感点距离约</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00m，矿山作业噪声对敏感点影响不大。</w:t>
      </w:r>
    </w:p>
    <w:p>
      <w:pPr>
        <w:ind w:firstLine="482"/>
        <w:jc w:val="left"/>
        <w:rPr>
          <w:rFonts w:ascii="Times New Roman" w:hAnsi="Times New Roman" w:eastAsia="宋体" w:cs="Times New Roman"/>
          <w:b/>
          <w:bCs/>
          <w:color w:val="auto"/>
          <w:szCs w:val="24"/>
          <w:highlight w:val="none"/>
        </w:rPr>
      </w:pPr>
      <w:r>
        <w:rPr>
          <w:rFonts w:ascii="Times New Roman" w:hAnsi="Times New Roman" w:eastAsia="宋体" w:cs="Times New Roman"/>
          <w:b/>
          <w:bCs/>
          <w:color w:val="auto"/>
          <w:szCs w:val="24"/>
          <w:highlight w:val="none"/>
        </w:rPr>
        <w:t>4、固体废物</w:t>
      </w:r>
    </w:p>
    <w:p>
      <w:pPr>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项目运营期产生的固体废物包括一般固体废物、危险废物和生活垃圾。经采取本报告提出的相应处置措施后，项目运营期产生的固体废物均得到回收利用或有效处置，对周边环境的影响不大。</w:t>
      </w:r>
    </w:p>
    <w:p>
      <w:pPr>
        <w:ind w:firstLine="482"/>
        <w:rPr>
          <w:rFonts w:ascii="Times New Roman" w:hAnsi="Times New Roman" w:eastAsia="宋体" w:cs="Times New Roman"/>
          <w:b/>
          <w:bCs/>
          <w:color w:val="auto"/>
          <w:szCs w:val="24"/>
          <w:highlight w:val="none"/>
        </w:rPr>
      </w:pPr>
      <w:r>
        <w:rPr>
          <w:rFonts w:ascii="Times New Roman" w:hAnsi="Times New Roman" w:eastAsia="宋体" w:cs="Times New Roman"/>
          <w:b/>
          <w:bCs/>
          <w:color w:val="auto"/>
          <w:szCs w:val="24"/>
          <w:highlight w:val="none"/>
        </w:rPr>
        <w:t>5、生态环境</w:t>
      </w:r>
    </w:p>
    <w:p>
      <w:pPr>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项目矿山开采为露天开采，对生态环境造成的影响主要是破坏景观，对占地区域内植物造成破坏，降低区域植物量，加剧水土流失，对区域自然景观和生态环境产生不利影响，同时矿山开采还会对区域内动物产生一定的惊扰。经采取在工业场地植树种草绿化，道路外侧边坡以种植乔木、灌木、草相结合的方式绿化，</w:t>
      </w:r>
      <w:r>
        <w:rPr>
          <w:rFonts w:hint="eastAsia" w:ascii="Times New Roman" w:hAnsi="Times New Roman" w:eastAsia="宋体" w:cs="Times New Roman"/>
          <w:color w:val="auto"/>
          <w:szCs w:val="24"/>
          <w:highlight w:val="none"/>
        </w:rPr>
        <w:t>排土场</w:t>
      </w:r>
      <w:r>
        <w:rPr>
          <w:rFonts w:ascii="Times New Roman" w:hAnsi="Times New Roman" w:eastAsia="宋体" w:cs="Times New Roman"/>
          <w:color w:val="auto"/>
          <w:szCs w:val="24"/>
          <w:highlight w:val="none"/>
        </w:rPr>
        <w:t xml:space="preserve">四周植树绿化，露天采场边开采边治理等方式进行生态治理，矿山服务期满后，对矿区进行综合治理，对受扰动的区域采取全面的整治、植被恢复和复垦措施，项目建设对区域生态影响较小。 </w:t>
      </w:r>
    </w:p>
    <w:p>
      <w:pPr>
        <w:ind w:firstLine="482"/>
        <w:rPr>
          <w:rFonts w:ascii="Times New Roman" w:hAnsi="Times New Roman" w:eastAsia="宋体" w:cs="Times New Roman"/>
          <w:color w:val="auto"/>
          <w:szCs w:val="24"/>
          <w:highlight w:val="none"/>
        </w:rPr>
      </w:pPr>
      <w:r>
        <w:rPr>
          <w:rFonts w:ascii="Times New Roman" w:hAnsi="Times New Roman" w:eastAsia="宋体" w:cs="Times New Roman"/>
          <w:b/>
          <w:bCs/>
          <w:color w:val="auto"/>
          <w:szCs w:val="24"/>
          <w:highlight w:val="none"/>
        </w:rPr>
        <w:t>6、闭矿期</w:t>
      </w:r>
      <w:r>
        <w:rPr>
          <w:rFonts w:ascii="Times New Roman" w:hAnsi="Times New Roman" w:eastAsia="宋体" w:cs="Times New Roman"/>
          <w:color w:val="auto"/>
          <w:szCs w:val="24"/>
          <w:highlight w:val="none"/>
        </w:rPr>
        <w:t xml:space="preserve"> </w:t>
      </w:r>
    </w:p>
    <w:p>
      <w:pPr>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 xml:space="preserve">矿山服务期满的主要生态问题为区域生态环境的恢复治理工作，具体包括：开采区生态恢复；工业场地、运矿道路的土地修复及植被恢复等。经过水土保持、土地修复、植被恢复等措施的逐步实施，矿区生态环境会得到逐步改善。 矿山闭矿期没有外排水，对地表水环境没有影响；大气污染源不复存在，环境空气污染也随之消失；环境噪声较运营期将有所降低，并逐渐恢复到本底值。 </w:t>
      </w:r>
    </w:p>
    <w:p>
      <w:pPr>
        <w:pStyle w:val="4"/>
        <w:rPr>
          <w:rFonts w:ascii="Times New Roman" w:hAnsi="Times New Roman" w:eastAsia="宋体"/>
          <w:color w:val="auto"/>
          <w:highlight w:val="none"/>
        </w:rPr>
      </w:pPr>
      <w:bookmarkStart w:id="586" w:name="_Toc29192"/>
      <w:r>
        <w:rPr>
          <w:rFonts w:ascii="Times New Roman" w:hAnsi="Times New Roman" w:eastAsia="宋体"/>
          <w:color w:val="auto"/>
          <w:highlight w:val="none"/>
        </w:rPr>
        <w:t>8.5 公众意见采纳情况</w:t>
      </w:r>
      <w:bookmarkEnd w:id="586"/>
      <w:r>
        <w:rPr>
          <w:rFonts w:ascii="Times New Roman" w:hAnsi="Times New Roman" w:eastAsia="宋体"/>
          <w:color w:val="auto"/>
          <w:highlight w:val="none"/>
        </w:rPr>
        <w:t xml:space="preserve"> </w:t>
      </w:r>
    </w:p>
    <w:p>
      <w:pPr>
        <w:ind w:firstLine="480"/>
        <w:jc w:val="left"/>
        <w:rPr>
          <w:rFonts w:ascii="Times New Roman" w:hAnsi="Times New Roman" w:eastAsia="宋体" w:cs="Times New Roman"/>
          <w:color w:val="auto"/>
          <w:sz w:val="23"/>
          <w:highlight w:val="none"/>
        </w:rPr>
      </w:pPr>
      <w:r>
        <w:rPr>
          <w:rFonts w:ascii="Times New Roman" w:hAnsi="Times New Roman" w:eastAsia="宋体"/>
          <w:color w:val="auto"/>
          <w:highlight w:val="none"/>
        </w:rPr>
        <w:t>根据建设单位编制的公众参与编制说明文本，本项目</w:t>
      </w:r>
      <w:r>
        <w:rPr>
          <w:rFonts w:hint="eastAsia" w:ascii="Times New Roman" w:hAnsi="Times New Roman" w:eastAsia="宋体"/>
          <w:color w:val="auto"/>
          <w:highlight w:val="none"/>
        </w:rPr>
        <w:t>于2019年7月11日在柳州市科技环保网进行第一次环境影响评价信息公示。第二次环境影响评价公开信息于2019年8月21日</w:t>
      </w:r>
      <w:r>
        <w:rPr>
          <w:rFonts w:ascii="Times New Roman" w:hAnsi="Times New Roman" w:eastAsia="宋体"/>
          <w:color w:val="auto"/>
          <w:highlight w:val="none"/>
        </w:rPr>
        <w:t>公</w:t>
      </w:r>
      <w:r>
        <w:rPr>
          <w:rFonts w:hint="eastAsia" w:ascii="Times New Roman" w:hAnsi="Times New Roman" w:eastAsia="宋体"/>
          <w:color w:val="auto"/>
          <w:highlight w:val="none"/>
        </w:rPr>
        <w:t>示于柳州市科技环保网，并于2019年8月22日和2019年8月23日在柳州晚报进行登报公示，</w:t>
      </w:r>
      <w:r>
        <w:rPr>
          <w:rFonts w:ascii="Times New Roman" w:hAnsi="Times New Roman" w:eastAsia="宋体"/>
          <w:color w:val="auto"/>
          <w:highlight w:val="none"/>
        </w:rPr>
        <w:t>项目在</w:t>
      </w:r>
      <w:r>
        <w:rPr>
          <w:rFonts w:hint="eastAsia" w:ascii="Times New Roman" w:hAnsi="Times New Roman" w:eastAsia="宋体"/>
          <w:color w:val="auto"/>
          <w:highlight w:val="none"/>
        </w:rPr>
        <w:t>第二次环境影响评价信息公示</w:t>
      </w:r>
      <w:r>
        <w:rPr>
          <w:rFonts w:ascii="Times New Roman" w:hAnsi="Times New Roman" w:eastAsia="宋体"/>
          <w:color w:val="auto"/>
          <w:highlight w:val="none"/>
        </w:rPr>
        <w:t>期间接到</w:t>
      </w:r>
      <w:r>
        <w:rPr>
          <w:rFonts w:hint="eastAsia" w:ascii="Times New Roman" w:hAnsi="Times New Roman" w:eastAsia="宋体"/>
          <w:color w:val="auto"/>
          <w:highlight w:val="none"/>
        </w:rPr>
        <w:t>群众</w:t>
      </w:r>
      <w:r>
        <w:rPr>
          <w:rFonts w:ascii="Times New Roman" w:hAnsi="Times New Roman" w:eastAsia="宋体"/>
          <w:color w:val="auto"/>
          <w:highlight w:val="none"/>
        </w:rPr>
        <w:t>反馈意见</w:t>
      </w:r>
      <w:r>
        <w:rPr>
          <w:rFonts w:hint="eastAsia" w:ascii="Times New Roman" w:hAnsi="Times New Roman" w:eastAsia="宋体"/>
          <w:color w:val="auto"/>
          <w:highlight w:val="none"/>
        </w:rPr>
        <w:t>，建设单位予以采纳，公示的主要内容及时限符合《环境影响评价公众参与办法》（部令第4号）中要求，</w:t>
      </w:r>
      <w:r>
        <w:rPr>
          <w:rFonts w:ascii="Times New Roman" w:hAnsi="Times New Roman" w:eastAsia="宋体"/>
          <w:color w:val="auto"/>
          <w:highlight w:val="none"/>
        </w:rPr>
        <w:t>因此，本次评价对本次</w:t>
      </w:r>
      <w:r>
        <w:rPr>
          <w:rFonts w:hint="eastAsia" w:ascii="Times New Roman" w:hAnsi="Times New Roman" w:eastAsia="宋体"/>
          <w:color w:val="auto"/>
          <w:highlight w:val="none"/>
        </w:rPr>
        <w:t>公众</w:t>
      </w:r>
      <w:r>
        <w:rPr>
          <w:rFonts w:ascii="Times New Roman" w:hAnsi="Times New Roman" w:eastAsia="宋体"/>
          <w:color w:val="auto"/>
          <w:highlight w:val="none"/>
        </w:rPr>
        <w:t>参与调查意见予以采纳。</w:t>
      </w:r>
    </w:p>
    <w:p>
      <w:pPr>
        <w:pStyle w:val="4"/>
        <w:rPr>
          <w:rFonts w:ascii="Times New Roman" w:hAnsi="Times New Roman" w:eastAsia="宋体"/>
          <w:color w:val="auto"/>
          <w:highlight w:val="none"/>
        </w:rPr>
      </w:pPr>
      <w:bookmarkStart w:id="587" w:name="_Toc2135"/>
      <w:r>
        <w:rPr>
          <w:rFonts w:ascii="Times New Roman" w:hAnsi="Times New Roman" w:eastAsia="宋体"/>
          <w:color w:val="auto"/>
          <w:highlight w:val="none"/>
        </w:rPr>
        <w:t>8.6 环境保护措施可行性分析</w:t>
      </w:r>
      <w:bookmarkEnd w:id="587"/>
      <w:r>
        <w:rPr>
          <w:rFonts w:ascii="Times New Roman" w:hAnsi="Times New Roman" w:eastAsia="宋体"/>
          <w:color w:val="auto"/>
          <w:highlight w:val="none"/>
        </w:rPr>
        <w:t xml:space="preserve"> </w:t>
      </w:r>
    </w:p>
    <w:p>
      <w:pPr>
        <w:snapToGrid w:val="0"/>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 xml:space="preserve">1、大气污染防治措施 </w:t>
      </w:r>
    </w:p>
    <w:p>
      <w:pPr>
        <w:snapToGrid w:val="0"/>
        <w:ind w:firstLine="480"/>
        <w:rPr>
          <w:rFonts w:ascii="Times New Roman" w:hAnsi="Times New Roman" w:eastAsia="宋体" w:cs="Times New Roman"/>
          <w:bCs/>
          <w:color w:val="auto"/>
          <w:szCs w:val="24"/>
          <w:highlight w:val="none"/>
        </w:rPr>
      </w:pPr>
      <w:r>
        <w:rPr>
          <w:rFonts w:hint="eastAsia"/>
          <w:color w:val="auto"/>
          <w:highlight w:val="none"/>
          <w:u w:val="single"/>
          <w:lang w:eastAsia="zh-CN"/>
        </w:rPr>
        <w:t>破碎场①</w:t>
      </w:r>
      <w:r>
        <w:rPr>
          <w:rFonts w:hint="eastAsia" w:ascii="Times New Roman" w:hAnsi="Times New Roman" w:eastAsia="宋体" w:cs="Times New Roman"/>
          <w:bCs/>
          <w:color w:val="auto"/>
          <w:highlight w:val="none"/>
          <w:u w:val="single"/>
        </w:rPr>
        <w:t>、</w:t>
      </w:r>
      <w:r>
        <w:rPr>
          <w:rFonts w:hint="eastAsia" w:cs="Times New Roman"/>
          <w:bCs/>
          <w:color w:val="auto"/>
          <w:highlight w:val="none"/>
          <w:u w:val="single"/>
          <w:lang w:eastAsia="zh-CN"/>
        </w:rPr>
        <w:t>破碎场②</w:t>
      </w:r>
      <w:r>
        <w:rPr>
          <w:rFonts w:hint="eastAsia" w:ascii="Times New Roman" w:hAnsi="Times New Roman" w:eastAsia="宋体" w:cs="Times New Roman"/>
          <w:bCs/>
          <w:color w:val="auto"/>
          <w:highlight w:val="none"/>
        </w:rPr>
        <w:t>矿石筛选</w:t>
      </w:r>
      <w:r>
        <w:rPr>
          <w:rFonts w:ascii="Times New Roman" w:hAnsi="Times New Roman" w:eastAsia="宋体" w:cs="Times New Roman"/>
          <w:bCs/>
          <w:color w:val="auto"/>
          <w:highlight w:val="none"/>
        </w:rPr>
        <w:t>破碎、</w:t>
      </w:r>
      <w:r>
        <w:rPr>
          <w:rFonts w:hint="eastAsia" w:ascii="Times New Roman" w:hAnsi="Times New Roman" w:eastAsia="宋体" w:cs="Times New Roman"/>
          <w:bCs/>
          <w:color w:val="auto"/>
          <w:highlight w:val="none"/>
        </w:rPr>
        <w:t>二级破碎筛分</w:t>
      </w:r>
      <w:r>
        <w:rPr>
          <w:rFonts w:ascii="Times New Roman" w:hAnsi="Times New Roman" w:eastAsia="宋体" w:cs="Times New Roman"/>
          <w:bCs/>
          <w:color w:val="auto"/>
          <w:highlight w:val="none"/>
        </w:rPr>
        <w:t>、</w:t>
      </w:r>
      <w:r>
        <w:rPr>
          <w:rFonts w:hint="eastAsia" w:ascii="Times New Roman" w:hAnsi="Times New Roman" w:eastAsia="宋体" w:cs="Times New Roman"/>
          <w:bCs/>
          <w:color w:val="auto"/>
          <w:highlight w:val="none"/>
        </w:rPr>
        <w:t>三级破碎筛分</w:t>
      </w:r>
      <w:r>
        <w:rPr>
          <w:rFonts w:ascii="Times New Roman" w:hAnsi="Times New Roman" w:eastAsia="宋体" w:cs="Times New Roman"/>
          <w:bCs/>
          <w:color w:val="auto"/>
          <w:highlight w:val="none"/>
        </w:rPr>
        <w:t>加工过程</w:t>
      </w:r>
      <w:r>
        <w:rPr>
          <w:rFonts w:hint="eastAsia" w:ascii="Times New Roman" w:hAnsi="Times New Roman" w:eastAsia="宋体" w:cs="Times New Roman"/>
          <w:bCs/>
          <w:color w:val="auto"/>
          <w:highlight w:val="none"/>
        </w:rPr>
        <w:t>废气</w:t>
      </w:r>
      <w:r>
        <w:rPr>
          <w:rFonts w:ascii="Times New Roman" w:hAnsi="Times New Roman" w:eastAsia="宋体" w:cs="Times New Roman"/>
          <w:bCs/>
          <w:color w:val="auto"/>
          <w:highlight w:val="none"/>
        </w:rPr>
        <w:t>均分别采用</w:t>
      </w:r>
      <w:r>
        <w:rPr>
          <w:rFonts w:hint="eastAsia" w:ascii="Times New Roman" w:hAnsi="Times New Roman" w:eastAsia="宋体" w:cs="Times New Roman"/>
          <w:bCs/>
          <w:color w:val="auto"/>
          <w:highlight w:val="none"/>
        </w:rPr>
        <w:t>喷淋</w:t>
      </w:r>
      <w:r>
        <w:rPr>
          <w:rFonts w:ascii="Times New Roman" w:hAnsi="Times New Roman" w:eastAsia="宋体" w:cs="Times New Roman"/>
          <w:bCs/>
          <w:color w:val="auto"/>
          <w:highlight w:val="none"/>
        </w:rPr>
        <w:t>+</w:t>
      </w:r>
      <w:r>
        <w:rPr>
          <w:rFonts w:hint="eastAsia" w:ascii="Times New Roman" w:hAnsi="Times New Roman" w:eastAsia="宋体" w:cs="Times New Roman"/>
          <w:bCs/>
          <w:color w:val="auto"/>
          <w:highlight w:val="none"/>
        </w:rPr>
        <w:t>封闭+负压收集</w:t>
      </w:r>
      <w:r>
        <w:rPr>
          <w:rFonts w:ascii="Times New Roman" w:hAnsi="Times New Roman" w:eastAsia="宋体" w:cs="Times New Roman"/>
          <w:bCs/>
          <w:color w:val="auto"/>
          <w:highlight w:val="none"/>
        </w:rPr>
        <w:t>+袋式除尘</w:t>
      </w:r>
      <w:r>
        <w:rPr>
          <w:rFonts w:hint="eastAsia" w:ascii="Times New Roman" w:hAnsi="Times New Roman" w:eastAsia="宋体" w:cs="Times New Roman"/>
          <w:bCs/>
          <w:color w:val="auto"/>
          <w:highlight w:val="none"/>
        </w:rPr>
        <w:t>+</w:t>
      </w:r>
      <w:r>
        <w:rPr>
          <w:rFonts w:ascii="Times New Roman" w:hAnsi="Times New Roman" w:eastAsia="宋体" w:cs="Times New Roman"/>
          <w:bCs/>
          <w:color w:val="auto"/>
          <w:highlight w:val="none"/>
        </w:rPr>
        <w:t>15m排气筒</w:t>
      </w:r>
      <w:r>
        <w:rPr>
          <w:rFonts w:hint="eastAsia" w:ascii="Times New Roman" w:hAnsi="Times New Roman" w:eastAsia="宋体" w:cs="Times New Roman"/>
          <w:bCs/>
          <w:color w:val="auto"/>
          <w:highlight w:val="none"/>
        </w:rPr>
        <w:t>处理</w:t>
      </w:r>
      <w:r>
        <w:rPr>
          <w:rFonts w:ascii="Times New Roman" w:hAnsi="Times New Roman" w:eastAsia="宋体" w:cs="Times New Roman"/>
          <w:bCs/>
          <w:color w:val="auto"/>
          <w:highlight w:val="none"/>
        </w:rPr>
        <w:t>，处理后排放颗粒物均满足《大气污染物综合排放标准》</w:t>
      </w:r>
      <w:r>
        <w:rPr>
          <w:rFonts w:ascii="Times New Roman" w:hAnsi="Times New Roman" w:eastAsia="宋体" w:cs="Times New Roman"/>
          <w:bCs/>
          <w:color w:val="auto"/>
          <w:szCs w:val="24"/>
          <w:highlight w:val="none"/>
        </w:rPr>
        <w:t>（GB</w:t>
      </w:r>
      <w:r>
        <w:rPr>
          <w:rFonts w:hint="eastAsia" w:ascii="Times New Roman" w:hAnsi="Times New Roman" w:eastAsia="宋体" w:cs="Times New Roman"/>
          <w:bCs/>
          <w:color w:val="auto"/>
          <w:szCs w:val="24"/>
          <w:highlight w:val="none"/>
          <w:lang w:val="en-US" w:eastAsia="zh-CN"/>
        </w:rPr>
        <w:t xml:space="preserve"> </w:t>
      </w:r>
      <w:r>
        <w:rPr>
          <w:rFonts w:ascii="Times New Roman" w:hAnsi="Times New Roman" w:eastAsia="宋体" w:cs="Times New Roman"/>
          <w:bCs/>
          <w:color w:val="auto"/>
          <w:szCs w:val="24"/>
          <w:highlight w:val="none"/>
        </w:rPr>
        <w:t>16297-1996）</w:t>
      </w:r>
      <w:r>
        <w:rPr>
          <w:rFonts w:ascii="Times New Roman" w:hAnsi="Times New Roman" w:eastAsia="宋体" w:cs="Times New Roman"/>
          <w:bCs/>
          <w:color w:val="auto"/>
          <w:highlight w:val="none"/>
        </w:rPr>
        <w:t>表2中二级限值标准，</w:t>
      </w:r>
      <w:r>
        <w:rPr>
          <w:rFonts w:ascii="Times New Roman" w:hAnsi="Times New Roman" w:eastAsia="宋体" w:cs="Times New Roman"/>
          <w:bCs/>
          <w:color w:val="auto"/>
          <w:szCs w:val="24"/>
          <w:highlight w:val="none"/>
        </w:rPr>
        <w:t>因此本项目废气处理措施可行。</w:t>
      </w:r>
    </w:p>
    <w:p>
      <w:pPr>
        <w:snapToGrid w:val="0"/>
        <w:ind w:firstLine="480"/>
        <w:rPr>
          <w:rFonts w:ascii="Times New Roman" w:hAnsi="Times New Roman" w:eastAsia="宋体" w:cs="Times New Roman"/>
          <w:bCs/>
          <w:color w:val="auto"/>
          <w:sz w:val="23"/>
          <w:highlight w:val="none"/>
        </w:rPr>
      </w:pPr>
      <w:r>
        <w:rPr>
          <w:rFonts w:hint="eastAsia" w:ascii="Times New Roman" w:hAnsi="Times New Roman" w:eastAsia="宋体" w:cs="Times New Roman"/>
          <w:color w:val="auto"/>
          <w:highlight w:val="none"/>
        </w:rPr>
        <w:t>项目</w:t>
      </w:r>
      <w:r>
        <w:rPr>
          <w:rFonts w:ascii="Times New Roman" w:hAnsi="Times New Roman" w:eastAsia="宋体" w:cs="Times New Roman"/>
          <w:color w:val="auto"/>
          <w:highlight w:val="none"/>
        </w:rPr>
        <w:t>凿岩钻孔、爆破、采装、</w:t>
      </w:r>
      <w:r>
        <w:rPr>
          <w:rFonts w:ascii="Times New Roman" w:hAnsi="Times New Roman" w:eastAsia="宋体" w:cs="Times New Roman"/>
          <w:bCs/>
          <w:color w:val="auto"/>
          <w:szCs w:val="24"/>
          <w:highlight w:val="none"/>
        </w:rPr>
        <w:t>运输、堆存等过程采用湿式作业，爆破后通过</w:t>
      </w:r>
      <w:r>
        <w:rPr>
          <w:rFonts w:hint="eastAsia" w:ascii="Times New Roman" w:hAnsi="Times New Roman" w:eastAsia="宋体" w:cs="Times New Roman"/>
          <w:bCs/>
          <w:color w:val="auto"/>
          <w:szCs w:val="24"/>
          <w:highlight w:val="none"/>
        </w:rPr>
        <w:t>雾炮机</w:t>
      </w:r>
      <w:r>
        <w:rPr>
          <w:rFonts w:ascii="Times New Roman" w:hAnsi="Times New Roman" w:eastAsia="宋体" w:cs="Times New Roman"/>
          <w:bCs/>
          <w:color w:val="auto"/>
          <w:szCs w:val="24"/>
          <w:highlight w:val="none"/>
        </w:rPr>
        <w:t>洒水降尘</w:t>
      </w:r>
      <w:r>
        <w:rPr>
          <w:rFonts w:hint="eastAsia" w:ascii="Times New Roman" w:hAnsi="Times New Roman" w:eastAsia="宋体" w:cs="Times New Roman"/>
          <w:bCs/>
          <w:color w:val="auto"/>
          <w:szCs w:val="24"/>
          <w:highlight w:val="none"/>
        </w:rPr>
        <w:t>，采装过程洒水降尘，物料</w:t>
      </w:r>
      <w:r>
        <w:rPr>
          <w:rFonts w:hint="eastAsia" w:ascii="Times New Roman" w:hAnsi="Times New Roman" w:eastAsia="宋体" w:cs="Times New Roman"/>
          <w:color w:val="auto"/>
          <w:szCs w:val="24"/>
          <w:highlight w:val="none"/>
        </w:rPr>
        <w:t>输送过程密闭处理并在输送带两端设置喷淋和帘布、落料上堆增加可伸缩斜槽</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szCs w:val="24"/>
          <w:highlight w:val="none"/>
        </w:rPr>
        <w:t>运输道路地面硬化处理、进出厂车辆设置车辆清洗池，</w:t>
      </w:r>
      <w:r>
        <w:rPr>
          <w:rFonts w:ascii="Times New Roman" w:hAnsi="Times New Roman" w:eastAsia="宋体" w:cs="Times New Roman"/>
          <w:color w:val="auto"/>
          <w:highlight w:val="none"/>
        </w:rPr>
        <w:t>道路定期洒水降尘</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szCs w:val="24"/>
          <w:highlight w:val="none"/>
        </w:rPr>
        <w:t>堆料场地面进行硬化处理，堆料场覆盖防尘网并定时洒水降尘，临时排土场设置</w:t>
      </w:r>
      <w:r>
        <w:rPr>
          <w:rFonts w:ascii="Times New Roman" w:hAnsi="Times New Roman" w:eastAsia="宋体" w:cs="Times New Roman"/>
          <w:color w:val="auto"/>
          <w:szCs w:val="24"/>
          <w:highlight w:val="none"/>
        </w:rPr>
        <w:t>围挡</w:t>
      </w:r>
      <w:r>
        <w:rPr>
          <w:rFonts w:hint="eastAsia" w:ascii="Times New Roman" w:hAnsi="Times New Roman" w:eastAsia="宋体" w:cs="Times New Roman"/>
          <w:color w:val="auto"/>
          <w:szCs w:val="24"/>
          <w:highlight w:val="none"/>
        </w:rPr>
        <w:t>和导流沟，并覆盖防尘网，定时洒水降尘；</w:t>
      </w:r>
      <w:r>
        <w:rPr>
          <w:rFonts w:ascii="Times New Roman" w:hAnsi="Times New Roman" w:eastAsia="宋体" w:cs="Times New Roman"/>
          <w:bCs/>
          <w:color w:val="auto"/>
          <w:szCs w:val="24"/>
          <w:highlight w:val="none"/>
        </w:rPr>
        <w:t>严禁超高运输，矿区内低速行驶，经采取相应措施后，可确保矿区周界颗粒物无组织排放浓度满足《大气污染物综合排放标准》（GB</w:t>
      </w:r>
      <w:r>
        <w:rPr>
          <w:rFonts w:hint="eastAsia" w:ascii="Times New Roman" w:hAnsi="Times New Roman" w:eastAsia="宋体" w:cs="Times New Roman"/>
          <w:bCs/>
          <w:color w:val="auto"/>
          <w:szCs w:val="24"/>
          <w:highlight w:val="none"/>
          <w:lang w:val="en-US" w:eastAsia="zh-CN"/>
        </w:rPr>
        <w:t xml:space="preserve"> </w:t>
      </w:r>
      <w:r>
        <w:rPr>
          <w:rFonts w:ascii="Times New Roman" w:hAnsi="Times New Roman" w:eastAsia="宋体" w:cs="Times New Roman"/>
          <w:bCs/>
          <w:color w:val="auto"/>
          <w:szCs w:val="24"/>
          <w:highlight w:val="none"/>
        </w:rPr>
        <w:t>16297-1996）表2无组织排放</w:t>
      </w:r>
      <w:r>
        <w:rPr>
          <w:rFonts w:ascii="Times New Roman" w:hAnsi="Times New Roman" w:eastAsia="宋体" w:cs="Times New Roman"/>
          <w:bCs/>
          <w:color w:val="auto"/>
          <w:highlight w:val="none"/>
        </w:rPr>
        <w:t>监控浓度限值</w:t>
      </w:r>
      <w:r>
        <w:rPr>
          <w:rFonts w:ascii="Times New Roman" w:hAnsi="Times New Roman" w:eastAsia="宋体" w:cs="Times New Roman"/>
          <w:bCs/>
          <w:color w:val="auto"/>
          <w:szCs w:val="24"/>
          <w:highlight w:val="none"/>
        </w:rPr>
        <w:t>。</w:t>
      </w:r>
    </w:p>
    <w:p>
      <w:pPr>
        <w:snapToGrid w:val="0"/>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 xml:space="preserve">2、水污染防治措施 </w:t>
      </w:r>
    </w:p>
    <w:p>
      <w:pPr>
        <w:snapToGrid w:val="0"/>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项目</w:t>
      </w:r>
      <w:r>
        <w:rPr>
          <w:rFonts w:hint="eastAsia" w:ascii="Times New Roman" w:hAnsi="Times New Roman" w:eastAsia="宋体" w:cs="Times New Roman"/>
          <w:bCs/>
          <w:color w:val="auto"/>
          <w:szCs w:val="24"/>
          <w:highlight w:val="none"/>
        </w:rPr>
        <w:t>采区和加工区</w:t>
      </w:r>
      <w:r>
        <w:rPr>
          <w:rFonts w:ascii="Times New Roman" w:hAnsi="Times New Roman" w:eastAsia="宋体" w:cs="Times New Roman"/>
          <w:bCs/>
          <w:color w:val="auto"/>
          <w:szCs w:val="24"/>
          <w:highlight w:val="none"/>
        </w:rPr>
        <w:t>初期雨水经截排水沟进入沉砂池，回用于矿区、破碎加工区及道路的喷淋洒水等</w:t>
      </w:r>
      <w:r>
        <w:rPr>
          <w:rFonts w:hint="eastAsia" w:ascii="Times New Roman" w:hAnsi="Times New Roman" w:eastAsia="宋体" w:cs="Times New Roman"/>
          <w:bCs/>
          <w:color w:val="auto"/>
          <w:szCs w:val="24"/>
          <w:highlight w:val="none"/>
        </w:rPr>
        <w:t>；车辆清洗废水和洗砂废水循环使用；</w:t>
      </w:r>
      <w:r>
        <w:rPr>
          <w:rFonts w:ascii="Times New Roman" w:hAnsi="Times New Roman" w:eastAsia="宋体" w:cs="Times New Roman"/>
          <w:bCs/>
          <w:color w:val="auto"/>
          <w:szCs w:val="24"/>
          <w:highlight w:val="none"/>
        </w:rPr>
        <w:t>项目隔油后的厨房废水和生活污水经化粪池处理</w:t>
      </w:r>
      <w:r>
        <w:rPr>
          <w:rFonts w:ascii="Times New Roman" w:hAnsi="Times New Roman" w:eastAsia="宋体" w:cs="Times New Roman"/>
          <w:bCs/>
          <w:color w:val="auto"/>
          <w:highlight w:val="none"/>
        </w:rPr>
        <w:t>后用于周边旱地施肥</w:t>
      </w:r>
      <w:r>
        <w:rPr>
          <w:rFonts w:ascii="Times New Roman" w:hAnsi="Times New Roman" w:eastAsia="宋体" w:cs="Times New Roman"/>
          <w:bCs/>
          <w:color w:val="auto"/>
          <w:szCs w:val="24"/>
          <w:highlight w:val="none"/>
        </w:rPr>
        <w:t>，措施可行。</w:t>
      </w:r>
    </w:p>
    <w:p>
      <w:pPr>
        <w:snapToGrid w:val="0"/>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 xml:space="preserve">3、噪声防治措施 </w:t>
      </w:r>
    </w:p>
    <w:p>
      <w:pPr>
        <w:snapToGrid w:val="0"/>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尽可能选用低噪声设备，加强设备的维护和保养，保持机械润滑，降低机械设备运行噪声；做好接触高噪声工人的劳动保护，应采取防声耳塞、耳罩；合理布置噪声源等措施，减轻噪声对工作人员的危害。车辆通过居民点时禁鸣喇叭，减轻交通噪声对沿线居民等敏感点的影响。</w:t>
      </w:r>
    </w:p>
    <w:p>
      <w:pPr>
        <w:snapToGrid w:val="0"/>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 xml:space="preserve">4、固体废物防治措施 </w:t>
      </w:r>
    </w:p>
    <w:p>
      <w:pPr>
        <w:snapToGrid w:val="0"/>
        <w:ind w:firstLine="480"/>
        <w:rPr>
          <w:rFonts w:ascii="Times New Roman" w:hAnsi="Times New Roman" w:eastAsia="宋体" w:cs="Times New Roman"/>
          <w:bCs/>
          <w:color w:val="auto"/>
          <w:szCs w:val="24"/>
          <w:highlight w:val="none"/>
        </w:rPr>
      </w:pPr>
      <w:bookmarkStart w:id="588" w:name="OLE_LINK224"/>
      <w:r>
        <w:rPr>
          <w:rFonts w:ascii="Times New Roman" w:hAnsi="Times New Roman" w:eastAsia="宋体" w:cs="Times New Roman"/>
          <w:color w:val="auto"/>
          <w:szCs w:val="20"/>
          <w:highlight w:val="none"/>
        </w:rPr>
        <w:t>项目运营期产生的固体废物主要是采矿时剥离的</w:t>
      </w:r>
      <w:r>
        <w:rPr>
          <w:rFonts w:hint="eastAsia" w:ascii="Times New Roman" w:hAnsi="Times New Roman" w:eastAsia="宋体" w:cs="Times New Roman"/>
          <w:color w:val="auto"/>
          <w:szCs w:val="20"/>
          <w:highlight w:val="none"/>
        </w:rPr>
        <w:t>表土、废土石渣、除尘器粉尘、</w:t>
      </w:r>
      <w:r>
        <w:rPr>
          <w:rFonts w:ascii="Times New Roman" w:hAnsi="Times New Roman" w:eastAsia="宋体" w:cs="Times New Roman"/>
          <w:color w:val="auto"/>
          <w:szCs w:val="20"/>
          <w:highlight w:val="none"/>
        </w:rPr>
        <w:t>泥渣、</w:t>
      </w:r>
      <w:r>
        <w:rPr>
          <w:rFonts w:hint="eastAsia" w:ascii="Times New Roman" w:hAnsi="Times New Roman" w:eastAsia="宋体" w:cs="Times New Roman"/>
          <w:color w:val="auto"/>
          <w:szCs w:val="20"/>
          <w:highlight w:val="none"/>
        </w:rPr>
        <w:t>洗砂泥饼、废零件、废机油和废含油抹布、</w:t>
      </w:r>
      <w:r>
        <w:rPr>
          <w:rFonts w:ascii="Times New Roman" w:hAnsi="Times New Roman" w:eastAsia="宋体" w:cs="Times New Roman"/>
          <w:color w:val="auto"/>
          <w:szCs w:val="20"/>
          <w:highlight w:val="none"/>
        </w:rPr>
        <w:t>职工生活垃圾</w:t>
      </w:r>
      <w:r>
        <w:rPr>
          <w:rFonts w:ascii="Times New Roman" w:hAnsi="Times New Roman" w:eastAsia="宋体" w:cs="Times New Roman"/>
          <w:bCs/>
          <w:color w:val="auto"/>
          <w:szCs w:val="24"/>
          <w:highlight w:val="none"/>
        </w:rPr>
        <w:t>。表土堆存</w:t>
      </w:r>
      <w:r>
        <w:rPr>
          <w:rFonts w:hint="eastAsia" w:ascii="Times New Roman" w:hAnsi="Times New Roman" w:eastAsia="宋体" w:cs="Times New Roman"/>
          <w:bCs/>
          <w:color w:val="auto"/>
          <w:szCs w:val="24"/>
          <w:highlight w:val="none"/>
        </w:rPr>
        <w:t>临时排土场</w:t>
      </w:r>
      <w:r>
        <w:rPr>
          <w:rFonts w:ascii="Times New Roman" w:hAnsi="Times New Roman" w:eastAsia="宋体" w:cs="Times New Roman"/>
          <w:bCs/>
          <w:color w:val="auto"/>
          <w:szCs w:val="24"/>
          <w:highlight w:val="none"/>
        </w:rPr>
        <w:t>，用于矿山复垦；</w:t>
      </w:r>
      <w:r>
        <w:rPr>
          <w:rFonts w:hint="eastAsia" w:ascii="Times New Roman" w:hAnsi="Times New Roman" w:eastAsia="宋体" w:cs="Times New Roman"/>
          <w:bCs/>
          <w:color w:val="auto"/>
          <w:szCs w:val="24"/>
          <w:highlight w:val="none"/>
        </w:rPr>
        <w:t>废土石渣经外卖</w:t>
      </w:r>
      <w:r>
        <w:rPr>
          <w:rFonts w:ascii="Times New Roman" w:hAnsi="Times New Roman" w:eastAsia="宋体" w:cs="Times New Roman"/>
          <w:bCs/>
          <w:color w:val="auto"/>
          <w:szCs w:val="24"/>
          <w:highlight w:val="none"/>
        </w:rPr>
        <w:t>用于</w:t>
      </w:r>
      <w:r>
        <w:rPr>
          <w:rFonts w:hint="eastAsia" w:ascii="Times New Roman" w:hAnsi="Times New Roman" w:eastAsia="宋体" w:cs="Times New Roman"/>
          <w:bCs/>
          <w:color w:val="auto"/>
          <w:szCs w:val="24"/>
          <w:highlight w:val="none"/>
        </w:rPr>
        <w:t>周边</w:t>
      </w:r>
      <w:r>
        <w:rPr>
          <w:rFonts w:ascii="Times New Roman" w:hAnsi="Times New Roman" w:eastAsia="宋体" w:cs="Times New Roman"/>
          <w:bCs/>
          <w:color w:val="auto"/>
          <w:szCs w:val="24"/>
          <w:highlight w:val="none"/>
        </w:rPr>
        <w:t>道路</w:t>
      </w:r>
      <w:r>
        <w:rPr>
          <w:rFonts w:hint="eastAsia" w:ascii="Times New Roman" w:hAnsi="Times New Roman" w:eastAsia="宋体" w:cs="Times New Roman"/>
          <w:bCs/>
          <w:color w:val="auto"/>
          <w:szCs w:val="24"/>
          <w:highlight w:val="none"/>
        </w:rPr>
        <w:t>建设；</w:t>
      </w:r>
      <w:r>
        <w:rPr>
          <w:rFonts w:ascii="Times New Roman" w:hAnsi="Times New Roman" w:eastAsia="宋体" w:cs="Times New Roman"/>
          <w:bCs/>
          <w:color w:val="auto"/>
          <w:szCs w:val="24"/>
          <w:highlight w:val="none"/>
        </w:rPr>
        <w:t>泥渣</w:t>
      </w:r>
      <w:r>
        <w:rPr>
          <w:rFonts w:hint="eastAsia" w:ascii="Times New Roman" w:hAnsi="Times New Roman" w:eastAsia="宋体" w:cs="Times New Roman"/>
          <w:bCs/>
          <w:color w:val="auto"/>
          <w:szCs w:val="24"/>
          <w:highlight w:val="none"/>
        </w:rPr>
        <w:t>用于矿区道路平整，洗砂泥饼外卖砖厂</w:t>
      </w:r>
      <w:r>
        <w:rPr>
          <w:rFonts w:ascii="Times New Roman" w:hAnsi="Times New Roman" w:eastAsia="宋体" w:cs="Times New Roman"/>
          <w:bCs/>
          <w:color w:val="auto"/>
          <w:szCs w:val="24"/>
          <w:highlight w:val="none"/>
        </w:rPr>
        <w:t>；</w:t>
      </w:r>
      <w:r>
        <w:rPr>
          <w:rFonts w:hint="eastAsia" w:ascii="Times New Roman" w:hAnsi="Times New Roman" w:eastAsia="宋体" w:cs="Times New Roman"/>
          <w:color w:val="auto"/>
          <w:szCs w:val="20"/>
          <w:highlight w:val="none"/>
        </w:rPr>
        <w:t>除尘器粉尘</w:t>
      </w:r>
      <w:r>
        <w:rPr>
          <w:rFonts w:ascii="Times New Roman" w:hAnsi="Times New Roman" w:eastAsia="宋体" w:cs="Times New Roman"/>
          <w:bCs/>
          <w:color w:val="auto"/>
          <w:szCs w:val="24"/>
          <w:highlight w:val="none"/>
        </w:rPr>
        <w:t>、</w:t>
      </w:r>
      <w:r>
        <w:rPr>
          <w:rFonts w:ascii="Times New Roman" w:hAnsi="Times New Roman" w:eastAsia="宋体" w:cs="Times New Roman"/>
          <w:color w:val="auto"/>
          <w:szCs w:val="20"/>
          <w:highlight w:val="none"/>
        </w:rPr>
        <w:t>机修</w:t>
      </w:r>
      <w:r>
        <w:rPr>
          <w:rFonts w:hint="eastAsia" w:ascii="Times New Roman" w:hAnsi="Times New Roman" w:eastAsia="宋体" w:cs="Times New Roman"/>
          <w:color w:val="auto"/>
          <w:szCs w:val="20"/>
          <w:highlight w:val="none"/>
        </w:rPr>
        <w:t>废零件</w:t>
      </w:r>
      <w:r>
        <w:rPr>
          <w:rFonts w:ascii="Times New Roman" w:hAnsi="Times New Roman" w:eastAsia="宋体" w:cs="Times New Roman"/>
          <w:bCs/>
          <w:color w:val="auto"/>
          <w:szCs w:val="24"/>
          <w:highlight w:val="none"/>
        </w:rPr>
        <w:t>统一收集后外卖；</w:t>
      </w:r>
      <w:r>
        <w:rPr>
          <w:rFonts w:ascii="Times New Roman" w:hAnsi="Times New Roman" w:eastAsia="宋体" w:cs="Times New Roman"/>
          <w:bCs/>
          <w:color w:val="auto"/>
          <w:szCs w:val="24"/>
          <w:highlight w:val="none"/>
          <w:u w:val="single"/>
        </w:rPr>
        <w:t>废机油属于危险废物，交由有资质的单位处理；生活垃圾</w:t>
      </w:r>
      <w:r>
        <w:rPr>
          <w:rFonts w:hint="eastAsia" w:ascii="Times New Roman" w:hAnsi="Times New Roman" w:eastAsia="宋体" w:cs="Times New Roman"/>
          <w:bCs/>
          <w:color w:val="auto"/>
          <w:szCs w:val="24"/>
          <w:highlight w:val="none"/>
          <w:u w:val="single"/>
        </w:rPr>
        <w:t>和废含油抹布</w:t>
      </w:r>
      <w:r>
        <w:rPr>
          <w:rFonts w:ascii="Times New Roman" w:hAnsi="Times New Roman" w:eastAsia="宋体" w:cs="Times New Roman"/>
          <w:bCs/>
          <w:color w:val="auto"/>
          <w:szCs w:val="24"/>
          <w:highlight w:val="none"/>
          <w:u w:val="single"/>
        </w:rPr>
        <w:t>由环卫部门统一</w:t>
      </w:r>
      <w:r>
        <w:rPr>
          <w:rFonts w:hint="eastAsia" w:ascii="Times New Roman" w:hAnsi="Times New Roman" w:eastAsia="宋体" w:cs="Times New Roman"/>
          <w:bCs/>
          <w:color w:val="auto"/>
          <w:szCs w:val="24"/>
          <w:highlight w:val="none"/>
          <w:u w:val="single"/>
        </w:rPr>
        <w:t>处理。</w:t>
      </w:r>
      <w:r>
        <w:rPr>
          <w:rFonts w:ascii="Times New Roman" w:hAnsi="Times New Roman" w:eastAsia="宋体" w:cs="Times New Roman"/>
          <w:bCs/>
          <w:color w:val="auto"/>
          <w:szCs w:val="24"/>
          <w:highlight w:val="none"/>
        </w:rPr>
        <w:t>产生的固体废物均能得到合理利用或有效处置，措施可行。</w:t>
      </w:r>
      <w:bookmarkEnd w:id="588"/>
    </w:p>
    <w:p>
      <w:pPr>
        <w:snapToGrid w:val="0"/>
        <w:ind w:firstLine="48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5、</w:t>
      </w:r>
      <w:r>
        <w:rPr>
          <w:rFonts w:hint="eastAsia" w:ascii="Times New Roman" w:hAnsi="Times New Roman" w:eastAsia="宋体" w:cs="Times New Roman"/>
          <w:bCs/>
          <w:color w:val="auto"/>
          <w:szCs w:val="24"/>
          <w:highlight w:val="none"/>
        </w:rPr>
        <w:t>生态防护</w:t>
      </w:r>
      <w:r>
        <w:rPr>
          <w:rFonts w:ascii="Times New Roman" w:hAnsi="Times New Roman" w:eastAsia="宋体" w:cs="Times New Roman"/>
          <w:bCs/>
          <w:color w:val="auto"/>
          <w:szCs w:val="24"/>
          <w:highlight w:val="none"/>
        </w:rPr>
        <w:t xml:space="preserve">及生态恢复措施 </w:t>
      </w:r>
    </w:p>
    <w:p>
      <w:pPr>
        <w:snapToGrid w:val="0"/>
        <w:ind w:firstLine="480"/>
        <w:rPr>
          <w:rFonts w:ascii="Times New Roman" w:hAnsi="Times New Roman" w:eastAsia="宋体" w:cs="Times New Roman"/>
          <w:bCs/>
          <w:color w:val="auto"/>
          <w:szCs w:val="24"/>
          <w:highlight w:val="none"/>
        </w:rPr>
      </w:pPr>
      <w:r>
        <w:rPr>
          <w:rFonts w:hint="eastAsia" w:ascii="Times New Roman" w:hAnsi="Times New Roman" w:eastAsia="宋体" w:cs="Times New Roman"/>
          <w:bCs/>
          <w:color w:val="auto"/>
          <w:szCs w:val="24"/>
          <w:highlight w:val="none"/>
        </w:rPr>
        <w:t>项目破碎筛分区、堆料场和运输道路地面进行硬化处理，</w:t>
      </w:r>
      <w:r>
        <w:rPr>
          <w:rFonts w:hint="eastAsia" w:ascii="Times New Roman" w:hAnsi="Times New Roman" w:eastAsia="宋体" w:cs="Times New Roman"/>
          <w:color w:val="auto"/>
          <w:szCs w:val="24"/>
          <w:highlight w:val="none"/>
        </w:rPr>
        <w:t>石粉堆场建设厂棚，临时排土场设置</w:t>
      </w:r>
      <w:r>
        <w:rPr>
          <w:rFonts w:ascii="Times New Roman" w:hAnsi="Times New Roman" w:eastAsia="宋体" w:cs="Times New Roman"/>
          <w:color w:val="auto"/>
          <w:szCs w:val="24"/>
          <w:highlight w:val="none"/>
        </w:rPr>
        <w:t>围挡</w:t>
      </w:r>
      <w:r>
        <w:rPr>
          <w:rFonts w:hint="eastAsia" w:ascii="Times New Roman" w:hAnsi="Times New Roman" w:eastAsia="宋体" w:cs="Times New Roman"/>
          <w:color w:val="auto"/>
          <w:szCs w:val="24"/>
          <w:highlight w:val="none"/>
        </w:rPr>
        <w:t>和导流沟</w:t>
      </w:r>
      <w:r>
        <w:rPr>
          <w:rFonts w:hint="eastAsia" w:ascii="Times New Roman" w:hAnsi="Times New Roman" w:eastAsia="宋体" w:cs="Times New Roman"/>
          <w:bCs/>
          <w:color w:val="auto"/>
          <w:szCs w:val="24"/>
          <w:highlight w:val="none"/>
        </w:rPr>
        <w:t>，矿区周边建设截排水沟，新增2座初期雨水沉砂池，可有效预防雨水对矿区地表形成冲刷。项目矿山已制定《三江县鑫贝矿业有限公司采石场地质环境保护与土地复垦方案》并备案，</w:t>
      </w:r>
      <w:r>
        <w:rPr>
          <w:rFonts w:ascii="Times New Roman" w:hAnsi="Times New Roman" w:eastAsia="宋体" w:cs="Times New Roman"/>
          <w:bCs/>
          <w:color w:val="auto"/>
          <w:szCs w:val="24"/>
          <w:highlight w:val="none"/>
        </w:rPr>
        <w:t>服务期满后，应尽快对场地进行清理，然后覆土，开展植被重建工作等措施。</w:t>
      </w:r>
    </w:p>
    <w:p>
      <w:pPr>
        <w:pStyle w:val="4"/>
        <w:rPr>
          <w:rFonts w:ascii="Times New Roman" w:hAnsi="Times New Roman" w:eastAsia="宋体"/>
          <w:color w:val="auto"/>
          <w:highlight w:val="none"/>
        </w:rPr>
      </w:pPr>
      <w:bookmarkStart w:id="589" w:name="_Toc24841"/>
      <w:r>
        <w:rPr>
          <w:rFonts w:ascii="Times New Roman" w:hAnsi="Times New Roman" w:eastAsia="宋体"/>
          <w:color w:val="auto"/>
          <w:highlight w:val="none"/>
        </w:rPr>
        <w:t>8.7 环境影响经济损益分析</w:t>
      </w:r>
      <w:bookmarkEnd w:id="589"/>
      <w:r>
        <w:rPr>
          <w:rFonts w:ascii="Times New Roman" w:hAnsi="Times New Roman" w:eastAsia="宋体"/>
          <w:color w:val="auto"/>
          <w:highlight w:val="none"/>
        </w:rPr>
        <w:t xml:space="preserve"> </w:t>
      </w:r>
    </w:p>
    <w:p>
      <w:pPr>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本项目环保投资为</w:t>
      </w:r>
      <w:r>
        <w:rPr>
          <w:rFonts w:hint="eastAsia" w:ascii="Times New Roman" w:hAnsi="Times New Roman" w:eastAsia="宋体" w:cs="Times New Roman"/>
          <w:color w:val="auto"/>
          <w:szCs w:val="24"/>
          <w:highlight w:val="none"/>
        </w:rPr>
        <w:t>248</w:t>
      </w:r>
      <w:r>
        <w:rPr>
          <w:rFonts w:ascii="Times New Roman" w:hAnsi="Times New Roman" w:eastAsia="宋体" w:cs="Times New Roman"/>
          <w:color w:val="auto"/>
          <w:szCs w:val="24"/>
          <w:highlight w:val="none"/>
        </w:rPr>
        <w:t>万元，环保费用占总投资的</w:t>
      </w:r>
      <w:r>
        <w:rPr>
          <w:rFonts w:hint="eastAsia" w:ascii="Times New Roman" w:hAnsi="Times New Roman" w:eastAsia="宋体" w:cs="Times New Roman"/>
          <w:color w:val="auto"/>
          <w:szCs w:val="24"/>
          <w:highlight w:val="none"/>
        </w:rPr>
        <w:t>40.03</w:t>
      </w:r>
      <w:r>
        <w:rPr>
          <w:rFonts w:ascii="Times New Roman" w:hAnsi="Times New Roman" w:eastAsia="宋体" w:cs="Times New Roman"/>
          <w:color w:val="auto"/>
          <w:szCs w:val="24"/>
          <w:highlight w:val="none"/>
        </w:rPr>
        <w:t>%，年净利润</w:t>
      </w:r>
      <w:r>
        <w:rPr>
          <w:rFonts w:hint="eastAsia" w:ascii="Times New Roman" w:hAnsi="Times New Roman" w:eastAsia="宋体" w:cs="Times New Roman"/>
          <w:color w:val="auto"/>
          <w:szCs w:val="24"/>
          <w:highlight w:val="none"/>
        </w:rPr>
        <w:t>36</w:t>
      </w:r>
      <w:r>
        <w:rPr>
          <w:rFonts w:ascii="Times New Roman" w:hAnsi="Times New Roman" w:eastAsia="宋体" w:cs="Times New Roman"/>
          <w:color w:val="auto"/>
          <w:szCs w:val="24"/>
          <w:highlight w:val="none"/>
        </w:rPr>
        <w:t xml:space="preserve">0万元。对于矿山建设项目而言，该项目环保投资所占比例较为合理。 </w:t>
      </w:r>
    </w:p>
    <w:p>
      <w:pPr>
        <w:ind w:firstLine="480"/>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本项目的建设，将带来一定的社会效益和巨大的经济效益，同时针对项目暴露出来的环境问题而采取相应的污染防治措施后，其环境代价不大，从环境经济方面来看，项目的建设是可行的。</w:t>
      </w:r>
    </w:p>
    <w:p>
      <w:pPr>
        <w:pStyle w:val="4"/>
        <w:rPr>
          <w:rFonts w:ascii="Times New Roman" w:hAnsi="Times New Roman" w:eastAsia="宋体"/>
          <w:color w:val="auto"/>
          <w:sz w:val="32"/>
          <w:highlight w:val="none"/>
        </w:rPr>
      </w:pPr>
      <w:bookmarkStart w:id="590" w:name="_Toc20738"/>
      <w:bookmarkStart w:id="591" w:name="_Toc21445"/>
      <w:bookmarkStart w:id="592" w:name="_Toc21764"/>
      <w:r>
        <w:rPr>
          <w:rFonts w:ascii="Times New Roman" w:hAnsi="Times New Roman" w:eastAsia="宋体"/>
          <w:color w:val="auto"/>
          <w:sz w:val="32"/>
          <w:highlight w:val="none"/>
        </w:rPr>
        <w:t>8.8 环境管理与监测计划</w:t>
      </w:r>
      <w:bookmarkEnd w:id="590"/>
      <w:bookmarkEnd w:id="591"/>
      <w:bookmarkEnd w:id="592"/>
    </w:p>
    <w:p>
      <w:pPr>
        <w:ind w:firstLine="480"/>
        <w:jc w:val="left"/>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项目应建立健全的环境管理制度和管理体系，明确责任主体、管理重点，确保各项环境保护设施和措施的建设、运行及维护费用的保障。</w:t>
      </w:r>
      <w:r>
        <w:rPr>
          <w:rFonts w:hint="eastAsia" w:ascii="Times New Roman" w:hAnsi="Times New Roman" w:eastAsia="宋体" w:cs="Times New Roman"/>
          <w:color w:val="auto"/>
          <w:szCs w:val="24"/>
          <w:highlight w:val="none"/>
        </w:rPr>
        <w:t>三江县鑫贝矿业有限公司</w:t>
      </w:r>
      <w:r>
        <w:rPr>
          <w:rFonts w:ascii="Times New Roman" w:hAnsi="Times New Roman" w:eastAsia="宋体" w:cs="Times New Roman"/>
          <w:color w:val="auto"/>
          <w:highlight w:val="none"/>
        </w:rPr>
        <w:t>作为本项目环境管理的责任主体，日常生产中，要做好相关环境管理的台账记录，定期按照环境监测计划对污染源和环境质量进行监测。</w:t>
      </w:r>
    </w:p>
    <w:p>
      <w:pPr>
        <w:pStyle w:val="4"/>
        <w:rPr>
          <w:rFonts w:ascii="Times New Roman" w:hAnsi="Times New Roman" w:eastAsia="宋体"/>
          <w:color w:val="auto"/>
          <w:highlight w:val="none"/>
        </w:rPr>
      </w:pPr>
      <w:bookmarkStart w:id="593" w:name="_Toc19472"/>
      <w:r>
        <w:rPr>
          <w:rFonts w:ascii="Times New Roman" w:hAnsi="Times New Roman" w:eastAsia="宋体"/>
          <w:color w:val="auto"/>
          <w:highlight w:val="none"/>
        </w:rPr>
        <w:t>8.9 总结论</w:t>
      </w:r>
      <w:bookmarkEnd w:id="593"/>
      <w:r>
        <w:rPr>
          <w:rFonts w:ascii="Times New Roman" w:hAnsi="Times New Roman" w:eastAsia="宋体"/>
          <w:color w:val="auto"/>
          <w:highlight w:val="none"/>
        </w:rPr>
        <w:t xml:space="preserve"> </w:t>
      </w:r>
    </w:p>
    <w:p>
      <w:pPr>
        <w:ind w:firstLine="480"/>
        <w:rPr>
          <w:rFonts w:ascii="Times New Roman" w:hAnsi="Times New Roman" w:eastAsia="宋体" w:cs="Times New Roman"/>
          <w:b/>
          <w:bCs/>
          <w:color w:val="auto"/>
          <w:highlight w:val="none"/>
        </w:rPr>
      </w:pPr>
      <w:r>
        <w:rPr>
          <w:rFonts w:hint="eastAsia" w:ascii="Times New Roman" w:hAnsi="Times New Roman" w:eastAsia="宋体" w:cs="Times New Roman"/>
          <w:color w:val="auto"/>
          <w:szCs w:val="24"/>
          <w:highlight w:val="none"/>
        </w:rPr>
        <w:t>三江侗族自治县宏源采石场硅质岩矿年开采加工50万吨砂石料项目</w:t>
      </w:r>
      <w:r>
        <w:rPr>
          <w:rFonts w:ascii="Times New Roman" w:hAnsi="Times New Roman" w:eastAsia="宋体" w:cs="Times New Roman"/>
          <w:color w:val="auto"/>
          <w:highlight w:val="none"/>
        </w:rPr>
        <w:t>建设地点位于</w:t>
      </w:r>
      <w:r>
        <w:rPr>
          <w:rFonts w:hint="eastAsia" w:ascii="Times New Roman" w:hAnsi="Times New Roman" w:eastAsia="宋体" w:cs="Times New Roman"/>
          <w:color w:val="auto"/>
          <w:szCs w:val="24"/>
          <w:highlight w:val="none"/>
          <w:lang w:val="en-US" w:eastAsia="zh-CN"/>
        </w:rPr>
        <w:t>三江县斗江镇东坪村东恒屯</w:t>
      </w:r>
      <w:r>
        <w:rPr>
          <w:rFonts w:ascii="Times New Roman" w:hAnsi="Times New Roman" w:eastAsia="宋体" w:cs="Times New Roman"/>
          <w:color w:val="auto"/>
          <w:highlight w:val="none"/>
        </w:rPr>
        <w:t>，为</w:t>
      </w:r>
      <w:r>
        <w:rPr>
          <w:rFonts w:hint="eastAsia" w:ascii="Times New Roman" w:hAnsi="Times New Roman" w:eastAsia="宋体" w:cs="Times New Roman"/>
          <w:color w:val="auto"/>
          <w:highlight w:val="none"/>
        </w:rPr>
        <w:t>矿山整合工程</w:t>
      </w:r>
      <w:r>
        <w:rPr>
          <w:rFonts w:ascii="Times New Roman" w:hAnsi="Times New Roman" w:eastAsia="宋体" w:cs="Times New Roman"/>
          <w:color w:val="auto"/>
          <w:highlight w:val="none"/>
        </w:rPr>
        <w:t>，项目</w:t>
      </w:r>
      <w:r>
        <w:rPr>
          <w:rFonts w:hint="eastAsia" w:ascii="Times New Roman" w:hAnsi="Times New Roman" w:eastAsia="宋体" w:cs="Times New Roman"/>
          <w:color w:val="auto"/>
          <w:highlight w:val="none"/>
        </w:rPr>
        <w:t>建设</w:t>
      </w:r>
      <w:r>
        <w:rPr>
          <w:rFonts w:ascii="Times New Roman" w:hAnsi="Times New Roman" w:eastAsia="宋体" w:cs="Times New Roman"/>
          <w:color w:val="auto"/>
          <w:highlight w:val="none"/>
        </w:rPr>
        <w:t>符合国家产业政策，项目实施后具有较好的社会效益和经济效益，有利于促进本地区社会经济的发展。项目用地符合矿产资源规划，选址合理。项目建设符合“三线一单”准入要求，项目建设虽对周边环境造成一定的不利影响，但在采取各种污染防治措施情况下，废气、废水、噪声达标排放，固体废物得到有效综合处置，生态环境影响较小，对周围环境的不良影响在可接受范围内。建设单位应认真落实本报告提出的各项环保措施，在严格执行环保“三同时”制度的前提下，</w:t>
      </w:r>
      <w:r>
        <w:rPr>
          <w:rFonts w:ascii="Times New Roman" w:hAnsi="Times New Roman" w:eastAsia="宋体" w:cs="Times New Roman"/>
          <w:snapToGrid w:val="0"/>
          <w:color w:val="auto"/>
          <w:kern w:val="0"/>
          <w:highlight w:val="none"/>
        </w:rPr>
        <w:t>从环保角度分析，项目建设可行。</w:t>
      </w:r>
    </w:p>
    <w:p>
      <w:pPr>
        <w:snapToGrid w:val="0"/>
        <w:ind w:firstLine="480"/>
        <w:rPr>
          <w:rFonts w:hint="eastAsia" w:ascii="Times New Roman" w:hAnsi="Times New Roman" w:eastAsia="宋体"/>
          <w:color w:val="auto"/>
          <w:highlight w:val="none"/>
        </w:rPr>
      </w:pPr>
    </w:p>
    <w:sectPr>
      <w:headerReference r:id="rId24" w:type="default"/>
      <w:pgSz w:w="11906" w:h="16838"/>
      <w:pgMar w:top="1417" w:right="1417" w:bottom="1418" w:left="1418" w:header="850" w:footer="992" w:gutter="0"/>
      <w:pgBorders>
        <w:top w:val="none" w:sz="0" w:space="0"/>
        <w:left w:val="none" w:sz="0" w:space="0"/>
        <w:bottom w:val="none" w:sz="0" w:space="0"/>
        <w:right w:val="none" w:sz="0" w:space="0"/>
      </w:pgBorders>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Consolas">
    <w:panose1 w:val="020B0609020204030204"/>
    <w:charset w:val="00"/>
    <w:family w:val="modern"/>
    <w:pitch w:val="default"/>
    <w:sig w:usb0="E00006FF" w:usb1="0000FCFF" w:usb2="00000001" w:usb3="00000000" w:csb0="6000019F" w:csb1="DFD7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TimesNewRomanPS-ItalicMT">
    <w:altName w:val="Times New Roman"/>
    <w:panose1 w:val="00000000000000000000"/>
    <w:charset w:val="00"/>
    <w:family w:val="roma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TimesNewRoman">
    <w:altName w:val="Yu Gothic"/>
    <w:panose1 w:val="00000000000000000000"/>
    <w:charset w:val="80"/>
    <w:family w:val="auto"/>
    <w:pitch w:val="default"/>
    <w:sig w:usb0="00000000" w:usb1="00000000" w:usb2="00000000" w:usb3="00000000" w:csb0="00020000" w:csb1="00000000"/>
  </w:font>
  <w:font w:name="SymbolMT">
    <w:altName w:val="MingLiU-ExtB"/>
    <w:panose1 w:val="00000000000000000000"/>
    <w:charset w:val="88"/>
    <w:family w:val="auto"/>
    <w:pitch w:val="default"/>
    <w:sig w:usb0="00000000" w:usb1="00000000" w:usb2="00000000" w:usb3="00000000" w:csb0="00100000" w:csb1="00000000"/>
  </w:font>
  <w:font w:name="微软雅黑">
    <w:panose1 w:val="020B0503020204020204"/>
    <w:charset w:val="86"/>
    <w:family w:val="auto"/>
    <w:pitch w:val="default"/>
    <w:sig w:usb0="80000287" w:usb1="2ACF3C50" w:usb2="00000016" w:usb3="00000000" w:csb0="0004001F" w:csb1="00000000"/>
  </w:font>
  <w:font w:name="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8"/>
                            <w:rPr>
                              <w:rFonts w:hint="eastAsia"/>
                            </w:rPr>
                          </w:pPr>
                          <w:r>
                            <w:rPr>
                              <w:rFonts w:hint="eastAsia"/>
                            </w:rPr>
                            <w:fldChar w:fldCharType="begin"/>
                          </w:r>
                          <w:r>
                            <w:rPr>
                              <w:rFonts w:hint="eastAsia"/>
                            </w:rPr>
                            <w:instrText xml:space="preserve"> PAGE  \* MERGEFORMAT </w:instrText>
                          </w:r>
                          <w:r>
                            <w:rPr>
                              <w:rFonts w:hint="eastAsia"/>
                            </w:rPr>
                            <w:fldChar w:fldCharType="separate"/>
                          </w:r>
                          <w:r>
                            <w:t>188</w:t>
                          </w:r>
                          <w:r>
                            <w:rPr>
                              <w:rFonts w:hint="eastAsia"/>
                            </w:rPr>
                            <w:fldChar w:fldCharType="end"/>
                          </w:r>
                        </w:p>
                      </w:txbxContent>
                    </wps:txbx>
                    <wps:bodyPr wrap="none" lIns="0" tIns="0" rIns="0" bIns="0" upright="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wuPSMrIB&#10;AABPAwAADgAAAAAAAAABACAAAAAeAQAAZHJzL2Uyb0RvYy54bWxQSwUGAAAAAAYABgBZAQAAQgUA&#10;AAAA&#10;">
              <v:fill on="f" focussize="0,0"/>
              <v:stroke on="f"/>
              <v:imagedata o:title=""/>
              <o:lock v:ext="edit" aspectratio="f"/>
              <v:textbox inset="0mm,0mm,0mm,0mm" style="mso-fit-shape-to-text:t;">
                <w:txbxContent>
                  <w:p>
                    <w:pPr>
                      <w:pStyle w:val="28"/>
                      <w:rPr>
                        <w:rFonts w:hint="eastAsia"/>
                      </w:rPr>
                    </w:pPr>
                    <w:r>
                      <w:rPr>
                        <w:rFonts w:hint="eastAsia"/>
                      </w:rPr>
                      <w:fldChar w:fldCharType="begin"/>
                    </w:r>
                    <w:r>
                      <w:rPr>
                        <w:rFonts w:hint="eastAsia"/>
                      </w:rPr>
                      <w:instrText xml:space="preserve"> PAGE  \* MERGEFORMAT </w:instrText>
                    </w:r>
                    <w:r>
                      <w:rPr>
                        <w:rFonts w:hint="eastAsia"/>
                      </w:rPr>
                      <w:fldChar w:fldCharType="separate"/>
                    </w:r>
                    <w:r>
                      <w:t>188</w:t>
                    </w:r>
                    <w:r>
                      <w:rPr>
                        <w:rFonts w:hint="eastAsia"/>
                      </w:rPr>
                      <w:fldChar w:fldCharType="end"/>
                    </w:r>
                  </w:p>
                </w:txbxContent>
              </v:textbox>
            </v:shape>
          </w:pict>
        </mc:Fallback>
      </mc:AlternateContent>
    </w:r>
    <w:r>
      <w:t xml:space="preserve">                                         </w:t>
    </w:r>
    <w:r>
      <w:rPr>
        <w:rFonts w:hint="eastAsia" w:ascii="宋体" w:hAnsi="宋体"/>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20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8"/>
                            <w:jc w:val="both"/>
                            <w:rPr>
                              <w:rFonts w:hint="eastAsia"/>
                            </w:rPr>
                          </w:pPr>
                          <w:r>
                            <w:rPr>
                              <w:rFonts w:hint="eastAsia"/>
                            </w:rPr>
                            <w:fldChar w:fldCharType="begin"/>
                          </w:r>
                          <w:r>
                            <w:rPr>
                              <w:rFonts w:hint="eastAsia"/>
                            </w:rPr>
                            <w:instrText xml:space="preserve"> PAGE  \* MERGEFORMAT </w:instrText>
                          </w:r>
                          <w:r>
                            <w:rPr>
                              <w:rFonts w:hint="eastAsia"/>
                            </w:rPr>
                            <w:fldChar w:fldCharType="separate"/>
                          </w:r>
                          <w:r>
                            <w:t>264</w:t>
                          </w:r>
                          <w:r>
                            <w:rPr>
                              <w:rFonts w:hint="eastAsia"/>
                            </w:rPr>
                            <w:fldChar w:fldCharType="end"/>
                          </w:r>
                        </w:p>
                      </w:txbxContent>
                    </wps:txbx>
                    <wps:bodyPr wrap="none" lIns="0" tIns="0" rIns="0" bIns="0" upright="0">
                      <a:spAutoFit/>
                    </wps:bodyPr>
                  </wps:wsp>
                </a:graphicData>
              </a:graphic>
            </wp:anchor>
          </w:drawing>
        </mc:Choice>
        <mc:Fallback>
          <w:pict>
            <v:shape id="文本框 2065"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t6weN7IB&#10;AABPAwAADgAAAAAAAAABACAAAAAeAQAAZHJzL2Uyb0RvYy54bWxQSwUGAAAAAAYABgBZAQAAQgUA&#10;AAAA&#10;">
              <v:fill on="f" focussize="0,0"/>
              <v:stroke on="f"/>
              <v:imagedata o:title=""/>
              <o:lock v:ext="edit" aspectratio="f"/>
              <v:textbox inset="0mm,0mm,0mm,0mm" style="mso-fit-shape-to-text:t;">
                <w:txbxContent>
                  <w:p>
                    <w:pPr>
                      <w:pStyle w:val="28"/>
                      <w:jc w:val="both"/>
                      <w:rPr>
                        <w:rFonts w:hint="eastAsia"/>
                      </w:rPr>
                    </w:pPr>
                    <w:r>
                      <w:rPr>
                        <w:rFonts w:hint="eastAsia"/>
                      </w:rPr>
                      <w:fldChar w:fldCharType="begin"/>
                    </w:r>
                    <w:r>
                      <w:rPr>
                        <w:rFonts w:hint="eastAsia"/>
                      </w:rPr>
                      <w:instrText xml:space="preserve"> PAGE  \* MERGEFORMAT </w:instrText>
                    </w:r>
                    <w:r>
                      <w:rPr>
                        <w:rFonts w:hint="eastAsia"/>
                      </w:rPr>
                      <w:fldChar w:fldCharType="separate"/>
                    </w:r>
                    <w:r>
                      <w:t>264</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line="240" w:lineRule="auto"/>
      <w:ind w:firstLine="0" w:firstLineChars="0"/>
      <w:jc w:val="both"/>
      <w:rPr>
        <w:rFonts w:hint="eastAsia"/>
      </w:rPr>
    </w:pPr>
    <w:r>
      <w:rPr>
        <w:rFonts w:hint="eastAsia"/>
      </w:rPr>
      <w:t xml:space="preserve">三江侗族自治县宏源采石场硅质岩矿年开采加工50万吨砂石料项目                       </w:t>
    </w:r>
    <w:r>
      <w:t>环境现状调查与评价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line="240" w:lineRule="auto"/>
      <w:ind w:firstLine="0" w:firstLineChars="0"/>
      <w:jc w:val="left"/>
      <w:rPr>
        <w:rFonts w:hint="eastAsia"/>
      </w:rPr>
    </w:pPr>
    <w:r>
      <w:rPr>
        <w:rFonts w:hint="eastAsia"/>
      </w:rPr>
      <w:t xml:space="preserve">三江侗族自治县宏源采石场硅质岩矿年开采加工50万吨砂石料项目                       </w:t>
    </w:r>
    <w:r>
      <w:t>环境影响预测与评价</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line="240" w:lineRule="auto"/>
      <w:ind w:firstLine="0" w:firstLineChars="0"/>
      <w:jc w:val="left"/>
      <w:rPr>
        <w:rFonts w:hint="eastAsia"/>
      </w:rPr>
    </w:pPr>
    <w:r>
      <w:rPr>
        <w:rFonts w:hint="eastAsia"/>
      </w:rPr>
      <w:t xml:space="preserve">三江侗族自治县宏源采石场硅质岩矿年开采加工50万吨砂石料项目                       </w:t>
    </w:r>
    <w:r>
      <w:t>环境影响预测与评价</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line="240" w:lineRule="auto"/>
      <w:ind w:firstLine="0" w:firstLineChars="0"/>
      <w:jc w:val="left"/>
      <w:rPr>
        <w:rFonts w:hint="eastAsia"/>
      </w:rPr>
    </w:pPr>
    <w:r>
      <w:rPr>
        <w:rFonts w:hint="eastAsia"/>
      </w:rPr>
      <w:t xml:space="preserve">三江侗族自治县宏源采石场硅质岩矿年开采加工50万吨砂石料项目                 </w:t>
    </w:r>
    <w:r>
      <w:t>环境保护措施及可行性论证</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line="240" w:lineRule="auto"/>
      <w:ind w:firstLine="0" w:firstLineChars="0"/>
      <w:jc w:val="both"/>
    </w:pPr>
    <w:r>
      <w:rPr>
        <w:rFonts w:hint="eastAsia"/>
      </w:rPr>
      <w:t xml:space="preserve">三江侗族自治县宏源采石场硅质岩矿年开采加工50万吨砂石料项目                        </w:t>
    </w:r>
    <w:r>
      <w:t>环境经济损益分析</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line="240" w:lineRule="auto"/>
      <w:ind w:firstLine="0" w:firstLineChars="0"/>
      <w:jc w:val="both"/>
    </w:pPr>
    <w:r>
      <w:rPr>
        <w:rFonts w:hint="eastAsia"/>
      </w:rPr>
      <w:t>三江侗族自治县宏源采石场硅质岩矿年开采加工50万吨砂石料项目                       环境管理与监测计划</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line="240" w:lineRule="auto"/>
      <w:ind w:firstLine="0" w:firstLineChars="0"/>
      <w:jc w:val="both"/>
    </w:pPr>
    <w:r>
      <w:rPr>
        <w:rFonts w:hint="eastAsia"/>
      </w:rPr>
      <w:t>三江侗族自治县宏源采石场硅质岩矿年开采加工50万吨砂石料项目                       环境管理与监测计划</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line="240" w:lineRule="auto"/>
      <w:ind w:firstLine="0" w:firstLineChars="0"/>
      <w:jc w:val="both"/>
      <w:rPr>
        <w:rFonts w:hint="eastAsia"/>
      </w:rPr>
    </w:pPr>
    <w:r>
      <w:rPr>
        <w:rFonts w:hint="eastAsia"/>
      </w:rPr>
      <w:t>三江侗族自治县宏源采石场硅质岩矿年开采加工50万吨砂石料项目                                      结论</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line="240" w:lineRule="auto"/>
      <w:ind w:firstLine="0" w:firstLineChars="0"/>
      <w:jc w:val="both"/>
      <w:rPr>
        <w:rFonts w:hint="eastAsia" w:ascii="宋体" w:hAnsi="宋体"/>
      </w:rPr>
    </w:pPr>
    <w:r>
      <w:rPr>
        <w:rFonts w:hint="eastAsia" w:ascii="宋体" w:hAnsi="宋体"/>
      </w:rPr>
      <w:t>三江侗族自治县宏源采石场硅质岩矿年开采加工50万吨砂石料项目                                     概述</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line="240" w:lineRule="auto"/>
      <w:ind w:firstLine="0" w:firstLineChars="0"/>
      <w:jc w:val="both"/>
      <w:rPr>
        <w:rFonts w:hint="eastAsia"/>
        <w:sz w:val="16"/>
        <w:szCs w:val="16"/>
      </w:rPr>
    </w:pPr>
    <w:r>
      <w:rPr>
        <w:rFonts w:hint="eastAsia"/>
      </w:rPr>
      <w:t>三江侗族自治县宏源采石场硅质岩矿年开采加工50万吨砂石料项目</w:t>
    </w:r>
    <w:r>
      <w:rPr>
        <w:rFonts w:hint="eastAsia"/>
        <w:sz w:val="16"/>
        <w:szCs w:val="16"/>
      </w:rPr>
      <w:t xml:space="preserve">                                          </w:t>
    </w:r>
    <w:r>
      <w:rPr>
        <w:rFonts w:hint="eastAsia"/>
      </w:rPr>
      <w:t>目录</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line="240" w:lineRule="auto"/>
      <w:ind w:firstLine="0" w:firstLineChars="0"/>
      <w:jc w:val="both"/>
      <w:rPr>
        <w:rFonts w:hint="eastAsia" w:ascii="宋体" w:hAnsi="宋体"/>
      </w:rPr>
    </w:pPr>
    <w:r>
      <w:rPr>
        <w:rFonts w:hint="eastAsia"/>
      </w:rPr>
      <w:t>三江侗族自治县宏源采石场硅质岩矿年开采加工50万吨砂石料项目</w:t>
    </w:r>
    <w:r>
      <w:rPr>
        <w:rFonts w:hint="eastAsia" w:ascii="宋体" w:hAnsi="宋体"/>
      </w:rPr>
      <w:t xml:space="preserve">                                     总则</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line="240" w:lineRule="auto"/>
      <w:ind w:firstLine="0" w:firstLineChars="0"/>
      <w:jc w:val="both"/>
      <w:rPr>
        <w:rFonts w:hint="eastAsia" w:ascii="宋体" w:hAnsi="宋体"/>
      </w:rPr>
    </w:pPr>
    <w:r>
      <w:rPr>
        <w:rFonts w:hint="eastAsia"/>
      </w:rPr>
      <w:t>三江侗族自治县宏源采石场硅质岩矿年开采加工50万吨砂石料项目</w:t>
    </w:r>
    <w:r>
      <w:rPr>
        <w:rFonts w:hint="eastAsia" w:ascii="宋体" w:hAnsi="宋体"/>
      </w:rPr>
      <w:t xml:space="preserve">                                     总则</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line="240" w:lineRule="auto"/>
      <w:ind w:firstLine="0" w:firstLineChars="0"/>
      <w:jc w:val="left"/>
      <w:rPr>
        <w:rFonts w:hint="eastAsia" w:ascii="宋体" w:hAnsi="宋体"/>
      </w:rPr>
    </w:pPr>
    <w:r>
      <w:rPr>
        <w:rFonts w:hint="eastAsia" w:ascii="宋体" w:hAnsi="宋体"/>
      </w:rPr>
      <w:t>三江侗族自治县宏源采石场硅质岩矿年开采加工50万吨砂石料项目                                 工程分析</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line="240" w:lineRule="auto"/>
      <w:ind w:firstLine="0" w:firstLineChars="0"/>
      <w:jc w:val="both"/>
      <w:rPr>
        <w:rFonts w:hint="eastAsia"/>
      </w:rPr>
    </w:pPr>
    <w:r>
      <w:t>三江侗族自治县宏源采石场硅质岩矿年开采加工50万吨砂石料项目</w:t>
    </w:r>
    <w:r>
      <w:rPr>
        <w:rFonts w:hint="eastAsia"/>
      </w:rPr>
      <w:t xml:space="preserve">                       </w:t>
    </w:r>
    <w:r>
      <w:t>环境现状调查与评价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3C104B"/>
    <w:multiLevelType w:val="singleLevel"/>
    <w:tmpl w:val="883C104B"/>
    <w:lvl w:ilvl="0" w:tentative="0">
      <w:start w:val="1"/>
      <w:numFmt w:val="decimal"/>
      <w:suff w:val="nothing"/>
      <w:lvlText w:val="（%1）"/>
      <w:lvlJc w:val="left"/>
    </w:lvl>
  </w:abstractNum>
  <w:abstractNum w:abstractNumId="1">
    <w:nsid w:val="91E9FABA"/>
    <w:multiLevelType w:val="singleLevel"/>
    <w:tmpl w:val="91E9FABA"/>
    <w:lvl w:ilvl="0" w:tentative="0">
      <w:start w:val="5"/>
      <w:numFmt w:val="decimal"/>
      <w:suff w:val="nothing"/>
      <w:lvlText w:val="%1、"/>
      <w:lvlJc w:val="left"/>
    </w:lvl>
  </w:abstractNum>
  <w:abstractNum w:abstractNumId="2">
    <w:nsid w:val="95D9E1A1"/>
    <w:multiLevelType w:val="singleLevel"/>
    <w:tmpl w:val="95D9E1A1"/>
    <w:lvl w:ilvl="0" w:tentative="0">
      <w:start w:val="1"/>
      <w:numFmt w:val="decimal"/>
      <w:suff w:val="nothing"/>
      <w:lvlText w:val="（%1）"/>
      <w:lvlJc w:val="left"/>
    </w:lvl>
  </w:abstractNum>
  <w:abstractNum w:abstractNumId="3">
    <w:nsid w:val="AC6134F9"/>
    <w:multiLevelType w:val="singleLevel"/>
    <w:tmpl w:val="AC6134F9"/>
    <w:lvl w:ilvl="0" w:tentative="0">
      <w:start w:val="2"/>
      <w:numFmt w:val="decimal"/>
      <w:suff w:val="nothing"/>
      <w:lvlText w:val="（%1）"/>
      <w:lvlJc w:val="left"/>
    </w:lvl>
  </w:abstractNum>
  <w:abstractNum w:abstractNumId="4">
    <w:nsid w:val="B2965B91"/>
    <w:multiLevelType w:val="singleLevel"/>
    <w:tmpl w:val="B2965B91"/>
    <w:lvl w:ilvl="0" w:tentative="0">
      <w:start w:val="2"/>
      <w:numFmt w:val="decimal"/>
      <w:suff w:val="nothing"/>
      <w:lvlText w:val="（%1）"/>
      <w:lvlJc w:val="left"/>
    </w:lvl>
  </w:abstractNum>
  <w:abstractNum w:abstractNumId="5">
    <w:nsid w:val="BBD4DD5B"/>
    <w:multiLevelType w:val="singleLevel"/>
    <w:tmpl w:val="BBD4DD5B"/>
    <w:lvl w:ilvl="0" w:tentative="0">
      <w:start w:val="1"/>
      <w:numFmt w:val="decimal"/>
      <w:suff w:val="nothing"/>
      <w:lvlText w:val="（%1）"/>
      <w:lvlJc w:val="left"/>
    </w:lvl>
  </w:abstractNum>
  <w:abstractNum w:abstractNumId="6">
    <w:nsid w:val="CF062B29"/>
    <w:multiLevelType w:val="singleLevel"/>
    <w:tmpl w:val="CF062B29"/>
    <w:lvl w:ilvl="0" w:tentative="0">
      <w:start w:val="1"/>
      <w:numFmt w:val="bullet"/>
      <w:pStyle w:val="14"/>
      <w:lvlText w:val=""/>
      <w:lvlJc w:val="left"/>
      <w:pPr>
        <w:tabs>
          <w:tab w:val="left" w:pos="360"/>
        </w:tabs>
        <w:ind w:left="360" w:hanging="360"/>
      </w:pPr>
      <w:rPr>
        <w:rFonts w:hint="default" w:ascii="Wingdings" w:hAnsi="Wingdings"/>
      </w:rPr>
    </w:lvl>
  </w:abstractNum>
  <w:abstractNum w:abstractNumId="7">
    <w:nsid w:val="D4FA145F"/>
    <w:multiLevelType w:val="singleLevel"/>
    <w:tmpl w:val="D4FA145F"/>
    <w:lvl w:ilvl="0" w:tentative="0">
      <w:start w:val="8"/>
      <w:numFmt w:val="decimal"/>
      <w:suff w:val="nothing"/>
      <w:lvlText w:val="（%1）"/>
      <w:lvlJc w:val="left"/>
    </w:lvl>
  </w:abstractNum>
  <w:abstractNum w:abstractNumId="8">
    <w:nsid w:val="D5506A55"/>
    <w:multiLevelType w:val="singleLevel"/>
    <w:tmpl w:val="D5506A55"/>
    <w:lvl w:ilvl="0" w:tentative="0">
      <w:start w:val="1"/>
      <w:numFmt w:val="decimal"/>
      <w:suff w:val="nothing"/>
      <w:lvlText w:val="%1、"/>
      <w:lvlJc w:val="left"/>
    </w:lvl>
  </w:abstractNum>
  <w:abstractNum w:abstractNumId="9">
    <w:nsid w:val="D64700BF"/>
    <w:multiLevelType w:val="singleLevel"/>
    <w:tmpl w:val="D64700BF"/>
    <w:lvl w:ilvl="0" w:tentative="0">
      <w:start w:val="1"/>
      <w:numFmt w:val="decimal"/>
      <w:suff w:val="nothing"/>
      <w:lvlText w:val="%1、"/>
      <w:lvlJc w:val="left"/>
    </w:lvl>
  </w:abstractNum>
  <w:abstractNum w:abstractNumId="10">
    <w:nsid w:val="FC7F6786"/>
    <w:multiLevelType w:val="singleLevel"/>
    <w:tmpl w:val="FC7F6786"/>
    <w:lvl w:ilvl="0" w:tentative="0">
      <w:start w:val="8"/>
      <w:numFmt w:val="chineseCounting"/>
      <w:suff w:val="space"/>
      <w:lvlText w:val="第%1章"/>
      <w:lvlJc w:val="left"/>
      <w:rPr>
        <w:rFonts w:hint="eastAsia"/>
      </w:rPr>
    </w:lvl>
  </w:abstractNum>
  <w:abstractNum w:abstractNumId="11">
    <w:nsid w:val="1C42F467"/>
    <w:multiLevelType w:val="singleLevel"/>
    <w:tmpl w:val="1C42F467"/>
    <w:lvl w:ilvl="0" w:tentative="0">
      <w:start w:val="9"/>
      <w:numFmt w:val="chineseCounting"/>
      <w:suff w:val="space"/>
      <w:lvlText w:val="第%1章"/>
      <w:lvlJc w:val="left"/>
      <w:rPr>
        <w:rFonts w:hint="eastAsia"/>
      </w:rPr>
    </w:lvl>
  </w:abstractNum>
  <w:abstractNum w:abstractNumId="12">
    <w:nsid w:val="23710A1B"/>
    <w:multiLevelType w:val="singleLevel"/>
    <w:tmpl w:val="23710A1B"/>
    <w:lvl w:ilvl="0" w:tentative="0">
      <w:start w:val="2"/>
      <w:numFmt w:val="decimal"/>
      <w:suff w:val="nothing"/>
      <w:lvlText w:val="%1、"/>
      <w:lvlJc w:val="left"/>
    </w:lvl>
  </w:abstractNum>
  <w:abstractNum w:abstractNumId="13">
    <w:nsid w:val="2CA3913E"/>
    <w:multiLevelType w:val="singleLevel"/>
    <w:tmpl w:val="2CA3913E"/>
    <w:lvl w:ilvl="0" w:tentative="0">
      <w:start w:val="1"/>
      <w:numFmt w:val="decimal"/>
      <w:suff w:val="nothing"/>
      <w:lvlText w:val="（%1）"/>
      <w:lvlJc w:val="left"/>
    </w:lvl>
  </w:abstractNum>
  <w:abstractNum w:abstractNumId="14">
    <w:nsid w:val="32DD2E73"/>
    <w:multiLevelType w:val="singleLevel"/>
    <w:tmpl w:val="32DD2E73"/>
    <w:lvl w:ilvl="0" w:tentative="0">
      <w:start w:val="1"/>
      <w:numFmt w:val="chineseCounting"/>
      <w:suff w:val="space"/>
      <w:lvlText w:val="第%1节"/>
      <w:lvlJc w:val="left"/>
      <w:rPr>
        <w:rFonts w:hint="eastAsia"/>
      </w:rPr>
    </w:lvl>
  </w:abstractNum>
  <w:abstractNum w:abstractNumId="15">
    <w:nsid w:val="34AD4C06"/>
    <w:multiLevelType w:val="singleLevel"/>
    <w:tmpl w:val="34AD4C06"/>
    <w:lvl w:ilvl="0" w:tentative="0">
      <w:start w:val="1"/>
      <w:numFmt w:val="decimal"/>
      <w:suff w:val="nothing"/>
      <w:lvlText w:val="（%1）"/>
      <w:lvlJc w:val="left"/>
    </w:lvl>
  </w:abstractNum>
  <w:abstractNum w:abstractNumId="16">
    <w:nsid w:val="37FBF892"/>
    <w:multiLevelType w:val="singleLevel"/>
    <w:tmpl w:val="37FBF892"/>
    <w:lvl w:ilvl="0" w:tentative="0">
      <w:start w:val="1"/>
      <w:numFmt w:val="decimal"/>
      <w:suff w:val="nothing"/>
      <w:lvlText w:val="（%1）"/>
      <w:lvlJc w:val="left"/>
    </w:lvl>
  </w:abstractNum>
  <w:abstractNum w:abstractNumId="17">
    <w:nsid w:val="4A8814AB"/>
    <w:multiLevelType w:val="singleLevel"/>
    <w:tmpl w:val="4A8814AB"/>
    <w:lvl w:ilvl="0" w:tentative="0">
      <w:start w:val="3"/>
      <w:numFmt w:val="decimal"/>
      <w:suff w:val="nothing"/>
      <w:lvlText w:val="（%1）"/>
      <w:lvlJc w:val="left"/>
    </w:lvl>
  </w:abstractNum>
  <w:abstractNum w:abstractNumId="18">
    <w:nsid w:val="5990601D"/>
    <w:multiLevelType w:val="singleLevel"/>
    <w:tmpl w:val="5990601D"/>
    <w:lvl w:ilvl="0" w:tentative="0">
      <w:start w:val="6"/>
      <w:numFmt w:val="decimal"/>
      <w:pStyle w:val="11"/>
      <w:suff w:val="nothing"/>
      <w:lvlText w:val="（%1）"/>
      <w:lvlJc w:val="left"/>
    </w:lvl>
  </w:abstractNum>
  <w:abstractNum w:abstractNumId="19">
    <w:nsid w:val="77FE4813"/>
    <w:multiLevelType w:val="singleLevel"/>
    <w:tmpl w:val="77FE4813"/>
    <w:lvl w:ilvl="0" w:tentative="0">
      <w:start w:val="1"/>
      <w:numFmt w:val="decimal"/>
      <w:lvlText w:val="(%1)"/>
      <w:lvlJc w:val="left"/>
      <w:pPr>
        <w:ind w:left="425" w:hanging="425"/>
      </w:pPr>
      <w:rPr>
        <w:rFonts w:hint="default"/>
      </w:rPr>
    </w:lvl>
  </w:abstractNum>
  <w:num w:numId="1">
    <w:abstractNumId w:val="18"/>
  </w:num>
  <w:num w:numId="2">
    <w:abstractNumId w:val="6"/>
  </w:num>
  <w:num w:numId="3">
    <w:abstractNumId w:val="10"/>
  </w:num>
  <w:num w:numId="4">
    <w:abstractNumId w:val="11"/>
  </w:num>
  <w:num w:numId="5">
    <w:abstractNumId w:val="14"/>
  </w:num>
  <w:num w:numId="6">
    <w:abstractNumId w:val="3"/>
  </w:num>
  <w:num w:numId="7">
    <w:abstractNumId w:val="12"/>
  </w:num>
  <w:num w:numId="8">
    <w:abstractNumId w:val="8"/>
  </w:num>
  <w:num w:numId="9">
    <w:abstractNumId w:val="17"/>
  </w:num>
  <w:num w:numId="10">
    <w:abstractNumId w:val="7"/>
  </w:num>
  <w:num w:numId="11">
    <w:abstractNumId w:val="1"/>
  </w:num>
  <w:num w:numId="12">
    <w:abstractNumId w:val="15"/>
  </w:num>
  <w:num w:numId="13">
    <w:abstractNumId w:val="5"/>
  </w:num>
  <w:num w:numId="14">
    <w:abstractNumId w:val="0"/>
  </w:num>
  <w:num w:numId="15">
    <w:abstractNumId w:val="16"/>
  </w:num>
  <w:num w:numId="16">
    <w:abstractNumId w:val="9"/>
  </w:num>
  <w:num w:numId="17">
    <w:abstractNumId w:val="2"/>
  </w:num>
  <w:num w:numId="18">
    <w:abstractNumId w:val="4"/>
  </w:num>
  <w:num w:numId="19">
    <w:abstractNumId w:val="13"/>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val="0"/>
  <w:bordersDoNotSurroundFooter w:val="0"/>
  <w:documentProtection w:enforcement="0"/>
  <w:defaultTabStop w:val="420"/>
  <w:hyphenationZone w:val="360"/>
  <w:drawingGridHorizontalSpacing w:val="1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E0"/>
    <w:rsid w:val="000004C9"/>
    <w:rsid w:val="00002104"/>
    <w:rsid w:val="000025E6"/>
    <w:rsid w:val="0000358F"/>
    <w:rsid w:val="0000414F"/>
    <w:rsid w:val="00005117"/>
    <w:rsid w:val="0000615A"/>
    <w:rsid w:val="000061BA"/>
    <w:rsid w:val="0000750E"/>
    <w:rsid w:val="00007830"/>
    <w:rsid w:val="0001080E"/>
    <w:rsid w:val="00011792"/>
    <w:rsid w:val="000123F1"/>
    <w:rsid w:val="0001253C"/>
    <w:rsid w:val="00012595"/>
    <w:rsid w:val="00013D89"/>
    <w:rsid w:val="000144AE"/>
    <w:rsid w:val="00014B60"/>
    <w:rsid w:val="00017892"/>
    <w:rsid w:val="000179A5"/>
    <w:rsid w:val="00017AB8"/>
    <w:rsid w:val="00020319"/>
    <w:rsid w:val="00022048"/>
    <w:rsid w:val="00022ABE"/>
    <w:rsid w:val="000230FD"/>
    <w:rsid w:val="00025CCC"/>
    <w:rsid w:val="00025E5D"/>
    <w:rsid w:val="000306F5"/>
    <w:rsid w:val="00032311"/>
    <w:rsid w:val="00032A3B"/>
    <w:rsid w:val="00034AA5"/>
    <w:rsid w:val="00034BB6"/>
    <w:rsid w:val="00034BFC"/>
    <w:rsid w:val="00040767"/>
    <w:rsid w:val="00042C68"/>
    <w:rsid w:val="00044581"/>
    <w:rsid w:val="00045707"/>
    <w:rsid w:val="00046E3B"/>
    <w:rsid w:val="000473EE"/>
    <w:rsid w:val="000509CF"/>
    <w:rsid w:val="000515ED"/>
    <w:rsid w:val="00051F50"/>
    <w:rsid w:val="00052D81"/>
    <w:rsid w:val="000542B7"/>
    <w:rsid w:val="00054490"/>
    <w:rsid w:val="000544C4"/>
    <w:rsid w:val="00057B37"/>
    <w:rsid w:val="000612BB"/>
    <w:rsid w:val="000615F3"/>
    <w:rsid w:val="00065E3A"/>
    <w:rsid w:val="00066203"/>
    <w:rsid w:val="000671ED"/>
    <w:rsid w:val="0006757F"/>
    <w:rsid w:val="00071B73"/>
    <w:rsid w:val="000726E9"/>
    <w:rsid w:val="00080AB7"/>
    <w:rsid w:val="000817F0"/>
    <w:rsid w:val="00081D40"/>
    <w:rsid w:val="00082CF6"/>
    <w:rsid w:val="00082E9E"/>
    <w:rsid w:val="00083324"/>
    <w:rsid w:val="00085386"/>
    <w:rsid w:val="00087922"/>
    <w:rsid w:val="00092E31"/>
    <w:rsid w:val="0009492C"/>
    <w:rsid w:val="0009515C"/>
    <w:rsid w:val="00097234"/>
    <w:rsid w:val="000A0B3A"/>
    <w:rsid w:val="000A26FB"/>
    <w:rsid w:val="000A4275"/>
    <w:rsid w:val="000A4D36"/>
    <w:rsid w:val="000A5D84"/>
    <w:rsid w:val="000A6C6B"/>
    <w:rsid w:val="000A7170"/>
    <w:rsid w:val="000A7759"/>
    <w:rsid w:val="000A7B4D"/>
    <w:rsid w:val="000A7E35"/>
    <w:rsid w:val="000B17EB"/>
    <w:rsid w:val="000B1EBE"/>
    <w:rsid w:val="000B30D2"/>
    <w:rsid w:val="000B5E34"/>
    <w:rsid w:val="000B5E40"/>
    <w:rsid w:val="000B5F5E"/>
    <w:rsid w:val="000B64DB"/>
    <w:rsid w:val="000B6B9B"/>
    <w:rsid w:val="000B6CCA"/>
    <w:rsid w:val="000C1E9D"/>
    <w:rsid w:val="000C2499"/>
    <w:rsid w:val="000C32FF"/>
    <w:rsid w:val="000C3A75"/>
    <w:rsid w:val="000C4E36"/>
    <w:rsid w:val="000C59D1"/>
    <w:rsid w:val="000C6A10"/>
    <w:rsid w:val="000D067D"/>
    <w:rsid w:val="000D0BE3"/>
    <w:rsid w:val="000D2E36"/>
    <w:rsid w:val="000D36A8"/>
    <w:rsid w:val="000D3951"/>
    <w:rsid w:val="000D729A"/>
    <w:rsid w:val="000E20B2"/>
    <w:rsid w:val="000E3013"/>
    <w:rsid w:val="000E3BBB"/>
    <w:rsid w:val="000E47E7"/>
    <w:rsid w:val="000E5482"/>
    <w:rsid w:val="000E7A4F"/>
    <w:rsid w:val="000F09A2"/>
    <w:rsid w:val="000F16BD"/>
    <w:rsid w:val="000F1EF0"/>
    <w:rsid w:val="000F2147"/>
    <w:rsid w:val="000F496F"/>
    <w:rsid w:val="000F56D7"/>
    <w:rsid w:val="000F6A3A"/>
    <w:rsid w:val="000F7E12"/>
    <w:rsid w:val="001003BA"/>
    <w:rsid w:val="001014AB"/>
    <w:rsid w:val="001025EA"/>
    <w:rsid w:val="001039DD"/>
    <w:rsid w:val="00104526"/>
    <w:rsid w:val="0010466B"/>
    <w:rsid w:val="001052BE"/>
    <w:rsid w:val="001069E2"/>
    <w:rsid w:val="00106F2E"/>
    <w:rsid w:val="00107568"/>
    <w:rsid w:val="00107A46"/>
    <w:rsid w:val="0011035A"/>
    <w:rsid w:val="00112D28"/>
    <w:rsid w:val="001133D1"/>
    <w:rsid w:val="001139FD"/>
    <w:rsid w:val="001149BC"/>
    <w:rsid w:val="00117639"/>
    <w:rsid w:val="00120C0B"/>
    <w:rsid w:val="00120CA9"/>
    <w:rsid w:val="0012210A"/>
    <w:rsid w:val="00122BFB"/>
    <w:rsid w:val="0012564D"/>
    <w:rsid w:val="0012648C"/>
    <w:rsid w:val="00130B18"/>
    <w:rsid w:val="00133FEF"/>
    <w:rsid w:val="00134B62"/>
    <w:rsid w:val="00134D5F"/>
    <w:rsid w:val="00135B3A"/>
    <w:rsid w:val="00137AA7"/>
    <w:rsid w:val="00137D7D"/>
    <w:rsid w:val="001403BD"/>
    <w:rsid w:val="00141AB3"/>
    <w:rsid w:val="001428C4"/>
    <w:rsid w:val="0014299F"/>
    <w:rsid w:val="00144B19"/>
    <w:rsid w:val="00147071"/>
    <w:rsid w:val="00147411"/>
    <w:rsid w:val="00147690"/>
    <w:rsid w:val="00153E50"/>
    <w:rsid w:val="001569D0"/>
    <w:rsid w:val="00157A98"/>
    <w:rsid w:val="0016091B"/>
    <w:rsid w:val="00161086"/>
    <w:rsid w:val="001618A1"/>
    <w:rsid w:val="00161D46"/>
    <w:rsid w:val="00162A00"/>
    <w:rsid w:val="00164747"/>
    <w:rsid w:val="00165113"/>
    <w:rsid w:val="001667AE"/>
    <w:rsid w:val="00166E09"/>
    <w:rsid w:val="00166E99"/>
    <w:rsid w:val="001723C3"/>
    <w:rsid w:val="00172B96"/>
    <w:rsid w:val="0017395C"/>
    <w:rsid w:val="00173F26"/>
    <w:rsid w:val="001770DD"/>
    <w:rsid w:val="00177D73"/>
    <w:rsid w:val="00181049"/>
    <w:rsid w:val="00182D78"/>
    <w:rsid w:val="001844B1"/>
    <w:rsid w:val="001856AB"/>
    <w:rsid w:val="0019020C"/>
    <w:rsid w:val="001915AE"/>
    <w:rsid w:val="00192B49"/>
    <w:rsid w:val="00194CE3"/>
    <w:rsid w:val="00194F42"/>
    <w:rsid w:val="001A094B"/>
    <w:rsid w:val="001A2072"/>
    <w:rsid w:val="001A28D6"/>
    <w:rsid w:val="001A3A06"/>
    <w:rsid w:val="001A4297"/>
    <w:rsid w:val="001A4D3B"/>
    <w:rsid w:val="001A4E08"/>
    <w:rsid w:val="001A6EA0"/>
    <w:rsid w:val="001A784D"/>
    <w:rsid w:val="001A7EE4"/>
    <w:rsid w:val="001A7FDA"/>
    <w:rsid w:val="001B1D3F"/>
    <w:rsid w:val="001B3654"/>
    <w:rsid w:val="001B3B9C"/>
    <w:rsid w:val="001B5BD8"/>
    <w:rsid w:val="001B63A5"/>
    <w:rsid w:val="001B6E71"/>
    <w:rsid w:val="001B7F09"/>
    <w:rsid w:val="001C130E"/>
    <w:rsid w:val="001C1ACC"/>
    <w:rsid w:val="001C2F2E"/>
    <w:rsid w:val="001C57CD"/>
    <w:rsid w:val="001C58CE"/>
    <w:rsid w:val="001C79B6"/>
    <w:rsid w:val="001D1DA4"/>
    <w:rsid w:val="001D2BCE"/>
    <w:rsid w:val="001D314F"/>
    <w:rsid w:val="001D3266"/>
    <w:rsid w:val="001D446B"/>
    <w:rsid w:val="001D4B64"/>
    <w:rsid w:val="001D7659"/>
    <w:rsid w:val="001E14B6"/>
    <w:rsid w:val="001E2C7D"/>
    <w:rsid w:val="001E4032"/>
    <w:rsid w:val="001E6571"/>
    <w:rsid w:val="001E6B53"/>
    <w:rsid w:val="001E7581"/>
    <w:rsid w:val="001F1733"/>
    <w:rsid w:val="001F23BE"/>
    <w:rsid w:val="001F5250"/>
    <w:rsid w:val="001F79FA"/>
    <w:rsid w:val="00200528"/>
    <w:rsid w:val="002023A2"/>
    <w:rsid w:val="00203F21"/>
    <w:rsid w:val="00204922"/>
    <w:rsid w:val="0020536D"/>
    <w:rsid w:val="00213891"/>
    <w:rsid w:val="002139C0"/>
    <w:rsid w:val="002155CC"/>
    <w:rsid w:val="00215E4D"/>
    <w:rsid w:val="002174B1"/>
    <w:rsid w:val="00220017"/>
    <w:rsid w:val="0022295D"/>
    <w:rsid w:val="00224B18"/>
    <w:rsid w:val="00224E9F"/>
    <w:rsid w:val="00224F44"/>
    <w:rsid w:val="0022562C"/>
    <w:rsid w:val="0022590F"/>
    <w:rsid w:val="0022718F"/>
    <w:rsid w:val="002302D1"/>
    <w:rsid w:val="00231081"/>
    <w:rsid w:val="00233580"/>
    <w:rsid w:val="00233C16"/>
    <w:rsid w:val="00234713"/>
    <w:rsid w:val="00235BE5"/>
    <w:rsid w:val="00235D3C"/>
    <w:rsid w:val="00236873"/>
    <w:rsid w:val="00236B53"/>
    <w:rsid w:val="00236BFF"/>
    <w:rsid w:val="00237917"/>
    <w:rsid w:val="00240B4B"/>
    <w:rsid w:val="0024155D"/>
    <w:rsid w:val="00241C5B"/>
    <w:rsid w:val="002441AF"/>
    <w:rsid w:val="0024446C"/>
    <w:rsid w:val="00244D1A"/>
    <w:rsid w:val="0024640D"/>
    <w:rsid w:val="00246C1E"/>
    <w:rsid w:val="00246F4D"/>
    <w:rsid w:val="00247F71"/>
    <w:rsid w:val="00250FD7"/>
    <w:rsid w:val="00251524"/>
    <w:rsid w:val="002522E2"/>
    <w:rsid w:val="00252A6A"/>
    <w:rsid w:val="002544A7"/>
    <w:rsid w:val="002547D6"/>
    <w:rsid w:val="00254A54"/>
    <w:rsid w:val="002556B0"/>
    <w:rsid w:val="00257D77"/>
    <w:rsid w:val="00261806"/>
    <w:rsid w:val="00265044"/>
    <w:rsid w:val="00265923"/>
    <w:rsid w:val="00266908"/>
    <w:rsid w:val="002671F7"/>
    <w:rsid w:val="00267DD1"/>
    <w:rsid w:val="00270E25"/>
    <w:rsid w:val="00272761"/>
    <w:rsid w:val="00273ED3"/>
    <w:rsid w:val="00274BD1"/>
    <w:rsid w:val="002769FC"/>
    <w:rsid w:val="0028248C"/>
    <w:rsid w:val="002827AD"/>
    <w:rsid w:val="00282803"/>
    <w:rsid w:val="0028329B"/>
    <w:rsid w:val="002917B0"/>
    <w:rsid w:val="00291D50"/>
    <w:rsid w:val="0029200D"/>
    <w:rsid w:val="00293A1C"/>
    <w:rsid w:val="00293DD6"/>
    <w:rsid w:val="00293F0E"/>
    <w:rsid w:val="002944D9"/>
    <w:rsid w:val="00294A45"/>
    <w:rsid w:val="00295457"/>
    <w:rsid w:val="00296FF8"/>
    <w:rsid w:val="0029719F"/>
    <w:rsid w:val="002A1B54"/>
    <w:rsid w:val="002A1FD2"/>
    <w:rsid w:val="002A2B92"/>
    <w:rsid w:val="002A4684"/>
    <w:rsid w:val="002A51B4"/>
    <w:rsid w:val="002A57D7"/>
    <w:rsid w:val="002A5A50"/>
    <w:rsid w:val="002A6114"/>
    <w:rsid w:val="002B0252"/>
    <w:rsid w:val="002B05A4"/>
    <w:rsid w:val="002B08D2"/>
    <w:rsid w:val="002B0D8D"/>
    <w:rsid w:val="002B2047"/>
    <w:rsid w:val="002B21E6"/>
    <w:rsid w:val="002B3C72"/>
    <w:rsid w:val="002B3EE0"/>
    <w:rsid w:val="002B6FDC"/>
    <w:rsid w:val="002C3351"/>
    <w:rsid w:val="002C4847"/>
    <w:rsid w:val="002C500B"/>
    <w:rsid w:val="002C690C"/>
    <w:rsid w:val="002C6B52"/>
    <w:rsid w:val="002C6DB2"/>
    <w:rsid w:val="002D0E7E"/>
    <w:rsid w:val="002D25D6"/>
    <w:rsid w:val="002D3A3B"/>
    <w:rsid w:val="002D41E5"/>
    <w:rsid w:val="002D44D7"/>
    <w:rsid w:val="002D5069"/>
    <w:rsid w:val="002D5BAB"/>
    <w:rsid w:val="002D750A"/>
    <w:rsid w:val="002E2B97"/>
    <w:rsid w:val="002E3C03"/>
    <w:rsid w:val="002E4471"/>
    <w:rsid w:val="002E4F46"/>
    <w:rsid w:val="002E782E"/>
    <w:rsid w:val="002E794F"/>
    <w:rsid w:val="002E7B06"/>
    <w:rsid w:val="002F02CB"/>
    <w:rsid w:val="002F14D4"/>
    <w:rsid w:val="002F1D2D"/>
    <w:rsid w:val="002F35F0"/>
    <w:rsid w:val="002F376C"/>
    <w:rsid w:val="002F51A3"/>
    <w:rsid w:val="002F524F"/>
    <w:rsid w:val="002F6769"/>
    <w:rsid w:val="002F75D4"/>
    <w:rsid w:val="00300A70"/>
    <w:rsid w:val="0030197B"/>
    <w:rsid w:val="0030248B"/>
    <w:rsid w:val="00302ABD"/>
    <w:rsid w:val="00302CEA"/>
    <w:rsid w:val="0030421D"/>
    <w:rsid w:val="00311686"/>
    <w:rsid w:val="00312E70"/>
    <w:rsid w:val="00313354"/>
    <w:rsid w:val="0031481D"/>
    <w:rsid w:val="00316632"/>
    <w:rsid w:val="0031747F"/>
    <w:rsid w:val="00317A67"/>
    <w:rsid w:val="0032130B"/>
    <w:rsid w:val="00322904"/>
    <w:rsid w:val="00322A1D"/>
    <w:rsid w:val="00322A72"/>
    <w:rsid w:val="00322CE5"/>
    <w:rsid w:val="00323EF8"/>
    <w:rsid w:val="00323F54"/>
    <w:rsid w:val="00326E72"/>
    <w:rsid w:val="00327A85"/>
    <w:rsid w:val="00330378"/>
    <w:rsid w:val="00330B0D"/>
    <w:rsid w:val="00330C0B"/>
    <w:rsid w:val="0033112E"/>
    <w:rsid w:val="00333F2B"/>
    <w:rsid w:val="003349BB"/>
    <w:rsid w:val="00334E6D"/>
    <w:rsid w:val="00336C1A"/>
    <w:rsid w:val="00336E23"/>
    <w:rsid w:val="003372AA"/>
    <w:rsid w:val="003408F8"/>
    <w:rsid w:val="003412D3"/>
    <w:rsid w:val="0034319E"/>
    <w:rsid w:val="003442B7"/>
    <w:rsid w:val="003447FF"/>
    <w:rsid w:val="00346758"/>
    <w:rsid w:val="00347BE9"/>
    <w:rsid w:val="00352845"/>
    <w:rsid w:val="003529FD"/>
    <w:rsid w:val="00352A74"/>
    <w:rsid w:val="00353645"/>
    <w:rsid w:val="003577D6"/>
    <w:rsid w:val="00357BF4"/>
    <w:rsid w:val="00363929"/>
    <w:rsid w:val="00363BF0"/>
    <w:rsid w:val="00366FDD"/>
    <w:rsid w:val="00367B4B"/>
    <w:rsid w:val="00370C04"/>
    <w:rsid w:val="00371CAA"/>
    <w:rsid w:val="00372888"/>
    <w:rsid w:val="00374951"/>
    <w:rsid w:val="00374998"/>
    <w:rsid w:val="00375950"/>
    <w:rsid w:val="003765AF"/>
    <w:rsid w:val="00376ABA"/>
    <w:rsid w:val="0037729A"/>
    <w:rsid w:val="0038112E"/>
    <w:rsid w:val="00382502"/>
    <w:rsid w:val="0038327B"/>
    <w:rsid w:val="0038392F"/>
    <w:rsid w:val="003847B1"/>
    <w:rsid w:val="0038604B"/>
    <w:rsid w:val="003866F1"/>
    <w:rsid w:val="00387379"/>
    <w:rsid w:val="00390025"/>
    <w:rsid w:val="0039122C"/>
    <w:rsid w:val="003941E3"/>
    <w:rsid w:val="00394BEB"/>
    <w:rsid w:val="003A045A"/>
    <w:rsid w:val="003A1A7C"/>
    <w:rsid w:val="003A49DF"/>
    <w:rsid w:val="003A5012"/>
    <w:rsid w:val="003A5180"/>
    <w:rsid w:val="003B632D"/>
    <w:rsid w:val="003C0F0C"/>
    <w:rsid w:val="003C0FA4"/>
    <w:rsid w:val="003C2280"/>
    <w:rsid w:val="003C4975"/>
    <w:rsid w:val="003C4A91"/>
    <w:rsid w:val="003C51FF"/>
    <w:rsid w:val="003C7C0A"/>
    <w:rsid w:val="003D090F"/>
    <w:rsid w:val="003D0B7A"/>
    <w:rsid w:val="003D1929"/>
    <w:rsid w:val="003D2AB0"/>
    <w:rsid w:val="003D2BC6"/>
    <w:rsid w:val="003D3DA7"/>
    <w:rsid w:val="003D41A6"/>
    <w:rsid w:val="003D4309"/>
    <w:rsid w:val="003D4BB3"/>
    <w:rsid w:val="003D4D8B"/>
    <w:rsid w:val="003D5A93"/>
    <w:rsid w:val="003D609A"/>
    <w:rsid w:val="003D612F"/>
    <w:rsid w:val="003D769E"/>
    <w:rsid w:val="003D7B1D"/>
    <w:rsid w:val="003E19B4"/>
    <w:rsid w:val="003E2450"/>
    <w:rsid w:val="003E315A"/>
    <w:rsid w:val="003E36A0"/>
    <w:rsid w:val="003E37AD"/>
    <w:rsid w:val="003E38CB"/>
    <w:rsid w:val="003E3A57"/>
    <w:rsid w:val="003E459B"/>
    <w:rsid w:val="003E4ACB"/>
    <w:rsid w:val="003E5826"/>
    <w:rsid w:val="003E6521"/>
    <w:rsid w:val="003E685A"/>
    <w:rsid w:val="003E6F33"/>
    <w:rsid w:val="003F0274"/>
    <w:rsid w:val="003F174D"/>
    <w:rsid w:val="003F215F"/>
    <w:rsid w:val="003F3D5D"/>
    <w:rsid w:val="003F42D8"/>
    <w:rsid w:val="003F5687"/>
    <w:rsid w:val="003F5D3E"/>
    <w:rsid w:val="004017F0"/>
    <w:rsid w:val="00402042"/>
    <w:rsid w:val="00402B36"/>
    <w:rsid w:val="00402B9A"/>
    <w:rsid w:val="00407827"/>
    <w:rsid w:val="00410777"/>
    <w:rsid w:val="00412392"/>
    <w:rsid w:val="00412E5F"/>
    <w:rsid w:val="00413E3F"/>
    <w:rsid w:val="00414A40"/>
    <w:rsid w:val="00415AD5"/>
    <w:rsid w:val="004166E4"/>
    <w:rsid w:val="004207FD"/>
    <w:rsid w:val="004220B1"/>
    <w:rsid w:val="0042280C"/>
    <w:rsid w:val="00422DA1"/>
    <w:rsid w:val="004234CD"/>
    <w:rsid w:val="00424038"/>
    <w:rsid w:val="0042440F"/>
    <w:rsid w:val="00425A1D"/>
    <w:rsid w:val="00427E67"/>
    <w:rsid w:val="00427E75"/>
    <w:rsid w:val="004302DD"/>
    <w:rsid w:val="0043046B"/>
    <w:rsid w:val="0043242A"/>
    <w:rsid w:val="00432965"/>
    <w:rsid w:val="00434EF6"/>
    <w:rsid w:val="004357F4"/>
    <w:rsid w:val="00437F02"/>
    <w:rsid w:val="00440AEC"/>
    <w:rsid w:val="00441B06"/>
    <w:rsid w:val="00442117"/>
    <w:rsid w:val="004424CE"/>
    <w:rsid w:val="00443D15"/>
    <w:rsid w:val="0045289F"/>
    <w:rsid w:val="00453404"/>
    <w:rsid w:val="00453F19"/>
    <w:rsid w:val="0046103D"/>
    <w:rsid w:val="004612A6"/>
    <w:rsid w:val="00462477"/>
    <w:rsid w:val="0046384D"/>
    <w:rsid w:val="00463B93"/>
    <w:rsid w:val="00463D40"/>
    <w:rsid w:val="00463D71"/>
    <w:rsid w:val="0046440E"/>
    <w:rsid w:val="004644BA"/>
    <w:rsid w:val="004672BD"/>
    <w:rsid w:val="00471167"/>
    <w:rsid w:val="004712F2"/>
    <w:rsid w:val="004740CC"/>
    <w:rsid w:val="0047554D"/>
    <w:rsid w:val="004768BC"/>
    <w:rsid w:val="00481F42"/>
    <w:rsid w:val="004825CD"/>
    <w:rsid w:val="00483190"/>
    <w:rsid w:val="00483E24"/>
    <w:rsid w:val="0048435E"/>
    <w:rsid w:val="0049051B"/>
    <w:rsid w:val="00490549"/>
    <w:rsid w:val="00490E2A"/>
    <w:rsid w:val="00492B8B"/>
    <w:rsid w:val="00493481"/>
    <w:rsid w:val="00493EE0"/>
    <w:rsid w:val="00496E62"/>
    <w:rsid w:val="00496F9C"/>
    <w:rsid w:val="004973BF"/>
    <w:rsid w:val="004977AB"/>
    <w:rsid w:val="00497A20"/>
    <w:rsid w:val="004A08ED"/>
    <w:rsid w:val="004A0B4D"/>
    <w:rsid w:val="004A164D"/>
    <w:rsid w:val="004A56CB"/>
    <w:rsid w:val="004A6FFC"/>
    <w:rsid w:val="004A70A3"/>
    <w:rsid w:val="004A75A0"/>
    <w:rsid w:val="004B0AE7"/>
    <w:rsid w:val="004B1EA3"/>
    <w:rsid w:val="004B3074"/>
    <w:rsid w:val="004B3C5B"/>
    <w:rsid w:val="004B44CB"/>
    <w:rsid w:val="004B5BCC"/>
    <w:rsid w:val="004B7937"/>
    <w:rsid w:val="004C1539"/>
    <w:rsid w:val="004C2E4A"/>
    <w:rsid w:val="004C3E6F"/>
    <w:rsid w:val="004C459C"/>
    <w:rsid w:val="004C48A1"/>
    <w:rsid w:val="004C5917"/>
    <w:rsid w:val="004C6A37"/>
    <w:rsid w:val="004D0651"/>
    <w:rsid w:val="004D2117"/>
    <w:rsid w:val="004D2846"/>
    <w:rsid w:val="004D2FE2"/>
    <w:rsid w:val="004D336C"/>
    <w:rsid w:val="004D35D0"/>
    <w:rsid w:val="004D383B"/>
    <w:rsid w:val="004D3959"/>
    <w:rsid w:val="004D7B1A"/>
    <w:rsid w:val="004E1673"/>
    <w:rsid w:val="004E17E3"/>
    <w:rsid w:val="004E1CFD"/>
    <w:rsid w:val="004E1E07"/>
    <w:rsid w:val="004E2766"/>
    <w:rsid w:val="004E484D"/>
    <w:rsid w:val="004E658B"/>
    <w:rsid w:val="004F3710"/>
    <w:rsid w:val="004F3B3D"/>
    <w:rsid w:val="004F407D"/>
    <w:rsid w:val="004F44A6"/>
    <w:rsid w:val="004F6692"/>
    <w:rsid w:val="004F6901"/>
    <w:rsid w:val="004F6A31"/>
    <w:rsid w:val="00501750"/>
    <w:rsid w:val="005019F5"/>
    <w:rsid w:val="00501BE8"/>
    <w:rsid w:val="005031BA"/>
    <w:rsid w:val="005037B0"/>
    <w:rsid w:val="0050697C"/>
    <w:rsid w:val="00506E88"/>
    <w:rsid w:val="00507BDD"/>
    <w:rsid w:val="00510C2C"/>
    <w:rsid w:val="005117AF"/>
    <w:rsid w:val="00514948"/>
    <w:rsid w:val="00514D7E"/>
    <w:rsid w:val="00515541"/>
    <w:rsid w:val="005165EC"/>
    <w:rsid w:val="005167DE"/>
    <w:rsid w:val="00517FF0"/>
    <w:rsid w:val="00520261"/>
    <w:rsid w:val="00520A7B"/>
    <w:rsid w:val="00521B55"/>
    <w:rsid w:val="00523C88"/>
    <w:rsid w:val="005247D6"/>
    <w:rsid w:val="005249B1"/>
    <w:rsid w:val="00524ED3"/>
    <w:rsid w:val="005251C9"/>
    <w:rsid w:val="0052544F"/>
    <w:rsid w:val="00526251"/>
    <w:rsid w:val="00527896"/>
    <w:rsid w:val="00527B1F"/>
    <w:rsid w:val="00530B6F"/>
    <w:rsid w:val="005333CA"/>
    <w:rsid w:val="0053347E"/>
    <w:rsid w:val="0053410F"/>
    <w:rsid w:val="00535F84"/>
    <w:rsid w:val="00536DA9"/>
    <w:rsid w:val="005375E1"/>
    <w:rsid w:val="005378B4"/>
    <w:rsid w:val="00537EA6"/>
    <w:rsid w:val="0054008A"/>
    <w:rsid w:val="00540B7B"/>
    <w:rsid w:val="00542D01"/>
    <w:rsid w:val="005433DC"/>
    <w:rsid w:val="00543A39"/>
    <w:rsid w:val="00543D53"/>
    <w:rsid w:val="00544862"/>
    <w:rsid w:val="00546779"/>
    <w:rsid w:val="00547591"/>
    <w:rsid w:val="00551523"/>
    <w:rsid w:val="0055391B"/>
    <w:rsid w:val="005541AF"/>
    <w:rsid w:val="0055485B"/>
    <w:rsid w:val="005558E1"/>
    <w:rsid w:val="00555F41"/>
    <w:rsid w:val="00556153"/>
    <w:rsid w:val="005562F0"/>
    <w:rsid w:val="00556510"/>
    <w:rsid w:val="00556DFC"/>
    <w:rsid w:val="005577DE"/>
    <w:rsid w:val="00557DE3"/>
    <w:rsid w:val="005624BA"/>
    <w:rsid w:val="005627EE"/>
    <w:rsid w:val="00562A93"/>
    <w:rsid w:val="00563093"/>
    <w:rsid w:val="00564115"/>
    <w:rsid w:val="00565DD3"/>
    <w:rsid w:val="0056731B"/>
    <w:rsid w:val="00570A0A"/>
    <w:rsid w:val="00570D3D"/>
    <w:rsid w:val="00571120"/>
    <w:rsid w:val="005728AB"/>
    <w:rsid w:val="00574ACA"/>
    <w:rsid w:val="00574DF4"/>
    <w:rsid w:val="00576593"/>
    <w:rsid w:val="00576B0F"/>
    <w:rsid w:val="00577FC1"/>
    <w:rsid w:val="00582BF4"/>
    <w:rsid w:val="0058330C"/>
    <w:rsid w:val="0058482F"/>
    <w:rsid w:val="00585C0C"/>
    <w:rsid w:val="00591803"/>
    <w:rsid w:val="00592C90"/>
    <w:rsid w:val="00594795"/>
    <w:rsid w:val="005957E8"/>
    <w:rsid w:val="00595C4B"/>
    <w:rsid w:val="00596A7A"/>
    <w:rsid w:val="00597790"/>
    <w:rsid w:val="005A00AF"/>
    <w:rsid w:val="005A1E03"/>
    <w:rsid w:val="005A3831"/>
    <w:rsid w:val="005A5B91"/>
    <w:rsid w:val="005A604C"/>
    <w:rsid w:val="005A67F7"/>
    <w:rsid w:val="005A6E01"/>
    <w:rsid w:val="005A7DC7"/>
    <w:rsid w:val="005B0A8F"/>
    <w:rsid w:val="005B15D1"/>
    <w:rsid w:val="005B180F"/>
    <w:rsid w:val="005B256B"/>
    <w:rsid w:val="005B3BFB"/>
    <w:rsid w:val="005B4371"/>
    <w:rsid w:val="005B53EE"/>
    <w:rsid w:val="005B6DAB"/>
    <w:rsid w:val="005C0891"/>
    <w:rsid w:val="005C0F06"/>
    <w:rsid w:val="005C2878"/>
    <w:rsid w:val="005C42B3"/>
    <w:rsid w:val="005C46CE"/>
    <w:rsid w:val="005C54B1"/>
    <w:rsid w:val="005C54FF"/>
    <w:rsid w:val="005C63CE"/>
    <w:rsid w:val="005C64E0"/>
    <w:rsid w:val="005D03CC"/>
    <w:rsid w:val="005D1673"/>
    <w:rsid w:val="005D2BDD"/>
    <w:rsid w:val="005D2DF7"/>
    <w:rsid w:val="005D37AB"/>
    <w:rsid w:val="005D4752"/>
    <w:rsid w:val="005D549D"/>
    <w:rsid w:val="005D611D"/>
    <w:rsid w:val="005D6E0F"/>
    <w:rsid w:val="005D733E"/>
    <w:rsid w:val="005E0DB8"/>
    <w:rsid w:val="005E2A71"/>
    <w:rsid w:val="005E422E"/>
    <w:rsid w:val="005E5038"/>
    <w:rsid w:val="005E74FE"/>
    <w:rsid w:val="005F024E"/>
    <w:rsid w:val="005F101B"/>
    <w:rsid w:val="005F2471"/>
    <w:rsid w:val="005F277F"/>
    <w:rsid w:val="005F2A8F"/>
    <w:rsid w:val="005F2DFE"/>
    <w:rsid w:val="005F3FEC"/>
    <w:rsid w:val="005F51B7"/>
    <w:rsid w:val="005F540A"/>
    <w:rsid w:val="005F5CD6"/>
    <w:rsid w:val="005F72B8"/>
    <w:rsid w:val="005F7B13"/>
    <w:rsid w:val="00602775"/>
    <w:rsid w:val="00604862"/>
    <w:rsid w:val="00604DEA"/>
    <w:rsid w:val="00605983"/>
    <w:rsid w:val="006061AE"/>
    <w:rsid w:val="00607827"/>
    <w:rsid w:val="00607C18"/>
    <w:rsid w:val="0061045C"/>
    <w:rsid w:val="00610591"/>
    <w:rsid w:val="00611420"/>
    <w:rsid w:val="00614C3B"/>
    <w:rsid w:val="006152A0"/>
    <w:rsid w:val="00615BE1"/>
    <w:rsid w:val="00616279"/>
    <w:rsid w:val="0061682E"/>
    <w:rsid w:val="00616D3C"/>
    <w:rsid w:val="006170A4"/>
    <w:rsid w:val="00620CFF"/>
    <w:rsid w:val="00623C9E"/>
    <w:rsid w:val="006246B5"/>
    <w:rsid w:val="006253C2"/>
    <w:rsid w:val="006256ED"/>
    <w:rsid w:val="00627361"/>
    <w:rsid w:val="006273A0"/>
    <w:rsid w:val="00627E3F"/>
    <w:rsid w:val="006308D4"/>
    <w:rsid w:val="0063358E"/>
    <w:rsid w:val="00636C62"/>
    <w:rsid w:val="0064013E"/>
    <w:rsid w:val="0064093C"/>
    <w:rsid w:val="006428D0"/>
    <w:rsid w:val="00642D05"/>
    <w:rsid w:val="006431D6"/>
    <w:rsid w:val="00644513"/>
    <w:rsid w:val="0064479E"/>
    <w:rsid w:val="006451DB"/>
    <w:rsid w:val="006455EB"/>
    <w:rsid w:val="006458F2"/>
    <w:rsid w:val="00647D5C"/>
    <w:rsid w:val="006528EF"/>
    <w:rsid w:val="006529FF"/>
    <w:rsid w:val="00652E01"/>
    <w:rsid w:val="00653814"/>
    <w:rsid w:val="00654429"/>
    <w:rsid w:val="00656211"/>
    <w:rsid w:val="006572F8"/>
    <w:rsid w:val="00657FCE"/>
    <w:rsid w:val="006600DD"/>
    <w:rsid w:val="00663BF7"/>
    <w:rsid w:val="006660A4"/>
    <w:rsid w:val="0066641D"/>
    <w:rsid w:val="006673F3"/>
    <w:rsid w:val="006706F6"/>
    <w:rsid w:val="00671AF1"/>
    <w:rsid w:val="00672050"/>
    <w:rsid w:val="00672270"/>
    <w:rsid w:val="006737E5"/>
    <w:rsid w:val="006742F5"/>
    <w:rsid w:val="00674391"/>
    <w:rsid w:val="00674C6A"/>
    <w:rsid w:val="006767A2"/>
    <w:rsid w:val="00677259"/>
    <w:rsid w:val="00681329"/>
    <w:rsid w:val="00682AF8"/>
    <w:rsid w:val="00683D3B"/>
    <w:rsid w:val="00684D1B"/>
    <w:rsid w:val="00686B1C"/>
    <w:rsid w:val="00687253"/>
    <w:rsid w:val="0069073B"/>
    <w:rsid w:val="00691109"/>
    <w:rsid w:val="0069227B"/>
    <w:rsid w:val="00695F86"/>
    <w:rsid w:val="006A0CA5"/>
    <w:rsid w:val="006A27DD"/>
    <w:rsid w:val="006A6302"/>
    <w:rsid w:val="006A72AF"/>
    <w:rsid w:val="006B0C23"/>
    <w:rsid w:val="006B1895"/>
    <w:rsid w:val="006B3C6C"/>
    <w:rsid w:val="006B4AC5"/>
    <w:rsid w:val="006B5667"/>
    <w:rsid w:val="006B6070"/>
    <w:rsid w:val="006B6EC8"/>
    <w:rsid w:val="006B6F0C"/>
    <w:rsid w:val="006B6F90"/>
    <w:rsid w:val="006C09D5"/>
    <w:rsid w:val="006C0AA0"/>
    <w:rsid w:val="006C0CDA"/>
    <w:rsid w:val="006C1C28"/>
    <w:rsid w:val="006C2549"/>
    <w:rsid w:val="006C2F52"/>
    <w:rsid w:val="006C3737"/>
    <w:rsid w:val="006C448E"/>
    <w:rsid w:val="006C52C5"/>
    <w:rsid w:val="006C5E7E"/>
    <w:rsid w:val="006C7955"/>
    <w:rsid w:val="006D0360"/>
    <w:rsid w:val="006D1A4B"/>
    <w:rsid w:val="006D2498"/>
    <w:rsid w:val="006D65F1"/>
    <w:rsid w:val="006D6864"/>
    <w:rsid w:val="006E043E"/>
    <w:rsid w:val="006E04BF"/>
    <w:rsid w:val="006E0DDA"/>
    <w:rsid w:val="006E0F33"/>
    <w:rsid w:val="006E123B"/>
    <w:rsid w:val="006E179D"/>
    <w:rsid w:val="006E49B0"/>
    <w:rsid w:val="006E4AF4"/>
    <w:rsid w:val="006E50E0"/>
    <w:rsid w:val="006E550E"/>
    <w:rsid w:val="006E6E35"/>
    <w:rsid w:val="006E7205"/>
    <w:rsid w:val="006E72CD"/>
    <w:rsid w:val="006E747D"/>
    <w:rsid w:val="006F02FF"/>
    <w:rsid w:val="006F266B"/>
    <w:rsid w:val="006F3162"/>
    <w:rsid w:val="006F4EB3"/>
    <w:rsid w:val="006F588D"/>
    <w:rsid w:val="00701A06"/>
    <w:rsid w:val="00701D9B"/>
    <w:rsid w:val="00702390"/>
    <w:rsid w:val="007028B3"/>
    <w:rsid w:val="00702E45"/>
    <w:rsid w:val="00703603"/>
    <w:rsid w:val="00703CA6"/>
    <w:rsid w:val="00704F6B"/>
    <w:rsid w:val="00705A6C"/>
    <w:rsid w:val="00707460"/>
    <w:rsid w:val="0071009D"/>
    <w:rsid w:val="007106C6"/>
    <w:rsid w:val="007114E0"/>
    <w:rsid w:val="0071208E"/>
    <w:rsid w:val="00712735"/>
    <w:rsid w:val="007132C4"/>
    <w:rsid w:val="007141F0"/>
    <w:rsid w:val="00715D46"/>
    <w:rsid w:val="00716728"/>
    <w:rsid w:val="00716863"/>
    <w:rsid w:val="00721672"/>
    <w:rsid w:val="00726600"/>
    <w:rsid w:val="00727346"/>
    <w:rsid w:val="00727573"/>
    <w:rsid w:val="00727D48"/>
    <w:rsid w:val="0073026C"/>
    <w:rsid w:val="00732C2B"/>
    <w:rsid w:val="0073330D"/>
    <w:rsid w:val="0073464B"/>
    <w:rsid w:val="00736532"/>
    <w:rsid w:val="007377B4"/>
    <w:rsid w:val="0074113B"/>
    <w:rsid w:val="007412F8"/>
    <w:rsid w:val="00741A2C"/>
    <w:rsid w:val="00742554"/>
    <w:rsid w:val="007427DC"/>
    <w:rsid w:val="00744B1C"/>
    <w:rsid w:val="00747F5A"/>
    <w:rsid w:val="0075029D"/>
    <w:rsid w:val="00750BBD"/>
    <w:rsid w:val="00751AC7"/>
    <w:rsid w:val="00752616"/>
    <w:rsid w:val="0075327F"/>
    <w:rsid w:val="00754289"/>
    <w:rsid w:val="00754B19"/>
    <w:rsid w:val="0075682D"/>
    <w:rsid w:val="00757624"/>
    <w:rsid w:val="00760C37"/>
    <w:rsid w:val="00760E05"/>
    <w:rsid w:val="00763BFA"/>
    <w:rsid w:val="00765A83"/>
    <w:rsid w:val="00765BD5"/>
    <w:rsid w:val="00766720"/>
    <w:rsid w:val="00770FA8"/>
    <w:rsid w:val="00774817"/>
    <w:rsid w:val="00774DCB"/>
    <w:rsid w:val="00777078"/>
    <w:rsid w:val="007829B5"/>
    <w:rsid w:val="0078427E"/>
    <w:rsid w:val="00785242"/>
    <w:rsid w:val="0079040A"/>
    <w:rsid w:val="007905FA"/>
    <w:rsid w:val="00790889"/>
    <w:rsid w:val="00790AE7"/>
    <w:rsid w:val="007910E9"/>
    <w:rsid w:val="007917E6"/>
    <w:rsid w:val="00792DD1"/>
    <w:rsid w:val="00792F6A"/>
    <w:rsid w:val="00793B0E"/>
    <w:rsid w:val="007948AB"/>
    <w:rsid w:val="007A07CB"/>
    <w:rsid w:val="007A1FBD"/>
    <w:rsid w:val="007A3BE2"/>
    <w:rsid w:val="007A4A97"/>
    <w:rsid w:val="007A4F55"/>
    <w:rsid w:val="007A5E42"/>
    <w:rsid w:val="007A5F07"/>
    <w:rsid w:val="007A67C4"/>
    <w:rsid w:val="007A71E7"/>
    <w:rsid w:val="007A73D6"/>
    <w:rsid w:val="007A75A4"/>
    <w:rsid w:val="007B091E"/>
    <w:rsid w:val="007B16E7"/>
    <w:rsid w:val="007B305D"/>
    <w:rsid w:val="007B57A1"/>
    <w:rsid w:val="007B5935"/>
    <w:rsid w:val="007B63DD"/>
    <w:rsid w:val="007C1BE9"/>
    <w:rsid w:val="007C3CBF"/>
    <w:rsid w:val="007C48F5"/>
    <w:rsid w:val="007C6BFA"/>
    <w:rsid w:val="007D0A22"/>
    <w:rsid w:val="007D100E"/>
    <w:rsid w:val="007D1323"/>
    <w:rsid w:val="007D2C6D"/>
    <w:rsid w:val="007D35EE"/>
    <w:rsid w:val="007D56B5"/>
    <w:rsid w:val="007D6415"/>
    <w:rsid w:val="007E5AA3"/>
    <w:rsid w:val="007E6710"/>
    <w:rsid w:val="007E7D50"/>
    <w:rsid w:val="007F09F5"/>
    <w:rsid w:val="007F154F"/>
    <w:rsid w:val="007F1D4A"/>
    <w:rsid w:val="007F2C81"/>
    <w:rsid w:val="007F6AE5"/>
    <w:rsid w:val="00800551"/>
    <w:rsid w:val="008021B3"/>
    <w:rsid w:val="00803702"/>
    <w:rsid w:val="00804F8B"/>
    <w:rsid w:val="008050F1"/>
    <w:rsid w:val="00805A82"/>
    <w:rsid w:val="008071F4"/>
    <w:rsid w:val="00813214"/>
    <w:rsid w:val="008159A9"/>
    <w:rsid w:val="0082169E"/>
    <w:rsid w:val="00821796"/>
    <w:rsid w:val="0082410F"/>
    <w:rsid w:val="008244DA"/>
    <w:rsid w:val="0082478F"/>
    <w:rsid w:val="00826A98"/>
    <w:rsid w:val="00830562"/>
    <w:rsid w:val="0083261F"/>
    <w:rsid w:val="008328BD"/>
    <w:rsid w:val="00834BF6"/>
    <w:rsid w:val="008350AB"/>
    <w:rsid w:val="008350D3"/>
    <w:rsid w:val="008364F4"/>
    <w:rsid w:val="008404CC"/>
    <w:rsid w:val="00840803"/>
    <w:rsid w:val="00841B00"/>
    <w:rsid w:val="00842B47"/>
    <w:rsid w:val="00842E5C"/>
    <w:rsid w:val="00842EB2"/>
    <w:rsid w:val="00844587"/>
    <w:rsid w:val="0084488D"/>
    <w:rsid w:val="00850FAC"/>
    <w:rsid w:val="008515A6"/>
    <w:rsid w:val="00853219"/>
    <w:rsid w:val="008533C4"/>
    <w:rsid w:val="00853F37"/>
    <w:rsid w:val="00856BC4"/>
    <w:rsid w:val="00856D7E"/>
    <w:rsid w:val="00857093"/>
    <w:rsid w:val="00862565"/>
    <w:rsid w:val="00865251"/>
    <w:rsid w:val="0086652B"/>
    <w:rsid w:val="00866EF8"/>
    <w:rsid w:val="00867E1D"/>
    <w:rsid w:val="00872EE6"/>
    <w:rsid w:val="00873BAE"/>
    <w:rsid w:val="0087478F"/>
    <w:rsid w:val="00874DC4"/>
    <w:rsid w:val="00880190"/>
    <w:rsid w:val="00880DED"/>
    <w:rsid w:val="00880EF6"/>
    <w:rsid w:val="00881137"/>
    <w:rsid w:val="00881F85"/>
    <w:rsid w:val="00882D97"/>
    <w:rsid w:val="00883AE8"/>
    <w:rsid w:val="0088662D"/>
    <w:rsid w:val="00890DA2"/>
    <w:rsid w:val="00891590"/>
    <w:rsid w:val="008920DD"/>
    <w:rsid w:val="008939D5"/>
    <w:rsid w:val="00893FE9"/>
    <w:rsid w:val="00894951"/>
    <w:rsid w:val="0089612B"/>
    <w:rsid w:val="008A2D3D"/>
    <w:rsid w:val="008A3F42"/>
    <w:rsid w:val="008A4768"/>
    <w:rsid w:val="008A5FD8"/>
    <w:rsid w:val="008B1B2B"/>
    <w:rsid w:val="008B2087"/>
    <w:rsid w:val="008B2AF0"/>
    <w:rsid w:val="008B32A5"/>
    <w:rsid w:val="008B5B34"/>
    <w:rsid w:val="008B61CD"/>
    <w:rsid w:val="008B6342"/>
    <w:rsid w:val="008B6AE3"/>
    <w:rsid w:val="008B72B4"/>
    <w:rsid w:val="008C0284"/>
    <w:rsid w:val="008C1496"/>
    <w:rsid w:val="008C1B8F"/>
    <w:rsid w:val="008C1C0D"/>
    <w:rsid w:val="008C1E14"/>
    <w:rsid w:val="008C508D"/>
    <w:rsid w:val="008D0184"/>
    <w:rsid w:val="008D066D"/>
    <w:rsid w:val="008D44EF"/>
    <w:rsid w:val="008D4926"/>
    <w:rsid w:val="008D4F49"/>
    <w:rsid w:val="008E0F35"/>
    <w:rsid w:val="008E300F"/>
    <w:rsid w:val="008E4F72"/>
    <w:rsid w:val="008E644F"/>
    <w:rsid w:val="008E6A4A"/>
    <w:rsid w:val="008E7B99"/>
    <w:rsid w:val="008F01A4"/>
    <w:rsid w:val="008F162C"/>
    <w:rsid w:val="008F1FBA"/>
    <w:rsid w:val="008F29FD"/>
    <w:rsid w:val="008F3DD8"/>
    <w:rsid w:val="008F3FD6"/>
    <w:rsid w:val="008F5A2E"/>
    <w:rsid w:val="008F63FC"/>
    <w:rsid w:val="008F7D74"/>
    <w:rsid w:val="00900E43"/>
    <w:rsid w:val="00902151"/>
    <w:rsid w:val="00902D5F"/>
    <w:rsid w:val="00902E74"/>
    <w:rsid w:val="00903C59"/>
    <w:rsid w:val="00903E68"/>
    <w:rsid w:val="00904CA8"/>
    <w:rsid w:val="0090618E"/>
    <w:rsid w:val="0090655C"/>
    <w:rsid w:val="00906C13"/>
    <w:rsid w:val="009107DD"/>
    <w:rsid w:val="00913237"/>
    <w:rsid w:val="0091344F"/>
    <w:rsid w:val="00914091"/>
    <w:rsid w:val="00915185"/>
    <w:rsid w:val="00915FD1"/>
    <w:rsid w:val="009162AA"/>
    <w:rsid w:val="0092060E"/>
    <w:rsid w:val="00922D0B"/>
    <w:rsid w:val="00923677"/>
    <w:rsid w:val="00924A66"/>
    <w:rsid w:val="0092501C"/>
    <w:rsid w:val="00927AD9"/>
    <w:rsid w:val="00930B67"/>
    <w:rsid w:val="00931F05"/>
    <w:rsid w:val="00933793"/>
    <w:rsid w:val="0093477E"/>
    <w:rsid w:val="00935423"/>
    <w:rsid w:val="0093648A"/>
    <w:rsid w:val="00936EDC"/>
    <w:rsid w:val="00937821"/>
    <w:rsid w:val="0093799A"/>
    <w:rsid w:val="0094136C"/>
    <w:rsid w:val="0094232D"/>
    <w:rsid w:val="009453E0"/>
    <w:rsid w:val="009456DB"/>
    <w:rsid w:val="009467D6"/>
    <w:rsid w:val="00946F99"/>
    <w:rsid w:val="00951D8B"/>
    <w:rsid w:val="0095319F"/>
    <w:rsid w:val="00953690"/>
    <w:rsid w:val="00954287"/>
    <w:rsid w:val="00955B48"/>
    <w:rsid w:val="00956089"/>
    <w:rsid w:val="0095663A"/>
    <w:rsid w:val="00956988"/>
    <w:rsid w:val="009578A8"/>
    <w:rsid w:val="009633CF"/>
    <w:rsid w:val="00965600"/>
    <w:rsid w:val="009656E8"/>
    <w:rsid w:val="00965C50"/>
    <w:rsid w:val="00966C9C"/>
    <w:rsid w:val="00967222"/>
    <w:rsid w:val="0097113B"/>
    <w:rsid w:val="009717A3"/>
    <w:rsid w:val="00972341"/>
    <w:rsid w:val="00972A9B"/>
    <w:rsid w:val="0097419C"/>
    <w:rsid w:val="009756D3"/>
    <w:rsid w:val="009759E0"/>
    <w:rsid w:val="0097637E"/>
    <w:rsid w:val="009763A1"/>
    <w:rsid w:val="00982572"/>
    <w:rsid w:val="0098304D"/>
    <w:rsid w:val="00984B33"/>
    <w:rsid w:val="0098596C"/>
    <w:rsid w:val="0098610D"/>
    <w:rsid w:val="00986766"/>
    <w:rsid w:val="00986BF6"/>
    <w:rsid w:val="00987245"/>
    <w:rsid w:val="00995807"/>
    <w:rsid w:val="00995A77"/>
    <w:rsid w:val="00997BFC"/>
    <w:rsid w:val="00997C19"/>
    <w:rsid w:val="009A0667"/>
    <w:rsid w:val="009A1985"/>
    <w:rsid w:val="009A271F"/>
    <w:rsid w:val="009A42AA"/>
    <w:rsid w:val="009A517C"/>
    <w:rsid w:val="009A674F"/>
    <w:rsid w:val="009A6F39"/>
    <w:rsid w:val="009A7547"/>
    <w:rsid w:val="009A7D16"/>
    <w:rsid w:val="009B07B7"/>
    <w:rsid w:val="009B1EE9"/>
    <w:rsid w:val="009B2FDF"/>
    <w:rsid w:val="009B34B8"/>
    <w:rsid w:val="009B3BEB"/>
    <w:rsid w:val="009B3D55"/>
    <w:rsid w:val="009B4098"/>
    <w:rsid w:val="009B72B3"/>
    <w:rsid w:val="009C1E3F"/>
    <w:rsid w:val="009C24B1"/>
    <w:rsid w:val="009C2A1F"/>
    <w:rsid w:val="009C2CC6"/>
    <w:rsid w:val="009C4206"/>
    <w:rsid w:val="009C4A42"/>
    <w:rsid w:val="009D2960"/>
    <w:rsid w:val="009D2F29"/>
    <w:rsid w:val="009D3B53"/>
    <w:rsid w:val="009D405A"/>
    <w:rsid w:val="009D5C66"/>
    <w:rsid w:val="009D5D3A"/>
    <w:rsid w:val="009D66EC"/>
    <w:rsid w:val="009D6E69"/>
    <w:rsid w:val="009D7195"/>
    <w:rsid w:val="009D7238"/>
    <w:rsid w:val="009D79DF"/>
    <w:rsid w:val="009E06F3"/>
    <w:rsid w:val="009E0942"/>
    <w:rsid w:val="009E15CE"/>
    <w:rsid w:val="009E202D"/>
    <w:rsid w:val="009E4AF3"/>
    <w:rsid w:val="009E553B"/>
    <w:rsid w:val="009E776A"/>
    <w:rsid w:val="009E7E23"/>
    <w:rsid w:val="009F050A"/>
    <w:rsid w:val="009F2004"/>
    <w:rsid w:val="009F2233"/>
    <w:rsid w:val="009F2D9E"/>
    <w:rsid w:val="009F457A"/>
    <w:rsid w:val="009F6846"/>
    <w:rsid w:val="009F6C81"/>
    <w:rsid w:val="009F7CCC"/>
    <w:rsid w:val="009F7FB8"/>
    <w:rsid w:val="00A0013D"/>
    <w:rsid w:val="00A0022E"/>
    <w:rsid w:val="00A01EAA"/>
    <w:rsid w:val="00A023D8"/>
    <w:rsid w:val="00A0307E"/>
    <w:rsid w:val="00A0358F"/>
    <w:rsid w:val="00A03CC8"/>
    <w:rsid w:val="00A074E3"/>
    <w:rsid w:val="00A076D2"/>
    <w:rsid w:val="00A1173D"/>
    <w:rsid w:val="00A1341B"/>
    <w:rsid w:val="00A14AA4"/>
    <w:rsid w:val="00A156BC"/>
    <w:rsid w:val="00A16BF4"/>
    <w:rsid w:val="00A208B2"/>
    <w:rsid w:val="00A224C1"/>
    <w:rsid w:val="00A237B9"/>
    <w:rsid w:val="00A240C2"/>
    <w:rsid w:val="00A24B8A"/>
    <w:rsid w:val="00A24C57"/>
    <w:rsid w:val="00A26A84"/>
    <w:rsid w:val="00A26EC3"/>
    <w:rsid w:val="00A302E7"/>
    <w:rsid w:val="00A30AF3"/>
    <w:rsid w:val="00A31652"/>
    <w:rsid w:val="00A31F2E"/>
    <w:rsid w:val="00A336DB"/>
    <w:rsid w:val="00A33FC5"/>
    <w:rsid w:val="00A340C8"/>
    <w:rsid w:val="00A346FE"/>
    <w:rsid w:val="00A3495B"/>
    <w:rsid w:val="00A34FC6"/>
    <w:rsid w:val="00A3546E"/>
    <w:rsid w:val="00A35E6F"/>
    <w:rsid w:val="00A35EF2"/>
    <w:rsid w:val="00A36034"/>
    <w:rsid w:val="00A3732A"/>
    <w:rsid w:val="00A373C1"/>
    <w:rsid w:val="00A37FC9"/>
    <w:rsid w:val="00A4018B"/>
    <w:rsid w:val="00A41112"/>
    <w:rsid w:val="00A4122A"/>
    <w:rsid w:val="00A41BA5"/>
    <w:rsid w:val="00A422D3"/>
    <w:rsid w:val="00A464AC"/>
    <w:rsid w:val="00A46E80"/>
    <w:rsid w:val="00A47F12"/>
    <w:rsid w:val="00A50D81"/>
    <w:rsid w:val="00A516C3"/>
    <w:rsid w:val="00A529DD"/>
    <w:rsid w:val="00A52E17"/>
    <w:rsid w:val="00A54E1B"/>
    <w:rsid w:val="00A562BA"/>
    <w:rsid w:val="00A57D5D"/>
    <w:rsid w:val="00A60728"/>
    <w:rsid w:val="00A633F5"/>
    <w:rsid w:val="00A6381C"/>
    <w:rsid w:val="00A63D25"/>
    <w:rsid w:val="00A63F82"/>
    <w:rsid w:val="00A64DAE"/>
    <w:rsid w:val="00A650C8"/>
    <w:rsid w:val="00A663C4"/>
    <w:rsid w:val="00A7530F"/>
    <w:rsid w:val="00A769B9"/>
    <w:rsid w:val="00A81BB7"/>
    <w:rsid w:val="00A82496"/>
    <w:rsid w:val="00A82BA2"/>
    <w:rsid w:val="00A84F25"/>
    <w:rsid w:val="00A856BE"/>
    <w:rsid w:val="00A87878"/>
    <w:rsid w:val="00A87DA6"/>
    <w:rsid w:val="00A9025E"/>
    <w:rsid w:val="00A9089B"/>
    <w:rsid w:val="00A90FD1"/>
    <w:rsid w:val="00A92E18"/>
    <w:rsid w:val="00A94CDB"/>
    <w:rsid w:val="00AA0013"/>
    <w:rsid w:val="00AA19BF"/>
    <w:rsid w:val="00AA1BCD"/>
    <w:rsid w:val="00AA2747"/>
    <w:rsid w:val="00AA29D7"/>
    <w:rsid w:val="00AA2D5D"/>
    <w:rsid w:val="00AA3330"/>
    <w:rsid w:val="00AA39F3"/>
    <w:rsid w:val="00AA3EE0"/>
    <w:rsid w:val="00AA607D"/>
    <w:rsid w:val="00AA662A"/>
    <w:rsid w:val="00AB0D33"/>
    <w:rsid w:val="00AB1990"/>
    <w:rsid w:val="00AB23B5"/>
    <w:rsid w:val="00AB26E4"/>
    <w:rsid w:val="00AB4AD0"/>
    <w:rsid w:val="00AC0500"/>
    <w:rsid w:val="00AC4D3D"/>
    <w:rsid w:val="00AC4F4B"/>
    <w:rsid w:val="00AC77C7"/>
    <w:rsid w:val="00AC77EE"/>
    <w:rsid w:val="00AD006F"/>
    <w:rsid w:val="00AD1319"/>
    <w:rsid w:val="00AD1A2C"/>
    <w:rsid w:val="00AD308C"/>
    <w:rsid w:val="00AD5437"/>
    <w:rsid w:val="00AD63D9"/>
    <w:rsid w:val="00AD672D"/>
    <w:rsid w:val="00AE0A07"/>
    <w:rsid w:val="00AE0D6E"/>
    <w:rsid w:val="00AE1B64"/>
    <w:rsid w:val="00AE4B3C"/>
    <w:rsid w:val="00AE4B46"/>
    <w:rsid w:val="00AE711E"/>
    <w:rsid w:val="00AE748D"/>
    <w:rsid w:val="00AE7F85"/>
    <w:rsid w:val="00AF20E5"/>
    <w:rsid w:val="00AF2155"/>
    <w:rsid w:val="00AF2862"/>
    <w:rsid w:val="00AF583C"/>
    <w:rsid w:val="00AF6D70"/>
    <w:rsid w:val="00AF7D5E"/>
    <w:rsid w:val="00B00235"/>
    <w:rsid w:val="00B002A0"/>
    <w:rsid w:val="00B04A34"/>
    <w:rsid w:val="00B04BCF"/>
    <w:rsid w:val="00B05162"/>
    <w:rsid w:val="00B058FE"/>
    <w:rsid w:val="00B059C1"/>
    <w:rsid w:val="00B06841"/>
    <w:rsid w:val="00B10F1F"/>
    <w:rsid w:val="00B11AA0"/>
    <w:rsid w:val="00B1683A"/>
    <w:rsid w:val="00B16917"/>
    <w:rsid w:val="00B173EC"/>
    <w:rsid w:val="00B20DFB"/>
    <w:rsid w:val="00B22410"/>
    <w:rsid w:val="00B241E5"/>
    <w:rsid w:val="00B27439"/>
    <w:rsid w:val="00B307E5"/>
    <w:rsid w:val="00B30B57"/>
    <w:rsid w:val="00B319AF"/>
    <w:rsid w:val="00B31B4C"/>
    <w:rsid w:val="00B3263F"/>
    <w:rsid w:val="00B3461B"/>
    <w:rsid w:val="00B347DC"/>
    <w:rsid w:val="00B35DC4"/>
    <w:rsid w:val="00B3655A"/>
    <w:rsid w:val="00B37454"/>
    <w:rsid w:val="00B40EFE"/>
    <w:rsid w:val="00B41AFB"/>
    <w:rsid w:val="00B41C05"/>
    <w:rsid w:val="00B42AA0"/>
    <w:rsid w:val="00B436C1"/>
    <w:rsid w:val="00B44C69"/>
    <w:rsid w:val="00B4590F"/>
    <w:rsid w:val="00B45A4B"/>
    <w:rsid w:val="00B46802"/>
    <w:rsid w:val="00B46A3E"/>
    <w:rsid w:val="00B46E1E"/>
    <w:rsid w:val="00B4769B"/>
    <w:rsid w:val="00B527FB"/>
    <w:rsid w:val="00B52E86"/>
    <w:rsid w:val="00B5350D"/>
    <w:rsid w:val="00B54A6A"/>
    <w:rsid w:val="00B54C5E"/>
    <w:rsid w:val="00B562C2"/>
    <w:rsid w:val="00B600FF"/>
    <w:rsid w:val="00B610A9"/>
    <w:rsid w:val="00B61126"/>
    <w:rsid w:val="00B61E79"/>
    <w:rsid w:val="00B62612"/>
    <w:rsid w:val="00B62B83"/>
    <w:rsid w:val="00B674AF"/>
    <w:rsid w:val="00B7235F"/>
    <w:rsid w:val="00B72835"/>
    <w:rsid w:val="00B7286D"/>
    <w:rsid w:val="00B76DEB"/>
    <w:rsid w:val="00B76EA8"/>
    <w:rsid w:val="00B77149"/>
    <w:rsid w:val="00B77D18"/>
    <w:rsid w:val="00B80B29"/>
    <w:rsid w:val="00B8130D"/>
    <w:rsid w:val="00B83B91"/>
    <w:rsid w:val="00B8529A"/>
    <w:rsid w:val="00B85770"/>
    <w:rsid w:val="00B90669"/>
    <w:rsid w:val="00B90A2C"/>
    <w:rsid w:val="00B968A0"/>
    <w:rsid w:val="00BA02A5"/>
    <w:rsid w:val="00BA0BF3"/>
    <w:rsid w:val="00BA0EF4"/>
    <w:rsid w:val="00BA1351"/>
    <w:rsid w:val="00BA16EA"/>
    <w:rsid w:val="00BA2154"/>
    <w:rsid w:val="00BA2E14"/>
    <w:rsid w:val="00BA3764"/>
    <w:rsid w:val="00BA4324"/>
    <w:rsid w:val="00BB1FCE"/>
    <w:rsid w:val="00BB2239"/>
    <w:rsid w:val="00BB263F"/>
    <w:rsid w:val="00BB2745"/>
    <w:rsid w:val="00BB4B7E"/>
    <w:rsid w:val="00BB5D33"/>
    <w:rsid w:val="00BB65BF"/>
    <w:rsid w:val="00BB7695"/>
    <w:rsid w:val="00BB7C27"/>
    <w:rsid w:val="00BC0625"/>
    <w:rsid w:val="00BC1E50"/>
    <w:rsid w:val="00BC4680"/>
    <w:rsid w:val="00BC5790"/>
    <w:rsid w:val="00BC5BBB"/>
    <w:rsid w:val="00BD03F0"/>
    <w:rsid w:val="00BD1586"/>
    <w:rsid w:val="00BD2A52"/>
    <w:rsid w:val="00BD2CA5"/>
    <w:rsid w:val="00BD3C8F"/>
    <w:rsid w:val="00BD4010"/>
    <w:rsid w:val="00BD43D6"/>
    <w:rsid w:val="00BD5461"/>
    <w:rsid w:val="00BD5AAA"/>
    <w:rsid w:val="00BD61B0"/>
    <w:rsid w:val="00BD70CA"/>
    <w:rsid w:val="00BE23DC"/>
    <w:rsid w:val="00BE2C71"/>
    <w:rsid w:val="00BE34F4"/>
    <w:rsid w:val="00BF0113"/>
    <w:rsid w:val="00BF032A"/>
    <w:rsid w:val="00BF0FE1"/>
    <w:rsid w:val="00BF1148"/>
    <w:rsid w:val="00BF1A6D"/>
    <w:rsid w:val="00BF4AC8"/>
    <w:rsid w:val="00BF4EEB"/>
    <w:rsid w:val="00BF6863"/>
    <w:rsid w:val="00C006BB"/>
    <w:rsid w:val="00C01595"/>
    <w:rsid w:val="00C0513B"/>
    <w:rsid w:val="00C059F3"/>
    <w:rsid w:val="00C063C7"/>
    <w:rsid w:val="00C073F1"/>
    <w:rsid w:val="00C11E67"/>
    <w:rsid w:val="00C1385B"/>
    <w:rsid w:val="00C17CE0"/>
    <w:rsid w:val="00C2383D"/>
    <w:rsid w:val="00C24A5B"/>
    <w:rsid w:val="00C24F4A"/>
    <w:rsid w:val="00C25775"/>
    <w:rsid w:val="00C2722B"/>
    <w:rsid w:val="00C27A03"/>
    <w:rsid w:val="00C32EC1"/>
    <w:rsid w:val="00C36540"/>
    <w:rsid w:val="00C3787D"/>
    <w:rsid w:val="00C416F5"/>
    <w:rsid w:val="00C41D15"/>
    <w:rsid w:val="00C43F66"/>
    <w:rsid w:val="00C44366"/>
    <w:rsid w:val="00C443B4"/>
    <w:rsid w:val="00C44501"/>
    <w:rsid w:val="00C469A8"/>
    <w:rsid w:val="00C47BC5"/>
    <w:rsid w:val="00C51630"/>
    <w:rsid w:val="00C53225"/>
    <w:rsid w:val="00C53A0D"/>
    <w:rsid w:val="00C542F1"/>
    <w:rsid w:val="00C55068"/>
    <w:rsid w:val="00C55329"/>
    <w:rsid w:val="00C557A9"/>
    <w:rsid w:val="00C55A17"/>
    <w:rsid w:val="00C55A47"/>
    <w:rsid w:val="00C56C2C"/>
    <w:rsid w:val="00C57108"/>
    <w:rsid w:val="00C60195"/>
    <w:rsid w:val="00C63086"/>
    <w:rsid w:val="00C657C9"/>
    <w:rsid w:val="00C670F7"/>
    <w:rsid w:val="00C70A38"/>
    <w:rsid w:val="00C710F7"/>
    <w:rsid w:val="00C711DD"/>
    <w:rsid w:val="00C71BE6"/>
    <w:rsid w:val="00C746F7"/>
    <w:rsid w:val="00C753ED"/>
    <w:rsid w:val="00C76022"/>
    <w:rsid w:val="00C7623D"/>
    <w:rsid w:val="00C8007B"/>
    <w:rsid w:val="00C816B6"/>
    <w:rsid w:val="00C82173"/>
    <w:rsid w:val="00C82F45"/>
    <w:rsid w:val="00C82F8E"/>
    <w:rsid w:val="00C8670B"/>
    <w:rsid w:val="00C90283"/>
    <w:rsid w:val="00C90C5B"/>
    <w:rsid w:val="00C911D2"/>
    <w:rsid w:val="00C917EF"/>
    <w:rsid w:val="00C92379"/>
    <w:rsid w:val="00C92E42"/>
    <w:rsid w:val="00C93DB8"/>
    <w:rsid w:val="00C93EE3"/>
    <w:rsid w:val="00C95628"/>
    <w:rsid w:val="00C95777"/>
    <w:rsid w:val="00C965BC"/>
    <w:rsid w:val="00C972F1"/>
    <w:rsid w:val="00CA0B0D"/>
    <w:rsid w:val="00CA164F"/>
    <w:rsid w:val="00CA4624"/>
    <w:rsid w:val="00CA51F7"/>
    <w:rsid w:val="00CA538A"/>
    <w:rsid w:val="00CA567F"/>
    <w:rsid w:val="00CB04F4"/>
    <w:rsid w:val="00CB1BF9"/>
    <w:rsid w:val="00CB1EC7"/>
    <w:rsid w:val="00CB21A4"/>
    <w:rsid w:val="00CB33E2"/>
    <w:rsid w:val="00CB5F1C"/>
    <w:rsid w:val="00CB6B5C"/>
    <w:rsid w:val="00CB6BE9"/>
    <w:rsid w:val="00CB7AF8"/>
    <w:rsid w:val="00CC1BD9"/>
    <w:rsid w:val="00CC31E4"/>
    <w:rsid w:val="00CC431E"/>
    <w:rsid w:val="00CC4666"/>
    <w:rsid w:val="00CC4F27"/>
    <w:rsid w:val="00CC5B4C"/>
    <w:rsid w:val="00CC6D70"/>
    <w:rsid w:val="00CD0CE8"/>
    <w:rsid w:val="00CD23CF"/>
    <w:rsid w:val="00CD331E"/>
    <w:rsid w:val="00CD387C"/>
    <w:rsid w:val="00CD48C2"/>
    <w:rsid w:val="00CD4EB7"/>
    <w:rsid w:val="00CD5BBD"/>
    <w:rsid w:val="00CD60BF"/>
    <w:rsid w:val="00CD6968"/>
    <w:rsid w:val="00CD6C1A"/>
    <w:rsid w:val="00CD6D86"/>
    <w:rsid w:val="00CE051C"/>
    <w:rsid w:val="00CE154E"/>
    <w:rsid w:val="00CE1C47"/>
    <w:rsid w:val="00CE3626"/>
    <w:rsid w:val="00CE5B7D"/>
    <w:rsid w:val="00CE6B49"/>
    <w:rsid w:val="00CE6CEF"/>
    <w:rsid w:val="00CF0896"/>
    <w:rsid w:val="00CF1FF0"/>
    <w:rsid w:val="00CF30AC"/>
    <w:rsid w:val="00CF3E1E"/>
    <w:rsid w:val="00CF44C2"/>
    <w:rsid w:val="00CF5B6F"/>
    <w:rsid w:val="00CF6993"/>
    <w:rsid w:val="00D0074A"/>
    <w:rsid w:val="00D00A96"/>
    <w:rsid w:val="00D02CBE"/>
    <w:rsid w:val="00D0536F"/>
    <w:rsid w:val="00D10C27"/>
    <w:rsid w:val="00D11C5B"/>
    <w:rsid w:val="00D120A4"/>
    <w:rsid w:val="00D123A2"/>
    <w:rsid w:val="00D12BDF"/>
    <w:rsid w:val="00D13038"/>
    <w:rsid w:val="00D133F2"/>
    <w:rsid w:val="00D13E86"/>
    <w:rsid w:val="00D149F5"/>
    <w:rsid w:val="00D171D0"/>
    <w:rsid w:val="00D1737F"/>
    <w:rsid w:val="00D20D77"/>
    <w:rsid w:val="00D21577"/>
    <w:rsid w:val="00D2162B"/>
    <w:rsid w:val="00D2468A"/>
    <w:rsid w:val="00D25BC9"/>
    <w:rsid w:val="00D25BF9"/>
    <w:rsid w:val="00D268A3"/>
    <w:rsid w:val="00D26AE8"/>
    <w:rsid w:val="00D27298"/>
    <w:rsid w:val="00D27BC4"/>
    <w:rsid w:val="00D308DE"/>
    <w:rsid w:val="00D31322"/>
    <w:rsid w:val="00D31389"/>
    <w:rsid w:val="00D325E0"/>
    <w:rsid w:val="00D3396F"/>
    <w:rsid w:val="00D36BB2"/>
    <w:rsid w:val="00D37A8C"/>
    <w:rsid w:val="00D40ACF"/>
    <w:rsid w:val="00D430D0"/>
    <w:rsid w:val="00D43130"/>
    <w:rsid w:val="00D45CAD"/>
    <w:rsid w:val="00D465E3"/>
    <w:rsid w:val="00D47D6B"/>
    <w:rsid w:val="00D50729"/>
    <w:rsid w:val="00D51336"/>
    <w:rsid w:val="00D513C0"/>
    <w:rsid w:val="00D53666"/>
    <w:rsid w:val="00D5434D"/>
    <w:rsid w:val="00D5596F"/>
    <w:rsid w:val="00D55EA7"/>
    <w:rsid w:val="00D578CC"/>
    <w:rsid w:val="00D619B9"/>
    <w:rsid w:val="00D64A70"/>
    <w:rsid w:val="00D669BF"/>
    <w:rsid w:val="00D67FEB"/>
    <w:rsid w:val="00D73AAE"/>
    <w:rsid w:val="00D741D2"/>
    <w:rsid w:val="00D74668"/>
    <w:rsid w:val="00D764FD"/>
    <w:rsid w:val="00D76EFD"/>
    <w:rsid w:val="00D801F2"/>
    <w:rsid w:val="00D80469"/>
    <w:rsid w:val="00D80EC9"/>
    <w:rsid w:val="00D82602"/>
    <w:rsid w:val="00D83EAE"/>
    <w:rsid w:val="00D84435"/>
    <w:rsid w:val="00D849D7"/>
    <w:rsid w:val="00D87135"/>
    <w:rsid w:val="00D87E53"/>
    <w:rsid w:val="00D90DA4"/>
    <w:rsid w:val="00D90FF3"/>
    <w:rsid w:val="00D920AB"/>
    <w:rsid w:val="00D93775"/>
    <w:rsid w:val="00D96B07"/>
    <w:rsid w:val="00D978CB"/>
    <w:rsid w:val="00DA0B94"/>
    <w:rsid w:val="00DA0D5E"/>
    <w:rsid w:val="00DA1624"/>
    <w:rsid w:val="00DA1D49"/>
    <w:rsid w:val="00DA2826"/>
    <w:rsid w:val="00DA28AC"/>
    <w:rsid w:val="00DA5C09"/>
    <w:rsid w:val="00DA7305"/>
    <w:rsid w:val="00DA7AC9"/>
    <w:rsid w:val="00DB0E0C"/>
    <w:rsid w:val="00DB173F"/>
    <w:rsid w:val="00DB23E9"/>
    <w:rsid w:val="00DB2597"/>
    <w:rsid w:val="00DB288C"/>
    <w:rsid w:val="00DB3BF1"/>
    <w:rsid w:val="00DB4724"/>
    <w:rsid w:val="00DB6EBF"/>
    <w:rsid w:val="00DC18F0"/>
    <w:rsid w:val="00DC19CD"/>
    <w:rsid w:val="00DC3161"/>
    <w:rsid w:val="00DC3FD4"/>
    <w:rsid w:val="00DC5091"/>
    <w:rsid w:val="00DC6266"/>
    <w:rsid w:val="00DC696E"/>
    <w:rsid w:val="00DC6E37"/>
    <w:rsid w:val="00DC6F74"/>
    <w:rsid w:val="00DD066B"/>
    <w:rsid w:val="00DD11C9"/>
    <w:rsid w:val="00DD1AE5"/>
    <w:rsid w:val="00DD1C92"/>
    <w:rsid w:val="00DD201A"/>
    <w:rsid w:val="00DD30E1"/>
    <w:rsid w:val="00DD326C"/>
    <w:rsid w:val="00DD3666"/>
    <w:rsid w:val="00DD4BB1"/>
    <w:rsid w:val="00DD59A5"/>
    <w:rsid w:val="00DD6802"/>
    <w:rsid w:val="00DE011E"/>
    <w:rsid w:val="00DE22ED"/>
    <w:rsid w:val="00DE251A"/>
    <w:rsid w:val="00DE2C8A"/>
    <w:rsid w:val="00DE3874"/>
    <w:rsid w:val="00DE4171"/>
    <w:rsid w:val="00DE61C5"/>
    <w:rsid w:val="00DE7CED"/>
    <w:rsid w:val="00DF01E3"/>
    <w:rsid w:val="00DF0BE8"/>
    <w:rsid w:val="00DF1797"/>
    <w:rsid w:val="00DF1AF2"/>
    <w:rsid w:val="00DF3F22"/>
    <w:rsid w:val="00DF4740"/>
    <w:rsid w:val="00DF58AF"/>
    <w:rsid w:val="00DF5F17"/>
    <w:rsid w:val="00DF71E6"/>
    <w:rsid w:val="00DF7761"/>
    <w:rsid w:val="00E0046B"/>
    <w:rsid w:val="00E00F05"/>
    <w:rsid w:val="00E02972"/>
    <w:rsid w:val="00E0369B"/>
    <w:rsid w:val="00E04C48"/>
    <w:rsid w:val="00E06347"/>
    <w:rsid w:val="00E07E9D"/>
    <w:rsid w:val="00E11152"/>
    <w:rsid w:val="00E13EE8"/>
    <w:rsid w:val="00E14557"/>
    <w:rsid w:val="00E1602F"/>
    <w:rsid w:val="00E16123"/>
    <w:rsid w:val="00E16981"/>
    <w:rsid w:val="00E21785"/>
    <w:rsid w:val="00E21A60"/>
    <w:rsid w:val="00E229A4"/>
    <w:rsid w:val="00E2496F"/>
    <w:rsid w:val="00E24D93"/>
    <w:rsid w:val="00E25EBE"/>
    <w:rsid w:val="00E26770"/>
    <w:rsid w:val="00E274BB"/>
    <w:rsid w:val="00E2764D"/>
    <w:rsid w:val="00E27CF5"/>
    <w:rsid w:val="00E30162"/>
    <w:rsid w:val="00E314D9"/>
    <w:rsid w:val="00E32252"/>
    <w:rsid w:val="00E326D3"/>
    <w:rsid w:val="00E341F1"/>
    <w:rsid w:val="00E352F3"/>
    <w:rsid w:val="00E35C55"/>
    <w:rsid w:val="00E361AB"/>
    <w:rsid w:val="00E4250A"/>
    <w:rsid w:val="00E42D70"/>
    <w:rsid w:val="00E43CC5"/>
    <w:rsid w:val="00E43D45"/>
    <w:rsid w:val="00E45802"/>
    <w:rsid w:val="00E46524"/>
    <w:rsid w:val="00E46C56"/>
    <w:rsid w:val="00E4763E"/>
    <w:rsid w:val="00E50DF3"/>
    <w:rsid w:val="00E52839"/>
    <w:rsid w:val="00E5539A"/>
    <w:rsid w:val="00E56485"/>
    <w:rsid w:val="00E56634"/>
    <w:rsid w:val="00E56E87"/>
    <w:rsid w:val="00E600EE"/>
    <w:rsid w:val="00E628C1"/>
    <w:rsid w:val="00E6338B"/>
    <w:rsid w:val="00E63ECA"/>
    <w:rsid w:val="00E66968"/>
    <w:rsid w:val="00E712FD"/>
    <w:rsid w:val="00E721D1"/>
    <w:rsid w:val="00E72257"/>
    <w:rsid w:val="00E730DD"/>
    <w:rsid w:val="00E741EC"/>
    <w:rsid w:val="00E75125"/>
    <w:rsid w:val="00E779B6"/>
    <w:rsid w:val="00E81C19"/>
    <w:rsid w:val="00E879E2"/>
    <w:rsid w:val="00E87FEE"/>
    <w:rsid w:val="00E90616"/>
    <w:rsid w:val="00E91AA8"/>
    <w:rsid w:val="00E91DC9"/>
    <w:rsid w:val="00E93B25"/>
    <w:rsid w:val="00E9521A"/>
    <w:rsid w:val="00E953EE"/>
    <w:rsid w:val="00E95E2F"/>
    <w:rsid w:val="00E962A7"/>
    <w:rsid w:val="00E9731F"/>
    <w:rsid w:val="00EA3364"/>
    <w:rsid w:val="00EA4265"/>
    <w:rsid w:val="00EA4A9A"/>
    <w:rsid w:val="00EA57F8"/>
    <w:rsid w:val="00EA6DA3"/>
    <w:rsid w:val="00EA7A64"/>
    <w:rsid w:val="00EB0AD2"/>
    <w:rsid w:val="00EB16FD"/>
    <w:rsid w:val="00EB2E0F"/>
    <w:rsid w:val="00EB76E5"/>
    <w:rsid w:val="00EC0A07"/>
    <w:rsid w:val="00EC0C7B"/>
    <w:rsid w:val="00EC0DC7"/>
    <w:rsid w:val="00EC1C72"/>
    <w:rsid w:val="00EC1D0F"/>
    <w:rsid w:val="00EC2A14"/>
    <w:rsid w:val="00EC3FF8"/>
    <w:rsid w:val="00EC691F"/>
    <w:rsid w:val="00ED0A9D"/>
    <w:rsid w:val="00ED1E78"/>
    <w:rsid w:val="00ED26B5"/>
    <w:rsid w:val="00ED2F18"/>
    <w:rsid w:val="00ED4E5E"/>
    <w:rsid w:val="00EE1658"/>
    <w:rsid w:val="00EE1B6B"/>
    <w:rsid w:val="00EE2202"/>
    <w:rsid w:val="00EE28D3"/>
    <w:rsid w:val="00EE4671"/>
    <w:rsid w:val="00EE4FD6"/>
    <w:rsid w:val="00EF0179"/>
    <w:rsid w:val="00EF0F00"/>
    <w:rsid w:val="00EF2CC9"/>
    <w:rsid w:val="00EF3DEC"/>
    <w:rsid w:val="00EF3E16"/>
    <w:rsid w:val="00EF47CE"/>
    <w:rsid w:val="00EF61B7"/>
    <w:rsid w:val="00EF670D"/>
    <w:rsid w:val="00F000CE"/>
    <w:rsid w:val="00F004FA"/>
    <w:rsid w:val="00F00692"/>
    <w:rsid w:val="00F01822"/>
    <w:rsid w:val="00F0578A"/>
    <w:rsid w:val="00F06219"/>
    <w:rsid w:val="00F105F5"/>
    <w:rsid w:val="00F109AC"/>
    <w:rsid w:val="00F10B84"/>
    <w:rsid w:val="00F10E38"/>
    <w:rsid w:val="00F12348"/>
    <w:rsid w:val="00F127FE"/>
    <w:rsid w:val="00F149C7"/>
    <w:rsid w:val="00F15B1C"/>
    <w:rsid w:val="00F15BF6"/>
    <w:rsid w:val="00F16EED"/>
    <w:rsid w:val="00F170FB"/>
    <w:rsid w:val="00F17EE1"/>
    <w:rsid w:val="00F20F0A"/>
    <w:rsid w:val="00F224F7"/>
    <w:rsid w:val="00F23A8F"/>
    <w:rsid w:val="00F23FBB"/>
    <w:rsid w:val="00F24E14"/>
    <w:rsid w:val="00F277F1"/>
    <w:rsid w:val="00F31FCA"/>
    <w:rsid w:val="00F3207F"/>
    <w:rsid w:val="00F34887"/>
    <w:rsid w:val="00F35C41"/>
    <w:rsid w:val="00F3687C"/>
    <w:rsid w:val="00F41511"/>
    <w:rsid w:val="00F44143"/>
    <w:rsid w:val="00F47589"/>
    <w:rsid w:val="00F47798"/>
    <w:rsid w:val="00F50C52"/>
    <w:rsid w:val="00F51219"/>
    <w:rsid w:val="00F52E70"/>
    <w:rsid w:val="00F55674"/>
    <w:rsid w:val="00F5604F"/>
    <w:rsid w:val="00F5629A"/>
    <w:rsid w:val="00F56A3A"/>
    <w:rsid w:val="00F56A49"/>
    <w:rsid w:val="00F575DF"/>
    <w:rsid w:val="00F625F3"/>
    <w:rsid w:val="00F63FF7"/>
    <w:rsid w:val="00F6529A"/>
    <w:rsid w:val="00F661F6"/>
    <w:rsid w:val="00F67A6D"/>
    <w:rsid w:val="00F700CC"/>
    <w:rsid w:val="00F70170"/>
    <w:rsid w:val="00F70BFE"/>
    <w:rsid w:val="00F717D3"/>
    <w:rsid w:val="00F71ED6"/>
    <w:rsid w:val="00F726C9"/>
    <w:rsid w:val="00F76043"/>
    <w:rsid w:val="00F7696D"/>
    <w:rsid w:val="00F76D11"/>
    <w:rsid w:val="00F76EB1"/>
    <w:rsid w:val="00F770D2"/>
    <w:rsid w:val="00F8155D"/>
    <w:rsid w:val="00F82DA1"/>
    <w:rsid w:val="00F831BF"/>
    <w:rsid w:val="00F85304"/>
    <w:rsid w:val="00F8568B"/>
    <w:rsid w:val="00F86757"/>
    <w:rsid w:val="00F87749"/>
    <w:rsid w:val="00F93121"/>
    <w:rsid w:val="00F93717"/>
    <w:rsid w:val="00F93D54"/>
    <w:rsid w:val="00F97A75"/>
    <w:rsid w:val="00FA2AD9"/>
    <w:rsid w:val="00FA32DA"/>
    <w:rsid w:val="00FA4984"/>
    <w:rsid w:val="00FA60B0"/>
    <w:rsid w:val="00FA676A"/>
    <w:rsid w:val="00FA67BD"/>
    <w:rsid w:val="00FA7D90"/>
    <w:rsid w:val="00FA7E56"/>
    <w:rsid w:val="00FB0FCE"/>
    <w:rsid w:val="00FB3277"/>
    <w:rsid w:val="00FB4FA0"/>
    <w:rsid w:val="00FB54E8"/>
    <w:rsid w:val="00FB6058"/>
    <w:rsid w:val="00FB6F97"/>
    <w:rsid w:val="00FC121D"/>
    <w:rsid w:val="00FC1496"/>
    <w:rsid w:val="00FC2970"/>
    <w:rsid w:val="00FC70F0"/>
    <w:rsid w:val="00FD0625"/>
    <w:rsid w:val="00FD3E90"/>
    <w:rsid w:val="00FD4F88"/>
    <w:rsid w:val="00FD7F66"/>
    <w:rsid w:val="00FE071B"/>
    <w:rsid w:val="00FE295F"/>
    <w:rsid w:val="00FE68EE"/>
    <w:rsid w:val="00FF035E"/>
    <w:rsid w:val="00FF07CF"/>
    <w:rsid w:val="00FF13A7"/>
    <w:rsid w:val="00FF163A"/>
    <w:rsid w:val="00FF2359"/>
    <w:rsid w:val="00FF26CC"/>
    <w:rsid w:val="00FF3DDB"/>
    <w:rsid w:val="00FF4B9E"/>
    <w:rsid w:val="00FF681D"/>
    <w:rsid w:val="00FF79ED"/>
    <w:rsid w:val="01156E5F"/>
    <w:rsid w:val="01280F77"/>
    <w:rsid w:val="01587F38"/>
    <w:rsid w:val="016713EA"/>
    <w:rsid w:val="01711D36"/>
    <w:rsid w:val="018625F4"/>
    <w:rsid w:val="018C0E64"/>
    <w:rsid w:val="01903939"/>
    <w:rsid w:val="019451CB"/>
    <w:rsid w:val="019A63ED"/>
    <w:rsid w:val="01A000C7"/>
    <w:rsid w:val="01A338C3"/>
    <w:rsid w:val="01B167AA"/>
    <w:rsid w:val="01BA2FEF"/>
    <w:rsid w:val="01BC2974"/>
    <w:rsid w:val="01F50DB5"/>
    <w:rsid w:val="01F9079F"/>
    <w:rsid w:val="020B7F94"/>
    <w:rsid w:val="02103E5A"/>
    <w:rsid w:val="023857B7"/>
    <w:rsid w:val="02686C70"/>
    <w:rsid w:val="0295513A"/>
    <w:rsid w:val="029F6B92"/>
    <w:rsid w:val="02B34F88"/>
    <w:rsid w:val="03034BE8"/>
    <w:rsid w:val="032165BA"/>
    <w:rsid w:val="03234062"/>
    <w:rsid w:val="032D065A"/>
    <w:rsid w:val="03331BF9"/>
    <w:rsid w:val="033D5843"/>
    <w:rsid w:val="035363DC"/>
    <w:rsid w:val="0355311A"/>
    <w:rsid w:val="036F1328"/>
    <w:rsid w:val="038C0AE7"/>
    <w:rsid w:val="03AE2339"/>
    <w:rsid w:val="03B1585C"/>
    <w:rsid w:val="03F52424"/>
    <w:rsid w:val="044C6BBB"/>
    <w:rsid w:val="04542278"/>
    <w:rsid w:val="04595816"/>
    <w:rsid w:val="04AC6585"/>
    <w:rsid w:val="04B92607"/>
    <w:rsid w:val="04CC68A8"/>
    <w:rsid w:val="04EC00DE"/>
    <w:rsid w:val="051F2D8D"/>
    <w:rsid w:val="0533512F"/>
    <w:rsid w:val="05377A49"/>
    <w:rsid w:val="057C232E"/>
    <w:rsid w:val="0592642F"/>
    <w:rsid w:val="05A61C43"/>
    <w:rsid w:val="05D45E4A"/>
    <w:rsid w:val="05ED41AF"/>
    <w:rsid w:val="05F65353"/>
    <w:rsid w:val="060C003D"/>
    <w:rsid w:val="063C16EE"/>
    <w:rsid w:val="06660974"/>
    <w:rsid w:val="066F3EF6"/>
    <w:rsid w:val="06A351EC"/>
    <w:rsid w:val="06E14876"/>
    <w:rsid w:val="06F80706"/>
    <w:rsid w:val="0708585A"/>
    <w:rsid w:val="071004E2"/>
    <w:rsid w:val="072F7C35"/>
    <w:rsid w:val="073B7419"/>
    <w:rsid w:val="075B4F98"/>
    <w:rsid w:val="075E6371"/>
    <w:rsid w:val="07712576"/>
    <w:rsid w:val="078D5CAD"/>
    <w:rsid w:val="078F3567"/>
    <w:rsid w:val="07967669"/>
    <w:rsid w:val="079C2B8A"/>
    <w:rsid w:val="07BC0E4F"/>
    <w:rsid w:val="07F049A0"/>
    <w:rsid w:val="084B7BD8"/>
    <w:rsid w:val="085D2689"/>
    <w:rsid w:val="08773B61"/>
    <w:rsid w:val="088D534B"/>
    <w:rsid w:val="08933391"/>
    <w:rsid w:val="089B488F"/>
    <w:rsid w:val="089B4AB7"/>
    <w:rsid w:val="09197EFE"/>
    <w:rsid w:val="09223B8F"/>
    <w:rsid w:val="093A758C"/>
    <w:rsid w:val="094C6A31"/>
    <w:rsid w:val="09523BE1"/>
    <w:rsid w:val="096A63A9"/>
    <w:rsid w:val="0989437D"/>
    <w:rsid w:val="09DB12C8"/>
    <w:rsid w:val="09DD6BDE"/>
    <w:rsid w:val="09E23033"/>
    <w:rsid w:val="09EF1462"/>
    <w:rsid w:val="0A127A5B"/>
    <w:rsid w:val="0A3045EC"/>
    <w:rsid w:val="0A3E5C75"/>
    <w:rsid w:val="0A536A42"/>
    <w:rsid w:val="0A7E70A5"/>
    <w:rsid w:val="0A87400F"/>
    <w:rsid w:val="0AA35E3E"/>
    <w:rsid w:val="0AD95BD1"/>
    <w:rsid w:val="0B055463"/>
    <w:rsid w:val="0B184144"/>
    <w:rsid w:val="0B1A1AE3"/>
    <w:rsid w:val="0B2E5575"/>
    <w:rsid w:val="0B35225F"/>
    <w:rsid w:val="0B3819AB"/>
    <w:rsid w:val="0B3A1A1B"/>
    <w:rsid w:val="0B491D2D"/>
    <w:rsid w:val="0B6456CF"/>
    <w:rsid w:val="0B9260A0"/>
    <w:rsid w:val="0B982666"/>
    <w:rsid w:val="0BB16F9D"/>
    <w:rsid w:val="0BD82B12"/>
    <w:rsid w:val="0BE6287B"/>
    <w:rsid w:val="0BE709AD"/>
    <w:rsid w:val="0BF134FF"/>
    <w:rsid w:val="0BF23CE0"/>
    <w:rsid w:val="0BF853ED"/>
    <w:rsid w:val="0BFC183C"/>
    <w:rsid w:val="0BFE5B56"/>
    <w:rsid w:val="0C2F59F4"/>
    <w:rsid w:val="0C41733E"/>
    <w:rsid w:val="0C621E15"/>
    <w:rsid w:val="0CB04AD3"/>
    <w:rsid w:val="0CC96E16"/>
    <w:rsid w:val="0CEC694B"/>
    <w:rsid w:val="0D482D44"/>
    <w:rsid w:val="0D5C2AC7"/>
    <w:rsid w:val="0D8F144C"/>
    <w:rsid w:val="0D98265B"/>
    <w:rsid w:val="0D995468"/>
    <w:rsid w:val="0DDC1B93"/>
    <w:rsid w:val="0DF0101C"/>
    <w:rsid w:val="0E044DC6"/>
    <w:rsid w:val="0E145C48"/>
    <w:rsid w:val="0E517502"/>
    <w:rsid w:val="0E7C0160"/>
    <w:rsid w:val="0E9A3716"/>
    <w:rsid w:val="0EAB4257"/>
    <w:rsid w:val="0EBE222C"/>
    <w:rsid w:val="0ECA5781"/>
    <w:rsid w:val="0EF23E04"/>
    <w:rsid w:val="0EF878DA"/>
    <w:rsid w:val="0EFC28EF"/>
    <w:rsid w:val="0F2F47BD"/>
    <w:rsid w:val="0F887B6C"/>
    <w:rsid w:val="0FCF05C6"/>
    <w:rsid w:val="0FD53BF6"/>
    <w:rsid w:val="0FE97E36"/>
    <w:rsid w:val="0FFE71C5"/>
    <w:rsid w:val="10072A0B"/>
    <w:rsid w:val="1028560F"/>
    <w:rsid w:val="10302D60"/>
    <w:rsid w:val="10315634"/>
    <w:rsid w:val="103D7358"/>
    <w:rsid w:val="104E1177"/>
    <w:rsid w:val="10513623"/>
    <w:rsid w:val="10952568"/>
    <w:rsid w:val="109E1D50"/>
    <w:rsid w:val="10AB5134"/>
    <w:rsid w:val="10B41AFB"/>
    <w:rsid w:val="10CA4B45"/>
    <w:rsid w:val="10CC4F44"/>
    <w:rsid w:val="10D96C65"/>
    <w:rsid w:val="10DD4EEE"/>
    <w:rsid w:val="10EA5B75"/>
    <w:rsid w:val="110745BC"/>
    <w:rsid w:val="1109157F"/>
    <w:rsid w:val="11324F05"/>
    <w:rsid w:val="11437C52"/>
    <w:rsid w:val="115F2C6D"/>
    <w:rsid w:val="11834D42"/>
    <w:rsid w:val="119010D9"/>
    <w:rsid w:val="11921655"/>
    <w:rsid w:val="11950AD9"/>
    <w:rsid w:val="11A35241"/>
    <w:rsid w:val="11B13E1B"/>
    <w:rsid w:val="11C90F42"/>
    <w:rsid w:val="11E32694"/>
    <w:rsid w:val="120074A9"/>
    <w:rsid w:val="120D5A7C"/>
    <w:rsid w:val="120E4B85"/>
    <w:rsid w:val="122724D1"/>
    <w:rsid w:val="123365E9"/>
    <w:rsid w:val="124B4C9A"/>
    <w:rsid w:val="1255083A"/>
    <w:rsid w:val="125868BB"/>
    <w:rsid w:val="12591BD6"/>
    <w:rsid w:val="12625B72"/>
    <w:rsid w:val="126639D5"/>
    <w:rsid w:val="1291152C"/>
    <w:rsid w:val="12BC456F"/>
    <w:rsid w:val="12F316C0"/>
    <w:rsid w:val="12FC61DA"/>
    <w:rsid w:val="13052D02"/>
    <w:rsid w:val="1341078F"/>
    <w:rsid w:val="13582E15"/>
    <w:rsid w:val="135A0FE2"/>
    <w:rsid w:val="137317CD"/>
    <w:rsid w:val="13A124D1"/>
    <w:rsid w:val="13A24B83"/>
    <w:rsid w:val="13A374DF"/>
    <w:rsid w:val="13AB67C3"/>
    <w:rsid w:val="13CA4BB8"/>
    <w:rsid w:val="13CA58C5"/>
    <w:rsid w:val="13D27774"/>
    <w:rsid w:val="1412047E"/>
    <w:rsid w:val="147F25EF"/>
    <w:rsid w:val="148F35B5"/>
    <w:rsid w:val="1496221F"/>
    <w:rsid w:val="14E800FF"/>
    <w:rsid w:val="14E8389F"/>
    <w:rsid w:val="14F4358E"/>
    <w:rsid w:val="14FA2088"/>
    <w:rsid w:val="15095562"/>
    <w:rsid w:val="1529636D"/>
    <w:rsid w:val="1535314D"/>
    <w:rsid w:val="15450C1D"/>
    <w:rsid w:val="15622215"/>
    <w:rsid w:val="15853767"/>
    <w:rsid w:val="158E260D"/>
    <w:rsid w:val="159D49E4"/>
    <w:rsid w:val="15BF12AE"/>
    <w:rsid w:val="15C04427"/>
    <w:rsid w:val="15C56251"/>
    <w:rsid w:val="15EF287F"/>
    <w:rsid w:val="15F950A3"/>
    <w:rsid w:val="160D6FD7"/>
    <w:rsid w:val="164D7F7C"/>
    <w:rsid w:val="16502CA8"/>
    <w:rsid w:val="167349C1"/>
    <w:rsid w:val="167A62A5"/>
    <w:rsid w:val="16976A53"/>
    <w:rsid w:val="169938F8"/>
    <w:rsid w:val="16F61845"/>
    <w:rsid w:val="17436F45"/>
    <w:rsid w:val="174669B4"/>
    <w:rsid w:val="17473DFD"/>
    <w:rsid w:val="17563C72"/>
    <w:rsid w:val="17574631"/>
    <w:rsid w:val="179F692B"/>
    <w:rsid w:val="17A23F82"/>
    <w:rsid w:val="17BB2204"/>
    <w:rsid w:val="17BD4105"/>
    <w:rsid w:val="17DC37AD"/>
    <w:rsid w:val="17F436BF"/>
    <w:rsid w:val="17FD67EF"/>
    <w:rsid w:val="17FE43BC"/>
    <w:rsid w:val="18224D84"/>
    <w:rsid w:val="185419FB"/>
    <w:rsid w:val="186A6C3E"/>
    <w:rsid w:val="18895305"/>
    <w:rsid w:val="18AC3774"/>
    <w:rsid w:val="18BF5D64"/>
    <w:rsid w:val="18F06413"/>
    <w:rsid w:val="18FD0F79"/>
    <w:rsid w:val="1901448B"/>
    <w:rsid w:val="190A3C95"/>
    <w:rsid w:val="1968622D"/>
    <w:rsid w:val="198F1312"/>
    <w:rsid w:val="19A616D9"/>
    <w:rsid w:val="19A661CE"/>
    <w:rsid w:val="19AC3874"/>
    <w:rsid w:val="19EC78E7"/>
    <w:rsid w:val="19FA3B37"/>
    <w:rsid w:val="1A006F23"/>
    <w:rsid w:val="1A085373"/>
    <w:rsid w:val="1A093D0E"/>
    <w:rsid w:val="1A1D0BEC"/>
    <w:rsid w:val="1A330453"/>
    <w:rsid w:val="1A39721D"/>
    <w:rsid w:val="1A51036A"/>
    <w:rsid w:val="1A517BA2"/>
    <w:rsid w:val="1A5904BD"/>
    <w:rsid w:val="1A6A47BB"/>
    <w:rsid w:val="1AB719EB"/>
    <w:rsid w:val="1ABE5A08"/>
    <w:rsid w:val="1AC90C40"/>
    <w:rsid w:val="1AD91867"/>
    <w:rsid w:val="1AEE0FDE"/>
    <w:rsid w:val="1B206061"/>
    <w:rsid w:val="1B235F46"/>
    <w:rsid w:val="1B2A6079"/>
    <w:rsid w:val="1B311E3D"/>
    <w:rsid w:val="1B3E3C71"/>
    <w:rsid w:val="1B4B486D"/>
    <w:rsid w:val="1B65388E"/>
    <w:rsid w:val="1B7C54DE"/>
    <w:rsid w:val="1BD60995"/>
    <w:rsid w:val="1BD85E2E"/>
    <w:rsid w:val="1BE52332"/>
    <w:rsid w:val="1C0657C1"/>
    <w:rsid w:val="1C083A08"/>
    <w:rsid w:val="1C1A183B"/>
    <w:rsid w:val="1C3C7467"/>
    <w:rsid w:val="1C45340A"/>
    <w:rsid w:val="1C466823"/>
    <w:rsid w:val="1C6E4939"/>
    <w:rsid w:val="1C9B4A05"/>
    <w:rsid w:val="1C9B7CE5"/>
    <w:rsid w:val="1C9C6FCA"/>
    <w:rsid w:val="1CEA265A"/>
    <w:rsid w:val="1CEF7720"/>
    <w:rsid w:val="1CF40406"/>
    <w:rsid w:val="1D317CE5"/>
    <w:rsid w:val="1D466F2A"/>
    <w:rsid w:val="1D556E7E"/>
    <w:rsid w:val="1D645DE4"/>
    <w:rsid w:val="1D6D7CF7"/>
    <w:rsid w:val="1D714785"/>
    <w:rsid w:val="1D741776"/>
    <w:rsid w:val="1D746775"/>
    <w:rsid w:val="1D7F48EE"/>
    <w:rsid w:val="1D8D3792"/>
    <w:rsid w:val="1DA00B88"/>
    <w:rsid w:val="1DA77B2D"/>
    <w:rsid w:val="1DB9436D"/>
    <w:rsid w:val="1DC6034E"/>
    <w:rsid w:val="1DD70D13"/>
    <w:rsid w:val="1DFE713D"/>
    <w:rsid w:val="1E25328B"/>
    <w:rsid w:val="1E4F6DD2"/>
    <w:rsid w:val="1E5537D6"/>
    <w:rsid w:val="1EB00986"/>
    <w:rsid w:val="1EC05376"/>
    <w:rsid w:val="1ECB4C9F"/>
    <w:rsid w:val="1ECC20A0"/>
    <w:rsid w:val="1EE06662"/>
    <w:rsid w:val="1F2A4E0F"/>
    <w:rsid w:val="1F34087A"/>
    <w:rsid w:val="1F40166F"/>
    <w:rsid w:val="1F484AD4"/>
    <w:rsid w:val="1F556444"/>
    <w:rsid w:val="1F6B31DE"/>
    <w:rsid w:val="1F7F2273"/>
    <w:rsid w:val="1FC63C3B"/>
    <w:rsid w:val="1FDB38AF"/>
    <w:rsid w:val="200E4DEB"/>
    <w:rsid w:val="201403C7"/>
    <w:rsid w:val="202A6824"/>
    <w:rsid w:val="202C185B"/>
    <w:rsid w:val="20614FB4"/>
    <w:rsid w:val="209A505D"/>
    <w:rsid w:val="20C549A3"/>
    <w:rsid w:val="20FC396A"/>
    <w:rsid w:val="21052AEA"/>
    <w:rsid w:val="213E1340"/>
    <w:rsid w:val="214C282B"/>
    <w:rsid w:val="2161230B"/>
    <w:rsid w:val="21A66846"/>
    <w:rsid w:val="21B51CB4"/>
    <w:rsid w:val="21B63A7F"/>
    <w:rsid w:val="21C164F5"/>
    <w:rsid w:val="21E82E25"/>
    <w:rsid w:val="2237539E"/>
    <w:rsid w:val="22640086"/>
    <w:rsid w:val="227871D6"/>
    <w:rsid w:val="227B41C2"/>
    <w:rsid w:val="22AD3C0C"/>
    <w:rsid w:val="22BC11E8"/>
    <w:rsid w:val="22CD163E"/>
    <w:rsid w:val="23104213"/>
    <w:rsid w:val="23141283"/>
    <w:rsid w:val="231E587A"/>
    <w:rsid w:val="231E709C"/>
    <w:rsid w:val="2320592F"/>
    <w:rsid w:val="233B3F19"/>
    <w:rsid w:val="23491F6C"/>
    <w:rsid w:val="234D57FA"/>
    <w:rsid w:val="234E5917"/>
    <w:rsid w:val="23533F71"/>
    <w:rsid w:val="23566AC8"/>
    <w:rsid w:val="23666715"/>
    <w:rsid w:val="236D7E9C"/>
    <w:rsid w:val="237B4E92"/>
    <w:rsid w:val="23AA7E56"/>
    <w:rsid w:val="23C036D7"/>
    <w:rsid w:val="23F34DB2"/>
    <w:rsid w:val="23FF290E"/>
    <w:rsid w:val="24234A59"/>
    <w:rsid w:val="242F21C7"/>
    <w:rsid w:val="24442DD0"/>
    <w:rsid w:val="24726657"/>
    <w:rsid w:val="2486652C"/>
    <w:rsid w:val="24A2487D"/>
    <w:rsid w:val="24BA076C"/>
    <w:rsid w:val="24BF0DBA"/>
    <w:rsid w:val="24C21BB6"/>
    <w:rsid w:val="24FF7738"/>
    <w:rsid w:val="252219B0"/>
    <w:rsid w:val="253B3DDC"/>
    <w:rsid w:val="2556695C"/>
    <w:rsid w:val="25650628"/>
    <w:rsid w:val="258012A7"/>
    <w:rsid w:val="258D60EA"/>
    <w:rsid w:val="259C0120"/>
    <w:rsid w:val="25C147EE"/>
    <w:rsid w:val="25CC498F"/>
    <w:rsid w:val="25DA5CCB"/>
    <w:rsid w:val="25E672CB"/>
    <w:rsid w:val="26054407"/>
    <w:rsid w:val="26272D08"/>
    <w:rsid w:val="263454DE"/>
    <w:rsid w:val="264343F6"/>
    <w:rsid w:val="26550B38"/>
    <w:rsid w:val="265D385B"/>
    <w:rsid w:val="2668078E"/>
    <w:rsid w:val="26800182"/>
    <w:rsid w:val="26A10000"/>
    <w:rsid w:val="26C0032C"/>
    <w:rsid w:val="26D0412C"/>
    <w:rsid w:val="26DE06D2"/>
    <w:rsid w:val="271867F0"/>
    <w:rsid w:val="2719148A"/>
    <w:rsid w:val="271B4E73"/>
    <w:rsid w:val="276A44B1"/>
    <w:rsid w:val="276B79EF"/>
    <w:rsid w:val="277D70A2"/>
    <w:rsid w:val="278E59C9"/>
    <w:rsid w:val="27A378DE"/>
    <w:rsid w:val="27AC32CE"/>
    <w:rsid w:val="27AF52A7"/>
    <w:rsid w:val="27B30712"/>
    <w:rsid w:val="27B71306"/>
    <w:rsid w:val="27D17BE9"/>
    <w:rsid w:val="27DB18ED"/>
    <w:rsid w:val="27DE4189"/>
    <w:rsid w:val="27EA7814"/>
    <w:rsid w:val="27F30EDA"/>
    <w:rsid w:val="27F779E2"/>
    <w:rsid w:val="27FC479C"/>
    <w:rsid w:val="28067E60"/>
    <w:rsid w:val="282368D6"/>
    <w:rsid w:val="28277F86"/>
    <w:rsid w:val="28336EB2"/>
    <w:rsid w:val="28450049"/>
    <w:rsid w:val="284A68C4"/>
    <w:rsid w:val="284B135F"/>
    <w:rsid w:val="285A3240"/>
    <w:rsid w:val="28720574"/>
    <w:rsid w:val="28892C93"/>
    <w:rsid w:val="288D4C95"/>
    <w:rsid w:val="293460BD"/>
    <w:rsid w:val="293D6E02"/>
    <w:rsid w:val="294178BF"/>
    <w:rsid w:val="294E3AA0"/>
    <w:rsid w:val="297F5B7B"/>
    <w:rsid w:val="2981355E"/>
    <w:rsid w:val="29A81B0A"/>
    <w:rsid w:val="29CB0C37"/>
    <w:rsid w:val="29CB50A5"/>
    <w:rsid w:val="29CC32C5"/>
    <w:rsid w:val="29CD44DD"/>
    <w:rsid w:val="29D63FB3"/>
    <w:rsid w:val="29EC73BB"/>
    <w:rsid w:val="29EE7F9A"/>
    <w:rsid w:val="2A020928"/>
    <w:rsid w:val="2A0C51FE"/>
    <w:rsid w:val="2A165DD2"/>
    <w:rsid w:val="2A2B5C37"/>
    <w:rsid w:val="2A384CB8"/>
    <w:rsid w:val="2A3C1175"/>
    <w:rsid w:val="2A61738B"/>
    <w:rsid w:val="2AA36B9A"/>
    <w:rsid w:val="2AAF1D78"/>
    <w:rsid w:val="2ACC3B39"/>
    <w:rsid w:val="2B071BD4"/>
    <w:rsid w:val="2B1A0CC9"/>
    <w:rsid w:val="2B2A535D"/>
    <w:rsid w:val="2B2D1ADC"/>
    <w:rsid w:val="2B3D5FD5"/>
    <w:rsid w:val="2B4D679E"/>
    <w:rsid w:val="2B633925"/>
    <w:rsid w:val="2B635046"/>
    <w:rsid w:val="2B69485A"/>
    <w:rsid w:val="2B9A19A8"/>
    <w:rsid w:val="2BA270CC"/>
    <w:rsid w:val="2BA37D3C"/>
    <w:rsid w:val="2BA47079"/>
    <w:rsid w:val="2BC30DDA"/>
    <w:rsid w:val="2BD4228C"/>
    <w:rsid w:val="2BD774AB"/>
    <w:rsid w:val="2BE0666E"/>
    <w:rsid w:val="2C28380A"/>
    <w:rsid w:val="2C616EE3"/>
    <w:rsid w:val="2C78019C"/>
    <w:rsid w:val="2C780CB3"/>
    <w:rsid w:val="2C7D0371"/>
    <w:rsid w:val="2C8145B5"/>
    <w:rsid w:val="2CA0186B"/>
    <w:rsid w:val="2CA25FE7"/>
    <w:rsid w:val="2CEA28C9"/>
    <w:rsid w:val="2D0A784F"/>
    <w:rsid w:val="2D3B6E3E"/>
    <w:rsid w:val="2D633D62"/>
    <w:rsid w:val="2D655DC1"/>
    <w:rsid w:val="2DBC36CB"/>
    <w:rsid w:val="2DBD4D35"/>
    <w:rsid w:val="2DC427DF"/>
    <w:rsid w:val="2DC80CC4"/>
    <w:rsid w:val="2DCC6772"/>
    <w:rsid w:val="2DCE5095"/>
    <w:rsid w:val="2DD15A74"/>
    <w:rsid w:val="2DE27870"/>
    <w:rsid w:val="2DEA1A1B"/>
    <w:rsid w:val="2E1671BB"/>
    <w:rsid w:val="2E265F4B"/>
    <w:rsid w:val="2E372C90"/>
    <w:rsid w:val="2E60612C"/>
    <w:rsid w:val="2E6D61DE"/>
    <w:rsid w:val="2E715A04"/>
    <w:rsid w:val="2E7828E9"/>
    <w:rsid w:val="2EB87E70"/>
    <w:rsid w:val="2EBE227E"/>
    <w:rsid w:val="2EC501A5"/>
    <w:rsid w:val="2EEC36BE"/>
    <w:rsid w:val="2EF40872"/>
    <w:rsid w:val="2F09054E"/>
    <w:rsid w:val="2F092E5D"/>
    <w:rsid w:val="2F1A2E1E"/>
    <w:rsid w:val="2F311806"/>
    <w:rsid w:val="2F4568D8"/>
    <w:rsid w:val="2F533E3A"/>
    <w:rsid w:val="2F5B78B5"/>
    <w:rsid w:val="2F6826C6"/>
    <w:rsid w:val="2F715F33"/>
    <w:rsid w:val="2F79473A"/>
    <w:rsid w:val="2F8559E8"/>
    <w:rsid w:val="2F9654D0"/>
    <w:rsid w:val="2FAC7C04"/>
    <w:rsid w:val="2FB4174F"/>
    <w:rsid w:val="2FD227E6"/>
    <w:rsid w:val="2FDE62F8"/>
    <w:rsid w:val="30136A06"/>
    <w:rsid w:val="303818DB"/>
    <w:rsid w:val="303D40AB"/>
    <w:rsid w:val="305A5C9E"/>
    <w:rsid w:val="3060789D"/>
    <w:rsid w:val="3061410C"/>
    <w:rsid w:val="306B3496"/>
    <w:rsid w:val="306C6780"/>
    <w:rsid w:val="30714BF5"/>
    <w:rsid w:val="30795FC6"/>
    <w:rsid w:val="309C3DBC"/>
    <w:rsid w:val="30A2316A"/>
    <w:rsid w:val="30A755B5"/>
    <w:rsid w:val="30B96EB3"/>
    <w:rsid w:val="30C974B2"/>
    <w:rsid w:val="30E30D18"/>
    <w:rsid w:val="311F1711"/>
    <w:rsid w:val="31477A9A"/>
    <w:rsid w:val="31487CAF"/>
    <w:rsid w:val="316A24FE"/>
    <w:rsid w:val="31B3607B"/>
    <w:rsid w:val="31B84C16"/>
    <w:rsid w:val="31BE3C93"/>
    <w:rsid w:val="31C16D27"/>
    <w:rsid w:val="31CD0F32"/>
    <w:rsid w:val="31D21004"/>
    <w:rsid w:val="31F013E1"/>
    <w:rsid w:val="320941E8"/>
    <w:rsid w:val="320F22B1"/>
    <w:rsid w:val="32456E34"/>
    <w:rsid w:val="325E7D45"/>
    <w:rsid w:val="326A2D9F"/>
    <w:rsid w:val="327E158C"/>
    <w:rsid w:val="327E681E"/>
    <w:rsid w:val="328C6181"/>
    <w:rsid w:val="32A83F40"/>
    <w:rsid w:val="32BF01CF"/>
    <w:rsid w:val="32CA5CF3"/>
    <w:rsid w:val="32CD69AD"/>
    <w:rsid w:val="32E45ADE"/>
    <w:rsid w:val="3308682A"/>
    <w:rsid w:val="33174FAB"/>
    <w:rsid w:val="332708A5"/>
    <w:rsid w:val="333964A1"/>
    <w:rsid w:val="336C15FA"/>
    <w:rsid w:val="33834CA4"/>
    <w:rsid w:val="338736BD"/>
    <w:rsid w:val="33CA0804"/>
    <w:rsid w:val="33CB3717"/>
    <w:rsid w:val="33DA1751"/>
    <w:rsid w:val="33DB19D2"/>
    <w:rsid w:val="33E82764"/>
    <w:rsid w:val="34091082"/>
    <w:rsid w:val="34273BF0"/>
    <w:rsid w:val="3470529A"/>
    <w:rsid w:val="34904296"/>
    <w:rsid w:val="34A47E94"/>
    <w:rsid w:val="34AA309F"/>
    <w:rsid w:val="34ED028B"/>
    <w:rsid w:val="34EE2AB8"/>
    <w:rsid w:val="350A0435"/>
    <w:rsid w:val="351353E1"/>
    <w:rsid w:val="35163849"/>
    <w:rsid w:val="3555668D"/>
    <w:rsid w:val="355E21C6"/>
    <w:rsid w:val="35623694"/>
    <w:rsid w:val="356E5946"/>
    <w:rsid w:val="356F5088"/>
    <w:rsid w:val="357203C2"/>
    <w:rsid w:val="358A29BD"/>
    <w:rsid w:val="35A567FE"/>
    <w:rsid w:val="35E30222"/>
    <w:rsid w:val="36072F8F"/>
    <w:rsid w:val="36217E64"/>
    <w:rsid w:val="36291709"/>
    <w:rsid w:val="364A53F3"/>
    <w:rsid w:val="365626AD"/>
    <w:rsid w:val="3670480B"/>
    <w:rsid w:val="367431E0"/>
    <w:rsid w:val="367D088F"/>
    <w:rsid w:val="368331AE"/>
    <w:rsid w:val="36955376"/>
    <w:rsid w:val="36992459"/>
    <w:rsid w:val="36B37A47"/>
    <w:rsid w:val="36B6282E"/>
    <w:rsid w:val="36C7205C"/>
    <w:rsid w:val="36EC64DF"/>
    <w:rsid w:val="36F30B27"/>
    <w:rsid w:val="36F3378B"/>
    <w:rsid w:val="37073D09"/>
    <w:rsid w:val="3739208E"/>
    <w:rsid w:val="373D3988"/>
    <w:rsid w:val="3750502D"/>
    <w:rsid w:val="37510573"/>
    <w:rsid w:val="375E4DCA"/>
    <w:rsid w:val="376024E5"/>
    <w:rsid w:val="3762073F"/>
    <w:rsid w:val="377563E9"/>
    <w:rsid w:val="37AC25A4"/>
    <w:rsid w:val="37B24892"/>
    <w:rsid w:val="37D71B50"/>
    <w:rsid w:val="37DC64E7"/>
    <w:rsid w:val="38067B6F"/>
    <w:rsid w:val="380C6AEC"/>
    <w:rsid w:val="380D2664"/>
    <w:rsid w:val="382A20A8"/>
    <w:rsid w:val="383645DE"/>
    <w:rsid w:val="383E6D8F"/>
    <w:rsid w:val="384C671F"/>
    <w:rsid w:val="384D0566"/>
    <w:rsid w:val="384D3A5A"/>
    <w:rsid w:val="385C48F3"/>
    <w:rsid w:val="385D31F3"/>
    <w:rsid w:val="38656653"/>
    <w:rsid w:val="38A5163C"/>
    <w:rsid w:val="38C7741C"/>
    <w:rsid w:val="38DE0054"/>
    <w:rsid w:val="38DE2430"/>
    <w:rsid w:val="38E35CF8"/>
    <w:rsid w:val="38E41A08"/>
    <w:rsid w:val="38EF2DFB"/>
    <w:rsid w:val="38FF62A3"/>
    <w:rsid w:val="39085620"/>
    <w:rsid w:val="390A6C08"/>
    <w:rsid w:val="392C020E"/>
    <w:rsid w:val="394425C3"/>
    <w:rsid w:val="396D5179"/>
    <w:rsid w:val="397C3AD7"/>
    <w:rsid w:val="39920199"/>
    <w:rsid w:val="39A359A3"/>
    <w:rsid w:val="39B06441"/>
    <w:rsid w:val="39B605FA"/>
    <w:rsid w:val="39CE4B8D"/>
    <w:rsid w:val="3A077024"/>
    <w:rsid w:val="3A147F31"/>
    <w:rsid w:val="3A1E1D33"/>
    <w:rsid w:val="3A5A711D"/>
    <w:rsid w:val="3A696A54"/>
    <w:rsid w:val="3A6C2591"/>
    <w:rsid w:val="3A713789"/>
    <w:rsid w:val="3A713D2B"/>
    <w:rsid w:val="3A71687A"/>
    <w:rsid w:val="3A813873"/>
    <w:rsid w:val="3A864A07"/>
    <w:rsid w:val="3AA3440D"/>
    <w:rsid w:val="3AB50F64"/>
    <w:rsid w:val="3AD77DBD"/>
    <w:rsid w:val="3AE07E83"/>
    <w:rsid w:val="3AE41FEE"/>
    <w:rsid w:val="3AF97A6A"/>
    <w:rsid w:val="3B131F6F"/>
    <w:rsid w:val="3B764125"/>
    <w:rsid w:val="3B7F6DF9"/>
    <w:rsid w:val="3B8B3A76"/>
    <w:rsid w:val="3B983CFC"/>
    <w:rsid w:val="3BA14A94"/>
    <w:rsid w:val="3BBC255B"/>
    <w:rsid w:val="3C1A0606"/>
    <w:rsid w:val="3C357C5A"/>
    <w:rsid w:val="3C4245E4"/>
    <w:rsid w:val="3C7A430B"/>
    <w:rsid w:val="3C7F3078"/>
    <w:rsid w:val="3C931963"/>
    <w:rsid w:val="3C9D123B"/>
    <w:rsid w:val="3CB13E88"/>
    <w:rsid w:val="3CC8216E"/>
    <w:rsid w:val="3CD74B54"/>
    <w:rsid w:val="3CEE356C"/>
    <w:rsid w:val="3D06640B"/>
    <w:rsid w:val="3D134474"/>
    <w:rsid w:val="3D202683"/>
    <w:rsid w:val="3D3532F5"/>
    <w:rsid w:val="3D417D41"/>
    <w:rsid w:val="3D4C4C77"/>
    <w:rsid w:val="3D7F36A9"/>
    <w:rsid w:val="3D9974B8"/>
    <w:rsid w:val="3D9D2C6D"/>
    <w:rsid w:val="3D9E5D78"/>
    <w:rsid w:val="3DA25C94"/>
    <w:rsid w:val="3DC31ACC"/>
    <w:rsid w:val="3DCC7675"/>
    <w:rsid w:val="3DCF0502"/>
    <w:rsid w:val="3DE17AE8"/>
    <w:rsid w:val="3E476029"/>
    <w:rsid w:val="3E65166C"/>
    <w:rsid w:val="3E8D0753"/>
    <w:rsid w:val="3EA448D7"/>
    <w:rsid w:val="3EB96288"/>
    <w:rsid w:val="3EE774F7"/>
    <w:rsid w:val="3EF434F6"/>
    <w:rsid w:val="3EFC1C45"/>
    <w:rsid w:val="3F0A0B7F"/>
    <w:rsid w:val="3F0F3250"/>
    <w:rsid w:val="3F167C91"/>
    <w:rsid w:val="3F4C1AD3"/>
    <w:rsid w:val="3F6149BB"/>
    <w:rsid w:val="3F776A54"/>
    <w:rsid w:val="3F9A0255"/>
    <w:rsid w:val="3FB129AC"/>
    <w:rsid w:val="3FBB7E85"/>
    <w:rsid w:val="3FD417A3"/>
    <w:rsid w:val="40016C75"/>
    <w:rsid w:val="40212A2C"/>
    <w:rsid w:val="40256640"/>
    <w:rsid w:val="402A73FF"/>
    <w:rsid w:val="404F504A"/>
    <w:rsid w:val="40590EFB"/>
    <w:rsid w:val="40684B06"/>
    <w:rsid w:val="407B395F"/>
    <w:rsid w:val="40BE058B"/>
    <w:rsid w:val="410D4489"/>
    <w:rsid w:val="411C317F"/>
    <w:rsid w:val="41276F5C"/>
    <w:rsid w:val="4154154A"/>
    <w:rsid w:val="415642FB"/>
    <w:rsid w:val="415F0A45"/>
    <w:rsid w:val="416011F9"/>
    <w:rsid w:val="41737C86"/>
    <w:rsid w:val="41954763"/>
    <w:rsid w:val="41B01644"/>
    <w:rsid w:val="41DE4367"/>
    <w:rsid w:val="41F52157"/>
    <w:rsid w:val="421E7512"/>
    <w:rsid w:val="4247744D"/>
    <w:rsid w:val="424A538F"/>
    <w:rsid w:val="425317FB"/>
    <w:rsid w:val="42563604"/>
    <w:rsid w:val="425F2996"/>
    <w:rsid w:val="429D7256"/>
    <w:rsid w:val="42C521B6"/>
    <w:rsid w:val="4337148E"/>
    <w:rsid w:val="434F3A09"/>
    <w:rsid w:val="43B93718"/>
    <w:rsid w:val="43D609F9"/>
    <w:rsid w:val="43D62907"/>
    <w:rsid w:val="43D7226E"/>
    <w:rsid w:val="43E2192F"/>
    <w:rsid w:val="442368D8"/>
    <w:rsid w:val="4445655C"/>
    <w:rsid w:val="445E53CF"/>
    <w:rsid w:val="449E1934"/>
    <w:rsid w:val="44B108BA"/>
    <w:rsid w:val="44BF5BA4"/>
    <w:rsid w:val="44CF435D"/>
    <w:rsid w:val="44D73A8B"/>
    <w:rsid w:val="44D87FC6"/>
    <w:rsid w:val="44E4729C"/>
    <w:rsid w:val="45034699"/>
    <w:rsid w:val="451D21B1"/>
    <w:rsid w:val="45452039"/>
    <w:rsid w:val="4565030D"/>
    <w:rsid w:val="456650DA"/>
    <w:rsid w:val="456B60CD"/>
    <w:rsid w:val="456F64FA"/>
    <w:rsid w:val="45850308"/>
    <w:rsid w:val="45BB2AFF"/>
    <w:rsid w:val="45C62973"/>
    <w:rsid w:val="45EB3D23"/>
    <w:rsid w:val="460963B7"/>
    <w:rsid w:val="460C0C2A"/>
    <w:rsid w:val="462009B3"/>
    <w:rsid w:val="46201A18"/>
    <w:rsid w:val="462268EC"/>
    <w:rsid w:val="46263F03"/>
    <w:rsid w:val="462B1195"/>
    <w:rsid w:val="462B1AC4"/>
    <w:rsid w:val="46317FF2"/>
    <w:rsid w:val="46372DFC"/>
    <w:rsid w:val="46664908"/>
    <w:rsid w:val="467E2F8D"/>
    <w:rsid w:val="468744D8"/>
    <w:rsid w:val="46946667"/>
    <w:rsid w:val="46C60733"/>
    <w:rsid w:val="46D71E09"/>
    <w:rsid w:val="46DE458B"/>
    <w:rsid w:val="471E440D"/>
    <w:rsid w:val="47292908"/>
    <w:rsid w:val="47334ADD"/>
    <w:rsid w:val="473B4B38"/>
    <w:rsid w:val="473D65F4"/>
    <w:rsid w:val="475D07B6"/>
    <w:rsid w:val="47AD6505"/>
    <w:rsid w:val="47BC727E"/>
    <w:rsid w:val="47DB283B"/>
    <w:rsid w:val="47E2344C"/>
    <w:rsid w:val="47E663E2"/>
    <w:rsid w:val="48022C7D"/>
    <w:rsid w:val="480718EA"/>
    <w:rsid w:val="480C6506"/>
    <w:rsid w:val="48175DF1"/>
    <w:rsid w:val="4827211F"/>
    <w:rsid w:val="48273732"/>
    <w:rsid w:val="48420D83"/>
    <w:rsid w:val="48585C9E"/>
    <w:rsid w:val="487204F5"/>
    <w:rsid w:val="48780F9E"/>
    <w:rsid w:val="488F4EE8"/>
    <w:rsid w:val="4898302E"/>
    <w:rsid w:val="48AB2B92"/>
    <w:rsid w:val="4919251C"/>
    <w:rsid w:val="491D2338"/>
    <w:rsid w:val="492068BA"/>
    <w:rsid w:val="49261E68"/>
    <w:rsid w:val="493F15E9"/>
    <w:rsid w:val="49605C65"/>
    <w:rsid w:val="497A15EB"/>
    <w:rsid w:val="498124BD"/>
    <w:rsid w:val="499E173B"/>
    <w:rsid w:val="49B72B70"/>
    <w:rsid w:val="49BA7777"/>
    <w:rsid w:val="49EF4633"/>
    <w:rsid w:val="4A082BBF"/>
    <w:rsid w:val="4A1B0841"/>
    <w:rsid w:val="4A2232E7"/>
    <w:rsid w:val="4A272AB1"/>
    <w:rsid w:val="4A372564"/>
    <w:rsid w:val="4A5241A6"/>
    <w:rsid w:val="4A614C0D"/>
    <w:rsid w:val="4A692336"/>
    <w:rsid w:val="4A8A0A67"/>
    <w:rsid w:val="4A93029A"/>
    <w:rsid w:val="4AFE0DEE"/>
    <w:rsid w:val="4B2A6E66"/>
    <w:rsid w:val="4B2D7158"/>
    <w:rsid w:val="4B4567E3"/>
    <w:rsid w:val="4B47544A"/>
    <w:rsid w:val="4B535C62"/>
    <w:rsid w:val="4B606301"/>
    <w:rsid w:val="4B6B198D"/>
    <w:rsid w:val="4BA77ADF"/>
    <w:rsid w:val="4BB64B97"/>
    <w:rsid w:val="4BC11805"/>
    <w:rsid w:val="4BC507D7"/>
    <w:rsid w:val="4BE569B1"/>
    <w:rsid w:val="4BEE6459"/>
    <w:rsid w:val="4BF76DED"/>
    <w:rsid w:val="4BF83517"/>
    <w:rsid w:val="4C524C99"/>
    <w:rsid w:val="4C7C52E0"/>
    <w:rsid w:val="4C8C013A"/>
    <w:rsid w:val="4C953D04"/>
    <w:rsid w:val="4CA52C62"/>
    <w:rsid w:val="4CA57382"/>
    <w:rsid w:val="4CB14A55"/>
    <w:rsid w:val="4CBB5C53"/>
    <w:rsid w:val="4CCA4DBC"/>
    <w:rsid w:val="4CCC10E3"/>
    <w:rsid w:val="4CF856C1"/>
    <w:rsid w:val="4D016719"/>
    <w:rsid w:val="4D034106"/>
    <w:rsid w:val="4D527676"/>
    <w:rsid w:val="4D9E41FB"/>
    <w:rsid w:val="4DB14E78"/>
    <w:rsid w:val="4DC425CF"/>
    <w:rsid w:val="4DEE2255"/>
    <w:rsid w:val="4DEE476C"/>
    <w:rsid w:val="4E3253A1"/>
    <w:rsid w:val="4E3C271E"/>
    <w:rsid w:val="4E701E28"/>
    <w:rsid w:val="4E82475E"/>
    <w:rsid w:val="4E914AD5"/>
    <w:rsid w:val="4EBF2DF2"/>
    <w:rsid w:val="4EC83C89"/>
    <w:rsid w:val="4EDF4FB4"/>
    <w:rsid w:val="4EFF4078"/>
    <w:rsid w:val="4F1A5B62"/>
    <w:rsid w:val="4F441FB7"/>
    <w:rsid w:val="4F4F6B36"/>
    <w:rsid w:val="4F766D0B"/>
    <w:rsid w:val="4F88005B"/>
    <w:rsid w:val="4F8E6FEA"/>
    <w:rsid w:val="4FAC50FA"/>
    <w:rsid w:val="4FD5133A"/>
    <w:rsid w:val="503B1D81"/>
    <w:rsid w:val="505D495D"/>
    <w:rsid w:val="507E0669"/>
    <w:rsid w:val="508D0D27"/>
    <w:rsid w:val="508E265C"/>
    <w:rsid w:val="509F5392"/>
    <w:rsid w:val="50DD5AE7"/>
    <w:rsid w:val="50E11E0F"/>
    <w:rsid w:val="50EE299B"/>
    <w:rsid w:val="50F51697"/>
    <w:rsid w:val="50F7751B"/>
    <w:rsid w:val="5101244D"/>
    <w:rsid w:val="51117F82"/>
    <w:rsid w:val="51204937"/>
    <w:rsid w:val="512925EC"/>
    <w:rsid w:val="513A65DA"/>
    <w:rsid w:val="514C6510"/>
    <w:rsid w:val="5163449A"/>
    <w:rsid w:val="51637C50"/>
    <w:rsid w:val="516D0DBC"/>
    <w:rsid w:val="5176224D"/>
    <w:rsid w:val="517A1BE6"/>
    <w:rsid w:val="517F2032"/>
    <w:rsid w:val="51873342"/>
    <w:rsid w:val="51982C42"/>
    <w:rsid w:val="519B0147"/>
    <w:rsid w:val="51C91AFE"/>
    <w:rsid w:val="51D00634"/>
    <w:rsid w:val="51EF0350"/>
    <w:rsid w:val="51F101A0"/>
    <w:rsid w:val="51FF38A5"/>
    <w:rsid w:val="522978FB"/>
    <w:rsid w:val="525764FF"/>
    <w:rsid w:val="529D7F38"/>
    <w:rsid w:val="52A43163"/>
    <w:rsid w:val="52BE0977"/>
    <w:rsid w:val="530D5C4E"/>
    <w:rsid w:val="53550D08"/>
    <w:rsid w:val="535A0E30"/>
    <w:rsid w:val="53607087"/>
    <w:rsid w:val="53610408"/>
    <w:rsid w:val="537B5DD8"/>
    <w:rsid w:val="53895304"/>
    <w:rsid w:val="5394676B"/>
    <w:rsid w:val="53AC783D"/>
    <w:rsid w:val="53CD20E2"/>
    <w:rsid w:val="53E54585"/>
    <w:rsid w:val="53F24EF5"/>
    <w:rsid w:val="540E09A1"/>
    <w:rsid w:val="54280D7D"/>
    <w:rsid w:val="544B13F2"/>
    <w:rsid w:val="544C5A83"/>
    <w:rsid w:val="54571FDC"/>
    <w:rsid w:val="546D1407"/>
    <w:rsid w:val="54922DDE"/>
    <w:rsid w:val="54954E18"/>
    <w:rsid w:val="549C391E"/>
    <w:rsid w:val="54C663DE"/>
    <w:rsid w:val="54CD4121"/>
    <w:rsid w:val="54EA0FBB"/>
    <w:rsid w:val="54F46A58"/>
    <w:rsid w:val="55050A41"/>
    <w:rsid w:val="55297B10"/>
    <w:rsid w:val="552B4E59"/>
    <w:rsid w:val="55321E99"/>
    <w:rsid w:val="553A65A6"/>
    <w:rsid w:val="556B3ED5"/>
    <w:rsid w:val="55792706"/>
    <w:rsid w:val="559016B1"/>
    <w:rsid w:val="55902952"/>
    <w:rsid w:val="5591391E"/>
    <w:rsid w:val="55BE1968"/>
    <w:rsid w:val="55C64773"/>
    <w:rsid w:val="55E2322F"/>
    <w:rsid w:val="55FD4452"/>
    <w:rsid w:val="561546D1"/>
    <w:rsid w:val="561D4C98"/>
    <w:rsid w:val="561E166B"/>
    <w:rsid w:val="562259EE"/>
    <w:rsid w:val="562B4858"/>
    <w:rsid w:val="56386BF7"/>
    <w:rsid w:val="56492117"/>
    <w:rsid w:val="56510707"/>
    <w:rsid w:val="565D468C"/>
    <w:rsid w:val="566234C5"/>
    <w:rsid w:val="56872E0B"/>
    <w:rsid w:val="569A5D05"/>
    <w:rsid w:val="56AC4B8E"/>
    <w:rsid w:val="56CC4548"/>
    <w:rsid w:val="56D658C7"/>
    <w:rsid w:val="56E00E20"/>
    <w:rsid w:val="5707418A"/>
    <w:rsid w:val="571455AC"/>
    <w:rsid w:val="5743687E"/>
    <w:rsid w:val="575F5794"/>
    <w:rsid w:val="57626D0D"/>
    <w:rsid w:val="57985173"/>
    <w:rsid w:val="57A35F23"/>
    <w:rsid w:val="57B30871"/>
    <w:rsid w:val="57B32618"/>
    <w:rsid w:val="57D8413F"/>
    <w:rsid w:val="57ED5FE9"/>
    <w:rsid w:val="57EE4667"/>
    <w:rsid w:val="581B453D"/>
    <w:rsid w:val="582112AD"/>
    <w:rsid w:val="582B2F3A"/>
    <w:rsid w:val="58656494"/>
    <w:rsid w:val="589619C7"/>
    <w:rsid w:val="58E44D62"/>
    <w:rsid w:val="58EA5DEB"/>
    <w:rsid w:val="58EF740F"/>
    <w:rsid w:val="59084F83"/>
    <w:rsid w:val="590C1493"/>
    <w:rsid w:val="594F320B"/>
    <w:rsid w:val="59507D3D"/>
    <w:rsid w:val="597E5B3C"/>
    <w:rsid w:val="59853E23"/>
    <w:rsid w:val="59984D72"/>
    <w:rsid w:val="59BF00B7"/>
    <w:rsid w:val="59EF336B"/>
    <w:rsid w:val="59F52889"/>
    <w:rsid w:val="59F57CAC"/>
    <w:rsid w:val="5A1E180E"/>
    <w:rsid w:val="5A295A09"/>
    <w:rsid w:val="5A2F7139"/>
    <w:rsid w:val="5A5A4D6C"/>
    <w:rsid w:val="5A8E3BF3"/>
    <w:rsid w:val="5AA700B9"/>
    <w:rsid w:val="5AC050DE"/>
    <w:rsid w:val="5AE359D1"/>
    <w:rsid w:val="5AFA417C"/>
    <w:rsid w:val="5B0077E8"/>
    <w:rsid w:val="5B0460B2"/>
    <w:rsid w:val="5B506946"/>
    <w:rsid w:val="5B5445CD"/>
    <w:rsid w:val="5B663AB0"/>
    <w:rsid w:val="5B8D4BE6"/>
    <w:rsid w:val="5B9037FB"/>
    <w:rsid w:val="5B907476"/>
    <w:rsid w:val="5B997B8F"/>
    <w:rsid w:val="5BA70113"/>
    <w:rsid w:val="5BB03A2C"/>
    <w:rsid w:val="5BBB5FAD"/>
    <w:rsid w:val="5BC87B8A"/>
    <w:rsid w:val="5BD73A13"/>
    <w:rsid w:val="5BF82AE8"/>
    <w:rsid w:val="5C176084"/>
    <w:rsid w:val="5C6D545D"/>
    <w:rsid w:val="5C803479"/>
    <w:rsid w:val="5C8E4302"/>
    <w:rsid w:val="5CB14193"/>
    <w:rsid w:val="5CB17956"/>
    <w:rsid w:val="5CB759CA"/>
    <w:rsid w:val="5CEC52D3"/>
    <w:rsid w:val="5D45022F"/>
    <w:rsid w:val="5D513348"/>
    <w:rsid w:val="5D661D92"/>
    <w:rsid w:val="5D6F3EBE"/>
    <w:rsid w:val="5D7B7000"/>
    <w:rsid w:val="5D9431AE"/>
    <w:rsid w:val="5D954EFE"/>
    <w:rsid w:val="5DA832BF"/>
    <w:rsid w:val="5DD37627"/>
    <w:rsid w:val="5DDC3B63"/>
    <w:rsid w:val="5DFF6DE4"/>
    <w:rsid w:val="5E310EFB"/>
    <w:rsid w:val="5E3A5E75"/>
    <w:rsid w:val="5E552055"/>
    <w:rsid w:val="5E592E60"/>
    <w:rsid w:val="5E60479B"/>
    <w:rsid w:val="5E7C3C9C"/>
    <w:rsid w:val="5E7E14E8"/>
    <w:rsid w:val="5E8778BC"/>
    <w:rsid w:val="5E981F2D"/>
    <w:rsid w:val="5EAA1AC5"/>
    <w:rsid w:val="5EAE771A"/>
    <w:rsid w:val="5EB52E93"/>
    <w:rsid w:val="5EB56EA1"/>
    <w:rsid w:val="5EE069F0"/>
    <w:rsid w:val="5F06029B"/>
    <w:rsid w:val="5F257ADB"/>
    <w:rsid w:val="5F6806E4"/>
    <w:rsid w:val="5F7B4422"/>
    <w:rsid w:val="5F9C06A8"/>
    <w:rsid w:val="5FA30BE1"/>
    <w:rsid w:val="5FCD53F4"/>
    <w:rsid w:val="600E56A0"/>
    <w:rsid w:val="6018724B"/>
    <w:rsid w:val="601B2D7D"/>
    <w:rsid w:val="601F3B78"/>
    <w:rsid w:val="602E7465"/>
    <w:rsid w:val="603368D6"/>
    <w:rsid w:val="60463B7F"/>
    <w:rsid w:val="60684CFE"/>
    <w:rsid w:val="608824D8"/>
    <w:rsid w:val="60A76CF9"/>
    <w:rsid w:val="6111028A"/>
    <w:rsid w:val="61155A94"/>
    <w:rsid w:val="613006BA"/>
    <w:rsid w:val="61536845"/>
    <w:rsid w:val="61734231"/>
    <w:rsid w:val="61956101"/>
    <w:rsid w:val="61AD6EA4"/>
    <w:rsid w:val="61E67707"/>
    <w:rsid w:val="62057126"/>
    <w:rsid w:val="62204571"/>
    <w:rsid w:val="623810B9"/>
    <w:rsid w:val="6239542A"/>
    <w:rsid w:val="623B4C8C"/>
    <w:rsid w:val="626847E0"/>
    <w:rsid w:val="626D4872"/>
    <w:rsid w:val="626F2AB1"/>
    <w:rsid w:val="62737D12"/>
    <w:rsid w:val="6288361A"/>
    <w:rsid w:val="62AF2CDB"/>
    <w:rsid w:val="62B83C8B"/>
    <w:rsid w:val="62DF621E"/>
    <w:rsid w:val="62E0458C"/>
    <w:rsid w:val="63206C8D"/>
    <w:rsid w:val="633D4B38"/>
    <w:rsid w:val="634A39D4"/>
    <w:rsid w:val="63663842"/>
    <w:rsid w:val="636A5002"/>
    <w:rsid w:val="638A4EC9"/>
    <w:rsid w:val="63943761"/>
    <w:rsid w:val="63C731D9"/>
    <w:rsid w:val="63C9158B"/>
    <w:rsid w:val="63E81D28"/>
    <w:rsid w:val="63F61FDD"/>
    <w:rsid w:val="63FE413E"/>
    <w:rsid w:val="640768F9"/>
    <w:rsid w:val="640E2684"/>
    <w:rsid w:val="642029FA"/>
    <w:rsid w:val="649D26C6"/>
    <w:rsid w:val="64B44809"/>
    <w:rsid w:val="64D13A19"/>
    <w:rsid w:val="65130B47"/>
    <w:rsid w:val="65150503"/>
    <w:rsid w:val="652955B5"/>
    <w:rsid w:val="65623B16"/>
    <w:rsid w:val="657355D5"/>
    <w:rsid w:val="657E6A8B"/>
    <w:rsid w:val="6580795E"/>
    <w:rsid w:val="65821859"/>
    <w:rsid w:val="65BC7807"/>
    <w:rsid w:val="65C5753F"/>
    <w:rsid w:val="65D40CFB"/>
    <w:rsid w:val="65E81630"/>
    <w:rsid w:val="65F312FD"/>
    <w:rsid w:val="65F84B3A"/>
    <w:rsid w:val="65FE1485"/>
    <w:rsid w:val="662151CF"/>
    <w:rsid w:val="662E62FC"/>
    <w:rsid w:val="66357C6B"/>
    <w:rsid w:val="6643564D"/>
    <w:rsid w:val="66632B21"/>
    <w:rsid w:val="66725FD9"/>
    <w:rsid w:val="66883B21"/>
    <w:rsid w:val="66A402E3"/>
    <w:rsid w:val="66C07CFA"/>
    <w:rsid w:val="66CC7625"/>
    <w:rsid w:val="66D8620D"/>
    <w:rsid w:val="66E8163A"/>
    <w:rsid w:val="66EA4072"/>
    <w:rsid w:val="67056B86"/>
    <w:rsid w:val="670B3701"/>
    <w:rsid w:val="671E0D87"/>
    <w:rsid w:val="673C17AB"/>
    <w:rsid w:val="674A4C91"/>
    <w:rsid w:val="675A7DA1"/>
    <w:rsid w:val="676B2382"/>
    <w:rsid w:val="677050A3"/>
    <w:rsid w:val="6789177B"/>
    <w:rsid w:val="678A1A9D"/>
    <w:rsid w:val="679835D9"/>
    <w:rsid w:val="680D29A8"/>
    <w:rsid w:val="684F7DF6"/>
    <w:rsid w:val="685D5D5F"/>
    <w:rsid w:val="685D74FA"/>
    <w:rsid w:val="68746678"/>
    <w:rsid w:val="687B2B99"/>
    <w:rsid w:val="687C431C"/>
    <w:rsid w:val="68C929B2"/>
    <w:rsid w:val="68CA7675"/>
    <w:rsid w:val="68D2720E"/>
    <w:rsid w:val="68F005DF"/>
    <w:rsid w:val="690E5DE4"/>
    <w:rsid w:val="6928676D"/>
    <w:rsid w:val="696A44A1"/>
    <w:rsid w:val="698274B1"/>
    <w:rsid w:val="69954D94"/>
    <w:rsid w:val="69A135E2"/>
    <w:rsid w:val="69A35B38"/>
    <w:rsid w:val="69AB7017"/>
    <w:rsid w:val="69AF0C2F"/>
    <w:rsid w:val="69E776DA"/>
    <w:rsid w:val="69F70065"/>
    <w:rsid w:val="6A42770D"/>
    <w:rsid w:val="6AA416F1"/>
    <w:rsid w:val="6AC34DD1"/>
    <w:rsid w:val="6ACA3BF7"/>
    <w:rsid w:val="6B0F1B9B"/>
    <w:rsid w:val="6B1F0001"/>
    <w:rsid w:val="6B242489"/>
    <w:rsid w:val="6B3C625F"/>
    <w:rsid w:val="6B47163F"/>
    <w:rsid w:val="6B687265"/>
    <w:rsid w:val="6B687D2E"/>
    <w:rsid w:val="6B744013"/>
    <w:rsid w:val="6BDA0AF0"/>
    <w:rsid w:val="6BE35E1A"/>
    <w:rsid w:val="6BED5E18"/>
    <w:rsid w:val="6BFD6FD2"/>
    <w:rsid w:val="6C087EDC"/>
    <w:rsid w:val="6CAB3E62"/>
    <w:rsid w:val="6CAF4773"/>
    <w:rsid w:val="6CB53380"/>
    <w:rsid w:val="6CC94132"/>
    <w:rsid w:val="6CDE0C2E"/>
    <w:rsid w:val="6CE9491C"/>
    <w:rsid w:val="6CE9691A"/>
    <w:rsid w:val="6D180F19"/>
    <w:rsid w:val="6D4A1346"/>
    <w:rsid w:val="6D722D14"/>
    <w:rsid w:val="6D7A24AE"/>
    <w:rsid w:val="6D7F4263"/>
    <w:rsid w:val="6D83652F"/>
    <w:rsid w:val="6DAF00B4"/>
    <w:rsid w:val="6DB32E7A"/>
    <w:rsid w:val="6DC214BD"/>
    <w:rsid w:val="6E093FAF"/>
    <w:rsid w:val="6E2425A8"/>
    <w:rsid w:val="6E343AC9"/>
    <w:rsid w:val="6E3B77BB"/>
    <w:rsid w:val="6E3F6D2C"/>
    <w:rsid w:val="6E493362"/>
    <w:rsid w:val="6E5709F3"/>
    <w:rsid w:val="6E721EE9"/>
    <w:rsid w:val="6E8E3011"/>
    <w:rsid w:val="6E921212"/>
    <w:rsid w:val="6EB91187"/>
    <w:rsid w:val="6EBC40EB"/>
    <w:rsid w:val="6ED1054F"/>
    <w:rsid w:val="6EFF7BEE"/>
    <w:rsid w:val="6F0E2607"/>
    <w:rsid w:val="6F24025F"/>
    <w:rsid w:val="6F29037A"/>
    <w:rsid w:val="6F342BEC"/>
    <w:rsid w:val="6F73758F"/>
    <w:rsid w:val="6F771F08"/>
    <w:rsid w:val="6FD04738"/>
    <w:rsid w:val="6FD750C2"/>
    <w:rsid w:val="6FD929FA"/>
    <w:rsid w:val="70004FAF"/>
    <w:rsid w:val="70017AAF"/>
    <w:rsid w:val="701E54D6"/>
    <w:rsid w:val="7028614E"/>
    <w:rsid w:val="703E2509"/>
    <w:rsid w:val="70752265"/>
    <w:rsid w:val="7083634B"/>
    <w:rsid w:val="70966C74"/>
    <w:rsid w:val="70B75037"/>
    <w:rsid w:val="70C32C7D"/>
    <w:rsid w:val="70D901E7"/>
    <w:rsid w:val="710035F5"/>
    <w:rsid w:val="71211009"/>
    <w:rsid w:val="7122029D"/>
    <w:rsid w:val="713022E1"/>
    <w:rsid w:val="715240C6"/>
    <w:rsid w:val="717A1017"/>
    <w:rsid w:val="719378C9"/>
    <w:rsid w:val="71B167B3"/>
    <w:rsid w:val="71BE312C"/>
    <w:rsid w:val="71D10501"/>
    <w:rsid w:val="71E8533C"/>
    <w:rsid w:val="71FD03AB"/>
    <w:rsid w:val="72023993"/>
    <w:rsid w:val="721A2A6F"/>
    <w:rsid w:val="72591EF8"/>
    <w:rsid w:val="72635194"/>
    <w:rsid w:val="726412E4"/>
    <w:rsid w:val="727A0C74"/>
    <w:rsid w:val="728A6359"/>
    <w:rsid w:val="728C36EC"/>
    <w:rsid w:val="72A92CAA"/>
    <w:rsid w:val="72B00B0B"/>
    <w:rsid w:val="72C93F5E"/>
    <w:rsid w:val="72FA13CD"/>
    <w:rsid w:val="730C2C7F"/>
    <w:rsid w:val="731A1948"/>
    <w:rsid w:val="7325549C"/>
    <w:rsid w:val="734059F9"/>
    <w:rsid w:val="73412AEB"/>
    <w:rsid w:val="73600833"/>
    <w:rsid w:val="73700B04"/>
    <w:rsid w:val="73A07B23"/>
    <w:rsid w:val="73AD0203"/>
    <w:rsid w:val="73BA2BD7"/>
    <w:rsid w:val="73C22048"/>
    <w:rsid w:val="73CA39A6"/>
    <w:rsid w:val="73EE5AC1"/>
    <w:rsid w:val="741349E8"/>
    <w:rsid w:val="743957CF"/>
    <w:rsid w:val="745F4AC1"/>
    <w:rsid w:val="746A4EC9"/>
    <w:rsid w:val="74810DCF"/>
    <w:rsid w:val="74896A64"/>
    <w:rsid w:val="74D730DB"/>
    <w:rsid w:val="7510616E"/>
    <w:rsid w:val="75337008"/>
    <w:rsid w:val="753F7D6A"/>
    <w:rsid w:val="76390D86"/>
    <w:rsid w:val="7644485B"/>
    <w:rsid w:val="76562E1F"/>
    <w:rsid w:val="768E5509"/>
    <w:rsid w:val="76DF7CFC"/>
    <w:rsid w:val="76F65BD1"/>
    <w:rsid w:val="7706091C"/>
    <w:rsid w:val="770A24C7"/>
    <w:rsid w:val="7713065F"/>
    <w:rsid w:val="77245516"/>
    <w:rsid w:val="772A0990"/>
    <w:rsid w:val="77415717"/>
    <w:rsid w:val="7767094C"/>
    <w:rsid w:val="776809FD"/>
    <w:rsid w:val="77E24021"/>
    <w:rsid w:val="7826107A"/>
    <w:rsid w:val="78296B84"/>
    <w:rsid w:val="78633A9E"/>
    <w:rsid w:val="788E0878"/>
    <w:rsid w:val="78A119D0"/>
    <w:rsid w:val="78B42C57"/>
    <w:rsid w:val="78BC40E4"/>
    <w:rsid w:val="78BE113D"/>
    <w:rsid w:val="78D56497"/>
    <w:rsid w:val="78EB3871"/>
    <w:rsid w:val="78FD789D"/>
    <w:rsid w:val="790F7EF4"/>
    <w:rsid w:val="791A1055"/>
    <w:rsid w:val="791C538E"/>
    <w:rsid w:val="792857FB"/>
    <w:rsid w:val="796679A2"/>
    <w:rsid w:val="797A771F"/>
    <w:rsid w:val="79893E58"/>
    <w:rsid w:val="79C40C99"/>
    <w:rsid w:val="79F6669E"/>
    <w:rsid w:val="7A106A95"/>
    <w:rsid w:val="7A2E44A9"/>
    <w:rsid w:val="7A7B548C"/>
    <w:rsid w:val="7A973B78"/>
    <w:rsid w:val="7AA14E1A"/>
    <w:rsid w:val="7AC95CAF"/>
    <w:rsid w:val="7ACF6535"/>
    <w:rsid w:val="7ADC16C3"/>
    <w:rsid w:val="7AEE565D"/>
    <w:rsid w:val="7B020323"/>
    <w:rsid w:val="7B0B4286"/>
    <w:rsid w:val="7B105ACE"/>
    <w:rsid w:val="7B116BEB"/>
    <w:rsid w:val="7B1D3F86"/>
    <w:rsid w:val="7B237FE9"/>
    <w:rsid w:val="7B3532E5"/>
    <w:rsid w:val="7B397E84"/>
    <w:rsid w:val="7B7D2F8D"/>
    <w:rsid w:val="7B923906"/>
    <w:rsid w:val="7BB30942"/>
    <w:rsid w:val="7BC66916"/>
    <w:rsid w:val="7C27615F"/>
    <w:rsid w:val="7C30727D"/>
    <w:rsid w:val="7C6701B6"/>
    <w:rsid w:val="7C713E0B"/>
    <w:rsid w:val="7C813E98"/>
    <w:rsid w:val="7C842DFF"/>
    <w:rsid w:val="7C8A24CD"/>
    <w:rsid w:val="7CBD6FFF"/>
    <w:rsid w:val="7D03529F"/>
    <w:rsid w:val="7D1E3EB9"/>
    <w:rsid w:val="7D3D62A3"/>
    <w:rsid w:val="7D4039C5"/>
    <w:rsid w:val="7D454438"/>
    <w:rsid w:val="7D6226CE"/>
    <w:rsid w:val="7D6B695F"/>
    <w:rsid w:val="7D901377"/>
    <w:rsid w:val="7D9B1784"/>
    <w:rsid w:val="7D9E20C8"/>
    <w:rsid w:val="7D9E6C85"/>
    <w:rsid w:val="7DB9174D"/>
    <w:rsid w:val="7DDE3473"/>
    <w:rsid w:val="7DE50DD5"/>
    <w:rsid w:val="7E6C1005"/>
    <w:rsid w:val="7E982B82"/>
    <w:rsid w:val="7EBB0799"/>
    <w:rsid w:val="7EBB5414"/>
    <w:rsid w:val="7EC82DC4"/>
    <w:rsid w:val="7ED616D5"/>
    <w:rsid w:val="7ED77C96"/>
    <w:rsid w:val="7EE55F11"/>
    <w:rsid w:val="7F05571A"/>
    <w:rsid w:val="7F2338E2"/>
    <w:rsid w:val="7F443041"/>
    <w:rsid w:val="7F7A46EC"/>
    <w:rsid w:val="7F7B20F4"/>
    <w:rsid w:val="7F7F08D7"/>
    <w:rsid w:val="7F8B3986"/>
    <w:rsid w:val="7FAB2C8F"/>
    <w:rsid w:val="7FB65871"/>
    <w:rsid w:val="7FC55144"/>
    <w:rsid w:val="7FD621C5"/>
    <w:rsid w:val="7FE52E59"/>
    <w:rsid w:val="7FE9633A"/>
    <w:rsid w:val="7FEC7E0A"/>
    <w:rsid w:val="7FF23C8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iPriority="9" w:name="heading 8"/>
    <w:lsdException w:qFormat="1" w:uiPriority="9"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iPriority="0" w:semiHidden="0" w:name="page number"/>
    <w:lsdException w:qFormat="1" w:uiPriority="0" w:semiHidden="0" w:name="endnote reference"/>
    <w:lsdException w:qFormat="1" w:uiPriority="0" w:semiHidden="0" w:name="endnote text"/>
    <w:lsdException w:uiPriority="99" w:name="table of authorities"/>
    <w:lsdException w:uiPriority="99" w:name="macro"/>
    <w:lsdException w:uiPriority="99" w:name="toa heading"/>
    <w:lsdException w:qFormat="1" w:uiPriority="0" w:semiHidden="0" w:name="List"/>
    <w:lsdException w:qFormat="1" w:uiPriority="99" w:semiHidden="0" w:name="List Bullet"/>
    <w:lsdException w:qFormat="1"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iPriority="0" w:semiHidden="0" w:name="Body Text First Indent"/>
    <w:lsdException w:qFormat="1" w:unhideWhenUsed="0" w:uiPriority="99" w:semiHidden="0" w:name="Body Text First Indent 2"/>
    <w:lsdException w:uiPriority="99" w:name="Note Heading"/>
    <w:lsdException w:qFormat="1" w:uiPriority="0" w:semiHidden="0" w:name="Body Text 2"/>
    <w:lsdException w:uiPriority="99" w:name="Body Text 3"/>
    <w:lsdException w:qFormat="1" w:uiPriority="0" w:semiHidden="0" w:name="Body Text Indent 2"/>
    <w:lsdException w:qFormat="1"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iPriority="0" w:semiHidden="0" w:name="Plain Text"/>
    <w:lsdException w:uiPriority="99" w:name="E-mail Signature"/>
    <w:lsdException w:qFormat="1"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0" w:semiHidden="0" w:name="HTML Preformatted"/>
    <w:lsdException w:qFormat="1" w:uiPriority="99" w:semiHidden="0" w:name="HTML Sample"/>
    <w:lsdException w:uiPriority="99" w:name="HTML Typewriter"/>
    <w:lsdException w:qFormat="1" w:uiPriority="99" w:semiHidden="0" w:name="HTML Variable"/>
    <w:lsdException w:qFormat="1" w:uiPriority="99" w:semiHidden="0"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宋体"/>
      <w:kern w:val="2"/>
      <w:sz w:val="24"/>
      <w:szCs w:val="21"/>
      <w:lang w:val="en-US" w:eastAsia="zh-CN" w:bidi="ar-SA"/>
    </w:rPr>
  </w:style>
  <w:style w:type="paragraph" w:styleId="2">
    <w:name w:val="heading 1"/>
    <w:basedOn w:val="3"/>
    <w:next w:val="1"/>
    <w:link w:val="208"/>
    <w:qFormat/>
    <w:uiPriority w:val="0"/>
    <w:pPr>
      <w:keepNext/>
      <w:keepLines/>
      <w:numPr>
        <w:ilvl w:val="0"/>
        <w:numId w:val="0"/>
      </w:numPr>
      <w:spacing w:before="120" w:after="120"/>
      <w:ind w:left="0" w:firstLine="0" w:firstLineChars="0"/>
      <w:jc w:val="center"/>
      <w:outlineLvl w:val="0"/>
    </w:pPr>
    <w:rPr>
      <w:bCs w:val="0"/>
      <w:kern w:val="30"/>
      <w:szCs w:val="22"/>
    </w:rPr>
  </w:style>
  <w:style w:type="paragraph" w:styleId="4">
    <w:name w:val="heading 2"/>
    <w:basedOn w:val="1"/>
    <w:next w:val="1"/>
    <w:link w:val="218"/>
    <w:qFormat/>
    <w:uiPriority w:val="0"/>
    <w:pPr>
      <w:keepNext/>
      <w:keepLines/>
      <w:ind w:firstLine="0" w:firstLineChars="0"/>
      <w:jc w:val="left"/>
      <w:outlineLvl w:val="1"/>
    </w:pPr>
    <w:rPr>
      <w:rFonts w:cs="Times New Roman"/>
      <w:b/>
      <w:kern w:val="24"/>
      <w:sz w:val="30"/>
      <w:szCs w:val="22"/>
    </w:rPr>
  </w:style>
  <w:style w:type="paragraph" w:styleId="5">
    <w:name w:val="heading 3"/>
    <w:basedOn w:val="1"/>
    <w:next w:val="1"/>
    <w:link w:val="233"/>
    <w:qFormat/>
    <w:uiPriority w:val="0"/>
    <w:pPr>
      <w:keepNext/>
      <w:keepLines/>
      <w:ind w:firstLine="0" w:firstLineChars="0"/>
      <w:jc w:val="left"/>
      <w:outlineLvl w:val="2"/>
    </w:pPr>
    <w:rPr>
      <w:rFonts w:cs="Times New Roman"/>
      <w:b/>
      <w:sz w:val="28"/>
      <w:szCs w:val="22"/>
    </w:rPr>
  </w:style>
  <w:style w:type="paragraph" w:styleId="6">
    <w:name w:val="heading 4"/>
    <w:basedOn w:val="1"/>
    <w:next w:val="1"/>
    <w:link w:val="228"/>
    <w:qFormat/>
    <w:uiPriority w:val="0"/>
    <w:pPr>
      <w:keepNext/>
      <w:keepLines/>
      <w:adjustRightInd w:val="0"/>
      <w:snapToGrid w:val="0"/>
      <w:ind w:firstLine="0" w:firstLineChars="0"/>
      <w:jc w:val="left"/>
      <w:outlineLvl w:val="3"/>
    </w:pPr>
    <w:rPr>
      <w:rFonts w:cs="Times New Roman"/>
      <w:b/>
      <w:bCs/>
      <w:szCs w:val="28"/>
    </w:rPr>
  </w:style>
  <w:style w:type="paragraph" w:styleId="7">
    <w:name w:val="heading 5"/>
    <w:basedOn w:val="1"/>
    <w:next w:val="1"/>
    <w:link w:val="196"/>
    <w:qFormat/>
    <w:uiPriority w:val="0"/>
    <w:pPr>
      <w:keepNext/>
      <w:keepLines/>
      <w:widowControl/>
      <w:spacing w:before="280" w:after="290" w:line="374" w:lineRule="auto"/>
      <w:ind w:firstLine="480"/>
      <w:jc w:val="left"/>
      <w:outlineLvl w:val="4"/>
    </w:pPr>
    <w:rPr>
      <w:rFonts w:cs="Times New Roman"/>
      <w:b/>
      <w:bCs/>
      <w:kern w:val="0"/>
      <w:sz w:val="28"/>
      <w:szCs w:val="28"/>
    </w:rPr>
  </w:style>
  <w:style w:type="paragraph" w:styleId="8">
    <w:name w:val="heading 6"/>
    <w:basedOn w:val="1"/>
    <w:next w:val="1"/>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paragraph" w:styleId="9">
    <w:name w:val="heading 7"/>
    <w:basedOn w:val="1"/>
    <w:next w:val="1"/>
    <w:qFormat/>
    <w:uiPriority w:val="9"/>
    <w:pPr>
      <w:keepNext/>
      <w:keepLines/>
      <w:spacing w:before="240" w:beforeLines="0" w:beforeAutospacing="0" w:after="64" w:afterLines="0" w:afterAutospacing="0" w:line="317" w:lineRule="auto"/>
      <w:outlineLvl w:val="6"/>
    </w:pPr>
    <w:rPr>
      <w:b/>
      <w:sz w:val="24"/>
    </w:rPr>
  </w:style>
  <w:style w:type="character" w:default="1" w:styleId="50">
    <w:name w:val="Default Paragraph Font"/>
    <w:unhideWhenUsed/>
    <w:qFormat/>
    <w:uiPriority w:val="1"/>
  </w:style>
  <w:style w:type="table" w:default="1" w:styleId="48">
    <w:name w:val="Normal Table"/>
    <w:unhideWhenUsed/>
    <w:qFormat/>
    <w:uiPriority w:val="99"/>
    <w:tblPr>
      <w:tblLayout w:type="fixed"/>
      <w:tblCellMar>
        <w:top w:w="0" w:type="dxa"/>
        <w:left w:w="108" w:type="dxa"/>
        <w:bottom w:w="0" w:type="dxa"/>
        <w:right w:w="108" w:type="dxa"/>
      </w:tblCellMar>
    </w:tblPr>
  </w:style>
  <w:style w:type="paragraph" w:styleId="3">
    <w:name w:val="Title"/>
    <w:basedOn w:val="1"/>
    <w:next w:val="1"/>
    <w:link w:val="224"/>
    <w:qFormat/>
    <w:uiPriority w:val="0"/>
    <w:pPr>
      <w:spacing w:before="330" w:after="340"/>
      <w:ind w:firstLine="0" w:firstLineChars="0"/>
      <w:jc w:val="center"/>
      <w:outlineLvl w:val="0"/>
    </w:pPr>
    <w:rPr>
      <w:rFonts w:cs="Times New Roman"/>
      <w:b/>
      <w:bCs/>
      <w:sz w:val="32"/>
      <w:szCs w:val="32"/>
    </w:rPr>
  </w:style>
  <w:style w:type="paragraph" w:styleId="10">
    <w:name w:val="toc 7"/>
    <w:basedOn w:val="1"/>
    <w:next w:val="1"/>
    <w:unhideWhenUsed/>
    <w:qFormat/>
    <w:uiPriority w:val="39"/>
    <w:pPr>
      <w:ind w:left="2520" w:leftChars="1200"/>
    </w:pPr>
  </w:style>
  <w:style w:type="paragraph" w:styleId="11">
    <w:name w:val="List Number"/>
    <w:basedOn w:val="1"/>
    <w:unhideWhenUsed/>
    <w:qFormat/>
    <w:uiPriority w:val="0"/>
    <w:pPr>
      <w:widowControl/>
      <w:numPr>
        <w:ilvl w:val="0"/>
        <w:numId w:val="1"/>
      </w:numPr>
      <w:tabs>
        <w:tab w:val="left" w:pos="360"/>
      </w:tabs>
      <w:spacing w:line="500" w:lineRule="exact"/>
      <w:jc w:val="left"/>
    </w:pPr>
    <w:rPr>
      <w:kern w:val="0"/>
      <w:szCs w:val="24"/>
    </w:rPr>
  </w:style>
  <w:style w:type="paragraph" w:styleId="12">
    <w:name w:val="Normal Indent"/>
    <w:basedOn w:val="1"/>
    <w:link w:val="217"/>
    <w:unhideWhenUsed/>
    <w:qFormat/>
    <w:uiPriority w:val="0"/>
    <w:pPr>
      <w:tabs>
        <w:tab w:val="left" w:pos="480"/>
      </w:tabs>
      <w:ind w:firstLine="420"/>
    </w:pPr>
    <w:rPr>
      <w:rFonts w:cs="Times New Roman"/>
      <w:szCs w:val="22"/>
    </w:rPr>
  </w:style>
  <w:style w:type="paragraph" w:styleId="13">
    <w:name w:val="caption"/>
    <w:basedOn w:val="1"/>
    <w:next w:val="1"/>
    <w:link w:val="143"/>
    <w:qFormat/>
    <w:uiPriority w:val="99"/>
    <w:pPr>
      <w:adjustRightInd/>
      <w:snapToGrid/>
      <w:spacing w:line="240" w:lineRule="auto"/>
      <w:ind w:firstLine="0" w:firstLineChars="0"/>
      <w:jc w:val="center"/>
    </w:pPr>
    <w:rPr>
      <w:rFonts w:ascii="Times New Roman" w:hAnsi="Times New Roman" w:eastAsia="宋体" w:cs="Times New Roman"/>
      <w:b/>
      <w:kern w:val="0"/>
      <w:sz w:val="24"/>
      <w:szCs w:val="20"/>
    </w:rPr>
  </w:style>
  <w:style w:type="paragraph" w:styleId="14">
    <w:name w:val="List Bullet"/>
    <w:basedOn w:val="15"/>
    <w:unhideWhenUsed/>
    <w:qFormat/>
    <w:uiPriority w:val="99"/>
    <w:pPr>
      <w:numPr>
        <w:ilvl w:val="0"/>
        <w:numId w:val="2"/>
      </w:numPr>
    </w:pPr>
  </w:style>
  <w:style w:type="paragraph" w:customStyle="1" w:styleId="15">
    <w:name w:val="表格文字"/>
    <w:basedOn w:val="1"/>
    <w:qFormat/>
    <w:uiPriority w:val="0"/>
    <w:pPr>
      <w:spacing w:before="100" w:after="50" w:line="500" w:lineRule="exact"/>
      <w:ind w:firstLine="480"/>
      <w:jc w:val="center"/>
    </w:pPr>
    <w:rPr>
      <w:color w:val="FF0000"/>
      <w:szCs w:val="20"/>
    </w:rPr>
  </w:style>
  <w:style w:type="paragraph" w:styleId="16">
    <w:name w:val="Document Map"/>
    <w:basedOn w:val="1"/>
    <w:link w:val="216"/>
    <w:unhideWhenUsed/>
    <w:qFormat/>
    <w:uiPriority w:val="0"/>
    <w:rPr>
      <w:rFonts w:ascii="宋体" w:cs="Times New Roman"/>
      <w:sz w:val="18"/>
      <w:szCs w:val="18"/>
    </w:rPr>
  </w:style>
  <w:style w:type="paragraph" w:styleId="17">
    <w:name w:val="annotation text"/>
    <w:basedOn w:val="1"/>
    <w:link w:val="225"/>
    <w:unhideWhenUsed/>
    <w:qFormat/>
    <w:uiPriority w:val="0"/>
    <w:pPr>
      <w:spacing w:line="240" w:lineRule="auto"/>
      <w:ind w:firstLine="0" w:firstLineChars="0"/>
      <w:jc w:val="left"/>
    </w:pPr>
    <w:rPr>
      <w:rFonts w:ascii="Calibri" w:hAnsi="Calibri" w:eastAsia="宋体"/>
      <w:kern w:val="0"/>
      <w:sz w:val="20"/>
      <w:szCs w:val="20"/>
    </w:rPr>
  </w:style>
  <w:style w:type="paragraph" w:styleId="18">
    <w:name w:val="Body Text"/>
    <w:basedOn w:val="1"/>
    <w:link w:val="182"/>
    <w:qFormat/>
    <w:uiPriority w:val="0"/>
    <w:pPr>
      <w:autoSpaceDE w:val="0"/>
      <w:autoSpaceDN w:val="0"/>
      <w:ind w:left="400"/>
      <w:jc w:val="left"/>
    </w:pPr>
    <w:rPr>
      <w:rFonts w:ascii="宋体" w:hAnsi="宋体" w:cs="Times New Roman"/>
      <w:kern w:val="0"/>
      <w:szCs w:val="24"/>
      <w:lang w:eastAsia="en-US"/>
    </w:rPr>
  </w:style>
  <w:style w:type="paragraph" w:styleId="19">
    <w:name w:val="Body Text Indent"/>
    <w:basedOn w:val="1"/>
    <w:next w:val="20"/>
    <w:link w:val="239"/>
    <w:unhideWhenUsed/>
    <w:qFormat/>
    <w:uiPriority w:val="0"/>
    <w:pPr>
      <w:widowControl/>
      <w:autoSpaceDE w:val="0"/>
      <w:autoSpaceDN w:val="0"/>
      <w:adjustRightInd w:val="0"/>
      <w:spacing w:line="500" w:lineRule="exact"/>
      <w:ind w:firstLine="504"/>
      <w:jc w:val="left"/>
    </w:pPr>
    <w:rPr>
      <w:rFonts w:cs="Times New Roman"/>
      <w:color w:val="000000"/>
      <w:spacing w:val="6"/>
      <w:kern w:val="0"/>
      <w:szCs w:val="24"/>
      <w:lang w:val="zh-CN"/>
    </w:rPr>
  </w:style>
  <w:style w:type="paragraph" w:styleId="20">
    <w:name w:val="Body Text Indent 2"/>
    <w:basedOn w:val="1"/>
    <w:link w:val="192"/>
    <w:unhideWhenUsed/>
    <w:qFormat/>
    <w:uiPriority w:val="0"/>
    <w:pPr>
      <w:widowControl/>
      <w:spacing w:after="120" w:line="480" w:lineRule="auto"/>
      <w:ind w:left="480" w:leftChars="200" w:firstLine="480"/>
      <w:jc w:val="left"/>
    </w:pPr>
    <w:rPr>
      <w:rFonts w:cs="Times New Roman"/>
      <w:kern w:val="0"/>
      <w:szCs w:val="24"/>
    </w:rPr>
  </w:style>
  <w:style w:type="paragraph" w:styleId="21">
    <w:name w:val="toc 5"/>
    <w:basedOn w:val="1"/>
    <w:next w:val="1"/>
    <w:unhideWhenUsed/>
    <w:qFormat/>
    <w:uiPriority w:val="39"/>
    <w:pPr>
      <w:ind w:left="1680" w:leftChars="800"/>
    </w:pPr>
  </w:style>
  <w:style w:type="paragraph" w:styleId="22">
    <w:name w:val="toc 3"/>
    <w:basedOn w:val="1"/>
    <w:next w:val="1"/>
    <w:unhideWhenUsed/>
    <w:qFormat/>
    <w:uiPriority w:val="39"/>
    <w:pPr>
      <w:ind w:left="840" w:leftChars="400"/>
    </w:pPr>
  </w:style>
  <w:style w:type="paragraph" w:styleId="23">
    <w:name w:val="Plain Text"/>
    <w:basedOn w:val="1"/>
    <w:link w:val="169"/>
    <w:unhideWhenUsed/>
    <w:qFormat/>
    <w:uiPriority w:val="0"/>
    <w:pPr>
      <w:spacing w:line="440" w:lineRule="exact"/>
      <w:ind w:firstLine="425"/>
    </w:pPr>
    <w:rPr>
      <w:rFonts w:ascii="宋体" w:hAnsi="Courier New" w:cs="Times New Roman"/>
      <w:szCs w:val="22"/>
    </w:rPr>
  </w:style>
  <w:style w:type="paragraph" w:styleId="24">
    <w:name w:val="toc 8"/>
    <w:basedOn w:val="1"/>
    <w:next w:val="1"/>
    <w:unhideWhenUsed/>
    <w:qFormat/>
    <w:uiPriority w:val="39"/>
    <w:pPr>
      <w:ind w:left="2940" w:leftChars="1400"/>
    </w:pPr>
  </w:style>
  <w:style w:type="paragraph" w:styleId="25">
    <w:name w:val="Date"/>
    <w:basedOn w:val="1"/>
    <w:next w:val="1"/>
    <w:link w:val="238"/>
    <w:unhideWhenUsed/>
    <w:qFormat/>
    <w:uiPriority w:val="0"/>
    <w:pPr>
      <w:ind w:left="100" w:leftChars="2500"/>
    </w:pPr>
    <w:rPr>
      <w:rFonts w:cs="Times New Roman"/>
      <w:szCs w:val="22"/>
    </w:rPr>
  </w:style>
  <w:style w:type="paragraph" w:styleId="26">
    <w:name w:val="endnote text"/>
    <w:basedOn w:val="1"/>
    <w:link w:val="250"/>
    <w:unhideWhenUsed/>
    <w:qFormat/>
    <w:uiPriority w:val="0"/>
    <w:pPr>
      <w:widowControl/>
      <w:snapToGrid w:val="0"/>
      <w:spacing w:line="500" w:lineRule="exact"/>
      <w:ind w:firstLine="480"/>
      <w:jc w:val="left"/>
    </w:pPr>
    <w:rPr>
      <w:rFonts w:cs="Times New Roman"/>
      <w:kern w:val="0"/>
      <w:szCs w:val="24"/>
    </w:rPr>
  </w:style>
  <w:style w:type="paragraph" w:styleId="27">
    <w:name w:val="Balloon Text"/>
    <w:basedOn w:val="1"/>
    <w:link w:val="164"/>
    <w:unhideWhenUsed/>
    <w:qFormat/>
    <w:uiPriority w:val="0"/>
    <w:rPr>
      <w:rFonts w:cs="Times New Roman"/>
      <w:sz w:val="18"/>
      <w:szCs w:val="18"/>
    </w:rPr>
  </w:style>
  <w:style w:type="paragraph" w:styleId="28">
    <w:name w:val="footer"/>
    <w:basedOn w:val="1"/>
    <w:link w:val="234"/>
    <w:unhideWhenUsed/>
    <w:qFormat/>
    <w:uiPriority w:val="99"/>
    <w:pPr>
      <w:tabs>
        <w:tab w:val="center" w:pos="4153"/>
        <w:tab w:val="right" w:pos="8306"/>
      </w:tabs>
      <w:snapToGrid w:val="0"/>
      <w:ind w:firstLine="0" w:firstLineChars="0"/>
      <w:jc w:val="center"/>
    </w:pPr>
    <w:rPr>
      <w:rFonts w:cs="Times New Roman"/>
      <w:sz w:val="18"/>
      <w:szCs w:val="18"/>
    </w:rPr>
  </w:style>
  <w:style w:type="paragraph" w:styleId="29">
    <w:name w:val="header"/>
    <w:basedOn w:val="1"/>
    <w:next w:val="30"/>
    <w:link w:val="226"/>
    <w:unhideWhenUsed/>
    <w:qFormat/>
    <w:uiPriority w:val="0"/>
    <w:pPr>
      <w:pBdr>
        <w:bottom w:val="single" w:color="auto" w:sz="6" w:space="1"/>
      </w:pBdr>
      <w:tabs>
        <w:tab w:val="center" w:pos="4153"/>
        <w:tab w:val="right" w:pos="8306"/>
      </w:tabs>
      <w:snapToGrid w:val="0"/>
      <w:jc w:val="center"/>
    </w:pPr>
    <w:rPr>
      <w:rFonts w:cs="Times New Roman"/>
      <w:sz w:val="18"/>
      <w:szCs w:val="18"/>
    </w:rPr>
  </w:style>
  <w:style w:type="paragraph" w:customStyle="1" w:styleId="30">
    <w:name w:val="样式 Z正文 + 首行缩进:  2 字符1"/>
    <w:basedOn w:val="31"/>
    <w:qFormat/>
    <w:uiPriority w:val="0"/>
    <w:pPr>
      <w:ind w:firstLine="480"/>
    </w:pPr>
    <w:rPr>
      <w:rFonts w:ascii="Times New Roman" w:hAnsi="Times New Roman" w:cs="宋体"/>
    </w:rPr>
  </w:style>
  <w:style w:type="paragraph" w:customStyle="1" w:styleId="31">
    <w:name w:val="Z正文"/>
    <w:basedOn w:val="32"/>
    <w:qFormat/>
    <w:uiPriority w:val="0"/>
    <w:pPr>
      <w:ind w:firstLine="200" w:firstLineChars="200"/>
      <w:outlineLvl w:val="9"/>
    </w:pPr>
    <w:rPr>
      <w:rFonts w:ascii="Times New Roman" w:hAnsi="Times New Roman" w:eastAsia="宋体"/>
      <w:sz w:val="24"/>
      <w:szCs w:val="24"/>
    </w:rPr>
  </w:style>
  <w:style w:type="paragraph" w:customStyle="1" w:styleId="32">
    <w:name w:val="样式 标题 1标题 11Head 1wsah1一、标题2Part'Document章Ch + 加粗"/>
    <w:basedOn w:val="2"/>
    <w:qFormat/>
    <w:uiPriority w:val="0"/>
    <w:rPr>
      <w:rFonts w:ascii="黑体"/>
      <w:sz w:val="32"/>
    </w:rPr>
  </w:style>
  <w:style w:type="paragraph" w:styleId="33">
    <w:name w:val="toc 1"/>
    <w:basedOn w:val="1"/>
    <w:next w:val="1"/>
    <w:unhideWhenUsed/>
    <w:qFormat/>
    <w:uiPriority w:val="39"/>
    <w:pPr>
      <w:tabs>
        <w:tab w:val="right" w:leader="dot" w:pos="8296"/>
      </w:tabs>
      <w:ind w:firstLine="0" w:firstLineChars="0"/>
    </w:pPr>
    <w:rPr>
      <w:rFonts w:cs="Times New Roman"/>
      <w:b/>
      <w:spacing w:val="-2"/>
      <w:kern w:val="30"/>
      <w:sz w:val="28"/>
      <w:szCs w:val="24"/>
    </w:rPr>
  </w:style>
  <w:style w:type="paragraph" w:styleId="34">
    <w:name w:val="toc 4"/>
    <w:basedOn w:val="1"/>
    <w:next w:val="1"/>
    <w:unhideWhenUsed/>
    <w:qFormat/>
    <w:uiPriority w:val="39"/>
    <w:pPr>
      <w:ind w:left="1260" w:leftChars="600"/>
    </w:pPr>
  </w:style>
  <w:style w:type="paragraph" w:styleId="35">
    <w:name w:val="List"/>
    <w:basedOn w:val="1"/>
    <w:unhideWhenUsed/>
    <w:qFormat/>
    <w:uiPriority w:val="0"/>
    <w:pPr>
      <w:widowControl/>
      <w:spacing w:line="500" w:lineRule="exact"/>
      <w:ind w:left="200" w:hanging="200" w:hangingChars="200"/>
      <w:jc w:val="left"/>
    </w:pPr>
    <w:rPr>
      <w:kern w:val="0"/>
      <w:sz w:val="21"/>
      <w:szCs w:val="24"/>
    </w:rPr>
  </w:style>
  <w:style w:type="paragraph" w:styleId="36">
    <w:name w:val="toc 6"/>
    <w:basedOn w:val="1"/>
    <w:next w:val="1"/>
    <w:unhideWhenUsed/>
    <w:qFormat/>
    <w:uiPriority w:val="39"/>
    <w:pPr>
      <w:ind w:left="2100" w:leftChars="1000"/>
    </w:pPr>
  </w:style>
  <w:style w:type="paragraph" w:styleId="37">
    <w:name w:val="Body Text Indent 3"/>
    <w:basedOn w:val="1"/>
    <w:link w:val="181"/>
    <w:unhideWhenUsed/>
    <w:qFormat/>
    <w:uiPriority w:val="0"/>
    <w:pPr>
      <w:widowControl/>
      <w:spacing w:after="120" w:line="500" w:lineRule="exact"/>
      <w:ind w:left="480" w:leftChars="200" w:firstLine="480"/>
      <w:jc w:val="left"/>
    </w:pPr>
    <w:rPr>
      <w:rFonts w:cs="Times New Roman"/>
      <w:kern w:val="0"/>
      <w:sz w:val="16"/>
      <w:szCs w:val="16"/>
    </w:rPr>
  </w:style>
  <w:style w:type="paragraph" w:styleId="38">
    <w:name w:val="toc 2"/>
    <w:basedOn w:val="1"/>
    <w:next w:val="1"/>
    <w:unhideWhenUsed/>
    <w:qFormat/>
    <w:uiPriority w:val="39"/>
  </w:style>
  <w:style w:type="paragraph" w:styleId="39">
    <w:name w:val="toc 9"/>
    <w:basedOn w:val="1"/>
    <w:next w:val="1"/>
    <w:unhideWhenUsed/>
    <w:qFormat/>
    <w:uiPriority w:val="39"/>
    <w:pPr>
      <w:ind w:left="3360" w:leftChars="1600"/>
    </w:pPr>
  </w:style>
  <w:style w:type="paragraph" w:styleId="40">
    <w:name w:val="Body Text 2"/>
    <w:basedOn w:val="1"/>
    <w:link w:val="179"/>
    <w:unhideWhenUsed/>
    <w:qFormat/>
    <w:uiPriority w:val="0"/>
    <w:pPr>
      <w:widowControl/>
      <w:spacing w:after="120" w:line="480" w:lineRule="auto"/>
      <w:ind w:firstLine="480"/>
      <w:jc w:val="left"/>
    </w:pPr>
    <w:rPr>
      <w:rFonts w:cs="Times New Roman"/>
      <w:kern w:val="0"/>
      <w:szCs w:val="24"/>
    </w:rPr>
  </w:style>
  <w:style w:type="paragraph" w:styleId="41">
    <w:name w:val="HTML Preformatted"/>
    <w:basedOn w:val="1"/>
    <w:link w:val="152"/>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jc w:val="left"/>
    </w:pPr>
    <w:rPr>
      <w:rFonts w:ascii="Arial" w:hAnsi="Arial" w:cs="Times New Roman"/>
      <w:kern w:val="0"/>
      <w:szCs w:val="24"/>
    </w:rPr>
  </w:style>
  <w:style w:type="paragraph" w:styleId="42">
    <w:name w:val="Normal (Web)"/>
    <w:basedOn w:val="1"/>
    <w:unhideWhenUsed/>
    <w:qFormat/>
    <w:uiPriority w:val="0"/>
    <w:rPr>
      <w:szCs w:val="24"/>
    </w:rPr>
  </w:style>
  <w:style w:type="paragraph" w:styleId="43">
    <w:name w:val="index 1"/>
    <w:basedOn w:val="1"/>
    <w:next w:val="1"/>
    <w:unhideWhenUsed/>
    <w:qFormat/>
    <w:uiPriority w:val="0"/>
    <w:pPr>
      <w:spacing w:line="300" w:lineRule="auto"/>
      <w:ind w:firstLine="0" w:firstLineChars="0"/>
      <w:jc w:val="center"/>
    </w:pPr>
    <w:rPr>
      <w:rFonts w:ascii="宋体" w:hAnsi="宋体"/>
      <w:sz w:val="21"/>
      <w:szCs w:val="24"/>
    </w:rPr>
  </w:style>
  <w:style w:type="paragraph" w:styleId="44">
    <w:name w:val="annotation subject"/>
    <w:basedOn w:val="17"/>
    <w:next w:val="17"/>
    <w:link w:val="184"/>
    <w:unhideWhenUsed/>
    <w:qFormat/>
    <w:uiPriority w:val="0"/>
    <w:pPr>
      <w:widowControl/>
      <w:spacing w:line="500" w:lineRule="exact"/>
      <w:ind w:firstLine="480" w:firstLineChars="200"/>
    </w:pPr>
    <w:rPr>
      <w:rFonts w:ascii="Times New Roman" w:hAnsi="Times New Roman" w:cs="Times New Roman"/>
      <w:b/>
      <w:bCs/>
      <w:sz w:val="24"/>
      <w:szCs w:val="24"/>
    </w:rPr>
  </w:style>
  <w:style w:type="paragraph" w:styleId="45">
    <w:name w:val="Body Text First Indent"/>
    <w:basedOn w:val="18"/>
    <w:link w:val="176"/>
    <w:unhideWhenUsed/>
    <w:qFormat/>
    <w:uiPriority w:val="0"/>
    <w:pPr>
      <w:widowControl/>
      <w:autoSpaceDE/>
      <w:autoSpaceDN/>
      <w:spacing w:after="120" w:line="500" w:lineRule="exact"/>
      <w:ind w:left="0" w:firstLine="420" w:firstLineChars="100"/>
    </w:pPr>
    <w:rPr>
      <w:rFonts w:ascii="Times New Roman" w:hAnsi="Times New Roman" w:cs="Times New Roman"/>
    </w:rPr>
  </w:style>
  <w:style w:type="paragraph" w:styleId="46">
    <w:name w:val="Body Text First Indent 2"/>
    <w:basedOn w:val="19"/>
    <w:next w:val="47"/>
    <w:qFormat/>
    <w:uiPriority w:val="99"/>
    <w:pPr>
      <w:adjustRightInd/>
      <w:snapToGrid/>
      <w:spacing w:afterLines="0" w:line="500" w:lineRule="exact"/>
      <w:ind w:left="420" w:leftChars="200" w:firstLine="420"/>
      <w:jc w:val="both"/>
    </w:pPr>
    <w:rPr>
      <w:rFonts w:ascii="Times New Roman" w:hAnsi="Times New Roman"/>
      <w:sz w:val="24"/>
    </w:rPr>
  </w:style>
  <w:style w:type="paragraph" w:customStyle="1" w:styleId="47">
    <w:name w:val="报告正文"/>
    <w:basedOn w:val="1"/>
    <w:link w:val="200"/>
    <w:qFormat/>
    <w:uiPriority w:val="0"/>
    <w:pPr>
      <w:adjustRightInd w:val="0"/>
      <w:snapToGrid w:val="0"/>
    </w:pPr>
    <w:rPr>
      <w:rFonts w:cs="Times New Roman"/>
      <w:color w:val="000000"/>
      <w:kern w:val="0"/>
      <w:szCs w:val="24"/>
    </w:rPr>
  </w:style>
  <w:style w:type="table" w:styleId="49">
    <w:name w:val="Table Grid"/>
    <w:basedOn w:val="4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51">
    <w:name w:val="Strong"/>
    <w:qFormat/>
    <w:uiPriority w:val="0"/>
    <w:rPr>
      <w:rFonts w:hint="default" w:ascii="Times New Roman" w:hAnsi="Times New Roman" w:eastAsia="宋体" w:cs="Times New Roman"/>
      <w:b/>
      <w:bCs/>
      <w:outline/>
      <w:sz w:val="24"/>
      <w:u w:val="none"/>
      <w:vertAlign w:val="baselin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style>
  <w:style w:type="character" w:styleId="52">
    <w:name w:val="endnote reference"/>
    <w:unhideWhenUsed/>
    <w:qFormat/>
    <w:uiPriority w:val="0"/>
    <w:rPr>
      <w:vertAlign w:val="superscript"/>
    </w:rPr>
  </w:style>
  <w:style w:type="character" w:styleId="53">
    <w:name w:val="page number"/>
    <w:unhideWhenUsed/>
    <w:qFormat/>
    <w:uiPriority w:val="0"/>
    <w:rPr>
      <w:rFonts w:hint="default" w:ascii="Verdana" w:hAnsi="Verdana"/>
      <w:kern w:val="0"/>
      <w:lang w:eastAsia="en-US"/>
    </w:rPr>
  </w:style>
  <w:style w:type="character" w:styleId="54">
    <w:name w:val="FollowedHyperlink"/>
    <w:unhideWhenUsed/>
    <w:qFormat/>
    <w:uiPriority w:val="99"/>
    <w:rPr>
      <w:rFonts w:hint="default" w:ascii="Verdana" w:hAnsi="Verdana"/>
      <w:color w:val="800080"/>
      <w:kern w:val="0"/>
      <w:u w:val="single"/>
      <w:lang w:eastAsia="en-US"/>
    </w:rPr>
  </w:style>
  <w:style w:type="character" w:styleId="55">
    <w:name w:val="Emphasis"/>
    <w:qFormat/>
    <w:uiPriority w:val="20"/>
  </w:style>
  <w:style w:type="character" w:styleId="56">
    <w:name w:val="HTML Definition"/>
    <w:unhideWhenUsed/>
    <w:qFormat/>
    <w:uiPriority w:val="99"/>
  </w:style>
  <w:style w:type="character" w:styleId="57">
    <w:name w:val="HTML Acronym"/>
    <w:unhideWhenUsed/>
    <w:qFormat/>
    <w:uiPriority w:val="99"/>
  </w:style>
  <w:style w:type="character" w:styleId="58">
    <w:name w:val="HTML Variable"/>
    <w:unhideWhenUsed/>
    <w:qFormat/>
    <w:uiPriority w:val="99"/>
  </w:style>
  <w:style w:type="character" w:styleId="59">
    <w:name w:val="Hyperlink"/>
    <w:unhideWhenUsed/>
    <w:qFormat/>
    <w:uiPriority w:val="99"/>
    <w:rPr>
      <w:color w:val="0000FF"/>
      <w:u w:val="none"/>
    </w:rPr>
  </w:style>
  <w:style w:type="character" w:styleId="60">
    <w:name w:val="HTML Code"/>
    <w:unhideWhenUsed/>
    <w:qFormat/>
    <w:uiPriority w:val="99"/>
    <w:rPr>
      <w:rFonts w:hint="default" w:ascii="Consolas" w:hAnsi="Consolas" w:eastAsia="Consolas" w:cs="Consolas"/>
      <w:color w:val="C7254E"/>
      <w:sz w:val="20"/>
      <w:szCs w:val="20"/>
      <w:shd w:val="clear" w:color="auto" w:fill="F9F2F4"/>
    </w:rPr>
  </w:style>
  <w:style w:type="character" w:styleId="61">
    <w:name w:val="annotation reference"/>
    <w:qFormat/>
    <w:uiPriority w:val="0"/>
    <w:rPr>
      <w:sz w:val="21"/>
      <w:szCs w:val="21"/>
    </w:rPr>
  </w:style>
  <w:style w:type="character" w:styleId="62">
    <w:name w:val="HTML Cite"/>
    <w:unhideWhenUsed/>
    <w:qFormat/>
    <w:uiPriority w:val="99"/>
  </w:style>
  <w:style w:type="character" w:styleId="63">
    <w:name w:val="HTML Keyboard"/>
    <w:unhideWhenUsed/>
    <w:qFormat/>
    <w:uiPriority w:val="99"/>
    <w:rPr>
      <w:rFonts w:ascii="Consolas" w:hAnsi="Consolas" w:eastAsia="Consolas" w:cs="Consolas"/>
      <w:color w:val="FFFFFF"/>
      <w:sz w:val="20"/>
      <w:szCs w:val="20"/>
      <w:shd w:val="clear" w:color="auto" w:fill="34495E"/>
    </w:rPr>
  </w:style>
  <w:style w:type="character" w:styleId="64">
    <w:name w:val="HTML Sample"/>
    <w:unhideWhenUsed/>
    <w:qFormat/>
    <w:uiPriority w:val="99"/>
    <w:rPr>
      <w:rFonts w:hint="default" w:ascii="Consolas" w:hAnsi="Consolas" w:eastAsia="Consolas" w:cs="Consolas"/>
      <w:sz w:val="21"/>
      <w:szCs w:val="21"/>
    </w:rPr>
  </w:style>
  <w:style w:type="paragraph" w:customStyle="1" w:styleId="65">
    <w:name w:val="A标题3级"/>
    <w:basedOn w:val="5"/>
    <w:qFormat/>
    <w:uiPriority w:val="0"/>
    <w:pPr>
      <w:spacing w:line="500" w:lineRule="exact"/>
      <w:jc w:val="both"/>
    </w:pPr>
    <w:rPr>
      <w:rFonts w:eastAsia="黑体" w:cs="宋体"/>
      <w:b w:val="0"/>
      <w:spacing w:val="6"/>
      <w:kern w:val="0"/>
      <w:sz w:val="24"/>
      <w:szCs w:val="20"/>
    </w:rPr>
  </w:style>
  <w:style w:type="paragraph" w:customStyle="1" w:styleId="66">
    <w:name w:val="文中表格"/>
    <w:next w:val="1"/>
    <w:link w:val="243"/>
    <w:qFormat/>
    <w:uiPriority w:val="0"/>
    <w:pPr>
      <w:jc w:val="center"/>
    </w:pPr>
    <w:rPr>
      <w:rFonts w:ascii="Times New Roman" w:hAnsi="Times New Roman" w:eastAsia="宋体" w:cs="Times New Roman"/>
      <w:sz w:val="21"/>
      <w:szCs w:val="24"/>
      <w:lang w:val="en-US" w:eastAsia="en-US" w:bidi="en-US"/>
    </w:rPr>
  </w:style>
  <w:style w:type="paragraph" w:customStyle="1" w:styleId="67">
    <w:name w:val="样式 标题 2节标题 1.11.1标题2H2标题zsc2标题 yjm2物探标题2Chapter Heading标..."/>
    <w:basedOn w:val="4"/>
    <w:qFormat/>
    <w:uiPriority w:val="0"/>
    <w:rPr>
      <w:b w:val="0"/>
      <w:color w:val="000000"/>
      <w:sz w:val="30"/>
    </w:rPr>
  </w:style>
  <w:style w:type="paragraph" w:customStyle="1" w:styleId="68">
    <w:name w:val="_Style 67"/>
    <w:basedOn w:val="1"/>
    <w:next w:val="1"/>
    <w:qFormat/>
    <w:uiPriority w:val="0"/>
    <w:pPr>
      <w:pBdr>
        <w:bottom w:val="single" w:color="auto" w:sz="6" w:space="1"/>
      </w:pBdr>
      <w:jc w:val="center"/>
    </w:pPr>
    <w:rPr>
      <w:rFonts w:ascii="Arial" w:eastAsia="宋体"/>
      <w:vanish/>
      <w:sz w:val="16"/>
    </w:rPr>
  </w:style>
  <w:style w:type="paragraph" w:customStyle="1" w:styleId="69">
    <w:name w:val=" Char Char Char Char Char Char"/>
    <w:basedOn w:val="1"/>
    <w:qFormat/>
    <w:uiPriority w:val="0"/>
    <w:rPr>
      <w:rFonts w:ascii="Times New Roman" w:hAnsi="Times New Roman" w:cs="Times New Roman"/>
      <w:sz w:val="24"/>
      <w:szCs w:val="24"/>
    </w:rPr>
  </w:style>
  <w:style w:type="paragraph" w:customStyle="1" w:styleId="70">
    <w:name w:val="报告"/>
    <w:basedOn w:val="1"/>
    <w:qFormat/>
    <w:uiPriority w:val="0"/>
    <w:pPr>
      <w:overflowPunct w:val="0"/>
      <w:autoSpaceDE w:val="0"/>
      <w:autoSpaceDN w:val="0"/>
      <w:adjustRightInd w:val="0"/>
      <w:spacing w:beforeLines="30" w:afterLines="30" w:line="400" w:lineRule="exact"/>
      <w:ind w:firstLine="480"/>
    </w:pPr>
    <w:rPr>
      <w:kern w:val="0"/>
      <w:szCs w:val="20"/>
    </w:rPr>
  </w:style>
  <w:style w:type="paragraph" w:customStyle="1" w:styleId="71">
    <w:name w:val="样式81"/>
    <w:basedOn w:val="1"/>
    <w:qFormat/>
    <w:uiPriority w:val="0"/>
    <w:pPr>
      <w:keepNext/>
      <w:keepLines/>
      <w:tabs>
        <w:tab w:val="left" w:pos="2175"/>
      </w:tabs>
      <w:spacing w:beforeLines="50" w:afterLines="50" w:line="500" w:lineRule="exact"/>
      <w:ind w:firstLine="0" w:firstLineChars="0"/>
      <w:outlineLvl w:val="2"/>
    </w:pPr>
    <w:rPr>
      <w:rFonts w:eastAsia="黑体"/>
      <w:bCs/>
      <w:sz w:val="28"/>
      <w:szCs w:val="28"/>
    </w:rPr>
  </w:style>
  <w:style w:type="paragraph" w:customStyle="1" w:styleId="72">
    <w:name w:val="列出段落2"/>
    <w:basedOn w:val="1"/>
    <w:unhideWhenUsed/>
    <w:qFormat/>
    <w:uiPriority w:val="99"/>
    <w:pPr>
      <w:ind w:firstLine="420"/>
    </w:pPr>
  </w:style>
  <w:style w:type="paragraph" w:customStyle="1" w:styleId="73">
    <w:name w:val="样式7"/>
    <w:basedOn w:val="1"/>
    <w:qFormat/>
    <w:uiPriority w:val="0"/>
    <w:pPr>
      <w:widowControl/>
      <w:adjustRightInd w:val="0"/>
      <w:snapToGrid w:val="0"/>
    </w:pPr>
    <w:rPr>
      <w:rFonts w:cs="Times New Roman"/>
      <w:kern w:val="0"/>
    </w:rPr>
  </w:style>
  <w:style w:type="paragraph" w:styleId="74">
    <w:name w:val="No Spacing"/>
    <w:qFormat/>
    <w:uiPriority w:val="1"/>
    <w:pPr>
      <w:spacing w:line="500" w:lineRule="exact"/>
      <w:jc w:val="center"/>
    </w:pPr>
    <w:rPr>
      <w:rFonts w:ascii="Times New Roman" w:hAnsi="Times New Roman" w:eastAsia="宋体" w:cs="Times New Roman"/>
      <w:b/>
      <w:sz w:val="24"/>
      <w:szCs w:val="24"/>
      <w:lang w:val="en-US" w:eastAsia="zh-CN" w:bidi="ar-SA"/>
    </w:rPr>
  </w:style>
  <w:style w:type="paragraph" w:customStyle="1" w:styleId="75">
    <w:name w:val="列出段落1"/>
    <w:basedOn w:val="1"/>
    <w:qFormat/>
    <w:uiPriority w:val="34"/>
    <w:pPr>
      <w:ind w:firstLine="420"/>
    </w:pPr>
  </w:style>
  <w:style w:type="paragraph" w:customStyle="1" w:styleId="76">
    <w:name w:val="标题4"/>
    <w:basedOn w:val="1"/>
    <w:link w:val="204"/>
    <w:qFormat/>
    <w:uiPriority w:val="0"/>
    <w:pPr>
      <w:widowControl/>
      <w:spacing w:line="500" w:lineRule="exact"/>
      <w:ind w:firstLine="0" w:firstLineChars="0"/>
      <w:jc w:val="left"/>
    </w:pPr>
    <w:rPr>
      <w:rFonts w:cs="Times New Roman"/>
      <w:b/>
      <w:kern w:val="0"/>
      <w:szCs w:val="24"/>
      <w:lang w:eastAsia="en-US" w:bidi="en-US"/>
    </w:rPr>
  </w:style>
  <w:style w:type="paragraph" w:customStyle="1" w:styleId="77">
    <w:name w:val="列出段落3"/>
    <w:basedOn w:val="1"/>
    <w:unhideWhenUsed/>
    <w:qFormat/>
    <w:uiPriority w:val="99"/>
    <w:pPr>
      <w:ind w:firstLine="420"/>
    </w:pPr>
  </w:style>
  <w:style w:type="paragraph" w:customStyle="1" w:styleId="78">
    <w:name w:val="_Style 8"/>
    <w:qFormat/>
    <w:uiPriority w:val="1"/>
    <w:pPr>
      <w:spacing w:line="500" w:lineRule="exact"/>
      <w:jc w:val="center"/>
    </w:pPr>
    <w:rPr>
      <w:rFonts w:ascii="Times New Roman" w:hAnsi="Times New Roman" w:eastAsia="宋体" w:cs="Times New Roman"/>
      <w:b/>
      <w:sz w:val="24"/>
      <w:szCs w:val="24"/>
      <w:lang w:val="en-US" w:eastAsia="zh-CN" w:bidi="ar-SA"/>
    </w:rPr>
  </w:style>
  <w:style w:type="paragraph" w:customStyle="1" w:styleId="79">
    <w:name w:val="二号标题"/>
    <w:basedOn w:val="1"/>
    <w:qFormat/>
    <w:uiPriority w:val="0"/>
    <w:pPr>
      <w:keepNext/>
      <w:keepLines/>
      <w:spacing w:beforeLines="100" w:afterLines="100" w:line="520" w:lineRule="exact"/>
      <w:outlineLvl w:val="2"/>
    </w:pPr>
    <w:rPr>
      <w:rFonts w:ascii="Arial" w:hAnsi="Arial" w:eastAsia="黑体" w:cs="宋体"/>
      <w:bCs/>
      <w:szCs w:val="28"/>
    </w:rPr>
  </w:style>
  <w:style w:type="paragraph" w:customStyle="1" w:styleId="80">
    <w:name w:val="出版正文"/>
    <w:basedOn w:val="1"/>
    <w:qFormat/>
    <w:uiPriority w:val="0"/>
    <w:pPr>
      <w:spacing w:line="600" w:lineRule="exact"/>
      <w:ind w:left="150" w:leftChars="150" w:firstLine="567"/>
    </w:pPr>
    <w:rPr>
      <w:rFonts w:ascii="宋体" w:hAnsi="Times New Roman" w:eastAsia="宋体" w:cs="Times New Roman"/>
      <w:sz w:val="28"/>
      <w:szCs w:val="20"/>
    </w:rPr>
  </w:style>
  <w:style w:type="paragraph" w:customStyle="1" w:styleId="81">
    <w:name w:val="表格"/>
    <w:basedOn w:val="35"/>
    <w:next w:val="1"/>
    <w:link w:val="220"/>
    <w:qFormat/>
    <w:uiPriority w:val="0"/>
    <w:pPr>
      <w:spacing w:line="240" w:lineRule="auto"/>
      <w:ind w:left="0" w:firstLine="0" w:firstLineChars="0"/>
      <w:jc w:val="both"/>
    </w:pPr>
    <w:rPr>
      <w:rFonts w:cs="Times New Roman"/>
      <w:kern w:val="2"/>
      <w:szCs w:val="20"/>
    </w:rPr>
  </w:style>
  <w:style w:type="paragraph" w:customStyle="1" w:styleId="82">
    <w:name w:val="样式 首行缩进:  2.25 字符1"/>
    <w:basedOn w:val="1"/>
    <w:link w:val="157"/>
    <w:qFormat/>
    <w:uiPriority w:val="0"/>
    <w:pPr>
      <w:spacing w:line="500" w:lineRule="exact"/>
      <w:ind w:firstLine="225" w:firstLineChars="225"/>
      <w:jc w:val="left"/>
    </w:pPr>
    <w:rPr>
      <w:rFonts w:ascii="宋体" w:hAnsi="宋体" w:cs="Times New Roman"/>
      <w:szCs w:val="20"/>
    </w:rPr>
  </w:style>
  <w:style w:type="paragraph" w:customStyle="1" w:styleId="83">
    <w:name w:val="赵正文"/>
    <w:basedOn w:val="1"/>
    <w:qFormat/>
    <w:uiPriority w:val="0"/>
    <w:pPr>
      <w:jc w:val="left"/>
    </w:pPr>
    <w:rPr>
      <w:rFonts w:ascii="Calibri" w:hAnsi="Calibri" w:cs="Times New Roman"/>
      <w:szCs w:val="24"/>
    </w:rPr>
  </w:style>
  <w:style w:type="paragraph" w:customStyle="1" w:styleId="84">
    <w:name w:val="Char Char Char Char Char Char Char Char Char Char Char Char Char Char Char Char Char Char Char"/>
    <w:basedOn w:val="1"/>
    <w:qFormat/>
    <w:uiPriority w:val="0"/>
    <w:pPr>
      <w:widowControl/>
      <w:spacing w:line="300" w:lineRule="auto"/>
      <w:jc w:val="left"/>
    </w:pPr>
    <w:rPr>
      <w:rFonts w:ascii="Verdana" w:hAnsi="Verdana" w:cs="Times New Roman"/>
      <w:kern w:val="0"/>
      <w:szCs w:val="24"/>
      <w:lang w:eastAsia="en-US"/>
    </w:rPr>
  </w:style>
  <w:style w:type="paragraph" w:customStyle="1" w:styleId="85">
    <w:name w:val="表正文环评"/>
    <w:basedOn w:val="1"/>
    <w:qFormat/>
    <w:uiPriority w:val="0"/>
    <w:rPr>
      <w:rFonts w:ascii="Times New Roman" w:hAnsi="Times New Roman"/>
    </w:rPr>
  </w:style>
  <w:style w:type="paragraph" w:customStyle="1" w:styleId="86">
    <w:name w:val="A表内"/>
    <w:basedOn w:val="87"/>
    <w:next w:val="1"/>
    <w:qFormat/>
    <w:uiPriority w:val="0"/>
    <w:pPr>
      <w:adjustRightInd w:val="0"/>
      <w:snapToGrid w:val="0"/>
      <w:spacing w:line="240" w:lineRule="auto"/>
      <w:ind w:firstLine="0" w:firstLineChars="0"/>
      <w:jc w:val="center"/>
    </w:pPr>
    <w:rPr>
      <w:rFonts w:cs="宋体"/>
      <w:sz w:val="21"/>
      <w:szCs w:val="20"/>
    </w:rPr>
  </w:style>
  <w:style w:type="paragraph" w:customStyle="1" w:styleId="87">
    <w:name w:val="A表头"/>
    <w:basedOn w:val="1"/>
    <w:next w:val="1"/>
    <w:qFormat/>
    <w:uiPriority w:val="0"/>
    <w:pPr>
      <w:adjustRightInd w:val="0"/>
      <w:snapToGrid w:val="0"/>
      <w:spacing w:line="240" w:lineRule="auto"/>
      <w:ind w:firstLine="0" w:firstLineChars="0"/>
      <w:jc w:val="center"/>
    </w:pPr>
    <w:rPr>
      <w:rFonts w:cs="宋体"/>
      <w:b/>
      <w:szCs w:val="20"/>
    </w:rPr>
  </w:style>
  <w:style w:type="paragraph" w:customStyle="1" w:styleId="88">
    <w:name w:val="Char"/>
    <w:basedOn w:val="1"/>
    <w:qFormat/>
    <w:uiPriority w:val="0"/>
    <w:pPr>
      <w:widowControl/>
      <w:tabs>
        <w:tab w:val="left" w:pos="360"/>
      </w:tabs>
      <w:spacing w:line="240" w:lineRule="auto"/>
      <w:ind w:firstLine="0" w:firstLineChars="0"/>
      <w:jc w:val="left"/>
    </w:pPr>
    <w:rPr>
      <w:kern w:val="0"/>
      <w:szCs w:val="24"/>
    </w:rPr>
  </w:style>
  <w:style w:type="paragraph" w:customStyle="1" w:styleId="8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0">
    <w:name w:val="样式 标题 4 + 宋体 小四 非加粗"/>
    <w:basedOn w:val="6"/>
    <w:qFormat/>
    <w:uiPriority w:val="0"/>
    <w:pPr>
      <w:keepLines w:val="0"/>
      <w:widowControl/>
      <w:tabs>
        <w:tab w:val="left" w:pos="1608"/>
      </w:tabs>
      <w:adjustRightInd/>
      <w:snapToGrid/>
      <w:spacing w:before="240" w:after="156" w:line="376" w:lineRule="auto"/>
      <w:ind w:left="1608" w:hanging="708"/>
    </w:pPr>
    <w:rPr>
      <w:rFonts w:ascii="宋体" w:hAnsi="宋体"/>
      <w:b w:val="0"/>
      <w:bCs w:val="0"/>
      <w:kern w:val="0"/>
      <w:szCs w:val="36"/>
    </w:rPr>
  </w:style>
  <w:style w:type="paragraph" w:customStyle="1" w:styleId="91">
    <w:name w:val="环评正文"/>
    <w:basedOn w:val="1"/>
    <w:qFormat/>
    <w:uiPriority w:val="0"/>
    <w:pPr>
      <w:spacing w:line="360" w:lineRule="auto"/>
      <w:ind w:firstLine="200" w:firstLineChars="200"/>
    </w:pPr>
    <w:rPr>
      <w:rFonts w:ascii="Times New Roman" w:hAnsi="Times New Roman"/>
      <w:sz w:val="24"/>
    </w:rPr>
  </w:style>
  <w:style w:type="paragraph" w:customStyle="1" w:styleId="92">
    <w:name w:val="样式37"/>
    <w:basedOn w:val="1"/>
    <w:link w:val="201"/>
    <w:qFormat/>
    <w:uiPriority w:val="0"/>
    <w:pPr>
      <w:widowControl/>
      <w:spacing w:beforeLines="50" w:afterLines="50" w:line="500" w:lineRule="exact"/>
      <w:ind w:firstLine="480"/>
      <w:jc w:val="left"/>
    </w:pPr>
    <w:rPr>
      <w:rFonts w:ascii="宋体" w:hAnsi="宋体" w:cs="Times New Roman"/>
      <w:color w:val="000000"/>
      <w:kern w:val="0"/>
      <w:szCs w:val="24"/>
    </w:rPr>
  </w:style>
  <w:style w:type="paragraph" w:customStyle="1" w:styleId="93">
    <w:name w:val="正文1"/>
    <w:basedOn w:val="1"/>
    <w:link w:val="177"/>
    <w:qFormat/>
    <w:uiPriority w:val="0"/>
    <w:pPr>
      <w:adjustRightInd w:val="0"/>
      <w:spacing w:after="120" w:line="240" w:lineRule="auto"/>
      <w:ind w:firstLine="0" w:firstLineChars="0"/>
      <w:jc w:val="left"/>
    </w:pPr>
    <w:rPr>
      <w:rFonts w:ascii="宋体" w:hAnsi="宋体" w:cs="Times New Roman"/>
      <w:color w:val="000000"/>
      <w:kern w:val="0"/>
      <w:sz w:val="20"/>
      <w:szCs w:val="20"/>
    </w:rPr>
  </w:style>
  <w:style w:type="paragraph" w:customStyle="1" w:styleId="94">
    <w:name w:val="1表格"/>
    <w:basedOn w:val="1"/>
    <w:qFormat/>
    <w:uiPriority w:val="0"/>
    <w:pPr>
      <w:widowControl/>
      <w:spacing w:line="160" w:lineRule="exact"/>
      <w:ind w:firstLine="480"/>
      <w:jc w:val="center"/>
    </w:pPr>
    <w:rPr>
      <w:rFonts w:eastAsia="仿宋_GB2312"/>
      <w:kern w:val="0"/>
      <w:szCs w:val="20"/>
    </w:rPr>
  </w:style>
  <w:style w:type="paragraph" w:customStyle="1" w:styleId="95">
    <w:name w:val="文"/>
    <w:basedOn w:val="1"/>
    <w:link w:val="240"/>
    <w:qFormat/>
    <w:uiPriority w:val="0"/>
    <w:pPr>
      <w:spacing w:line="500" w:lineRule="exact"/>
      <w:ind w:firstLine="560"/>
    </w:pPr>
    <w:rPr>
      <w:rFonts w:cs="Times New Roman"/>
      <w:sz w:val="28"/>
      <w:szCs w:val="24"/>
    </w:rPr>
  </w:style>
  <w:style w:type="paragraph" w:customStyle="1" w:styleId="96">
    <w:name w:val="Table Paragraph"/>
    <w:basedOn w:val="1"/>
    <w:qFormat/>
    <w:uiPriority w:val="1"/>
    <w:pPr>
      <w:autoSpaceDE w:val="0"/>
      <w:autoSpaceDN w:val="0"/>
      <w:jc w:val="center"/>
    </w:pPr>
    <w:rPr>
      <w:rFonts w:eastAsia="Times New Roman" w:cs="Times New Roman"/>
      <w:kern w:val="0"/>
      <w:sz w:val="22"/>
      <w:lang w:eastAsia="en-US"/>
    </w:rPr>
  </w:style>
  <w:style w:type="paragraph" w:customStyle="1" w:styleId="97">
    <w:name w:val="表格内容居中"/>
    <w:qFormat/>
    <w:uiPriority w:val="0"/>
    <w:pPr>
      <w:adjustRightInd w:val="0"/>
      <w:snapToGrid w:val="0"/>
      <w:jc w:val="center"/>
    </w:pPr>
    <w:rPr>
      <w:rFonts w:ascii="Times New Roman" w:hAnsi="Times New Roman" w:eastAsia="宋体" w:cs="Times New Roman"/>
      <w:sz w:val="21"/>
      <w:szCs w:val="21"/>
      <w:lang w:val="en-US" w:eastAsia="zh-CN" w:bidi="ar-SA"/>
    </w:rPr>
  </w:style>
  <w:style w:type="paragraph" w:customStyle="1" w:styleId="98">
    <w:name w:val="报告书正文"/>
    <w:basedOn w:val="1"/>
    <w:qFormat/>
    <w:uiPriority w:val="0"/>
    <w:pPr>
      <w:spacing w:line="300" w:lineRule="auto"/>
      <w:ind w:firstLine="480"/>
    </w:pPr>
    <w:rPr>
      <w:color w:val="000000"/>
      <w:szCs w:val="24"/>
    </w:rPr>
  </w:style>
  <w:style w:type="paragraph" w:customStyle="1" w:styleId="99">
    <w:name w:val="表头"/>
    <w:next w:val="1"/>
    <w:qFormat/>
    <w:uiPriority w:val="0"/>
    <w:pPr>
      <w:spacing w:line="360" w:lineRule="auto"/>
      <w:jc w:val="center"/>
    </w:pPr>
    <w:rPr>
      <w:rFonts w:ascii="Times New Roman" w:hAnsi="宋体" w:eastAsia="宋体" w:cs="Times New Roman"/>
      <w:b/>
      <w:color w:val="000000"/>
      <w:sz w:val="21"/>
      <w:szCs w:val="22"/>
      <w:lang w:val="en-US" w:eastAsia="zh-CN" w:bidi="ar-SA"/>
    </w:rPr>
  </w:style>
  <w:style w:type="paragraph" w:customStyle="1" w:styleId="100">
    <w:name w:val="A0正文"/>
    <w:basedOn w:val="1"/>
    <w:qFormat/>
    <w:uiPriority w:val="0"/>
    <w:pPr>
      <w:spacing w:line="500" w:lineRule="exact"/>
    </w:pPr>
    <w:rPr>
      <w:rFonts w:cs="宋体"/>
      <w:szCs w:val="20"/>
      <w:lang w:val="zh-CN"/>
    </w:rPr>
  </w:style>
  <w:style w:type="paragraph" w:customStyle="1" w:styleId="101">
    <w:name w:val="样式91"/>
    <w:basedOn w:val="12"/>
    <w:link w:val="203"/>
    <w:qFormat/>
    <w:uiPriority w:val="0"/>
    <w:pPr>
      <w:widowControl/>
      <w:tabs>
        <w:tab w:val="clear" w:pos="480"/>
      </w:tabs>
      <w:overflowPunct w:val="0"/>
      <w:autoSpaceDE w:val="0"/>
      <w:autoSpaceDN w:val="0"/>
      <w:adjustRightInd w:val="0"/>
      <w:spacing w:beforeLines="50" w:afterLines="50" w:line="500" w:lineRule="exact"/>
      <w:ind w:firstLine="480" w:firstLineChars="0"/>
    </w:pPr>
    <w:rPr>
      <w:szCs w:val="24"/>
    </w:rPr>
  </w:style>
  <w:style w:type="paragraph" w:customStyle="1" w:styleId="102">
    <w:name w:val="表格1"/>
    <w:basedOn w:val="1"/>
    <w:qFormat/>
    <w:uiPriority w:val="0"/>
    <w:pPr>
      <w:widowControl/>
      <w:spacing w:line="240" w:lineRule="auto"/>
      <w:ind w:firstLine="0" w:firstLineChars="0"/>
      <w:jc w:val="center"/>
    </w:pPr>
    <w:rPr>
      <w:kern w:val="0"/>
      <w:sz w:val="21"/>
      <w:szCs w:val="24"/>
    </w:rPr>
  </w:style>
  <w:style w:type="paragraph" w:customStyle="1" w:styleId="103">
    <w:name w:val="样式 标题 2标题 21标题 121节H2SeHead wsa2标题 1.1 + 黑体 四号 非加粗"/>
    <w:basedOn w:val="4"/>
    <w:qFormat/>
    <w:uiPriority w:val="0"/>
    <w:pPr>
      <w:tabs>
        <w:tab w:val="left" w:pos="776"/>
        <w:tab w:val="left" w:pos="6930"/>
      </w:tabs>
      <w:spacing w:line="412" w:lineRule="auto"/>
      <w:ind w:left="776" w:hanging="576"/>
      <w:jc w:val="both"/>
    </w:pPr>
    <w:rPr>
      <w:rFonts w:ascii="黑体" w:hAnsi="黑体"/>
      <w:b w:val="0"/>
      <w:kern w:val="2"/>
      <w:sz w:val="28"/>
      <w:szCs w:val="32"/>
    </w:rPr>
  </w:style>
  <w:style w:type="paragraph" w:customStyle="1" w:styleId="104">
    <w:name w:val="_Style 4"/>
    <w:basedOn w:val="1"/>
    <w:qFormat/>
    <w:uiPriority w:val="34"/>
    <w:pPr>
      <w:ind w:firstLine="420" w:firstLineChars="200"/>
    </w:pPr>
  </w:style>
  <w:style w:type="paragraph" w:customStyle="1" w:styleId="105">
    <w:name w:val="_Style 0"/>
    <w:qFormat/>
    <w:uiPriority w:val="1"/>
    <w:pPr>
      <w:spacing w:line="500" w:lineRule="exact"/>
      <w:jc w:val="center"/>
    </w:pPr>
    <w:rPr>
      <w:rFonts w:ascii="Times New Roman" w:hAnsi="Times New Roman" w:eastAsia="宋体" w:cs="Times New Roman"/>
      <w:b/>
      <w:sz w:val="24"/>
      <w:szCs w:val="24"/>
      <w:lang w:val="en-US" w:eastAsia="zh-CN" w:bidi="ar-SA"/>
    </w:rPr>
  </w:style>
  <w:style w:type="paragraph" w:customStyle="1" w:styleId="106">
    <w:name w:val="CM31"/>
    <w:basedOn w:val="1"/>
    <w:next w:val="1"/>
    <w:qFormat/>
    <w:uiPriority w:val="0"/>
    <w:pPr>
      <w:autoSpaceDE w:val="0"/>
      <w:autoSpaceDN w:val="0"/>
      <w:adjustRightInd w:val="0"/>
      <w:spacing w:after="888"/>
      <w:jc w:val="left"/>
    </w:pPr>
    <w:rPr>
      <w:rFonts w:ascii="宋体" w:cs="宋体"/>
      <w:color w:val="000000"/>
      <w:kern w:val="0"/>
      <w:sz w:val="24"/>
    </w:rPr>
  </w:style>
  <w:style w:type="paragraph" w:customStyle="1" w:styleId="107">
    <w:name w:val="样式 标题 3 + 左侧:  0 厘米 首行缩进:  0 字符"/>
    <w:basedOn w:val="5"/>
    <w:qFormat/>
    <w:uiPriority w:val="0"/>
    <w:pPr>
      <w:spacing w:line="500" w:lineRule="exact"/>
      <w:jc w:val="both"/>
    </w:pPr>
    <w:rPr>
      <w:rFonts w:cs="宋体"/>
      <w:bCs/>
      <w:szCs w:val="20"/>
    </w:rPr>
  </w:style>
  <w:style w:type="paragraph" w:customStyle="1" w:styleId="108">
    <w:name w:val="Body Text 22"/>
    <w:basedOn w:val="1"/>
    <w:qFormat/>
    <w:uiPriority w:val="0"/>
    <w:pPr>
      <w:widowControl/>
      <w:adjustRightInd w:val="0"/>
      <w:spacing w:line="440" w:lineRule="exact"/>
      <w:ind w:firstLine="480"/>
      <w:jc w:val="left"/>
    </w:pPr>
    <w:rPr>
      <w:rFonts w:eastAsia="仿宋_GB2312"/>
      <w:kern w:val="0"/>
      <w:szCs w:val="20"/>
    </w:rPr>
  </w:style>
  <w:style w:type="paragraph" w:customStyle="1" w:styleId="109">
    <w:name w:val="2级标题"/>
    <w:basedOn w:val="4"/>
    <w:qFormat/>
    <w:uiPriority w:val="0"/>
    <w:pPr>
      <w:widowControl/>
      <w:adjustRightInd/>
      <w:spacing w:before="120" w:after="120" w:line="500" w:lineRule="exact"/>
    </w:pPr>
    <w:rPr>
      <w:rFonts w:ascii="宋体" w:hAnsi="宋体" w:cs="宋体"/>
      <w:b w:val="0"/>
      <w:bCs/>
      <w:kern w:val="0"/>
      <w:sz w:val="28"/>
      <w:szCs w:val="28"/>
    </w:rPr>
  </w:style>
  <w:style w:type="paragraph" w:customStyle="1" w:styleId="110">
    <w:name w:val="填表内容"/>
    <w:basedOn w:val="1"/>
    <w:qFormat/>
    <w:uiPriority w:val="0"/>
    <w:pPr>
      <w:adjustRightInd w:val="0"/>
      <w:spacing w:line="480" w:lineRule="exact"/>
      <w:ind w:firstLine="560"/>
      <w:jc w:val="left"/>
    </w:pPr>
    <w:rPr>
      <w:rFonts w:ascii="楷体_GB2312" w:eastAsia="楷体_GB2312"/>
      <w:sz w:val="28"/>
      <w:szCs w:val="20"/>
    </w:rPr>
  </w:style>
  <w:style w:type="paragraph" w:customStyle="1" w:styleId="111">
    <w:name w:val="正文1122"/>
    <w:link w:val="215"/>
    <w:qFormat/>
    <w:uiPriority w:val="0"/>
    <w:pPr>
      <w:spacing w:line="360" w:lineRule="auto"/>
      <w:ind w:left="-4" w:leftChars="-2" w:firstLine="480" w:firstLineChars="200"/>
      <w:jc w:val="both"/>
    </w:pPr>
    <w:rPr>
      <w:rFonts w:ascii="宋体" w:hAnsi="宋体" w:eastAsia="宋体" w:cs="Times New Roman"/>
      <w:kern w:val="2"/>
      <w:sz w:val="24"/>
      <w:lang w:val="en-US" w:eastAsia="zh-CN" w:bidi="ar-SA"/>
    </w:rPr>
  </w:style>
  <w:style w:type="paragraph" w:customStyle="1" w:styleId="112">
    <w:name w:val="小标题"/>
    <w:basedOn w:val="1"/>
    <w:link w:val="219"/>
    <w:qFormat/>
    <w:uiPriority w:val="0"/>
    <w:pPr>
      <w:adjustRightInd w:val="0"/>
      <w:spacing w:beforeLines="20" w:afterLines="20" w:line="380" w:lineRule="exact"/>
      <w:ind w:left="300" w:leftChars="300" w:firstLine="100" w:firstLineChars="100"/>
      <w:jc w:val="left"/>
    </w:pPr>
    <w:rPr>
      <w:rFonts w:ascii="黑体" w:hAnsi="黑体" w:eastAsia="黑体" w:cs="Times New Roman"/>
      <w:bCs/>
      <w:kern w:val="0"/>
      <w:szCs w:val="20"/>
      <w:u w:val="single"/>
    </w:rPr>
  </w:style>
  <w:style w:type="paragraph" w:customStyle="1" w:styleId="113">
    <w:name w:val="reader-word-layer reader-word-s1-10"/>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14">
    <w:name w:val="_Style 113"/>
    <w:basedOn w:val="1"/>
    <w:next w:val="1"/>
    <w:qFormat/>
    <w:uiPriority w:val="0"/>
    <w:pPr>
      <w:pBdr>
        <w:top w:val="single" w:color="auto" w:sz="6" w:space="1"/>
      </w:pBdr>
      <w:jc w:val="center"/>
    </w:pPr>
    <w:rPr>
      <w:rFonts w:ascii="Arial" w:eastAsia="宋体"/>
      <w:vanish/>
      <w:sz w:val="16"/>
    </w:rPr>
  </w:style>
  <w:style w:type="paragraph" w:customStyle="1" w:styleId="115">
    <w:name w:val="p0"/>
    <w:basedOn w:val="1"/>
    <w:qFormat/>
    <w:uiPriority w:val="99"/>
    <w:pPr>
      <w:widowControl/>
      <w:spacing w:line="500" w:lineRule="exact"/>
      <w:ind w:firstLine="480"/>
      <w:jc w:val="left"/>
    </w:pPr>
    <w:rPr>
      <w:kern w:val="0"/>
      <w:szCs w:val="21"/>
    </w:rPr>
  </w:style>
  <w:style w:type="paragraph" w:customStyle="1" w:styleId="116">
    <w:name w:val="5文章(治)"/>
    <w:basedOn w:val="1"/>
    <w:link w:val="247"/>
    <w:qFormat/>
    <w:uiPriority w:val="0"/>
    <w:pPr>
      <w:spacing w:line="500" w:lineRule="exact"/>
      <w:ind w:firstLine="560"/>
    </w:pPr>
    <w:rPr>
      <w:rFonts w:ascii="楷体_GB2312" w:eastAsia="楷体_GB2312" w:cs="Times New Roman"/>
      <w:sz w:val="28"/>
      <w:szCs w:val="20"/>
    </w:rPr>
  </w:style>
  <w:style w:type="paragraph" w:customStyle="1" w:styleId="117">
    <w:name w:val="4标题(治)"/>
    <w:basedOn w:val="1"/>
    <w:next w:val="1"/>
    <w:qFormat/>
    <w:uiPriority w:val="0"/>
    <w:pPr>
      <w:adjustRightInd w:val="0"/>
      <w:snapToGrid w:val="0"/>
      <w:spacing w:line="500" w:lineRule="exact"/>
      <w:ind w:firstLine="0" w:firstLineChars="0"/>
      <w:outlineLvl w:val="3"/>
    </w:pPr>
    <w:rPr>
      <w:b/>
      <w:kern w:val="0"/>
      <w:szCs w:val="20"/>
    </w:rPr>
  </w:style>
  <w:style w:type="paragraph" w:customStyle="1" w:styleId="118">
    <w:name w:val="List Paragraph1"/>
    <w:basedOn w:val="1"/>
    <w:qFormat/>
    <w:uiPriority w:val="34"/>
    <w:pPr>
      <w:widowControl/>
      <w:spacing w:line="500" w:lineRule="exact"/>
      <w:ind w:firstLine="420"/>
      <w:jc w:val="left"/>
    </w:pPr>
    <w:rPr>
      <w:kern w:val="0"/>
      <w:szCs w:val="24"/>
    </w:rPr>
  </w:style>
  <w:style w:type="paragraph" w:customStyle="1" w:styleId="119">
    <w:name w:val="正文文本 (2)"/>
    <w:basedOn w:val="1"/>
    <w:qFormat/>
    <w:uiPriority w:val="0"/>
    <w:pPr>
      <w:shd w:val="clear" w:color="auto" w:fill="FFFFFF"/>
      <w:spacing w:before="480" w:line="465" w:lineRule="exact"/>
      <w:jc w:val="distribute"/>
    </w:pPr>
    <w:rPr>
      <w:rFonts w:ascii="MingLiU" w:hAnsi="MingLiU" w:eastAsia="MingLiU"/>
      <w:kern w:val="0"/>
      <w:sz w:val="22"/>
      <w:szCs w:val="22"/>
    </w:rPr>
  </w:style>
  <w:style w:type="paragraph" w:customStyle="1" w:styleId="120">
    <w:name w:val="D表内"/>
    <w:basedOn w:val="1"/>
    <w:qFormat/>
    <w:uiPriority w:val="0"/>
    <w:pPr>
      <w:spacing w:before="40" w:after="40"/>
      <w:jc w:val="center"/>
    </w:pPr>
    <w:rPr>
      <w:rFonts w:cs="Times New Roman"/>
      <w:szCs w:val="21"/>
    </w:rPr>
  </w:style>
  <w:style w:type="paragraph" w:customStyle="1" w:styleId="121">
    <w:name w:val="样式 首行缩进:  0.77 厘米 行距: 固定值 20 磅4"/>
    <w:basedOn w:val="1"/>
    <w:qFormat/>
    <w:uiPriority w:val="0"/>
    <w:pPr>
      <w:widowControl/>
      <w:ind w:firstLine="435"/>
      <w:jc w:val="left"/>
    </w:pPr>
    <w:rPr>
      <w:rFonts w:cs="宋体"/>
      <w:kern w:val="0"/>
      <w:szCs w:val="20"/>
    </w:rPr>
  </w:style>
  <w:style w:type="paragraph" w:customStyle="1" w:styleId="122">
    <w:name w:val="Char Char Char Char Char Char Char Char Char Char"/>
    <w:basedOn w:val="1"/>
    <w:qFormat/>
    <w:uiPriority w:val="0"/>
    <w:pPr>
      <w:spacing w:beforeLines="50" w:afterLines="50" w:line="240" w:lineRule="auto"/>
      <w:ind w:firstLine="0" w:firstLineChars="0"/>
    </w:pPr>
    <w:rPr>
      <w:rFonts w:ascii="Tahoma" w:hAnsi="Tahoma"/>
      <w:szCs w:val="20"/>
    </w:rPr>
  </w:style>
  <w:style w:type="paragraph" w:customStyle="1" w:styleId="123">
    <w:name w:val="列出段落4"/>
    <w:basedOn w:val="1"/>
    <w:unhideWhenUsed/>
    <w:qFormat/>
    <w:uiPriority w:val="99"/>
    <w:pPr>
      <w:ind w:firstLine="420"/>
    </w:pPr>
  </w:style>
  <w:style w:type="paragraph" w:customStyle="1" w:styleId="124">
    <w:name w:val="缩进"/>
    <w:basedOn w:val="1"/>
    <w:qFormat/>
    <w:uiPriority w:val="0"/>
    <w:pPr>
      <w:autoSpaceDE w:val="0"/>
      <w:autoSpaceDN w:val="0"/>
      <w:adjustRightInd w:val="0"/>
      <w:spacing w:line="400" w:lineRule="atLeast"/>
      <w:ind w:firstLine="425"/>
      <w:textAlignment w:val="baseline"/>
    </w:pPr>
    <w:rPr>
      <w:kern w:val="0"/>
    </w:rPr>
  </w:style>
  <w:style w:type="paragraph" w:customStyle="1" w:styleId="125">
    <w:name w:val="松香标题2"/>
    <w:basedOn w:val="109"/>
    <w:qFormat/>
    <w:uiPriority w:val="5"/>
    <w:pPr>
      <w:snapToGrid/>
      <w:spacing w:before="0" w:after="0" w:line="360" w:lineRule="auto"/>
    </w:pPr>
    <w:rPr>
      <w:rFonts w:ascii="Times New Roman" w:hAnsi="Times New Roman"/>
      <w:b/>
      <w:sz w:val="32"/>
      <w:szCs w:val="32"/>
    </w:rPr>
  </w:style>
  <w:style w:type="paragraph" w:customStyle="1" w:styleId="126">
    <w:name w:val="我的正文"/>
    <w:basedOn w:val="1"/>
    <w:link w:val="173"/>
    <w:qFormat/>
    <w:uiPriority w:val="0"/>
    <w:pPr>
      <w:ind w:firstLine="538" w:firstLineChars="192"/>
    </w:pPr>
    <w:rPr>
      <w:rFonts w:cs="Times New Roman"/>
      <w:sz w:val="28"/>
      <w:szCs w:val="22"/>
    </w:rPr>
  </w:style>
  <w:style w:type="paragraph" w:customStyle="1" w:styleId="127">
    <w:name w:val="样式 标题 3标题3H3h33rd level第二层条标题 3 Char Char标题 31标题 3 Char ..."/>
    <w:basedOn w:val="5"/>
    <w:qFormat/>
    <w:uiPriority w:val="0"/>
    <w:pPr>
      <w:adjustRightInd w:val="0"/>
      <w:spacing w:line="600" w:lineRule="exact"/>
      <w:jc w:val="both"/>
    </w:pPr>
    <w:rPr>
      <w:bCs/>
      <w:color w:val="000000"/>
      <w:kern w:val="0"/>
      <w:szCs w:val="28"/>
    </w:rPr>
  </w:style>
  <w:style w:type="paragraph" w:styleId="128">
    <w:name w:val="List Paragraph"/>
    <w:basedOn w:val="1"/>
    <w:qFormat/>
    <w:uiPriority w:val="99"/>
    <w:pPr>
      <w:ind w:firstLine="420"/>
    </w:pPr>
  </w:style>
  <w:style w:type="paragraph" w:customStyle="1" w:styleId="129">
    <w:name w:val="FF表格"/>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130">
    <w:name w:val="报告正文文字"/>
    <w:basedOn w:val="1"/>
    <w:qFormat/>
    <w:uiPriority w:val="0"/>
    <w:pPr>
      <w:widowControl/>
      <w:autoSpaceDE w:val="0"/>
      <w:autoSpaceDN w:val="0"/>
      <w:spacing w:line="360" w:lineRule="auto"/>
      <w:ind w:firstLine="480" w:firstLineChars="200"/>
    </w:pPr>
    <w:rPr>
      <w:rFonts w:ascii="宋体" w:hAnsi="宋体"/>
      <w:color w:val="000000"/>
      <w:spacing w:val="4"/>
      <w:kern w:val="0"/>
      <w:sz w:val="24"/>
      <w:szCs w:val="20"/>
    </w:rPr>
  </w:style>
  <w:style w:type="paragraph" w:customStyle="1" w:styleId="131">
    <w:name w:val="FF正文"/>
    <w:basedOn w:val="1"/>
    <w:qFormat/>
    <w:uiPriority w:val="0"/>
    <w:pPr>
      <w:widowControl/>
      <w:spacing w:line="480" w:lineRule="exact"/>
      <w:ind w:firstLine="480"/>
      <w:jc w:val="left"/>
    </w:pPr>
    <w:rPr>
      <w:rFonts w:ascii="Calibri" w:hAnsi="Calibri"/>
      <w:color w:val="000000"/>
      <w:kern w:val="0"/>
      <w:szCs w:val="21"/>
    </w:rPr>
  </w:style>
  <w:style w:type="paragraph" w:customStyle="1" w:styleId="132">
    <w:name w:val="正文标准样式"/>
    <w:basedOn w:val="1"/>
    <w:qFormat/>
    <w:uiPriority w:val="0"/>
    <w:pPr>
      <w:adjustRightInd w:val="0"/>
      <w:spacing w:line="300" w:lineRule="auto"/>
      <w:ind w:firstLine="482" w:firstLineChars="0"/>
    </w:pPr>
    <w:rPr>
      <w:kern w:val="0"/>
      <w:szCs w:val="20"/>
    </w:rPr>
  </w:style>
  <w:style w:type="paragraph" w:customStyle="1" w:styleId="133">
    <w:name w:val="_Style 3"/>
    <w:qFormat/>
    <w:uiPriority w:val="1"/>
    <w:pPr>
      <w:spacing w:line="500" w:lineRule="exact"/>
      <w:jc w:val="center"/>
    </w:pPr>
    <w:rPr>
      <w:rFonts w:ascii="Times New Roman" w:hAnsi="Times New Roman" w:eastAsia="宋体" w:cs="Times New Roman"/>
      <w:b/>
      <w:sz w:val="24"/>
      <w:szCs w:val="24"/>
      <w:lang w:val="en-US" w:eastAsia="zh-CN" w:bidi="ar-SA"/>
    </w:rPr>
  </w:style>
  <w:style w:type="paragraph" w:customStyle="1" w:styleId="134">
    <w:name w:val="C0 Plain Text"/>
    <w:basedOn w:val="1"/>
    <w:qFormat/>
    <w:uiPriority w:val="0"/>
    <w:pPr>
      <w:widowControl/>
      <w:overflowPunct w:val="0"/>
      <w:autoSpaceDE w:val="0"/>
      <w:autoSpaceDN w:val="0"/>
      <w:adjustRightInd w:val="0"/>
      <w:spacing w:before="120" w:after="120" w:line="500" w:lineRule="exact"/>
      <w:ind w:firstLine="480"/>
      <w:jc w:val="left"/>
    </w:pPr>
    <w:rPr>
      <w:kern w:val="0"/>
      <w:szCs w:val="20"/>
      <w:lang w:val="en-GB" w:eastAsia="en-US"/>
    </w:rPr>
  </w:style>
  <w:style w:type="paragraph" w:customStyle="1" w:styleId="135">
    <w:name w:val="1"/>
    <w:basedOn w:val="7"/>
    <w:qFormat/>
    <w:uiPriority w:val="0"/>
    <w:pPr>
      <w:spacing w:line="500" w:lineRule="exact"/>
      <w:ind w:firstLine="0" w:firstLineChars="0"/>
    </w:pPr>
    <w:rPr>
      <w:sz w:val="24"/>
    </w:rPr>
  </w:style>
  <w:style w:type="paragraph" w:customStyle="1" w:styleId="136">
    <w:name w:val="样式 小四 行距: 1.5 倍行距"/>
    <w:basedOn w:val="1"/>
    <w:link w:val="167"/>
    <w:semiHidden/>
    <w:qFormat/>
    <w:uiPriority w:val="0"/>
    <w:pPr>
      <w:spacing w:line="500" w:lineRule="exact"/>
      <w:ind w:firstLine="0" w:firstLineChars="0"/>
    </w:pPr>
    <w:rPr>
      <w:rFonts w:ascii="宋体" w:hAnsi="宋体" w:cs="Times New Roman"/>
      <w:szCs w:val="20"/>
    </w:rPr>
  </w:style>
  <w:style w:type="paragraph" w:customStyle="1" w:styleId="137">
    <w:name w:val="标题3-1"/>
    <w:basedOn w:val="5"/>
    <w:qFormat/>
    <w:uiPriority w:val="0"/>
    <w:pPr>
      <w:tabs>
        <w:tab w:val="left" w:pos="720"/>
      </w:tabs>
      <w:adjustRightInd w:val="0"/>
      <w:snapToGrid w:val="0"/>
      <w:spacing w:line="500" w:lineRule="exact"/>
      <w:ind w:left="1610" w:hanging="1610"/>
      <w:jc w:val="left"/>
      <w:textAlignment w:val="baseline"/>
    </w:pPr>
    <w:rPr>
      <w:rFonts w:ascii="Times New Roman" w:hAnsi="Times New Roman" w:eastAsia="宋体"/>
      <w:szCs w:val="30"/>
    </w:rPr>
  </w:style>
  <w:style w:type="paragraph" w:customStyle="1" w:styleId="138">
    <w:name w:val="样式44"/>
    <w:basedOn w:val="1"/>
    <w:qFormat/>
    <w:uiPriority w:val="0"/>
    <w:pPr>
      <w:keepNext/>
      <w:keepLines/>
      <w:widowControl/>
      <w:spacing w:beforeLines="50" w:afterLines="50"/>
      <w:ind w:firstLine="480"/>
      <w:jc w:val="left"/>
      <w:outlineLvl w:val="1"/>
    </w:pPr>
    <w:rPr>
      <w:rFonts w:ascii="黑体" w:eastAsia="黑体"/>
      <w:b/>
      <w:bCs/>
      <w:kern w:val="0"/>
      <w:sz w:val="28"/>
      <w:szCs w:val="28"/>
    </w:rPr>
  </w:style>
  <w:style w:type="paragraph" w:customStyle="1" w:styleId="139">
    <w:name w:val="样式6"/>
    <w:basedOn w:val="1"/>
    <w:qFormat/>
    <w:uiPriority w:val="0"/>
    <w:pPr>
      <w:widowControl/>
      <w:spacing w:beforeLines="50" w:afterLines="50" w:line="500" w:lineRule="exact"/>
      <w:ind w:firstLine="480"/>
      <w:jc w:val="left"/>
      <w:outlineLvl w:val="2"/>
    </w:pPr>
    <w:rPr>
      <w:rFonts w:ascii="宋体" w:hAnsi="宋体"/>
      <w:b/>
      <w:kern w:val="0"/>
      <w:szCs w:val="24"/>
    </w:rPr>
  </w:style>
  <w:style w:type="paragraph" w:customStyle="1" w:styleId="140">
    <w:name w:val="二号标题样式"/>
    <w:basedOn w:val="79"/>
    <w:qFormat/>
    <w:uiPriority w:val="0"/>
    <w:pPr>
      <w:spacing w:beforeLines="50" w:afterLines="50"/>
    </w:pPr>
    <w:rPr>
      <w:bCs w:val="0"/>
      <w:szCs w:val="20"/>
    </w:rPr>
  </w:style>
  <w:style w:type="paragraph" w:customStyle="1" w:styleId="141">
    <w:name w:val="7表格(治)"/>
    <w:qFormat/>
    <w:uiPriority w:val="0"/>
    <w:pPr>
      <w:jc w:val="center"/>
    </w:pPr>
    <w:rPr>
      <w:rFonts w:ascii="Times New Roman" w:hAnsi="Times New Roman" w:eastAsia="楷体_GB2312" w:cs="Times New Roman"/>
      <w:sz w:val="21"/>
      <w:lang w:val="en-US" w:eastAsia="zh-CN" w:bidi="ar-SA"/>
    </w:rPr>
  </w:style>
  <w:style w:type="paragraph" w:customStyle="1" w:styleId="142">
    <w:name w:val="Normal"/>
    <w:qFormat/>
    <w:uiPriority w:val="0"/>
    <w:pPr>
      <w:jc w:val="both"/>
    </w:pPr>
    <w:rPr>
      <w:rFonts w:ascii="Times New Roman" w:hAnsi="Times New Roman" w:eastAsia="宋体" w:cs="宋体"/>
      <w:kern w:val="2"/>
      <w:sz w:val="24"/>
      <w:szCs w:val="21"/>
      <w:lang w:val="en-US" w:eastAsia="zh-CN" w:bidi="ar-SA"/>
    </w:rPr>
  </w:style>
  <w:style w:type="character" w:customStyle="1" w:styleId="143">
    <w:name w:val="题注 Char"/>
    <w:link w:val="13"/>
    <w:qFormat/>
    <w:uiPriority w:val="99"/>
    <w:rPr>
      <w:rFonts w:ascii="Times New Roman" w:hAnsi="Times New Roman" w:eastAsia="宋体" w:cs="Arial"/>
      <w:b/>
      <w:sz w:val="24"/>
      <w:szCs w:val="20"/>
    </w:rPr>
  </w:style>
  <w:style w:type="character" w:customStyle="1" w:styleId="144">
    <w:name w:val="bsharetext"/>
    <w:basedOn w:val="50"/>
    <w:qFormat/>
    <w:uiPriority w:val="0"/>
  </w:style>
  <w:style w:type="character" w:customStyle="1" w:styleId="145">
    <w:name w:val="nth-child(7)1"/>
    <w:basedOn w:val="50"/>
    <w:qFormat/>
    <w:uiPriority w:val="0"/>
  </w:style>
  <w:style w:type="character" w:customStyle="1" w:styleId="146">
    <w:name w:val="nth-child(1)"/>
    <w:basedOn w:val="50"/>
    <w:qFormat/>
    <w:uiPriority w:val="0"/>
  </w:style>
  <w:style w:type="character" w:customStyle="1" w:styleId="147">
    <w:name w:val="before1"/>
    <w:basedOn w:val="50"/>
    <w:qFormat/>
    <w:uiPriority w:val="0"/>
  </w:style>
  <w:style w:type="character" w:customStyle="1" w:styleId="148">
    <w:name w:val="nth-child(8)"/>
    <w:basedOn w:val="50"/>
    <w:qFormat/>
    <w:uiPriority w:val="0"/>
  </w:style>
  <w:style w:type="character" w:customStyle="1" w:styleId="149">
    <w:name w:val="nth-child(3)2"/>
    <w:basedOn w:val="50"/>
    <w:qFormat/>
    <w:uiPriority w:val="0"/>
  </w:style>
  <w:style w:type="character" w:customStyle="1" w:styleId="150">
    <w:name w:val="font01"/>
    <w:qFormat/>
    <w:uiPriority w:val="0"/>
    <w:rPr>
      <w:rFonts w:hint="eastAsia" w:ascii="宋体" w:hAnsi="宋体" w:eastAsia="宋体" w:cs="宋体"/>
      <w:color w:val="000000"/>
      <w:kern w:val="0"/>
      <w:sz w:val="22"/>
      <w:szCs w:val="22"/>
      <w:u w:val="none"/>
      <w:lang w:eastAsia="en-US"/>
    </w:rPr>
  </w:style>
  <w:style w:type="character" w:customStyle="1" w:styleId="151">
    <w:name w:val="nth-child(5)2"/>
    <w:basedOn w:val="50"/>
    <w:qFormat/>
    <w:uiPriority w:val="0"/>
  </w:style>
  <w:style w:type="character" w:customStyle="1" w:styleId="152">
    <w:name w:val="HTML 预设格式 Char"/>
    <w:link w:val="41"/>
    <w:semiHidden/>
    <w:qFormat/>
    <w:uiPriority w:val="0"/>
    <w:rPr>
      <w:rFonts w:ascii="Arial" w:hAnsi="Arial" w:cs="Arial"/>
      <w:sz w:val="24"/>
      <w:szCs w:val="24"/>
    </w:rPr>
  </w:style>
  <w:style w:type="character" w:customStyle="1" w:styleId="153">
    <w:name w:val="nth-child(2)2"/>
    <w:basedOn w:val="50"/>
    <w:qFormat/>
    <w:uiPriority w:val="0"/>
  </w:style>
  <w:style w:type="character" w:customStyle="1" w:styleId="154">
    <w:name w:val="nth-child(10)"/>
    <w:basedOn w:val="50"/>
    <w:qFormat/>
    <w:uiPriority w:val="0"/>
  </w:style>
  <w:style w:type="character" w:customStyle="1" w:styleId="155">
    <w:name w:val="文档结构图 Char1"/>
    <w:semiHidden/>
    <w:qFormat/>
    <w:uiPriority w:val="99"/>
    <w:rPr>
      <w:rFonts w:hint="eastAsia" w:ascii="宋体" w:hAnsi="Verdana" w:eastAsia="宋体"/>
      <w:kern w:val="0"/>
      <w:sz w:val="18"/>
      <w:szCs w:val="18"/>
      <w:lang w:eastAsia="en-US"/>
    </w:rPr>
  </w:style>
  <w:style w:type="character" w:customStyle="1" w:styleId="156">
    <w:name w:val="nth-child(2)1"/>
    <w:basedOn w:val="50"/>
    <w:qFormat/>
    <w:uiPriority w:val="0"/>
  </w:style>
  <w:style w:type="character" w:customStyle="1" w:styleId="157">
    <w:name w:val="样式 首行缩进:  2.25 字符1 Char"/>
    <w:link w:val="82"/>
    <w:qFormat/>
    <w:locked/>
    <w:uiPriority w:val="0"/>
    <w:rPr>
      <w:rFonts w:ascii="宋体" w:hAnsi="宋体" w:cs="宋体"/>
      <w:kern w:val="2"/>
      <w:sz w:val="24"/>
    </w:rPr>
  </w:style>
  <w:style w:type="character" w:customStyle="1" w:styleId="158">
    <w:name w:val="left"/>
    <w:basedOn w:val="50"/>
    <w:qFormat/>
    <w:uiPriority w:val="0"/>
  </w:style>
  <w:style w:type="character" w:customStyle="1" w:styleId="159">
    <w:name w:val="font21"/>
    <w:qFormat/>
    <w:uiPriority w:val="0"/>
    <w:rPr>
      <w:rFonts w:hint="eastAsia" w:ascii="宋体" w:hAnsi="宋体" w:eastAsia="宋体" w:cs="宋体"/>
      <w:color w:val="000000"/>
      <w:sz w:val="21"/>
      <w:szCs w:val="21"/>
      <w:u w:val="none"/>
    </w:rPr>
  </w:style>
  <w:style w:type="character" w:customStyle="1" w:styleId="160">
    <w:name w:val="nth-child(4)"/>
    <w:basedOn w:val="50"/>
    <w:qFormat/>
    <w:uiPriority w:val="0"/>
  </w:style>
  <w:style w:type="character" w:customStyle="1" w:styleId="161">
    <w:name w:val="nth-child(1)1"/>
    <w:qFormat/>
    <w:uiPriority w:val="0"/>
    <w:rPr>
      <w:b/>
    </w:rPr>
  </w:style>
  <w:style w:type="character" w:customStyle="1" w:styleId="162">
    <w:name w:val="font51"/>
    <w:qFormat/>
    <w:uiPriority w:val="0"/>
    <w:rPr>
      <w:rFonts w:hint="default" w:ascii="Times New Roman" w:hAnsi="Times New Roman" w:cs="Times New Roman"/>
      <w:color w:val="000000"/>
      <w:kern w:val="0"/>
      <w:sz w:val="21"/>
      <w:szCs w:val="21"/>
      <w:u w:val="none"/>
      <w:lang w:eastAsia="en-US"/>
    </w:rPr>
  </w:style>
  <w:style w:type="character" w:customStyle="1" w:styleId="163">
    <w:name w:val="nth-child(4)2"/>
    <w:basedOn w:val="50"/>
    <w:qFormat/>
    <w:uiPriority w:val="0"/>
  </w:style>
  <w:style w:type="character" w:customStyle="1" w:styleId="164">
    <w:name w:val="批注框文本 Char"/>
    <w:link w:val="27"/>
    <w:semiHidden/>
    <w:qFormat/>
    <w:uiPriority w:val="0"/>
    <w:rPr>
      <w:kern w:val="2"/>
      <w:sz w:val="18"/>
      <w:szCs w:val="18"/>
    </w:rPr>
  </w:style>
  <w:style w:type="character" w:customStyle="1" w:styleId="165">
    <w:name w:val="nth-child(7)"/>
    <w:qFormat/>
    <w:uiPriority w:val="0"/>
    <w:rPr>
      <w:bdr w:val="single" w:color="808080" w:sz="6" w:space="0"/>
    </w:rPr>
  </w:style>
  <w:style w:type="character" w:customStyle="1" w:styleId="166">
    <w:name w:val="size10-21"/>
    <w:qFormat/>
    <w:uiPriority w:val="0"/>
    <w:rPr>
      <w:sz w:val="20"/>
      <w:szCs w:val="20"/>
    </w:rPr>
  </w:style>
  <w:style w:type="character" w:customStyle="1" w:styleId="167">
    <w:name w:val="样式 小四 行距: 1.5 倍行距 Char"/>
    <w:link w:val="136"/>
    <w:semiHidden/>
    <w:qFormat/>
    <w:locked/>
    <w:uiPriority w:val="0"/>
    <w:rPr>
      <w:rFonts w:ascii="宋体" w:hAnsi="宋体" w:cs="宋体"/>
      <w:kern w:val="2"/>
      <w:sz w:val="24"/>
    </w:rPr>
  </w:style>
  <w:style w:type="character" w:customStyle="1" w:styleId="168">
    <w:name w:val="nth-child(3)1"/>
    <w:basedOn w:val="50"/>
    <w:qFormat/>
    <w:uiPriority w:val="0"/>
  </w:style>
  <w:style w:type="character" w:customStyle="1" w:styleId="169">
    <w:name w:val="纯文本 Char"/>
    <w:link w:val="23"/>
    <w:qFormat/>
    <w:uiPriority w:val="0"/>
    <w:rPr>
      <w:rFonts w:ascii="宋体" w:hAnsi="Courier New"/>
      <w:kern w:val="2"/>
      <w:sz w:val="24"/>
      <w:szCs w:val="22"/>
    </w:rPr>
  </w:style>
  <w:style w:type="character" w:customStyle="1" w:styleId="170">
    <w:name w:val="before"/>
    <w:basedOn w:val="50"/>
    <w:qFormat/>
    <w:uiPriority w:val="0"/>
  </w:style>
  <w:style w:type="character" w:customStyle="1" w:styleId="171">
    <w:name w:val="ico"/>
    <w:basedOn w:val="50"/>
    <w:qFormat/>
    <w:uiPriority w:val="0"/>
  </w:style>
  <w:style w:type="character" w:customStyle="1" w:styleId="172">
    <w:name w:val="nth-child(5)1"/>
    <w:basedOn w:val="50"/>
    <w:qFormat/>
    <w:uiPriority w:val="0"/>
  </w:style>
  <w:style w:type="character" w:customStyle="1" w:styleId="173">
    <w:name w:val="我的正文 Char"/>
    <w:link w:val="126"/>
    <w:qFormat/>
    <w:locked/>
    <w:uiPriority w:val="0"/>
    <w:rPr>
      <w:rFonts w:ascii="Times New Roman" w:hAnsi="Times New Roman"/>
      <w:kern w:val="2"/>
      <w:sz w:val="28"/>
      <w:szCs w:val="22"/>
    </w:rPr>
  </w:style>
  <w:style w:type="character" w:customStyle="1" w:styleId="174">
    <w:name w:val="font41"/>
    <w:qFormat/>
    <w:uiPriority w:val="0"/>
    <w:rPr>
      <w:rFonts w:hint="eastAsia" w:ascii="宋体" w:hAnsi="宋体" w:eastAsia="宋体" w:cs="宋体"/>
      <w:color w:val="000000"/>
      <w:kern w:val="0"/>
      <w:sz w:val="21"/>
      <w:szCs w:val="21"/>
      <w:u w:val="none"/>
      <w:lang w:eastAsia="en-US"/>
    </w:rPr>
  </w:style>
  <w:style w:type="character" w:customStyle="1" w:styleId="175">
    <w:name w:val="正文缩进 Char Char1"/>
    <w:qFormat/>
    <w:uiPriority w:val="0"/>
    <w:rPr>
      <w:rFonts w:hint="eastAsia" w:ascii="宋体" w:hAnsi="宋体" w:eastAsia="宋体"/>
      <w:kern w:val="2"/>
      <w:sz w:val="24"/>
      <w:lang w:val="en-US" w:eastAsia="zh-CN" w:bidi="ar-SA"/>
    </w:rPr>
  </w:style>
  <w:style w:type="character" w:customStyle="1" w:styleId="176">
    <w:name w:val="正文首行缩进 Char"/>
    <w:link w:val="45"/>
    <w:semiHidden/>
    <w:qFormat/>
    <w:uiPriority w:val="0"/>
    <w:rPr>
      <w:rFonts w:ascii="Times New Roman" w:hAnsi="Times New Roman" w:eastAsia="宋体" w:cs="宋体"/>
      <w:sz w:val="24"/>
      <w:szCs w:val="24"/>
      <w:lang w:eastAsia="en-US"/>
    </w:rPr>
  </w:style>
  <w:style w:type="character" w:customStyle="1" w:styleId="177">
    <w:name w:val="正文1 Char"/>
    <w:link w:val="93"/>
    <w:qFormat/>
    <w:locked/>
    <w:uiPriority w:val="0"/>
    <w:rPr>
      <w:rFonts w:ascii="宋体" w:hAnsi="宋体"/>
      <w:color w:val="000000"/>
    </w:rPr>
  </w:style>
  <w:style w:type="character" w:customStyle="1" w:styleId="178">
    <w:name w:val="nth-child(4)1"/>
    <w:basedOn w:val="50"/>
    <w:qFormat/>
    <w:uiPriority w:val="0"/>
  </w:style>
  <w:style w:type="character" w:customStyle="1" w:styleId="179">
    <w:name w:val="正文文本 2 Char"/>
    <w:link w:val="40"/>
    <w:semiHidden/>
    <w:qFormat/>
    <w:uiPriority w:val="0"/>
    <w:rPr>
      <w:rFonts w:ascii="Times New Roman" w:hAnsi="Times New Roman"/>
      <w:sz w:val="24"/>
      <w:szCs w:val="24"/>
    </w:rPr>
  </w:style>
  <w:style w:type="character" w:customStyle="1" w:styleId="180">
    <w:name w:val="font61"/>
    <w:qFormat/>
    <w:uiPriority w:val="0"/>
    <w:rPr>
      <w:rFonts w:hint="eastAsia" w:ascii="宋体" w:hAnsi="宋体" w:eastAsia="宋体" w:cs="宋体"/>
      <w:b/>
      <w:color w:val="000000"/>
      <w:kern w:val="0"/>
      <w:sz w:val="21"/>
      <w:szCs w:val="21"/>
      <w:u w:val="none"/>
      <w:lang w:eastAsia="en-US"/>
    </w:rPr>
  </w:style>
  <w:style w:type="character" w:customStyle="1" w:styleId="181">
    <w:name w:val="正文文本缩进 3 Char"/>
    <w:link w:val="37"/>
    <w:semiHidden/>
    <w:qFormat/>
    <w:uiPriority w:val="0"/>
    <w:rPr>
      <w:rFonts w:ascii="Times New Roman" w:hAnsi="Times New Roman"/>
      <w:sz w:val="16"/>
      <w:szCs w:val="16"/>
    </w:rPr>
  </w:style>
  <w:style w:type="character" w:customStyle="1" w:styleId="182">
    <w:name w:val="正文文本 Char"/>
    <w:link w:val="18"/>
    <w:qFormat/>
    <w:uiPriority w:val="0"/>
    <w:rPr>
      <w:rFonts w:ascii="宋体" w:hAnsi="宋体" w:eastAsia="宋体" w:cs="宋体"/>
      <w:sz w:val="24"/>
      <w:szCs w:val="24"/>
      <w:lang w:eastAsia="en-US"/>
    </w:rPr>
  </w:style>
  <w:style w:type="character" w:customStyle="1" w:styleId="183">
    <w:name w:val="nth-child(3)"/>
    <w:basedOn w:val="50"/>
    <w:qFormat/>
    <w:uiPriority w:val="0"/>
  </w:style>
  <w:style w:type="character" w:customStyle="1" w:styleId="184">
    <w:name w:val="批注主题 Char"/>
    <w:link w:val="44"/>
    <w:semiHidden/>
    <w:qFormat/>
    <w:uiPriority w:val="0"/>
    <w:rPr>
      <w:rFonts w:ascii="Times New Roman" w:hAnsi="Times New Roman"/>
      <w:b/>
      <w:bCs/>
      <w:sz w:val="24"/>
      <w:szCs w:val="24"/>
    </w:rPr>
  </w:style>
  <w:style w:type="character" w:customStyle="1" w:styleId="185">
    <w:name w:val="button"/>
    <w:qFormat/>
    <w:uiPriority w:val="0"/>
    <w:rPr>
      <w:vanish/>
    </w:rPr>
  </w:style>
  <w:style w:type="character" w:customStyle="1" w:styleId="186">
    <w:name w:val="尾注文本 Char1"/>
    <w:semiHidden/>
    <w:qFormat/>
    <w:uiPriority w:val="99"/>
    <w:rPr>
      <w:rFonts w:hint="default" w:ascii="Verdana" w:hAnsi="Verdana"/>
      <w:kern w:val="0"/>
      <w:sz w:val="24"/>
      <w:szCs w:val="24"/>
      <w:lang w:eastAsia="en-US"/>
    </w:rPr>
  </w:style>
  <w:style w:type="character" w:customStyle="1" w:styleId="187">
    <w:name w:val="nth-child(6)1"/>
    <w:basedOn w:val="50"/>
    <w:qFormat/>
    <w:uiPriority w:val="0"/>
  </w:style>
  <w:style w:type="character" w:customStyle="1" w:styleId="188">
    <w:name w:val="ico3"/>
    <w:basedOn w:val="50"/>
    <w:qFormat/>
    <w:uiPriority w:val="0"/>
  </w:style>
  <w:style w:type="character" w:customStyle="1" w:styleId="189">
    <w:name w:val="nth-child(3)4"/>
    <w:qFormat/>
    <w:uiPriority w:val="0"/>
    <w:rPr>
      <w:color w:val="FFFFFF"/>
      <w:shd w:val="clear" w:color="auto" w:fill="66BA00"/>
    </w:rPr>
  </w:style>
  <w:style w:type="character" w:customStyle="1" w:styleId="190">
    <w:name w:val="act"/>
    <w:qFormat/>
    <w:uiPriority w:val="0"/>
    <w:rPr>
      <w:color w:val="3483C5"/>
    </w:rPr>
  </w:style>
  <w:style w:type="character" w:customStyle="1" w:styleId="191">
    <w:name w:val="fontstyle01"/>
    <w:qFormat/>
    <w:uiPriority w:val="0"/>
    <w:rPr>
      <w:rFonts w:hint="default" w:ascii="仿宋" w:hAnsi="仿宋"/>
      <w:color w:val="000000"/>
      <w:sz w:val="30"/>
      <w:szCs w:val="30"/>
    </w:rPr>
  </w:style>
  <w:style w:type="character" w:customStyle="1" w:styleId="192">
    <w:name w:val="正文文本缩进 2 Char"/>
    <w:link w:val="20"/>
    <w:semiHidden/>
    <w:qFormat/>
    <w:uiPriority w:val="0"/>
    <w:rPr>
      <w:rFonts w:ascii="Times New Roman" w:hAnsi="Times New Roman"/>
      <w:sz w:val="24"/>
      <w:szCs w:val="24"/>
    </w:rPr>
  </w:style>
  <w:style w:type="character" w:customStyle="1" w:styleId="193">
    <w:name w:val="fontstyle11"/>
    <w:qFormat/>
    <w:uiPriority w:val="0"/>
    <w:rPr>
      <w:rFonts w:hint="default" w:ascii="TimesNewRomanPSMT" w:hAnsi="TimesNewRomanPSMT"/>
      <w:color w:val="000000"/>
      <w:sz w:val="30"/>
      <w:szCs w:val="30"/>
    </w:rPr>
  </w:style>
  <w:style w:type="character" w:customStyle="1" w:styleId="194">
    <w:name w:val="标题 Char1"/>
    <w:qFormat/>
    <w:uiPriority w:val="10"/>
    <w:rPr>
      <w:rFonts w:hint="default" w:ascii="Cambria" w:hAnsi="Cambria" w:cs="Times New Roman"/>
      <w:b/>
      <w:bCs/>
      <w:kern w:val="0"/>
      <w:sz w:val="32"/>
      <w:szCs w:val="32"/>
      <w:lang w:eastAsia="en-US"/>
    </w:rPr>
  </w:style>
  <w:style w:type="character" w:customStyle="1" w:styleId="195">
    <w:name w:val="正文文本缩进 2 Char1"/>
    <w:semiHidden/>
    <w:qFormat/>
    <w:uiPriority w:val="99"/>
    <w:rPr>
      <w:rFonts w:hint="default" w:ascii="Verdana" w:hAnsi="Verdana"/>
      <w:kern w:val="0"/>
      <w:sz w:val="24"/>
      <w:szCs w:val="24"/>
      <w:lang w:eastAsia="en-US"/>
    </w:rPr>
  </w:style>
  <w:style w:type="character" w:customStyle="1" w:styleId="196">
    <w:name w:val="标题 5 Char"/>
    <w:link w:val="7"/>
    <w:semiHidden/>
    <w:qFormat/>
    <w:uiPriority w:val="0"/>
    <w:rPr>
      <w:rFonts w:ascii="Times New Roman" w:hAnsi="Times New Roman"/>
      <w:b/>
      <w:bCs/>
      <w:sz w:val="28"/>
      <w:szCs w:val="28"/>
    </w:rPr>
  </w:style>
  <w:style w:type="character" w:customStyle="1" w:styleId="197">
    <w:name w:val="nth-child(7)2"/>
    <w:qFormat/>
    <w:uiPriority w:val="0"/>
    <w:rPr>
      <w:color w:val="FFFFFF"/>
      <w:shd w:val="clear" w:color="auto" w:fill="66BA00"/>
    </w:rPr>
  </w:style>
  <w:style w:type="character" w:customStyle="1" w:styleId="198">
    <w:name w:val="nth-child(9)"/>
    <w:basedOn w:val="50"/>
    <w:qFormat/>
    <w:uiPriority w:val="0"/>
  </w:style>
  <w:style w:type="character" w:customStyle="1" w:styleId="199">
    <w:name w:val="fontstyle31"/>
    <w:qFormat/>
    <w:uiPriority w:val="0"/>
    <w:rPr>
      <w:rFonts w:hint="default" w:ascii="TimesNewRomanPS-ItalicMT" w:hAnsi="TimesNewRomanPS-ItalicMT"/>
      <w:i/>
      <w:iCs/>
      <w:color w:val="000000"/>
      <w:sz w:val="30"/>
      <w:szCs w:val="30"/>
    </w:rPr>
  </w:style>
  <w:style w:type="character" w:customStyle="1" w:styleId="200">
    <w:name w:val="报告正文 Char Char"/>
    <w:link w:val="47"/>
    <w:qFormat/>
    <w:uiPriority w:val="0"/>
    <w:rPr>
      <w:rFonts w:ascii="Times New Roman" w:hAnsi="Times New Roman" w:cs="Times New Roman"/>
      <w:color w:val="000000"/>
      <w:kern w:val="0"/>
      <w:sz w:val="24"/>
      <w:szCs w:val="24"/>
    </w:rPr>
  </w:style>
  <w:style w:type="character" w:customStyle="1" w:styleId="201">
    <w:name w:val="样式37 Char Char"/>
    <w:link w:val="92"/>
    <w:qFormat/>
    <w:locked/>
    <w:uiPriority w:val="0"/>
    <w:rPr>
      <w:rFonts w:ascii="宋体" w:hAnsi="宋体" w:cs="宋体"/>
      <w:color w:val="000000"/>
      <w:sz w:val="24"/>
      <w:szCs w:val="24"/>
    </w:rPr>
  </w:style>
  <w:style w:type="character" w:customStyle="1" w:styleId="202">
    <w:name w:val="right"/>
    <w:basedOn w:val="50"/>
    <w:qFormat/>
    <w:uiPriority w:val="0"/>
  </w:style>
  <w:style w:type="character" w:customStyle="1" w:styleId="203">
    <w:name w:val="样式91 Char"/>
    <w:link w:val="101"/>
    <w:qFormat/>
    <w:locked/>
    <w:uiPriority w:val="0"/>
    <w:rPr>
      <w:kern w:val="2"/>
      <w:sz w:val="24"/>
      <w:szCs w:val="24"/>
    </w:rPr>
  </w:style>
  <w:style w:type="character" w:customStyle="1" w:styleId="204">
    <w:name w:val="标题4 Char"/>
    <w:link w:val="76"/>
    <w:qFormat/>
    <w:locked/>
    <w:uiPriority w:val="0"/>
    <w:rPr>
      <w:b/>
      <w:sz w:val="24"/>
      <w:szCs w:val="24"/>
      <w:lang w:eastAsia="en-US" w:bidi="en-US"/>
    </w:rPr>
  </w:style>
  <w:style w:type="character" w:customStyle="1" w:styleId="205">
    <w:name w:val="nth-child(2)3"/>
    <w:basedOn w:val="50"/>
    <w:qFormat/>
    <w:uiPriority w:val="0"/>
  </w:style>
  <w:style w:type="character" w:customStyle="1" w:styleId="206">
    <w:name w:val="ico1"/>
    <w:basedOn w:val="50"/>
    <w:qFormat/>
    <w:uiPriority w:val="0"/>
  </w:style>
  <w:style w:type="character" w:customStyle="1" w:styleId="207">
    <w:name w:val="nth-child(6)2"/>
    <w:basedOn w:val="50"/>
    <w:qFormat/>
    <w:uiPriority w:val="0"/>
  </w:style>
  <w:style w:type="character" w:customStyle="1" w:styleId="208">
    <w:name w:val="标题 1 Char"/>
    <w:link w:val="2"/>
    <w:qFormat/>
    <w:uiPriority w:val="0"/>
    <w:rPr>
      <w:rFonts w:ascii="Times New Roman" w:hAnsi="Times New Roman" w:eastAsia="宋体"/>
      <w:b/>
      <w:kern w:val="30"/>
      <w:sz w:val="32"/>
      <w:szCs w:val="22"/>
    </w:rPr>
  </w:style>
  <w:style w:type="character" w:customStyle="1" w:styleId="209">
    <w:name w:val="报告正文 Char"/>
    <w:qFormat/>
    <w:uiPriority w:val="0"/>
    <w:rPr>
      <w:rFonts w:ascii="宋体" w:hAnsi="宋体" w:eastAsia="宋体" w:cs="宋体"/>
      <w:bCs/>
      <w:kern w:val="2"/>
      <w:sz w:val="24"/>
      <w:szCs w:val="24"/>
    </w:rPr>
  </w:style>
  <w:style w:type="character" w:customStyle="1" w:styleId="210">
    <w:name w:val="nth-child(6)"/>
    <w:qFormat/>
    <w:uiPriority w:val="0"/>
    <w:rPr>
      <w:bdr w:val="single" w:color="808080" w:sz="6" w:space="0"/>
    </w:rPr>
  </w:style>
  <w:style w:type="character" w:customStyle="1" w:styleId="211">
    <w:name w:val="nth-child(5)"/>
    <w:qFormat/>
    <w:uiPriority w:val="0"/>
    <w:rPr>
      <w:bdr w:val="single" w:color="808080" w:sz="6" w:space="0"/>
    </w:rPr>
  </w:style>
  <w:style w:type="character" w:customStyle="1" w:styleId="212">
    <w:name w:val="正文文本缩进 3 Char1"/>
    <w:semiHidden/>
    <w:qFormat/>
    <w:uiPriority w:val="99"/>
    <w:rPr>
      <w:rFonts w:hint="default" w:ascii="Verdana" w:hAnsi="Verdana"/>
      <w:kern w:val="0"/>
      <w:sz w:val="16"/>
      <w:szCs w:val="16"/>
      <w:lang w:eastAsia="en-US"/>
    </w:rPr>
  </w:style>
  <w:style w:type="character" w:customStyle="1" w:styleId="213">
    <w:name w:val="active"/>
    <w:qFormat/>
    <w:uiPriority w:val="0"/>
    <w:rPr>
      <w:color w:val="FFFFFF"/>
    </w:rPr>
  </w:style>
  <w:style w:type="character" w:customStyle="1" w:styleId="214">
    <w:name w:val="ico2"/>
    <w:qFormat/>
    <w:uiPriority w:val="0"/>
    <w:rPr>
      <w:shd w:val="clear" w:color="auto" w:fill="5997CC"/>
    </w:rPr>
  </w:style>
  <w:style w:type="character" w:customStyle="1" w:styleId="215">
    <w:name w:val="正文1122 Char Char"/>
    <w:link w:val="111"/>
    <w:qFormat/>
    <w:locked/>
    <w:uiPriority w:val="0"/>
    <w:rPr>
      <w:rFonts w:ascii="宋体" w:hAnsi="宋体"/>
      <w:kern w:val="2"/>
      <w:sz w:val="24"/>
      <w:lang w:val="en-US" w:eastAsia="zh-CN" w:bidi="ar-SA"/>
    </w:rPr>
  </w:style>
  <w:style w:type="character" w:customStyle="1" w:styleId="216">
    <w:name w:val="文档结构图 Char"/>
    <w:link w:val="16"/>
    <w:semiHidden/>
    <w:qFormat/>
    <w:uiPriority w:val="0"/>
    <w:rPr>
      <w:rFonts w:ascii="宋体" w:eastAsia="宋体"/>
      <w:kern w:val="2"/>
      <w:sz w:val="18"/>
      <w:szCs w:val="18"/>
    </w:rPr>
  </w:style>
  <w:style w:type="character" w:customStyle="1" w:styleId="217">
    <w:name w:val="正文缩进 Char"/>
    <w:link w:val="12"/>
    <w:qFormat/>
    <w:locked/>
    <w:uiPriority w:val="0"/>
    <w:rPr>
      <w:rFonts w:ascii="Times New Roman" w:hAnsi="Times New Roman"/>
      <w:kern w:val="2"/>
      <w:sz w:val="24"/>
      <w:szCs w:val="22"/>
    </w:rPr>
  </w:style>
  <w:style w:type="character" w:customStyle="1" w:styleId="218">
    <w:name w:val="标题 2 Char"/>
    <w:link w:val="4"/>
    <w:qFormat/>
    <w:uiPriority w:val="0"/>
    <w:rPr>
      <w:rFonts w:ascii="Times New Roman" w:hAnsi="Times New Roman" w:eastAsia="宋体"/>
      <w:b/>
      <w:kern w:val="24"/>
      <w:sz w:val="30"/>
      <w:szCs w:val="22"/>
    </w:rPr>
  </w:style>
  <w:style w:type="character" w:customStyle="1" w:styleId="219">
    <w:name w:val="小标题 Char"/>
    <w:link w:val="112"/>
    <w:qFormat/>
    <w:locked/>
    <w:uiPriority w:val="0"/>
    <w:rPr>
      <w:rFonts w:ascii="黑体" w:hAnsi="黑体" w:eastAsia="黑体"/>
      <w:bCs/>
      <w:sz w:val="24"/>
      <w:u w:val="single"/>
    </w:rPr>
  </w:style>
  <w:style w:type="character" w:customStyle="1" w:styleId="220">
    <w:name w:val="表格 Char"/>
    <w:link w:val="81"/>
    <w:qFormat/>
    <w:locked/>
    <w:uiPriority w:val="0"/>
    <w:rPr>
      <w:kern w:val="2"/>
      <w:sz w:val="21"/>
    </w:rPr>
  </w:style>
  <w:style w:type="character" w:customStyle="1" w:styleId="221">
    <w:name w:val="act14"/>
    <w:qFormat/>
    <w:uiPriority w:val="0"/>
    <w:rPr>
      <w:color w:val="3483C5"/>
    </w:rPr>
  </w:style>
  <w:style w:type="character" w:customStyle="1" w:styleId="222">
    <w:name w:val="页脚 Char1"/>
    <w:semiHidden/>
    <w:qFormat/>
    <w:uiPriority w:val="99"/>
    <w:rPr>
      <w:rFonts w:hint="default" w:ascii="Verdana" w:hAnsi="Verdana"/>
      <w:kern w:val="0"/>
      <w:sz w:val="18"/>
      <w:szCs w:val="18"/>
      <w:lang w:eastAsia="en-US"/>
    </w:rPr>
  </w:style>
  <w:style w:type="character" w:customStyle="1" w:styleId="223">
    <w:name w:val="font31"/>
    <w:qFormat/>
    <w:uiPriority w:val="0"/>
    <w:rPr>
      <w:rFonts w:hint="default" w:ascii="Times New Roman" w:hAnsi="Times New Roman" w:cs="Times New Roman"/>
      <w:b/>
      <w:color w:val="000000"/>
      <w:kern w:val="0"/>
      <w:sz w:val="21"/>
      <w:szCs w:val="21"/>
      <w:u w:val="none"/>
      <w:lang w:eastAsia="en-US"/>
    </w:rPr>
  </w:style>
  <w:style w:type="character" w:customStyle="1" w:styleId="224">
    <w:name w:val="标题 Char"/>
    <w:link w:val="3"/>
    <w:qFormat/>
    <w:uiPriority w:val="0"/>
    <w:rPr>
      <w:rFonts w:ascii="Times New Roman" w:hAnsi="Times New Roman"/>
      <w:b/>
      <w:bCs/>
      <w:kern w:val="2"/>
      <w:sz w:val="32"/>
      <w:szCs w:val="32"/>
    </w:rPr>
  </w:style>
  <w:style w:type="character" w:customStyle="1" w:styleId="225">
    <w:name w:val="批注文字 Char"/>
    <w:basedOn w:val="50"/>
    <w:link w:val="17"/>
    <w:qFormat/>
    <w:uiPriority w:val="0"/>
  </w:style>
  <w:style w:type="character" w:customStyle="1" w:styleId="226">
    <w:name w:val="页眉 Char"/>
    <w:link w:val="29"/>
    <w:qFormat/>
    <w:uiPriority w:val="0"/>
    <w:rPr>
      <w:kern w:val="2"/>
      <w:sz w:val="18"/>
      <w:szCs w:val="18"/>
    </w:rPr>
  </w:style>
  <w:style w:type="character" w:customStyle="1" w:styleId="227">
    <w:name w:val="f241"/>
    <w:qFormat/>
    <w:uiPriority w:val="0"/>
    <w:rPr>
      <w:sz w:val="36"/>
      <w:szCs w:val="36"/>
    </w:rPr>
  </w:style>
  <w:style w:type="character" w:customStyle="1" w:styleId="228">
    <w:name w:val="标题 4 Char"/>
    <w:link w:val="6"/>
    <w:qFormat/>
    <w:uiPriority w:val="0"/>
    <w:rPr>
      <w:rFonts w:ascii="Times New Roman" w:hAnsi="Times New Roman" w:eastAsia="宋体" w:cs="Times New Roman"/>
      <w:b/>
      <w:bCs/>
      <w:kern w:val="2"/>
      <w:sz w:val="24"/>
      <w:szCs w:val="28"/>
    </w:rPr>
  </w:style>
  <w:style w:type="character" w:customStyle="1" w:styleId="229">
    <w:name w:val="日期 Char1"/>
    <w:semiHidden/>
    <w:qFormat/>
    <w:uiPriority w:val="99"/>
    <w:rPr>
      <w:rFonts w:hint="default" w:ascii="Verdana" w:hAnsi="Verdana"/>
      <w:kern w:val="0"/>
      <w:sz w:val="24"/>
      <w:szCs w:val="24"/>
      <w:lang w:eastAsia="en-US"/>
    </w:rPr>
  </w:style>
  <w:style w:type="character" w:customStyle="1" w:styleId="230">
    <w:name w:val="active6"/>
    <w:qFormat/>
    <w:uiPriority w:val="0"/>
    <w:rPr>
      <w:color w:val="FFFFFF"/>
    </w:rPr>
  </w:style>
  <w:style w:type="character" w:customStyle="1" w:styleId="231">
    <w:name w:val="hover51"/>
    <w:qFormat/>
    <w:uiPriority w:val="0"/>
    <w:rPr>
      <w:color w:val="FFFFFF"/>
      <w:sz w:val="30"/>
      <w:szCs w:val="30"/>
    </w:rPr>
  </w:style>
  <w:style w:type="character" w:customStyle="1" w:styleId="232">
    <w:name w:val="font11"/>
    <w:qFormat/>
    <w:uiPriority w:val="0"/>
    <w:rPr>
      <w:rFonts w:hint="default" w:ascii="Times New Roman" w:hAnsi="Times New Roman" w:cs="Times New Roman"/>
      <w:color w:val="000000"/>
      <w:sz w:val="22"/>
      <w:szCs w:val="22"/>
      <w:u w:val="none"/>
    </w:rPr>
  </w:style>
  <w:style w:type="character" w:customStyle="1" w:styleId="233">
    <w:name w:val="标题 3 Char"/>
    <w:link w:val="5"/>
    <w:qFormat/>
    <w:uiPriority w:val="0"/>
    <w:rPr>
      <w:rFonts w:ascii="Times New Roman" w:hAnsi="Times New Roman" w:eastAsia="宋体"/>
      <w:b/>
      <w:kern w:val="2"/>
      <w:sz w:val="28"/>
      <w:szCs w:val="22"/>
    </w:rPr>
  </w:style>
  <w:style w:type="character" w:customStyle="1" w:styleId="234">
    <w:name w:val="页脚 Char"/>
    <w:link w:val="28"/>
    <w:qFormat/>
    <w:uiPriority w:val="99"/>
    <w:rPr>
      <w:rFonts w:ascii="Times New Roman" w:hAnsi="Times New Roman" w:eastAsia="宋体"/>
      <w:kern w:val="2"/>
      <w:sz w:val="18"/>
      <w:szCs w:val="18"/>
    </w:rPr>
  </w:style>
  <w:style w:type="character" w:customStyle="1" w:styleId="235">
    <w:name w:val="mg_l_25"/>
    <w:basedOn w:val="50"/>
    <w:qFormat/>
    <w:uiPriority w:val="0"/>
  </w:style>
  <w:style w:type="character" w:customStyle="1" w:styleId="236">
    <w:name w:val="li_txt"/>
    <w:basedOn w:val="50"/>
    <w:qFormat/>
    <w:uiPriority w:val="0"/>
  </w:style>
  <w:style w:type="character" w:customStyle="1" w:styleId="237">
    <w:name w:val="页眉 Char1"/>
    <w:semiHidden/>
    <w:qFormat/>
    <w:uiPriority w:val="99"/>
    <w:rPr>
      <w:rFonts w:hint="default" w:ascii="Verdana" w:hAnsi="Verdana"/>
      <w:kern w:val="0"/>
      <w:sz w:val="18"/>
      <w:szCs w:val="18"/>
      <w:lang w:eastAsia="en-US"/>
    </w:rPr>
  </w:style>
  <w:style w:type="character" w:customStyle="1" w:styleId="238">
    <w:name w:val="日期 Char"/>
    <w:link w:val="25"/>
    <w:semiHidden/>
    <w:qFormat/>
    <w:uiPriority w:val="0"/>
    <w:rPr>
      <w:rFonts w:ascii="Times New Roman" w:hAnsi="Times New Roman" w:eastAsia="宋体"/>
      <w:kern w:val="2"/>
      <w:sz w:val="24"/>
      <w:szCs w:val="22"/>
    </w:rPr>
  </w:style>
  <w:style w:type="character" w:customStyle="1" w:styleId="239">
    <w:name w:val="正文文本缩进 Char"/>
    <w:link w:val="19"/>
    <w:semiHidden/>
    <w:qFormat/>
    <w:uiPriority w:val="0"/>
    <w:rPr>
      <w:rFonts w:ascii="Times New Roman" w:hAnsi="Times New Roman"/>
      <w:color w:val="000000"/>
      <w:spacing w:val="6"/>
      <w:sz w:val="24"/>
      <w:szCs w:val="24"/>
      <w:lang w:val="zh-CN"/>
    </w:rPr>
  </w:style>
  <w:style w:type="character" w:customStyle="1" w:styleId="240">
    <w:name w:val="文 Char"/>
    <w:link w:val="95"/>
    <w:qFormat/>
    <w:locked/>
    <w:uiPriority w:val="0"/>
    <w:rPr>
      <w:kern w:val="2"/>
      <w:sz w:val="28"/>
      <w:szCs w:val="24"/>
    </w:rPr>
  </w:style>
  <w:style w:type="character" w:styleId="241">
    <w:name w:val="Placeholder Text"/>
    <w:unhideWhenUsed/>
    <w:qFormat/>
    <w:uiPriority w:val="99"/>
    <w:rPr>
      <w:color w:val="808080"/>
    </w:rPr>
  </w:style>
  <w:style w:type="character" w:customStyle="1" w:styleId="242">
    <w:name w:val="标题 11 Char1"/>
    <w:qFormat/>
    <w:uiPriority w:val="0"/>
    <w:rPr>
      <w:rFonts w:hint="eastAsia" w:ascii="宋体" w:hAnsi="宋体" w:eastAsia="宋体"/>
      <w:b/>
      <w:bCs/>
      <w:kern w:val="44"/>
      <w:sz w:val="44"/>
      <w:szCs w:val="44"/>
      <w:lang w:val="en-US" w:eastAsia="zh-CN" w:bidi="ar-SA"/>
    </w:rPr>
  </w:style>
  <w:style w:type="character" w:customStyle="1" w:styleId="243">
    <w:name w:val="文中表格 Char"/>
    <w:link w:val="66"/>
    <w:qFormat/>
    <w:locked/>
    <w:uiPriority w:val="0"/>
    <w:rPr>
      <w:sz w:val="21"/>
      <w:szCs w:val="24"/>
      <w:lang w:val="en-US" w:eastAsia="en-US" w:bidi="en-US"/>
    </w:rPr>
  </w:style>
  <w:style w:type="character" w:customStyle="1" w:styleId="244">
    <w:name w:val="right2"/>
    <w:basedOn w:val="50"/>
    <w:qFormat/>
    <w:uiPriority w:val="0"/>
  </w:style>
  <w:style w:type="character" w:customStyle="1" w:styleId="245">
    <w:name w:val="批注文字 Char1"/>
    <w:semiHidden/>
    <w:qFormat/>
    <w:uiPriority w:val="99"/>
    <w:rPr>
      <w:rFonts w:ascii="Times New Roman" w:hAnsi="Times New Roman" w:eastAsia="宋体"/>
      <w:kern w:val="2"/>
      <w:sz w:val="24"/>
      <w:szCs w:val="22"/>
    </w:rPr>
  </w:style>
  <w:style w:type="character" w:customStyle="1" w:styleId="246">
    <w:name w:val="nth-child(3)3"/>
    <w:basedOn w:val="50"/>
    <w:qFormat/>
    <w:uiPriority w:val="0"/>
  </w:style>
  <w:style w:type="character" w:customStyle="1" w:styleId="247">
    <w:name w:val="5文章(治) Char"/>
    <w:link w:val="116"/>
    <w:qFormat/>
    <w:locked/>
    <w:uiPriority w:val="0"/>
    <w:rPr>
      <w:rFonts w:ascii="楷体_GB2312" w:eastAsia="楷体_GB2312"/>
      <w:kern w:val="2"/>
      <w:sz w:val="28"/>
    </w:rPr>
  </w:style>
  <w:style w:type="character" w:customStyle="1" w:styleId="248">
    <w:name w:val="纯文本 Char1"/>
    <w:semiHidden/>
    <w:qFormat/>
    <w:uiPriority w:val="99"/>
    <w:rPr>
      <w:rFonts w:hint="eastAsia" w:ascii="宋体" w:hAnsi="Courier New" w:eastAsia="宋体" w:cs="Courier New"/>
      <w:kern w:val="0"/>
      <w:sz w:val="21"/>
      <w:szCs w:val="21"/>
      <w:lang w:eastAsia="en-US"/>
    </w:rPr>
  </w:style>
  <w:style w:type="character" w:customStyle="1" w:styleId="249">
    <w:name w:val="nth-child(2)"/>
    <w:basedOn w:val="50"/>
    <w:qFormat/>
    <w:uiPriority w:val="0"/>
  </w:style>
  <w:style w:type="character" w:customStyle="1" w:styleId="250">
    <w:name w:val="尾注文本 Char"/>
    <w:link w:val="26"/>
    <w:semiHidden/>
    <w:qFormat/>
    <w:uiPriority w:val="0"/>
    <w:rPr>
      <w:rFonts w:ascii="Times New Roman" w:hAnsi="Times New Roman"/>
      <w:sz w:val="24"/>
      <w:szCs w:val="24"/>
    </w:rPr>
  </w:style>
  <w:style w:type="table" w:customStyle="1" w:styleId="251">
    <w:name w:val="A表格样式"/>
    <w:basedOn w:val="48"/>
    <w:qFormat/>
    <w:uiPriority w:val="0"/>
    <w:pPr>
      <w:widowControl w:val="0"/>
      <w:jc w:val="center"/>
    </w:pPr>
    <w:rPr>
      <w:rFonts w:ascii="Times New Roman" w:hAnsi="Times New Roman"/>
    </w:rPr>
    <w:tblPr>
      <w:tblBorders>
        <w:top w:val="single" w:color="000000" w:sz="12" w:space="0"/>
        <w:bottom w:val="single" w:color="000000" w:sz="12" w:space="0"/>
        <w:insideH w:val="single" w:color="auto" w:sz="4" w:space="0"/>
        <w:insideV w:val="single" w:color="auto" w:sz="4" w:space="0"/>
      </w:tblBorders>
      <w:tblLayout w:type="fixed"/>
      <w:tblCellMar>
        <w:left w:w="0" w:type="dxa"/>
        <w:right w:w="0" w:type="dxa"/>
      </w:tblCellMar>
    </w:tblPr>
    <w:tcPr>
      <w:vAlign w:val="center"/>
    </w:tcPr>
    <w:tblStylePr w:type="firstRow">
      <w:rPr>
        <w:b/>
      </w:rPr>
    </w:tblStylePr>
  </w:style>
  <w:style w:type="table" w:customStyle="1" w:styleId="252">
    <w:name w:val="网格型3"/>
    <w:basedOn w:val="4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3">
    <w:name w:val="网格型2"/>
    <w:basedOn w:val="4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4">
    <w:name w:val="网格型1"/>
    <w:basedOn w:val="4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5">
    <w:name w:val="Table Normal"/>
    <w:unhideWhenUsed/>
    <w:qFormat/>
    <w:uiPriority w:val="2"/>
    <w:pPr>
      <w:widowControl w:val="0"/>
      <w:autoSpaceDE w:val="0"/>
      <w:autoSpaceDN w:val="0"/>
    </w:pPr>
    <w:rPr>
      <w:sz w:val="22"/>
      <w:szCs w:val="22"/>
      <w:lang w:val="en-US" w:eastAsia="en-US" w:bidi="ar-SA"/>
    </w:rPr>
    <w:tblPr>
      <w:tblLayout w:type="fixed"/>
      <w:tblCellMar>
        <w:top w:w="0" w:type="dxa"/>
        <w:left w:w="0" w:type="dxa"/>
        <w:bottom w:w="0" w:type="dxa"/>
        <w:right w:w="0" w:type="dxa"/>
      </w:tblCellMar>
    </w:tblPr>
  </w:style>
  <w:style w:type="table" w:customStyle="1" w:styleId="256">
    <w:name w:val="网格型5"/>
    <w:basedOn w:val="48"/>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57">
    <w:name w:val="Table Normal1"/>
    <w:unhideWhenUsed/>
    <w:qFormat/>
    <w:uiPriority w:val="2"/>
    <w:pPr>
      <w:widowControl w:val="0"/>
      <w:autoSpaceDE w:val="0"/>
      <w:autoSpaceDN w:val="0"/>
    </w:pPr>
    <w:rPr>
      <w:sz w:val="22"/>
      <w:szCs w:val="22"/>
      <w:lang w:val="en-US" w:eastAsia="en-US" w:bidi="ar-SA"/>
    </w:rPr>
    <w:tblPr>
      <w:tblLayout w:type="fixed"/>
      <w:tblCellMar>
        <w:top w:w="0" w:type="dxa"/>
        <w:left w:w="0" w:type="dxa"/>
        <w:bottom w:w="0" w:type="dxa"/>
        <w:right w:w="0" w:type="dxa"/>
      </w:tblCellMar>
    </w:tblPr>
  </w:style>
  <w:style w:type="table" w:customStyle="1" w:styleId="258">
    <w:name w:val="网格型4"/>
    <w:basedOn w:val="4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15.bin"/><Relationship Id="rId98" Type="http://schemas.openxmlformats.org/officeDocument/2006/relationships/image" Target="media/image59.wmf"/><Relationship Id="rId97" Type="http://schemas.openxmlformats.org/officeDocument/2006/relationships/oleObject" Target="embeddings/oleObject14.bin"/><Relationship Id="rId96" Type="http://schemas.openxmlformats.org/officeDocument/2006/relationships/image" Target="media/image58.wmf"/><Relationship Id="rId95" Type="http://schemas.openxmlformats.org/officeDocument/2006/relationships/oleObject" Target="embeddings/oleObject13.bin"/><Relationship Id="rId94" Type="http://schemas.openxmlformats.org/officeDocument/2006/relationships/image" Target="media/image57.jpeg"/><Relationship Id="rId93" Type="http://schemas.openxmlformats.org/officeDocument/2006/relationships/image" Target="media/image56.wmf"/><Relationship Id="rId92" Type="http://schemas.openxmlformats.org/officeDocument/2006/relationships/oleObject" Target="embeddings/oleObject12.bin"/><Relationship Id="rId91" Type="http://schemas.openxmlformats.org/officeDocument/2006/relationships/image" Target="media/image55.wmf"/><Relationship Id="rId90" Type="http://schemas.openxmlformats.org/officeDocument/2006/relationships/oleObject" Target="embeddings/oleObject11.bin"/><Relationship Id="rId9" Type="http://schemas.openxmlformats.org/officeDocument/2006/relationships/footer" Target="footer4.xml"/><Relationship Id="rId89" Type="http://schemas.openxmlformats.org/officeDocument/2006/relationships/image" Target="media/image54.wmf"/><Relationship Id="rId88" Type="http://schemas.openxmlformats.org/officeDocument/2006/relationships/oleObject" Target="embeddings/oleObject10.bin"/><Relationship Id="rId87" Type="http://schemas.openxmlformats.org/officeDocument/2006/relationships/image" Target="media/image53.png"/><Relationship Id="rId86" Type="http://schemas.openxmlformats.org/officeDocument/2006/relationships/image" Target="media/image52.png"/><Relationship Id="rId85" Type="http://schemas.openxmlformats.org/officeDocument/2006/relationships/image" Target="media/image51.png"/><Relationship Id="rId84" Type="http://schemas.openxmlformats.org/officeDocument/2006/relationships/image" Target="media/image50.png"/><Relationship Id="rId83" Type="http://schemas.openxmlformats.org/officeDocument/2006/relationships/image" Target="media/image49.png"/><Relationship Id="rId82" Type="http://schemas.openxmlformats.org/officeDocument/2006/relationships/image" Target="media/image48.png"/><Relationship Id="rId81" Type="http://schemas.openxmlformats.org/officeDocument/2006/relationships/image" Target="media/image47.png"/><Relationship Id="rId80" Type="http://schemas.openxmlformats.org/officeDocument/2006/relationships/image" Target="media/image46.png"/><Relationship Id="rId8" Type="http://schemas.openxmlformats.org/officeDocument/2006/relationships/header" Target="header3.xml"/><Relationship Id="rId79" Type="http://schemas.openxmlformats.org/officeDocument/2006/relationships/image" Target="media/image45.png"/><Relationship Id="rId78" Type="http://schemas.openxmlformats.org/officeDocument/2006/relationships/image" Target="media/image44.jpeg"/><Relationship Id="rId77" Type="http://schemas.openxmlformats.org/officeDocument/2006/relationships/image" Target="media/image43.png"/><Relationship Id="rId76" Type="http://schemas.openxmlformats.org/officeDocument/2006/relationships/image" Target="media/image42.png"/><Relationship Id="rId75" Type="http://schemas.openxmlformats.org/officeDocument/2006/relationships/image" Target="media/image41.png"/><Relationship Id="rId74" Type="http://schemas.openxmlformats.org/officeDocument/2006/relationships/image" Target="media/image40.png"/><Relationship Id="rId73" Type="http://schemas.openxmlformats.org/officeDocument/2006/relationships/image" Target="media/image39.png"/><Relationship Id="rId72" Type="http://schemas.openxmlformats.org/officeDocument/2006/relationships/image" Target="media/image38.png"/><Relationship Id="rId71" Type="http://schemas.openxmlformats.org/officeDocument/2006/relationships/image" Target="media/image37.png"/><Relationship Id="rId70" Type="http://schemas.openxmlformats.org/officeDocument/2006/relationships/image" Target="media/image36.png"/><Relationship Id="rId7" Type="http://schemas.openxmlformats.org/officeDocument/2006/relationships/footer" Target="footer3.xml"/><Relationship Id="rId69" Type="http://schemas.openxmlformats.org/officeDocument/2006/relationships/image" Target="media/image35.png"/><Relationship Id="rId68" Type="http://schemas.openxmlformats.org/officeDocument/2006/relationships/image" Target="media/image34.emf"/><Relationship Id="rId67" Type="http://schemas.openxmlformats.org/officeDocument/2006/relationships/oleObject" Target="embeddings/oleObject9.bin"/><Relationship Id="rId66" Type="http://schemas.openxmlformats.org/officeDocument/2006/relationships/image" Target="media/image33.emf"/><Relationship Id="rId65" Type="http://schemas.openxmlformats.org/officeDocument/2006/relationships/oleObject" Target="embeddings/oleObject8.bin"/><Relationship Id="rId64" Type="http://schemas.openxmlformats.org/officeDocument/2006/relationships/image" Target="media/image32.emf"/><Relationship Id="rId63" Type="http://schemas.openxmlformats.org/officeDocument/2006/relationships/oleObject" Target="embeddings/oleObject7.bin"/><Relationship Id="rId62" Type="http://schemas.openxmlformats.org/officeDocument/2006/relationships/image" Target="media/image31.emf"/><Relationship Id="rId61" Type="http://schemas.openxmlformats.org/officeDocument/2006/relationships/oleObject" Target="embeddings/oleObject6.bin"/><Relationship Id="rId60" Type="http://schemas.openxmlformats.org/officeDocument/2006/relationships/image" Target="media/image30.png"/><Relationship Id="rId6" Type="http://schemas.openxmlformats.org/officeDocument/2006/relationships/footer" Target="footer2.xml"/><Relationship Id="rId59" Type="http://schemas.openxmlformats.org/officeDocument/2006/relationships/image" Target="media/image29.png"/><Relationship Id="rId58" Type="http://schemas.openxmlformats.org/officeDocument/2006/relationships/image" Target="media/image28.png"/><Relationship Id="rId57" Type="http://schemas.openxmlformats.org/officeDocument/2006/relationships/image" Target="media/image27.png"/><Relationship Id="rId56" Type="http://schemas.openxmlformats.org/officeDocument/2006/relationships/image" Target="media/image26.png"/><Relationship Id="rId55" Type="http://schemas.openxmlformats.org/officeDocument/2006/relationships/image" Target="media/image25.png"/><Relationship Id="rId54" Type="http://schemas.openxmlformats.org/officeDocument/2006/relationships/image" Target="media/image24.png"/><Relationship Id="rId53" Type="http://schemas.openxmlformats.org/officeDocument/2006/relationships/image" Target="media/image23.png"/><Relationship Id="rId52" Type="http://schemas.openxmlformats.org/officeDocument/2006/relationships/image" Target="media/image22.png"/><Relationship Id="rId51" Type="http://schemas.openxmlformats.org/officeDocument/2006/relationships/image" Target="media/image21.emf"/><Relationship Id="rId50" Type="http://schemas.openxmlformats.org/officeDocument/2006/relationships/oleObject" Target="embeddings/oleObject5.bin"/><Relationship Id="rId5" Type="http://schemas.openxmlformats.org/officeDocument/2006/relationships/footer" Target="footer1.xml"/><Relationship Id="rId49" Type="http://schemas.openxmlformats.org/officeDocument/2006/relationships/image" Target="media/image20.emf"/><Relationship Id="rId48" Type="http://schemas.openxmlformats.org/officeDocument/2006/relationships/oleObject" Target="embeddings/oleObject4.bin"/><Relationship Id="rId47" Type="http://schemas.openxmlformats.org/officeDocument/2006/relationships/image" Target="media/image19.emf"/><Relationship Id="rId46" Type="http://schemas.openxmlformats.org/officeDocument/2006/relationships/oleObject" Target="embeddings/oleObject3.bin"/><Relationship Id="rId45" Type="http://schemas.openxmlformats.org/officeDocument/2006/relationships/image" Target="media/image18.emf"/><Relationship Id="rId44" Type="http://schemas.openxmlformats.org/officeDocument/2006/relationships/oleObject" Target="embeddings/oleObject2.bin"/><Relationship Id="rId43" Type="http://schemas.openxmlformats.org/officeDocument/2006/relationships/image" Target="media/image17.emf"/><Relationship Id="rId42" Type="http://schemas.openxmlformats.org/officeDocument/2006/relationships/oleObject" Target="embeddings/oleObject1.bin"/><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jpeg"/><Relationship Id="rId37" Type="http://schemas.openxmlformats.org/officeDocument/2006/relationships/image" Target="media/image12.jpeg"/><Relationship Id="rId36" Type="http://schemas.openxmlformats.org/officeDocument/2006/relationships/image" Target="media/image11.jpeg"/><Relationship Id="rId35" Type="http://schemas.openxmlformats.org/officeDocument/2006/relationships/image" Target="media/image10.jpeg"/><Relationship Id="rId34" Type="http://schemas.openxmlformats.org/officeDocument/2006/relationships/image" Target="media/image9.jpeg"/><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jpeg"/><Relationship Id="rId3" Type="http://schemas.openxmlformats.org/officeDocument/2006/relationships/header" Target="header1.xml"/><Relationship Id="rId29" Type="http://schemas.openxmlformats.org/officeDocument/2006/relationships/image" Target="media/image4.jpe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header" Target="header17.xml"/><Relationship Id="rId23" Type="http://schemas.openxmlformats.org/officeDocument/2006/relationships/header" Target="header16.xml"/><Relationship Id="rId22" Type="http://schemas.openxmlformats.org/officeDocument/2006/relationships/header" Target="header15.xml"/><Relationship Id="rId21" Type="http://schemas.openxmlformats.org/officeDocument/2006/relationships/header" Target="header14.xml"/><Relationship Id="rId20" Type="http://schemas.openxmlformats.org/officeDocument/2006/relationships/header" Target="header13.xml"/><Relationship Id="rId2" Type="http://schemas.openxmlformats.org/officeDocument/2006/relationships/settings" Target="settings.xml"/><Relationship Id="rId19" Type="http://schemas.openxmlformats.org/officeDocument/2006/relationships/footer" Target="footer5.xml"/><Relationship Id="rId18" Type="http://schemas.openxmlformats.org/officeDocument/2006/relationships/header" Target="header12.xml"/><Relationship Id="rId17" Type="http://schemas.openxmlformats.org/officeDocument/2006/relationships/header" Target="header11.xml"/><Relationship Id="rId16" Type="http://schemas.openxmlformats.org/officeDocument/2006/relationships/header" Target="header10.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header" Target="header6.xml"/><Relationship Id="rId111" Type="http://schemas.openxmlformats.org/officeDocument/2006/relationships/fontTable" Target="fontTable.xml"/><Relationship Id="rId110" Type="http://schemas.openxmlformats.org/officeDocument/2006/relationships/numbering" Target="numbering.xml"/><Relationship Id="rId11" Type="http://schemas.openxmlformats.org/officeDocument/2006/relationships/header" Target="header5.xml"/><Relationship Id="rId109" Type="http://schemas.openxmlformats.org/officeDocument/2006/relationships/customXml" Target="../customXml/item1.xml"/><Relationship Id="rId108" Type="http://schemas.openxmlformats.org/officeDocument/2006/relationships/image" Target="media/image66.wmf"/><Relationship Id="rId107" Type="http://schemas.openxmlformats.org/officeDocument/2006/relationships/oleObject" Target="embeddings/oleObject17.bin"/><Relationship Id="rId106" Type="http://schemas.openxmlformats.org/officeDocument/2006/relationships/image" Target="media/image65.png"/><Relationship Id="rId105" Type="http://schemas.openxmlformats.org/officeDocument/2006/relationships/image" Target="media/image64.png"/><Relationship Id="rId104" Type="http://schemas.openxmlformats.org/officeDocument/2006/relationships/image" Target="media/image63.emf"/><Relationship Id="rId103" Type="http://schemas.openxmlformats.org/officeDocument/2006/relationships/oleObject" Target="embeddings/oleObject16.bin"/><Relationship Id="rId102" Type="http://schemas.openxmlformats.org/officeDocument/2006/relationships/image" Target="media/image62.png"/><Relationship Id="rId101" Type="http://schemas.openxmlformats.org/officeDocument/2006/relationships/image" Target="media/image61.jpeg"/><Relationship Id="rId100" Type="http://schemas.openxmlformats.org/officeDocument/2006/relationships/image" Target="media/image60.wmf"/><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46"/>
    <customShpInfo spid="_x0000_s1047"/>
    <customShpInfo spid="_x0000_s104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254</Pages>
  <Words>162604</Words>
  <Characters>194446</Characters>
  <Lines>1600</Lines>
  <Paragraphs>450</Paragraphs>
  <TotalTime>4</TotalTime>
  <ScaleCrop>false</ScaleCrop>
  <LinksUpToDate>false</LinksUpToDate>
  <CharactersWithSpaces>195896</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2019-09-06T01:36:00Z</dcterms:created>
  <dc:creator>Administrator</dc:creator>
  <cp:lastModifiedBy>覃志乐</cp:lastModifiedBy>
  <cp:lastPrinted>2019-08-22T05:14:00Z</cp:lastPrinted>
  <dcterms:modified xsi:type="dcterms:W3CDTF">2019-10-08T08:14:10Z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